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5.xml" ContentType="application/vnd.openxmlformats-officedocument.wordprocessingml.footer+xml"/>
  <Override PartName="/word/header8.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67290" w:rsidRPr="008D0759" w:rsidRDefault="00867290" w:rsidP="00923616">
      <w:pPr>
        <w:pStyle w:val="HStandard"/>
      </w:pPr>
      <w:r>
        <w:rPr>
          <w:noProof/>
          <w:lang w:val="en-GB" w:eastAsia="en-GB" w:bidi="ar-SA"/>
        </w:rPr>
        <w:drawing>
          <wp:anchor distT="0" distB="0" distL="114300" distR="114300" simplePos="0" relativeHeight="251659264" behindDoc="1" locked="0" layoutInCell="1" allowOverlap="1" wp14:anchorId="7630CC6B" wp14:editId="491F10EB">
            <wp:simplePos x="0" y="0"/>
            <wp:positionH relativeFrom="margin">
              <wp:posOffset>-1066800</wp:posOffset>
            </wp:positionH>
            <wp:positionV relativeFrom="margin">
              <wp:posOffset>-352425</wp:posOffset>
            </wp:positionV>
            <wp:extent cx="7562850" cy="10284460"/>
            <wp:effectExtent l="0" t="0" r="0" b="254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ne-templat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562850" cy="10284460"/>
                    </a:xfrm>
                    <a:prstGeom prst="rect">
                      <a:avLst/>
                    </a:prstGeom>
                  </pic:spPr>
                </pic:pic>
              </a:graphicData>
            </a:graphic>
            <wp14:sizeRelV relativeFrom="margin">
              <wp14:pctHeight>0</wp14:pctHeight>
            </wp14:sizeRelV>
          </wp:anchor>
        </w:drawing>
      </w:r>
      <w:r>
        <w:rPr>
          <w:noProof/>
          <w:szCs w:val="24"/>
          <w:lang w:val="en-GB" w:eastAsia="en-GB" w:bidi="ar-SA"/>
        </w:rPr>
        <mc:AlternateContent>
          <mc:Choice Requires="wps">
            <w:drawing>
              <wp:anchor distT="0" distB="0" distL="114300" distR="114300" simplePos="0" relativeHeight="251661312" behindDoc="1" locked="0" layoutInCell="1" allowOverlap="1" wp14:anchorId="47D8DE5D" wp14:editId="65D76B34">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7290" w:rsidRPr="007C19BE" w:rsidRDefault="00867290" w:rsidP="00185B1D">
                            <w:pPr>
                              <w:pStyle w:val="HTitle1"/>
                              <w:rPr>
                                <w:rFonts w:ascii="Arial" w:hAnsi="Arial" w:cs="Arial"/>
                              </w:rPr>
                            </w:pPr>
                            <w:r>
                              <w:rPr>
                                <w:rFonts w:ascii="Arial" w:hAnsi="Arial"/>
                              </w:rPr>
                              <w:t>GUIDELINES</w:t>
                            </w:r>
                          </w:p>
                          <w:p w:rsidR="00867290" w:rsidRPr="002B46F3" w:rsidRDefault="00867290" w:rsidP="00185B1D">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867290" w:rsidRPr="002B46F3" w:rsidRDefault="00867290" w:rsidP="00185B1D">
                            <w:pPr>
                              <w:pStyle w:val="HTitle2"/>
                              <w:rPr>
                                <w:rFonts w:ascii="Arial" w:hAnsi="Arial" w:cs="Arial"/>
                                <w:color w:val="262626" w:themeColor="text1" w:themeTint="D9"/>
                                <w:szCs w:val="40"/>
                              </w:rPr>
                            </w:pPr>
                          </w:p>
                          <w:p w:rsidR="00867290" w:rsidRPr="00712034" w:rsidRDefault="00867290" w:rsidP="00185B1D">
                            <w:pPr>
                              <w:pStyle w:val="HTitle3"/>
                              <w:rPr>
                                <w:color w:val="262626" w:themeColor="text1" w:themeTint="D9"/>
                              </w:rPr>
                            </w:pPr>
                            <w:r>
                              <w:rPr>
                                <w:color w:val="262626" w:themeColor="text1" w:themeTint="D9"/>
                              </w:rPr>
                              <w:t>JULY 2016</w:t>
                            </w:r>
                          </w:p>
                          <w:p w:rsidR="00867290" w:rsidRPr="00DE5388" w:rsidRDefault="00867290" w:rsidP="00185B1D">
                            <w:pPr>
                              <w:pStyle w:val="HTitle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D8DE5D" id="_x0000_t202" coordsize="21600,21600" o:spt="202" path="m,l,21600r21600,l21600,xe">
                <v:stroke joinstyle="miter"/>
                <v:path gradientshapeok="t" o:connecttype="rect"/>
              </v:shapetype>
              <v:shape id="Text Box 5" o:spid="_x0000_s1026" type="#_x0000_t202" style="position:absolute;left:0;text-align:left;margin-left:161.6pt;margin-top:395.5pt;width:341.85pt;height:303.6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rsAIAAKo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" filled="f" stroked="f">
                <v:textbox inset="0,0,0,0">
                  <w:txbxContent>
                    <w:p w:rsidR="00867290" w:rsidRPr="007C19BE" w:rsidRDefault="00867290" w:rsidP="00185B1D">
                      <w:pPr>
                        <w:pStyle w:val="HTitle1"/>
                        <w:rPr>
                          <w:rFonts w:ascii="Arial" w:hAnsi="Arial" w:cs="Arial"/>
                        </w:rPr>
                      </w:pPr>
                      <w:r>
                        <w:rPr>
                          <w:rFonts w:ascii="Arial" w:hAnsi="Arial"/>
                        </w:rPr>
                        <w:t>GUIDELINES</w:t>
                      </w:r>
                    </w:p>
                    <w:p w:rsidR="00867290" w:rsidRPr="002B46F3" w:rsidRDefault="00867290" w:rsidP="00185B1D">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867290" w:rsidRPr="002B46F3" w:rsidRDefault="00867290" w:rsidP="00185B1D">
                      <w:pPr>
                        <w:pStyle w:val="HTitle2"/>
                        <w:rPr>
                          <w:rFonts w:ascii="Arial" w:hAnsi="Arial" w:cs="Arial"/>
                          <w:color w:val="262626" w:themeColor="text1" w:themeTint="D9"/>
                          <w:szCs w:val="40"/>
                        </w:rPr>
                      </w:pPr>
                    </w:p>
                    <w:p w:rsidR="00867290" w:rsidRPr="00712034" w:rsidRDefault="00867290" w:rsidP="00185B1D">
                      <w:pPr>
                        <w:pStyle w:val="HTitle3"/>
                        <w:rPr>
                          <w:color w:val="262626" w:themeColor="text1" w:themeTint="D9"/>
                        </w:rPr>
                      </w:pPr>
                      <w:r>
                        <w:rPr>
                          <w:color w:val="262626" w:themeColor="text1" w:themeTint="D9"/>
                        </w:rPr>
                        <w:t>JULY 2016</w:t>
                      </w:r>
                    </w:p>
                    <w:p w:rsidR="00867290" w:rsidRPr="00DE5388" w:rsidRDefault="00867290" w:rsidP="00185B1D">
                      <w:pPr>
                        <w:pStyle w:val="HTitle3"/>
                      </w:pPr>
                    </w:p>
                  </w:txbxContent>
                </v:textbox>
                <w10:wrap type="tight" anchorx="page" anchory="page"/>
              </v:shape>
            </w:pict>
          </mc:Fallback>
        </mc:AlternateContent>
      </w:r>
      <w:r>
        <w:br w:type="page"/>
      </w:r>
    </w:p>
    <w:p w:rsidR="00867290" w:rsidRPr="008D0759" w:rsidRDefault="00867290" w:rsidP="00923616">
      <w:pPr>
        <w:pStyle w:val="HStandard"/>
      </w:pPr>
    </w:p>
    <w:p w:rsidR="00867290" w:rsidRPr="008D0759" w:rsidRDefault="00867290" w:rsidP="00923616">
      <w:pPr>
        <w:pStyle w:val="HStandard"/>
      </w:pPr>
    </w:p>
    <w:p w:rsidR="00867290" w:rsidRPr="008D0759" w:rsidRDefault="00867290" w:rsidP="00923616">
      <w:pPr>
        <w:pStyle w:val="HStandard"/>
      </w:pPr>
    </w:p>
    <w:p w:rsidR="00867290" w:rsidRPr="008D0759" w:rsidRDefault="00867290" w:rsidP="00923616">
      <w:pPr>
        <w:pStyle w:val="HStandard"/>
      </w:pPr>
    </w:p>
    <w:p w:rsidR="00867290" w:rsidRDefault="00867290">
      <w:pPr>
        <w:spacing w:after="0" w:line="240" w:lineRule="auto"/>
        <w:rPr>
          <w:rFonts w:cs="Arial"/>
          <w:color w:val="576C88" w:themeColor="text2" w:themeTint="D9"/>
          <w:sz w:val="20"/>
          <w:szCs w:val="20"/>
        </w:rPr>
      </w:pPr>
      <w:r>
        <w:rPr>
          <w:noProof/>
          <w:lang w:eastAsia="en-GB"/>
        </w:rPr>
        <mc:AlternateContent>
          <mc:Choice Requires="wps">
            <w:drawing>
              <wp:anchor distT="0" distB="0" distL="114300" distR="114300" simplePos="0" relativeHeight="251660288" behindDoc="0" locked="0" layoutInCell="1" allowOverlap="1" wp14:anchorId="1438866E" wp14:editId="5789E9F3">
                <wp:simplePos x="0" y="0"/>
                <wp:positionH relativeFrom="margin">
                  <wp:posOffset>-387985</wp:posOffset>
                </wp:positionH>
                <wp:positionV relativeFrom="paragraph">
                  <wp:posOffset>2812415</wp:posOffset>
                </wp:positionV>
                <wp:extent cx="6583680" cy="5161915"/>
                <wp:effectExtent l="0" t="0" r="0" b="0"/>
                <wp:wrapNone/>
                <wp:docPr id="1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3680" cy="5161915"/>
                        </a:xfrm>
                        <a:prstGeom prst="rect">
                          <a:avLst/>
                        </a:prstGeom>
                        <a:solidFill>
                          <a:srgbClr val="FFFFFF">
                            <a:alpha val="0"/>
                          </a:srgbClr>
                        </a:solidFill>
                        <a:ln>
                          <a:noFill/>
                        </a:ln>
                        <a:extLst/>
                      </wps:spPr>
                      <wps:txbx>
                        <w:txbxContent>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Copyright notice</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 European Union, 2016</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Reproduction is authorised provided the source is acknowledged.</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 xml:space="preserve">Recommended citation: </w:t>
                            </w:r>
                          </w:p>
                          <w:p w:rsidR="00867290" w:rsidRPr="002B46F3" w:rsidRDefault="00867290" w:rsidP="00707EDB">
                            <w:pPr>
                              <w:pStyle w:val="Hdisclaimer"/>
                              <w:rPr>
                                <w:rFonts w:ascii="Arial" w:hAnsi="Arial"/>
                                <w:color w:val="262626" w:themeColor="text1" w:themeTint="D9"/>
                              </w:rPr>
                            </w:pPr>
                            <w:r>
                              <w:rPr>
                                <w:rFonts w:ascii="Arial" w:hAnsi="Arial"/>
                                <w:color w:val="262626" w:themeColor="text1" w:themeTint="D9"/>
                              </w:rPr>
                              <w:t>EUROPEAN COMMISSION – Directorate-General for Agriculture and Rural Development – Unit E.4 (2016): Guidelines Evaluation of National Rural Networks 2014-2020. Brussels.</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Disclaimer:</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867290" w:rsidRPr="002B46F3" w:rsidRDefault="00867290"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309C4A1F" wp14:editId="76D45855">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4B4DA33F" wp14:editId="7C7C9727">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Additional information about the activities of European Evaluation Helpdesk for Rural Development is available on the Internet through the Europa server (http://enrd.ec.europa.eu).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38866E" id="Text Box 7" o:spid="_x0000_s1027" type="#_x0000_t202" style="position:absolute;margin-left:-30.55pt;margin-top:221.45pt;width:518.4pt;height:406.4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" stroked="f">
                <v:fill opacity="0"/>
                <v:textbox>
                  <w:txbxContent>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Copyright notice</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 European Union, 2016</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Reproduction is authorised provided the source is acknowledged.</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 xml:space="preserve">Recommended citation: </w:t>
                      </w:r>
                    </w:p>
                    <w:p w:rsidR="00867290" w:rsidRPr="002B46F3" w:rsidRDefault="00867290" w:rsidP="00707EDB">
                      <w:pPr>
                        <w:pStyle w:val="Hdisclaimer"/>
                        <w:rPr>
                          <w:rFonts w:ascii="Arial" w:hAnsi="Arial"/>
                          <w:color w:val="262626" w:themeColor="text1" w:themeTint="D9"/>
                        </w:rPr>
                      </w:pPr>
                      <w:r>
                        <w:rPr>
                          <w:rFonts w:ascii="Arial" w:hAnsi="Arial"/>
                          <w:color w:val="262626" w:themeColor="text1" w:themeTint="D9"/>
                        </w:rPr>
                        <w:t>EUROPEAN COMMISSION – Directorate-General for Agriculture and Rural Development – Unit E.4 (2016): Guidelines Evaluation of National Rural Networks 2014-2020. Brussels.</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Disclaimer:</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The information and views set out in this publication are those of the author(s) and do not necessarily reflect the official opinion of the Commission. The Commission does not guarantee the accuracy of the data included in this publication. Neither the Commission nor any person acting on the Commission’s behalf may be held responsible for the use which may be made of the information contained therein.</w:t>
                      </w:r>
                    </w:p>
                    <w:p w:rsidR="00867290" w:rsidRPr="002B46F3" w:rsidRDefault="00867290" w:rsidP="005B24FC">
                      <w:pPr>
                        <w:pStyle w:val="Hdisclaimer"/>
                        <w:tabs>
                          <w:tab w:val="right" w:pos="10065"/>
                        </w:tabs>
                        <w:rPr>
                          <w:rFonts w:ascii="Arial" w:hAnsi="Arial"/>
                          <w:color w:val="262626" w:themeColor="text1" w:themeTint="D9"/>
                        </w:rPr>
                      </w:pPr>
                      <w:r>
                        <w:rPr>
                          <w:rFonts w:ascii="Arial" w:hAnsi="Arial"/>
                          <w:noProof/>
                          <w:color w:val="262626" w:themeColor="text1" w:themeTint="D9"/>
                          <w:lang w:val="en-GB" w:eastAsia="en-GB" w:bidi="ar-SA"/>
                        </w:rPr>
                        <w:drawing>
                          <wp:inline distT="0" distB="0" distL="0" distR="0" wp14:anchorId="309C4A1F" wp14:editId="76D45855">
                            <wp:extent cx="1676400" cy="792474"/>
                            <wp:effectExtent l="0" t="0" r="0" b="8255"/>
                            <wp:docPr id="11" name="Image 4" descr="Logo-O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Logo-OK3.jpg"/>
                                    <pic:cNvPicPr>
                                      <a:picLocks noChangeAspect="1"/>
                                    </pic:cNvPicPr>
                                  </pic:nvPicPr>
                                  <pic:blipFill rotWithShape="1">
                                    <a:blip r:embed="rId8">
                                      <a:extLst>
                                        <a:ext uri="{28A0092B-C50C-407E-A947-70E740481C1C}">
                                          <a14:useLocalDpi xmlns:a14="http://schemas.microsoft.com/office/drawing/2010/main" val="0"/>
                                        </a:ext>
                                      </a:extLst>
                                    </a:blip>
                                    <a:srcRect l="19669" r="17921"/>
                                    <a:stretch/>
                                  </pic:blipFill>
                                  <pic:spPr bwMode="auto">
                                    <a:xfrm>
                                      <a:off x="0" y="0"/>
                                      <a:ext cx="1679386" cy="793886"/>
                                    </a:xfrm>
                                    <a:prstGeom prst="rect">
                                      <a:avLst/>
                                    </a:prstGeom>
                                    <a:ln>
                                      <a:noFill/>
                                    </a:ln>
                                    <a:extLst>
                                      <a:ext uri="{53640926-AAD7-44D8-BBD7-CCE9431645EC}">
                                        <a14:shadowObscured xmlns:a14="http://schemas.microsoft.com/office/drawing/2010/main"/>
                                      </a:ext>
                                    </a:extLst>
                                  </pic:spPr>
                                </pic:pic>
                              </a:graphicData>
                            </a:graphic>
                          </wp:inline>
                        </w:drawing>
                      </w:r>
                      <w:r>
                        <w:tab/>
                      </w:r>
                      <w:r>
                        <w:rPr>
                          <w:rFonts w:ascii="Arial" w:hAnsi="Arial"/>
                          <w:noProof/>
                          <w:color w:val="262626" w:themeColor="text1" w:themeTint="D9"/>
                          <w:lang w:val="en-GB" w:eastAsia="en-GB" w:bidi="ar-SA"/>
                        </w:rPr>
                        <w:drawing>
                          <wp:inline distT="0" distB="0" distL="0" distR="0" wp14:anchorId="4B4DA33F" wp14:editId="7C7C9727">
                            <wp:extent cx="1808480" cy="665125"/>
                            <wp:effectExtent l="0" t="0" r="1270" b="1905"/>
                            <wp:docPr id="23" name="Image 9" descr="V:\Public\Projets en cours\METIS\Template word\logoRURAL develop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Public\Projets en cours\METIS\Template word\logoRURAL developmen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08480" cy="665125"/>
                                    </a:xfrm>
                                    <a:prstGeom prst="rect">
                                      <a:avLst/>
                                    </a:prstGeom>
                                    <a:noFill/>
                                    <a:ln>
                                      <a:noFill/>
                                    </a:ln>
                                  </pic:spPr>
                                </pic:pic>
                              </a:graphicData>
                            </a:graphic>
                          </wp:inline>
                        </w:drawing>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The Evaluation Helpdesk is responsible for the evaluation function within the European Network for Rural Development (ENRD) by providing guidance on the evaluation of RDPs and policies falling under the remit and guidance of DG AGRI’s Unit E.4 'Evaluation and studies' of the European Commission (EC). In order to improve the evaluation of EU rural development policy the Evaluation Helpdesk supports all evaluation stakeholders, in particular DG AGRI, national authorities, RDP managing authorities and evaluators, through the development and dissemination of appropriate methodologies and tools; the collection and exchange of good practices; capacity building, and communicating with network members on evaluation related topics.</w:t>
                      </w:r>
                    </w:p>
                    <w:p w:rsidR="00867290" w:rsidRPr="002B46F3" w:rsidRDefault="00867290" w:rsidP="005B24FC">
                      <w:pPr>
                        <w:pStyle w:val="Hdisclaimer"/>
                        <w:rPr>
                          <w:rFonts w:ascii="Arial" w:hAnsi="Arial"/>
                          <w:color w:val="262626" w:themeColor="text1" w:themeTint="D9"/>
                        </w:rPr>
                      </w:pPr>
                      <w:r>
                        <w:rPr>
                          <w:rFonts w:ascii="Arial" w:hAnsi="Arial"/>
                          <w:color w:val="262626" w:themeColor="text1" w:themeTint="D9"/>
                        </w:rPr>
                        <w:t>Additional information about the activities of European Evaluation Helpdesk for Rural Development is available on the Internet through the Europa server (http://enrd.ec.europa.eu).</w:t>
                      </w:r>
                    </w:p>
                  </w:txbxContent>
                </v:textbox>
                <w10:wrap anchorx="margin"/>
              </v:shape>
            </w:pict>
          </mc:Fallback>
        </mc:AlternateContent>
      </w:r>
      <w:r>
        <w:br w:type="page"/>
      </w:r>
    </w:p>
    <w:p w:rsidR="00867290" w:rsidRPr="008D0759" w:rsidRDefault="00867290" w:rsidP="00923616">
      <w:pPr>
        <w:pStyle w:val="HStandard"/>
        <w:sectPr w:rsidR="00867290" w:rsidRPr="008D0759" w:rsidSect="009115CB">
          <w:pgSz w:w="11906" w:h="16838"/>
          <w:pgMar w:top="1440" w:right="1440" w:bottom="1440" w:left="1440" w:header="708" w:footer="708" w:gutter="0"/>
          <w:cols w:space="708"/>
          <w:docGrid w:linePitch="360"/>
        </w:sectPr>
      </w:pPr>
      <w:r>
        <w:rPr>
          <w:noProof/>
          <w:lang w:val="en-GB" w:eastAsia="en-GB" w:bidi="ar-SA"/>
        </w:rPr>
        <w:lastRenderedPageBreak/>
        <mc:AlternateContent>
          <mc:Choice Requires="wps">
            <w:drawing>
              <wp:anchor distT="0" distB="0" distL="114300" distR="114300" simplePos="0" relativeHeight="251662336" behindDoc="1" locked="0" layoutInCell="1" allowOverlap="1" wp14:anchorId="60E0EDC3" wp14:editId="300E2D8E">
                <wp:simplePos x="0" y="0"/>
                <wp:positionH relativeFrom="page">
                  <wp:posOffset>2052320</wp:posOffset>
                </wp:positionH>
                <wp:positionV relativeFrom="page">
                  <wp:posOffset>5022850</wp:posOffset>
                </wp:positionV>
                <wp:extent cx="4341495" cy="3855720"/>
                <wp:effectExtent l="0" t="0" r="1905" b="11430"/>
                <wp:wrapTight wrapText="bothSides">
                  <wp:wrapPolygon edited="0">
                    <wp:start x="0" y="0"/>
                    <wp:lineTo x="0" y="21557"/>
                    <wp:lineTo x="21515" y="21557"/>
                    <wp:lineTo x="21515" y="0"/>
                    <wp:lineTo x="0" y="0"/>
                  </wp:wrapPolygon>
                </wp:wrapTight>
                <wp:docPr id="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1495" cy="3855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7290" w:rsidRPr="007C19BE" w:rsidRDefault="00867290" w:rsidP="00F10C08">
                            <w:pPr>
                              <w:pStyle w:val="HTitle1"/>
                              <w:rPr>
                                <w:rFonts w:ascii="Arial" w:hAnsi="Arial" w:cs="Arial"/>
                              </w:rPr>
                            </w:pPr>
                            <w:r>
                              <w:rPr>
                                <w:rFonts w:ascii="Arial" w:hAnsi="Arial"/>
                              </w:rPr>
                              <w:t>GUIDELINES</w:t>
                            </w:r>
                          </w:p>
                          <w:p w:rsidR="00867290" w:rsidRPr="002B46F3" w:rsidRDefault="00867290" w:rsidP="00F10C08">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867290" w:rsidRPr="002B46F3" w:rsidRDefault="00867290" w:rsidP="00F10C08">
                            <w:pPr>
                              <w:pStyle w:val="HTitle2"/>
                              <w:rPr>
                                <w:rFonts w:ascii="Arial" w:hAnsi="Arial" w:cs="Arial"/>
                                <w:color w:val="262626" w:themeColor="text1" w:themeTint="D9"/>
                                <w:szCs w:val="40"/>
                              </w:rPr>
                            </w:pPr>
                          </w:p>
                          <w:p w:rsidR="00867290" w:rsidRPr="00DE5388" w:rsidRDefault="00867290" w:rsidP="00F10C08">
                            <w:pPr>
                              <w:pStyle w:val="HTitle3"/>
                            </w:pPr>
                            <w:r>
                              <w:t>JULY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0EDC3" id="_x0000_s1028" type="#_x0000_t202" style="position:absolute;left:0;text-align:left;margin-left:161.6pt;margin-top:395.5pt;width:341.85pt;height:303.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d/AtAIAALE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" filled="f" stroked="f">
                <v:textbox inset="0,0,0,0">
                  <w:txbxContent>
                    <w:p w:rsidR="00867290" w:rsidRPr="007C19BE" w:rsidRDefault="00867290" w:rsidP="00F10C08">
                      <w:pPr>
                        <w:pStyle w:val="HTitle1"/>
                        <w:rPr>
                          <w:rFonts w:ascii="Arial" w:hAnsi="Arial" w:cs="Arial"/>
                        </w:rPr>
                      </w:pPr>
                      <w:r>
                        <w:rPr>
                          <w:rFonts w:ascii="Arial" w:hAnsi="Arial"/>
                        </w:rPr>
                        <w:t>GUIDELINES</w:t>
                      </w:r>
                    </w:p>
                    <w:p w:rsidR="00867290" w:rsidRPr="002B46F3" w:rsidRDefault="00867290" w:rsidP="00F10C08">
                      <w:pPr>
                        <w:pStyle w:val="HTitle2"/>
                        <w:rPr>
                          <w:rFonts w:ascii="Arial" w:hAnsi="Arial" w:cs="Arial"/>
                          <w:color w:val="262626" w:themeColor="text1" w:themeTint="D9"/>
                        </w:rPr>
                      </w:pPr>
                      <w:r>
                        <w:rPr>
                          <w:rFonts w:ascii="Arial" w:hAnsi="Arial"/>
                          <w:color w:val="262626" w:themeColor="text1" w:themeTint="D9"/>
                        </w:rPr>
                        <w:t>EVALUATION OF NATIONAL RURAL NETWORKS 2014-2020</w:t>
                      </w:r>
                    </w:p>
                    <w:p w:rsidR="00867290" w:rsidRPr="002B46F3" w:rsidRDefault="00867290" w:rsidP="00F10C08">
                      <w:pPr>
                        <w:pStyle w:val="HTitle2"/>
                        <w:rPr>
                          <w:rFonts w:ascii="Arial" w:hAnsi="Arial" w:cs="Arial"/>
                          <w:color w:val="262626" w:themeColor="text1" w:themeTint="D9"/>
                          <w:szCs w:val="40"/>
                        </w:rPr>
                      </w:pPr>
                    </w:p>
                    <w:p w:rsidR="00867290" w:rsidRPr="00DE5388" w:rsidRDefault="00867290" w:rsidP="00F10C08">
                      <w:pPr>
                        <w:pStyle w:val="HTitle3"/>
                      </w:pPr>
                      <w:r>
                        <w:t>JULY 2016</w:t>
                      </w:r>
                    </w:p>
                  </w:txbxContent>
                </v:textbox>
                <w10:wrap type="tight" anchorx="page" anchory="page"/>
              </v:shape>
            </w:pict>
          </mc:Fallback>
        </mc:AlternateContent>
      </w:r>
    </w:p>
    <w:p w:rsidR="00867290" w:rsidRDefault="00867290">
      <w:pPr>
        <w:spacing w:after="0" w:line="240" w:lineRule="auto"/>
        <w:rPr>
          <w:rFonts w:cs="Arial"/>
          <w:b/>
          <w:bCs/>
          <w:caps/>
          <w:color w:val="F07E31"/>
          <w:kern w:val="32"/>
          <w:sz w:val="20"/>
          <w:szCs w:val="32"/>
        </w:rPr>
      </w:pPr>
      <w:r>
        <w:lastRenderedPageBreak/>
        <w:br w:type="page"/>
      </w:r>
    </w:p>
    <w:p w:rsidR="00867290" w:rsidRDefault="00867290">
      <w:pPr>
        <w:pStyle w:val="TOC1"/>
        <w:rPr>
          <w:rFonts w:asciiTheme="minorHAnsi" w:eastAsiaTheme="minorEastAsia" w:hAnsiTheme="minorHAnsi" w:cstheme="minorBidi"/>
          <w:color w:val="auto"/>
          <w:sz w:val="22"/>
          <w:szCs w:val="22"/>
        </w:rPr>
      </w:pPr>
    </w:p>
    <w:p w:rsidR="00867290" w:rsidRDefault="00867290">
      <w:pPr>
        <w:pStyle w:val="HStandard"/>
        <w:tabs>
          <w:tab w:val="right" w:leader="dot" w:pos="8742"/>
        </w:tabs>
        <w:rPr>
          <w:rFonts w:asciiTheme="minorHAnsi" w:eastAsiaTheme="minorEastAsia" w:hAnsiTheme="minorHAnsi" w:cstheme="minorBidi"/>
          <w:sz w:val="22"/>
        </w:rPr>
        <w:sectPr w:rsidR="00867290" w:rsidSect="00085973">
          <w:headerReference w:type="even" r:id="rId10"/>
          <w:headerReference w:type="default" r:id="rId11"/>
          <w:footerReference w:type="even" r:id="rId12"/>
          <w:footerReference w:type="default" r:id="rId13"/>
          <w:headerReference w:type="first" r:id="rId14"/>
          <w:footerReference w:type="first" r:id="rId15"/>
          <w:pgSz w:w="11906" w:h="16838" w:code="9"/>
          <w:pgMar w:top="1440" w:right="1440" w:bottom="1440" w:left="1440" w:header="1134" w:footer="1021" w:gutter="0"/>
          <w:cols w:space="708"/>
          <w:titlePg/>
          <w:docGrid w:linePitch="360"/>
        </w:sectPr>
      </w:pPr>
    </w:p>
    <w:p w:rsidR="00867290" w:rsidRDefault="00867290" w:rsidP="005A6A10">
      <w:pPr>
        <w:pStyle w:val="HStandard"/>
        <w:tabs>
          <w:tab w:val="right" w:leader="dot" w:pos="8742"/>
        </w:tabs>
        <w:rPr>
          <w:b/>
          <w:color w:val="E7E6E6" w:themeColor="background2"/>
        </w:rPr>
      </w:pPr>
      <w:r>
        <w:lastRenderedPageBreak/>
        <w:br w:type="page"/>
      </w:r>
    </w:p>
    <w:p w:rsidR="00867290" w:rsidRDefault="00867290" w:rsidP="005A6A10">
      <w:pPr>
        <w:pStyle w:val="HStandard"/>
        <w:tabs>
          <w:tab w:val="right" w:leader="dot" w:pos="8742"/>
        </w:tabs>
        <w:rPr>
          <w:b/>
          <w:color w:val="E7E6E6" w:themeColor="background2"/>
        </w:rPr>
      </w:pPr>
      <w:r>
        <w:rPr>
          <w:b/>
          <w:color w:val="E7E6E6" w:themeColor="background2"/>
        </w:rPr>
        <w:lastRenderedPageBreak/>
        <w:t>ACRONYM LIST</w:t>
      </w:r>
    </w:p>
    <w:p w:rsidR="00867290" w:rsidRPr="00AE6F26" w:rsidRDefault="00867290" w:rsidP="00AE6F26">
      <w:pPr>
        <w:pStyle w:val="HStandard"/>
      </w:pPr>
      <w:r>
        <w:t>AIR</w:t>
      </w:r>
      <w:r>
        <w:tab/>
      </w:r>
      <w:r>
        <w:tab/>
      </w:r>
      <w:r>
        <w:tab/>
        <w:t>Annual Implementation Report</w:t>
      </w:r>
    </w:p>
    <w:p w:rsidR="00867290" w:rsidRPr="00AE6F26" w:rsidRDefault="00867290" w:rsidP="00AE6F26">
      <w:pPr>
        <w:pStyle w:val="HStandard"/>
      </w:pPr>
      <w:r>
        <w:t>AWU</w:t>
      </w:r>
      <w:r>
        <w:tab/>
      </w:r>
      <w:r>
        <w:tab/>
        <w:t>Annual Work Units</w:t>
      </w:r>
    </w:p>
    <w:p w:rsidR="00867290" w:rsidRPr="00AE6F26" w:rsidRDefault="00867290" w:rsidP="00AE6F26">
      <w:pPr>
        <w:pStyle w:val="HStandard"/>
      </w:pPr>
      <w:r>
        <w:t>CAP</w:t>
      </w:r>
      <w:r>
        <w:tab/>
      </w:r>
      <w:r>
        <w:tab/>
        <w:t xml:space="preserve">Common Agricultural Policy </w:t>
      </w:r>
    </w:p>
    <w:p w:rsidR="00867290" w:rsidRPr="00AE6F26" w:rsidRDefault="00867290" w:rsidP="00AE6F26">
      <w:pPr>
        <w:pStyle w:val="HStandard"/>
      </w:pPr>
      <w:r>
        <w:t>CCI</w:t>
      </w:r>
      <w:r>
        <w:tab/>
      </w:r>
      <w:r>
        <w:tab/>
        <w:t>Common Context Indicators</w:t>
      </w:r>
    </w:p>
    <w:p w:rsidR="00867290" w:rsidRPr="00AE6F26" w:rsidRDefault="00867290" w:rsidP="00AE6F26">
      <w:pPr>
        <w:pStyle w:val="HStandard"/>
      </w:pPr>
      <w:r>
        <w:t>CEQ</w:t>
      </w:r>
      <w:r>
        <w:tab/>
      </w:r>
      <w:r>
        <w:tab/>
        <w:t>Common Evaluation Questions</w:t>
      </w:r>
    </w:p>
    <w:p w:rsidR="00867290" w:rsidRPr="00AE6F26" w:rsidRDefault="00867290" w:rsidP="00AE6F26">
      <w:pPr>
        <w:pStyle w:val="HStandard"/>
      </w:pPr>
      <w:r>
        <w:t>CLLD</w:t>
      </w:r>
      <w:r>
        <w:tab/>
      </w:r>
      <w:r>
        <w:tab/>
        <w:t>Community-Led Local Development</w:t>
      </w:r>
    </w:p>
    <w:p w:rsidR="00867290" w:rsidRPr="00AE6F26" w:rsidRDefault="00867290" w:rsidP="00AE6F26">
      <w:pPr>
        <w:pStyle w:val="HStandard"/>
      </w:pPr>
      <w:r>
        <w:t xml:space="preserve">CMES </w:t>
      </w:r>
      <w:r>
        <w:tab/>
      </w:r>
      <w:r>
        <w:tab/>
        <w:t>Common Monitoring and Evaluation System</w:t>
      </w:r>
    </w:p>
    <w:p w:rsidR="00867290" w:rsidRPr="00AE6F26" w:rsidRDefault="00867290" w:rsidP="00AE6F26">
      <w:pPr>
        <w:pStyle w:val="HStandard"/>
      </w:pPr>
      <w:r>
        <w:t xml:space="preserve">CO </w:t>
      </w:r>
      <w:r>
        <w:tab/>
      </w:r>
      <w:r>
        <w:tab/>
        <w:t>Common objective</w:t>
      </w:r>
    </w:p>
    <w:p w:rsidR="00867290" w:rsidRPr="00AE6F26" w:rsidRDefault="00867290" w:rsidP="00AE6F26">
      <w:pPr>
        <w:pStyle w:val="HStandard"/>
      </w:pPr>
      <w:r>
        <w:t>DG AGRI</w:t>
      </w:r>
      <w:r>
        <w:tab/>
        <w:t>Directorate-General for Agriculture and Rural Development</w:t>
      </w:r>
    </w:p>
    <w:p w:rsidR="00867290" w:rsidRPr="00AE6F26" w:rsidRDefault="00867290" w:rsidP="00AE6F26">
      <w:pPr>
        <w:pStyle w:val="HStandard"/>
      </w:pPr>
      <w:r>
        <w:t>EARDF</w:t>
      </w:r>
      <w:r>
        <w:tab/>
      </w:r>
      <w:r>
        <w:tab/>
        <w:t>European Agricultural Fund for Rural Development</w:t>
      </w:r>
    </w:p>
    <w:p w:rsidR="00867290" w:rsidRPr="00AE6F26" w:rsidRDefault="00867290" w:rsidP="00AE6F26">
      <w:pPr>
        <w:pStyle w:val="HStandard"/>
      </w:pPr>
      <w:r>
        <w:t>EIP</w:t>
      </w:r>
      <w:r>
        <w:tab/>
      </w:r>
      <w:r>
        <w:tab/>
      </w:r>
      <w:r>
        <w:tab/>
        <w:t>European Innovation Partnership</w:t>
      </w:r>
    </w:p>
    <w:p w:rsidR="00867290" w:rsidRPr="00AE6F26" w:rsidRDefault="00867290" w:rsidP="00AE6F26">
      <w:pPr>
        <w:pStyle w:val="HStandard"/>
      </w:pPr>
      <w:r>
        <w:t>ENRD</w:t>
      </w:r>
      <w:r>
        <w:tab/>
      </w:r>
      <w:r>
        <w:tab/>
        <w:t>European Network for Rural Development</w:t>
      </w:r>
    </w:p>
    <w:p w:rsidR="00867290" w:rsidRPr="000D1D32" w:rsidRDefault="00867290" w:rsidP="00AE6F26">
      <w:pPr>
        <w:pStyle w:val="HStandard"/>
      </w:pPr>
      <w:r>
        <w:t>EQ</w:t>
      </w:r>
      <w:r>
        <w:tab/>
      </w:r>
      <w:r>
        <w:tab/>
      </w:r>
      <w:r>
        <w:tab/>
        <w:t>Evaluation Question</w:t>
      </w:r>
    </w:p>
    <w:p w:rsidR="00867290" w:rsidRPr="000D1D32" w:rsidRDefault="00867290" w:rsidP="00AE6F26">
      <w:pPr>
        <w:pStyle w:val="HStandard"/>
      </w:pPr>
      <w:r>
        <w:t>EP</w:t>
      </w:r>
      <w:r>
        <w:tab/>
      </w:r>
      <w:r>
        <w:tab/>
      </w:r>
      <w:r>
        <w:tab/>
        <w:t>Evaluation Plan</w:t>
      </w:r>
    </w:p>
    <w:p w:rsidR="00867290" w:rsidRPr="00AE6F26" w:rsidRDefault="00867290" w:rsidP="00AE6F26">
      <w:pPr>
        <w:pStyle w:val="HStandard"/>
      </w:pPr>
      <w:r>
        <w:t>ERDF</w:t>
      </w:r>
      <w:r>
        <w:tab/>
      </w:r>
      <w:r>
        <w:tab/>
        <w:t>European Regional Development Fund</w:t>
      </w:r>
    </w:p>
    <w:p w:rsidR="00867290" w:rsidRPr="00AE6F26" w:rsidRDefault="00867290" w:rsidP="00AE6F26">
      <w:pPr>
        <w:pStyle w:val="HStandard"/>
      </w:pPr>
      <w:r>
        <w:t>ESI</w:t>
      </w:r>
      <w:r>
        <w:tab/>
      </w:r>
      <w:r>
        <w:tab/>
      </w:r>
      <w:r>
        <w:tab/>
        <w:t>European Structural and Investment</w:t>
      </w:r>
    </w:p>
    <w:p w:rsidR="00867290" w:rsidRPr="00AE6F26" w:rsidRDefault="00867290" w:rsidP="00AE6F26">
      <w:pPr>
        <w:pStyle w:val="HStandard"/>
      </w:pPr>
      <w:r>
        <w:t>EU</w:t>
      </w:r>
      <w:r>
        <w:tab/>
      </w:r>
      <w:r>
        <w:tab/>
      </w:r>
      <w:r>
        <w:tab/>
        <w:t>European Union</w:t>
      </w:r>
    </w:p>
    <w:p w:rsidR="00867290" w:rsidRPr="00AE6F26" w:rsidRDefault="00867290" w:rsidP="00AE6F26">
      <w:pPr>
        <w:pStyle w:val="HStandard"/>
      </w:pPr>
      <w:r>
        <w:t>FA</w:t>
      </w:r>
      <w:r>
        <w:tab/>
      </w:r>
      <w:r>
        <w:tab/>
      </w:r>
      <w:r>
        <w:tab/>
        <w:t>Focus Area</w:t>
      </w:r>
    </w:p>
    <w:p w:rsidR="00867290" w:rsidRPr="00AE6F26" w:rsidRDefault="00867290" w:rsidP="00AE6F26">
      <w:pPr>
        <w:pStyle w:val="HStandard"/>
      </w:pPr>
      <w:r>
        <w:t>FAO</w:t>
      </w:r>
      <w:r>
        <w:tab/>
      </w:r>
      <w:r>
        <w:tab/>
      </w:r>
      <w:hyperlink r:id="rId16">
        <w:r>
          <w:t>Food and Agriculture Organization</w:t>
        </w:r>
      </w:hyperlink>
    </w:p>
    <w:p w:rsidR="00867290" w:rsidRPr="000D1D32" w:rsidRDefault="00867290" w:rsidP="00AE6F26">
      <w:pPr>
        <w:pStyle w:val="HStandard"/>
      </w:pPr>
      <w:r>
        <w:t>GIS</w:t>
      </w:r>
      <w:r>
        <w:tab/>
      </w:r>
      <w:r>
        <w:tab/>
      </w:r>
      <w:hyperlink r:id="rId17">
        <w:r>
          <w:t>Geographic information system</w:t>
        </w:r>
      </w:hyperlink>
    </w:p>
    <w:p w:rsidR="00867290" w:rsidRPr="00C85637" w:rsidRDefault="00867290" w:rsidP="00AE6F26">
      <w:pPr>
        <w:pStyle w:val="HStandard"/>
      </w:pPr>
      <w:r>
        <w:t>GIZ</w:t>
      </w:r>
      <w:r>
        <w:tab/>
      </w:r>
      <w:r>
        <w:tab/>
      </w:r>
      <w:r>
        <w:tab/>
        <w:t>Gesellschaft für Internationale Zusammenarbeit</w:t>
      </w:r>
    </w:p>
    <w:p w:rsidR="00867290" w:rsidRPr="00C85637" w:rsidRDefault="00867290" w:rsidP="00AE6F26">
      <w:pPr>
        <w:pStyle w:val="HStandard"/>
      </w:pPr>
      <w:r>
        <w:t>IL</w:t>
      </w:r>
      <w:r>
        <w:tab/>
      </w:r>
      <w:r>
        <w:tab/>
      </w:r>
      <w:r>
        <w:tab/>
        <w:t>Intervention Logic</w:t>
      </w:r>
    </w:p>
    <w:p w:rsidR="00867290" w:rsidRPr="00450DBF" w:rsidRDefault="00867290" w:rsidP="00AE6F26">
      <w:pPr>
        <w:pStyle w:val="HStandard"/>
      </w:pPr>
      <w:r>
        <w:t>JC</w:t>
      </w:r>
      <w:r>
        <w:tab/>
      </w:r>
      <w:r>
        <w:tab/>
      </w:r>
      <w:r>
        <w:tab/>
        <w:t>Judgement Criteria</w:t>
      </w:r>
    </w:p>
    <w:p w:rsidR="00867290" w:rsidRPr="00450DBF" w:rsidRDefault="00867290" w:rsidP="00AE6F26">
      <w:pPr>
        <w:pStyle w:val="HStandard"/>
      </w:pPr>
      <w:r>
        <w:t>LAG</w:t>
      </w:r>
      <w:r>
        <w:tab/>
      </w:r>
      <w:r>
        <w:tab/>
        <w:t>Local Action Group</w:t>
      </w:r>
    </w:p>
    <w:p w:rsidR="00867290" w:rsidRPr="00AE6F26" w:rsidRDefault="00867290" w:rsidP="00AE6F26">
      <w:pPr>
        <w:pStyle w:val="HStandard"/>
      </w:pPr>
      <w:r>
        <w:t>LEADER</w:t>
      </w:r>
      <w:r>
        <w:tab/>
        <w:t>Liaison Entre Actions de Développement de l'Économie Rurale</w:t>
      </w:r>
    </w:p>
    <w:p w:rsidR="00867290" w:rsidRPr="00450DBF" w:rsidRDefault="00867290" w:rsidP="00AE6F26">
      <w:pPr>
        <w:pStyle w:val="HStandard"/>
      </w:pPr>
      <w:r>
        <w:t>MA</w:t>
      </w:r>
      <w:r>
        <w:tab/>
      </w:r>
      <w:r>
        <w:tab/>
      </w:r>
      <w:r>
        <w:tab/>
        <w:t>Managing Authority</w:t>
      </w:r>
    </w:p>
    <w:p w:rsidR="00867290" w:rsidRPr="00AE6F26" w:rsidRDefault="00867290" w:rsidP="00AE6F26">
      <w:pPr>
        <w:pStyle w:val="HStandard"/>
      </w:pPr>
      <w:r>
        <w:t>MAPP</w:t>
      </w:r>
      <w:r>
        <w:tab/>
      </w:r>
      <w:r>
        <w:tab/>
        <w:t>Method for Impact Assessment of Programmes and Project</w:t>
      </w:r>
    </w:p>
    <w:p w:rsidR="00867290" w:rsidRPr="00AE6F26" w:rsidRDefault="00867290" w:rsidP="00AE6F26">
      <w:pPr>
        <w:pStyle w:val="HStandard"/>
      </w:pPr>
      <w:r>
        <w:t>MS</w:t>
      </w:r>
      <w:r>
        <w:tab/>
      </w:r>
      <w:r>
        <w:tab/>
      </w:r>
      <w:r>
        <w:tab/>
        <w:t>Member State</w:t>
      </w:r>
    </w:p>
    <w:p w:rsidR="00867290" w:rsidRPr="00AE6F26" w:rsidRDefault="00867290" w:rsidP="00AE6F26">
      <w:pPr>
        <w:pStyle w:val="HStandard"/>
      </w:pPr>
      <w:r>
        <w:t>NGO</w:t>
      </w:r>
      <w:r>
        <w:tab/>
      </w:r>
      <w:r>
        <w:tab/>
        <w:t>Non-governmental organization</w:t>
      </w:r>
    </w:p>
    <w:p w:rsidR="00867290" w:rsidRPr="00AE6F26" w:rsidRDefault="00867290" w:rsidP="00AE6F26">
      <w:pPr>
        <w:pStyle w:val="HStandard"/>
      </w:pPr>
      <w:r>
        <w:t>NRN</w:t>
      </w:r>
      <w:r>
        <w:tab/>
      </w:r>
      <w:r>
        <w:tab/>
        <w:t>National Rural Network</w:t>
      </w:r>
    </w:p>
    <w:p w:rsidR="00867290" w:rsidRPr="00AE6F26" w:rsidRDefault="00867290" w:rsidP="00AE6F26">
      <w:pPr>
        <w:pStyle w:val="HStandard"/>
      </w:pPr>
      <w:r>
        <w:t>NRNP</w:t>
      </w:r>
      <w:r>
        <w:tab/>
      </w:r>
      <w:r>
        <w:tab/>
        <w:t>National Rural Network Programme</w:t>
      </w:r>
    </w:p>
    <w:p w:rsidR="00867290" w:rsidRPr="00AE6F26" w:rsidRDefault="00867290" w:rsidP="00AE6F26">
      <w:pPr>
        <w:pStyle w:val="HStandard"/>
      </w:pPr>
      <w:r>
        <w:t>NSU</w:t>
      </w:r>
      <w:r>
        <w:tab/>
      </w:r>
      <w:r>
        <w:tab/>
        <w:t>Network Support Unit</w:t>
      </w:r>
    </w:p>
    <w:p w:rsidR="00867290" w:rsidRPr="00AE6F26" w:rsidRDefault="00867290" w:rsidP="00AE6F26">
      <w:pPr>
        <w:pStyle w:val="HStandard"/>
      </w:pPr>
      <w:r>
        <w:t>OI</w:t>
      </w:r>
      <w:r>
        <w:tab/>
      </w:r>
      <w:r>
        <w:tab/>
      </w:r>
      <w:r>
        <w:tab/>
        <w:t>Output indicators</w:t>
      </w:r>
    </w:p>
    <w:p w:rsidR="00867290" w:rsidRPr="00AE6F26" w:rsidRDefault="00867290" w:rsidP="00AE6F26">
      <w:pPr>
        <w:pStyle w:val="HStandard"/>
      </w:pPr>
      <w:r>
        <w:lastRenderedPageBreak/>
        <w:t>OP</w:t>
      </w:r>
      <w:r>
        <w:tab/>
      </w:r>
      <w:r>
        <w:tab/>
      </w:r>
      <w:r>
        <w:tab/>
        <w:t>Operational Programme</w:t>
      </w:r>
    </w:p>
    <w:p w:rsidR="00867290" w:rsidRPr="00AE6F26" w:rsidRDefault="00867290" w:rsidP="00AE6F26">
      <w:pPr>
        <w:pStyle w:val="HStandard"/>
      </w:pPr>
      <w:r>
        <w:t>PA</w:t>
      </w:r>
      <w:r>
        <w:tab/>
      </w:r>
      <w:r>
        <w:tab/>
      </w:r>
      <w:r>
        <w:tab/>
        <w:t>Paying Agency</w:t>
      </w:r>
    </w:p>
    <w:p w:rsidR="00867290" w:rsidRPr="00AE6F26" w:rsidRDefault="00867290" w:rsidP="00AE6F26">
      <w:pPr>
        <w:pStyle w:val="HStandard"/>
      </w:pPr>
      <w:r>
        <w:t>PSEQ</w:t>
      </w:r>
      <w:r>
        <w:tab/>
      </w:r>
      <w:r>
        <w:tab/>
        <w:t>Programme Specific Evaluation Question</w:t>
      </w:r>
    </w:p>
    <w:p w:rsidR="00867290" w:rsidRPr="00AE6F26" w:rsidRDefault="00867290" w:rsidP="00AE6F26">
      <w:pPr>
        <w:pStyle w:val="HStandard"/>
      </w:pPr>
      <w:r>
        <w:t xml:space="preserve">PSI </w:t>
      </w:r>
      <w:r>
        <w:tab/>
      </w:r>
      <w:r>
        <w:tab/>
        <w:t>Programme specific impacts</w:t>
      </w:r>
    </w:p>
    <w:p w:rsidR="00867290" w:rsidRPr="00AE6F26" w:rsidRDefault="00867290" w:rsidP="00AE6F26">
      <w:pPr>
        <w:pStyle w:val="HStandard"/>
      </w:pPr>
      <w:r>
        <w:t xml:space="preserve">PSO </w:t>
      </w:r>
      <w:r>
        <w:tab/>
      </w:r>
      <w:r>
        <w:tab/>
        <w:t>Programme specific objective</w:t>
      </w:r>
    </w:p>
    <w:p w:rsidR="00867290" w:rsidRPr="00AE6F26" w:rsidRDefault="00867290" w:rsidP="00AE6F26">
      <w:pPr>
        <w:pStyle w:val="HStandard"/>
      </w:pPr>
      <w:r>
        <w:t xml:space="preserve">PSR </w:t>
      </w:r>
      <w:r>
        <w:tab/>
      </w:r>
      <w:r>
        <w:tab/>
        <w:t>Programme specific result</w:t>
      </w:r>
    </w:p>
    <w:p w:rsidR="00867290" w:rsidRPr="00AE6F26" w:rsidRDefault="00867290" w:rsidP="00AE6F26">
      <w:pPr>
        <w:pStyle w:val="HStandard"/>
      </w:pPr>
      <w:r>
        <w:t>RI</w:t>
      </w:r>
      <w:r>
        <w:tab/>
      </w:r>
      <w:r>
        <w:tab/>
      </w:r>
      <w:r>
        <w:tab/>
        <w:t>Result indicators</w:t>
      </w:r>
    </w:p>
    <w:p w:rsidR="00867290" w:rsidRPr="00AE6F26" w:rsidRDefault="00867290" w:rsidP="00AE6F26">
      <w:pPr>
        <w:pStyle w:val="HStandard"/>
      </w:pPr>
      <w:r>
        <w:t xml:space="preserve">RACER </w:t>
      </w:r>
      <w:r>
        <w:tab/>
        <w:t>Relevant, Accepted, Credible, Easy, Robust</w:t>
      </w:r>
    </w:p>
    <w:p w:rsidR="00867290" w:rsidRPr="00AE6F26" w:rsidRDefault="00867290" w:rsidP="00AE6F26">
      <w:pPr>
        <w:pStyle w:val="HStandard"/>
      </w:pPr>
      <w:r>
        <w:t>RD</w:t>
      </w:r>
      <w:r>
        <w:tab/>
      </w:r>
      <w:r>
        <w:tab/>
      </w:r>
      <w:r>
        <w:tab/>
        <w:t>Rural Development</w:t>
      </w:r>
    </w:p>
    <w:p w:rsidR="00867290" w:rsidRPr="00AE6F26" w:rsidRDefault="00867290" w:rsidP="00AE6F26">
      <w:pPr>
        <w:pStyle w:val="HStandard"/>
      </w:pPr>
      <w:r>
        <w:t>RDP</w:t>
      </w:r>
      <w:r>
        <w:tab/>
      </w:r>
      <w:r>
        <w:tab/>
        <w:t>Rural Development Programme</w:t>
      </w:r>
    </w:p>
    <w:p w:rsidR="00867290" w:rsidRPr="00AE6F26" w:rsidRDefault="00867290" w:rsidP="00AE6F26">
      <w:pPr>
        <w:pStyle w:val="HStandard"/>
        <w:rPr>
          <w:b/>
        </w:rPr>
      </w:pPr>
      <w:r>
        <w:t>SFC</w:t>
      </w:r>
      <w:r>
        <w:tab/>
      </w:r>
      <w:r>
        <w:tab/>
        <w:t>Shared Fund Management Common System</w:t>
      </w:r>
    </w:p>
    <w:p w:rsidR="00867290" w:rsidRPr="00AE6F26" w:rsidRDefault="00867290" w:rsidP="00AE6F26">
      <w:pPr>
        <w:pStyle w:val="HStandard"/>
      </w:pPr>
      <w:r>
        <w:t xml:space="preserve">SMART </w:t>
      </w:r>
      <w:r>
        <w:tab/>
        <w:t xml:space="preserve">Specific, Measurable, Achievable, Relevant, Time dependent </w:t>
      </w:r>
    </w:p>
    <w:p w:rsidR="00867290" w:rsidRPr="00AE6F26" w:rsidRDefault="00867290" w:rsidP="00AE6F26">
      <w:pPr>
        <w:pStyle w:val="HStandard"/>
      </w:pPr>
      <w:r>
        <w:t>SME</w:t>
      </w:r>
      <w:r>
        <w:tab/>
      </w:r>
      <w:r>
        <w:tab/>
        <w:t>Small and Medium Enterprise</w:t>
      </w:r>
    </w:p>
    <w:p w:rsidR="00867290" w:rsidRPr="00AE6F26" w:rsidRDefault="00867290" w:rsidP="00AE6F26">
      <w:pPr>
        <w:pStyle w:val="HStandard"/>
      </w:pPr>
      <w:r>
        <w:t>SG</w:t>
      </w:r>
      <w:r>
        <w:tab/>
      </w:r>
      <w:r>
        <w:tab/>
      </w:r>
      <w:r>
        <w:tab/>
        <w:t>Steering Group</w:t>
      </w:r>
    </w:p>
    <w:p w:rsidR="00867290" w:rsidRPr="00AE6F26" w:rsidRDefault="00867290" w:rsidP="00AE6F26">
      <w:pPr>
        <w:pStyle w:val="HStandard"/>
      </w:pPr>
      <w:r>
        <w:t>SNA</w:t>
      </w:r>
      <w:r>
        <w:tab/>
      </w:r>
      <w:r>
        <w:tab/>
        <w:t xml:space="preserve">Social Network Analysis </w:t>
      </w:r>
    </w:p>
    <w:p w:rsidR="00867290" w:rsidRPr="00AE6F26" w:rsidRDefault="00867290" w:rsidP="00AE6F26">
      <w:pPr>
        <w:pStyle w:val="HStandard"/>
      </w:pPr>
      <w:r>
        <w:t>SWOT</w:t>
      </w:r>
      <w:r>
        <w:tab/>
      </w:r>
      <w:r>
        <w:tab/>
        <w:t>Strengths, Weaknesses, Opportunities, Threats</w:t>
      </w:r>
    </w:p>
    <w:p w:rsidR="00867290" w:rsidRPr="00AE6F26" w:rsidRDefault="00867290" w:rsidP="00AE6F26">
      <w:pPr>
        <w:pStyle w:val="HStandard"/>
      </w:pPr>
      <w:r>
        <w:t>TA</w:t>
      </w:r>
      <w:r>
        <w:tab/>
      </w:r>
      <w:r>
        <w:tab/>
      </w:r>
      <w:r>
        <w:tab/>
        <w:t>Technical Assistance</w:t>
      </w:r>
    </w:p>
    <w:p w:rsidR="00867290" w:rsidRPr="00AE6F26" w:rsidRDefault="00867290" w:rsidP="00AE6F26">
      <w:pPr>
        <w:pStyle w:val="HStandard"/>
      </w:pPr>
      <w:r>
        <w:t>ToR</w:t>
      </w:r>
      <w:r>
        <w:tab/>
      </w:r>
      <w:r>
        <w:tab/>
        <w:t>Terms of Reference</w:t>
      </w:r>
    </w:p>
    <w:p w:rsidR="00867290" w:rsidRPr="00AE6F26" w:rsidRDefault="00867290" w:rsidP="00AE6F26">
      <w:pPr>
        <w:pStyle w:val="HStandard"/>
      </w:pPr>
      <w:r>
        <w:t>WD</w:t>
      </w:r>
      <w:r>
        <w:tab/>
      </w:r>
      <w:r>
        <w:tab/>
      </w:r>
      <w:r>
        <w:tab/>
        <w:t>Working Document</w:t>
      </w:r>
    </w:p>
    <w:p w:rsidR="00867290" w:rsidRPr="00183F61" w:rsidRDefault="00867290" w:rsidP="005A6A10">
      <w:pPr>
        <w:pStyle w:val="HStandard"/>
        <w:tabs>
          <w:tab w:val="right" w:leader="dot" w:pos="8742"/>
        </w:tabs>
        <w:rPr>
          <w:b/>
          <w:color w:val="E7E6E6" w:themeColor="background2"/>
        </w:rPr>
      </w:pPr>
    </w:p>
    <w:p w:rsidR="00867290" w:rsidRPr="00BB2924" w:rsidRDefault="00867290" w:rsidP="00007B4C">
      <w:pPr>
        <w:pStyle w:val="HHeading1"/>
        <w:numPr>
          <w:ilvl w:val="0"/>
          <w:numId w:val="0"/>
        </w:numPr>
        <w:ind w:left="510" w:hanging="510"/>
        <w:rPr>
          <w:rFonts w:cs="Arial"/>
          <w:highlight w:val="yellow"/>
        </w:rPr>
      </w:pPr>
      <w:bookmarkStart w:id="0" w:name="_Toc453079745"/>
      <w:bookmarkStart w:id="1" w:name="_Toc461713619"/>
      <w:r>
        <w:rPr>
          <w:caps w:val="0"/>
          <w:highlight w:val="yellow"/>
        </w:rPr>
        <w:lastRenderedPageBreak/>
        <w:t>1. UVOD</w:t>
      </w:r>
      <w:bookmarkEnd w:id="0"/>
      <w:bookmarkEnd w:id="1"/>
    </w:p>
    <w:p w:rsidR="00867290" w:rsidRPr="00BB2924" w:rsidRDefault="00867290" w:rsidP="00CA5E80">
      <w:pPr>
        <w:pStyle w:val="HHeading2"/>
        <w:numPr>
          <w:ilvl w:val="0"/>
          <w:numId w:val="0"/>
        </w:numPr>
        <w:rPr>
          <w:highlight w:val="yellow"/>
        </w:rPr>
      </w:pPr>
      <w:bookmarkStart w:id="2" w:name="_Toc453079746"/>
      <w:bookmarkStart w:id="3" w:name="_Toc461713620"/>
      <w:r>
        <w:rPr>
          <w:highlight w:val="yellow"/>
        </w:rPr>
        <w:t>1.1. Smjernice za evaluaciju Nacionalnih ruralnih mreža</w:t>
      </w:r>
      <w:bookmarkEnd w:id="2"/>
      <w:bookmarkEnd w:id="3"/>
    </w:p>
    <w:p w:rsidR="00867290" w:rsidRPr="00BB2924" w:rsidRDefault="00867290" w:rsidP="00923616">
      <w:pPr>
        <w:pStyle w:val="HStandard"/>
        <w:rPr>
          <w:highlight w:val="yellow"/>
        </w:rPr>
      </w:pPr>
      <w:bookmarkStart w:id="4" w:name="_Toc358900244"/>
      <w:r>
        <w:rPr>
          <w:b/>
          <w:highlight w:val="yellow"/>
        </w:rPr>
        <w:t>Nacionalne ruralne mreže</w:t>
      </w:r>
      <w:r>
        <w:rPr>
          <w:highlight w:val="yellow"/>
        </w:rPr>
        <w:t xml:space="preserve"> (NRM-ovi), upravljačke skupine i organizacije aktivne u području ruralnog razvoja. NRM-ovi su u politiku ruralnog razvoja EU-a prvi put uvedeni u razdoblju 2007. – 2013. i preneseni su u programsko razdoblje 2014. – 2020.</w:t>
      </w:r>
    </w:p>
    <w:p w:rsidR="00867290" w:rsidRPr="00BB2924" w:rsidRDefault="00867290" w:rsidP="00923616">
      <w:pPr>
        <w:pStyle w:val="HStandard"/>
        <w:rPr>
          <w:highlight w:val="yellow"/>
        </w:rPr>
      </w:pPr>
      <w:r>
        <w:rPr>
          <w:highlight w:val="yellow"/>
        </w:rPr>
        <w:t>NRM-ovi mogu djelovati kao konkretna intervencija unutar jedinstvenog Programa ruralnog razvoja (PRR), financirana iz Tehničke pomoći, ili biti osnovani kao zasebni program s nezavisnim proračunom</w:t>
      </w:r>
      <w:r>
        <w:rPr>
          <w:rStyle w:val="FootnoteReference"/>
          <w:highlight w:val="yellow"/>
        </w:rPr>
        <w:footnoteReference w:id="1"/>
      </w:r>
      <w:r>
        <w:rPr>
          <w:highlight w:val="yellow"/>
        </w:rPr>
        <w:t xml:space="preserve"> (program nacionalnih ruralnih mreža – PNRM)</w:t>
      </w:r>
      <w:r>
        <w:rPr>
          <w:rFonts w:ascii="ZWAdobeF" w:hAnsi="ZWAdobeF"/>
          <w:color w:val="auto"/>
          <w:sz w:val="2"/>
          <w:highlight w:val="yellow"/>
        </w:rPr>
        <w:t>1F</w:t>
      </w:r>
      <w:r>
        <w:rPr>
          <w:rStyle w:val="FootnoteReference"/>
          <w:highlight w:val="yellow"/>
        </w:rPr>
        <w:footnoteReference w:id="2"/>
      </w:r>
      <w:r>
        <w:rPr>
          <w:highlight w:val="yellow"/>
        </w:rPr>
        <w:t xml:space="preserve">. U programskom razdoblju 2014. – 2020. većina NRM-ova osnovana je kao dio PRR-a, s iznimkom Njemačke, Italije i Francuske, koje su odabrale osnovati PNRM-ove. </w:t>
      </w:r>
    </w:p>
    <w:p w:rsidR="00867290" w:rsidRPr="00BB2924" w:rsidRDefault="00867290" w:rsidP="00923616">
      <w:pPr>
        <w:pStyle w:val="HStandard"/>
        <w:rPr>
          <w:highlight w:val="yellow"/>
        </w:rPr>
      </w:pPr>
      <w:r>
        <w:rPr>
          <w:b/>
          <w:highlight w:val="yellow"/>
        </w:rPr>
        <w:t>NRM-ovi podliježu praćenju i evaluaciji,</w:t>
      </w:r>
      <w:r>
        <w:rPr>
          <w:highlight w:val="yellow"/>
        </w:rPr>
        <w:t xml:space="preserve"> slično kao u prethodnom programskom razdoblju. Ostvarenja, rezultate i učinke NRM-ova trebalo bi procijeniti kako bi se poboljšala kvaliteta, djelotvornost i učinkovitost djelovanja NRM-ova</w:t>
      </w:r>
      <w:r>
        <w:rPr>
          <w:rFonts w:ascii="ZWAdobeF" w:hAnsi="ZWAdobeF"/>
          <w:color w:val="auto"/>
          <w:sz w:val="2"/>
          <w:highlight w:val="yellow"/>
        </w:rPr>
        <w:t>2F</w:t>
      </w:r>
      <w:r>
        <w:rPr>
          <w:rStyle w:val="FootnoteReference"/>
          <w:highlight w:val="yellow"/>
        </w:rPr>
        <w:footnoteReference w:id="3"/>
      </w:r>
      <w:r>
        <w:rPr>
          <w:highlight w:val="yellow"/>
        </w:rPr>
        <w:t>. Procjena NRM-ova trebala bi obuhvaćati i učinke NRM-ova na područja ljudskog i društvenog kapitala, npr. šire ruralno umrežavanje i poboljšano upravljanje u ruralnim područjima.</w:t>
      </w:r>
    </w:p>
    <w:p w:rsidR="00867290" w:rsidRPr="00BB2924" w:rsidRDefault="00867290" w:rsidP="00923616">
      <w:pPr>
        <w:pStyle w:val="HStandard"/>
        <w:rPr>
          <w:highlight w:val="yellow"/>
        </w:rPr>
      </w:pPr>
      <w:r>
        <w:rPr>
          <w:b/>
          <w:highlight w:val="yellow"/>
        </w:rPr>
        <w:t>Planom evaluacije PRR-a</w:t>
      </w:r>
      <w:r>
        <w:rPr>
          <w:rFonts w:ascii="ZWAdobeF" w:hAnsi="ZWAdobeF"/>
          <w:color w:val="auto"/>
          <w:sz w:val="2"/>
          <w:highlight w:val="yellow"/>
        </w:rPr>
        <w:t>3F</w:t>
      </w:r>
      <w:r>
        <w:rPr>
          <w:rStyle w:val="FootnoteReference"/>
          <w:highlight w:val="yellow"/>
        </w:rPr>
        <w:footnoteReference w:id="4"/>
      </w:r>
      <w:r>
        <w:rPr>
          <w:highlight w:val="yellow"/>
        </w:rPr>
        <w:t xml:space="preserve">, obveznom sastavnicom razdoblja 2014. – 2020., precizirane su aktivnosti evaluacije planirane za NRM. PNRM-ovi imaju vlastite planove evaluacije. </w:t>
      </w:r>
    </w:p>
    <w:p w:rsidR="00867290" w:rsidRPr="00BB2924" w:rsidRDefault="00867290" w:rsidP="006D3475">
      <w:pPr>
        <w:pStyle w:val="HHeading5"/>
        <w:rPr>
          <w:highlight w:val="yellow"/>
        </w:rPr>
      </w:pPr>
      <w:r>
        <w:rPr>
          <w:highlight w:val="yellow"/>
        </w:rPr>
        <w:t xml:space="preserve">Zašto trebamo smjernice za evaluaciju NRM-ova? </w:t>
      </w:r>
    </w:p>
    <w:p w:rsidR="00867290" w:rsidRPr="00BB2924" w:rsidRDefault="00867290" w:rsidP="00923616">
      <w:pPr>
        <w:pStyle w:val="HStandard"/>
        <w:rPr>
          <w:highlight w:val="yellow"/>
        </w:rPr>
      </w:pPr>
      <w:r>
        <w:rPr>
          <w:b/>
          <w:highlight w:val="yellow"/>
        </w:rPr>
        <w:t>Iskustvo s evaluacijom NRM-ova u zadnjem programskom</w:t>
      </w:r>
      <w:r>
        <w:rPr>
          <w:highlight w:val="yellow"/>
        </w:rPr>
        <w:t xml:space="preserve"> </w:t>
      </w:r>
      <w:r>
        <w:rPr>
          <w:b/>
          <w:highlight w:val="yellow"/>
        </w:rPr>
        <w:t>razdoblju</w:t>
      </w:r>
      <w:r>
        <w:rPr>
          <w:highlight w:val="yellow"/>
        </w:rPr>
        <w:t xml:space="preserve"> pokazalo je da se mnogi srednjoročni evaluatori i dalje usredotočuju na ostvarenja pri procjeni postignuća NRM-ova i tako ostaju na razini nadzora. Nekim naprednim evaluacijama procijenjen je doprinos NRM-ova ciljevima PRR-a (djelotvornosti) i u određenom razmjeru dodanoj vrijednosti aktivnostima NRM-ova. No u tim je iskustvima evaluacije bilo mnogo izazova, prvenstveno zbog ograničenog vodstva i kapaciteta uključenih dionika.</w:t>
      </w:r>
    </w:p>
    <w:p w:rsidR="00867290" w:rsidRPr="00BB2924" w:rsidRDefault="00867290" w:rsidP="00923616">
      <w:pPr>
        <w:pStyle w:val="HStandard"/>
        <w:rPr>
          <w:highlight w:val="yellow"/>
        </w:rPr>
      </w:pPr>
      <w:r>
        <w:rPr>
          <w:b/>
          <w:highlight w:val="yellow"/>
        </w:rPr>
        <w:t>Analiza evaluacija NRM-ova pokazala je da je potrebna potpora,</w:t>
      </w:r>
      <w:r>
        <w:rPr>
          <w:highlight w:val="yellow"/>
        </w:rPr>
        <w:t xml:space="preserve"> osobito u smislu utvrđivanja koherentne intervencijske logike, definicije prikladnih pokazatelja za pojedine programe (osobito na razini rezultata i učinka), konceptualnih pitanja u procjeni rezultata/učinaka ruralne mreže te učinaka na šire umrežavanje i dodanu vrijednost. </w:t>
      </w:r>
    </w:p>
    <w:p w:rsidR="00867290" w:rsidRPr="00BB2924" w:rsidRDefault="00867290" w:rsidP="00923616">
      <w:pPr>
        <w:pStyle w:val="HStandard"/>
        <w:rPr>
          <w:highlight w:val="yellow"/>
        </w:rPr>
      </w:pPr>
      <w:r>
        <w:rPr>
          <w:b/>
          <w:highlight w:val="yellow"/>
        </w:rPr>
        <w:t>Izazovi vezani za evaluaciju NRM-ova</w:t>
      </w:r>
      <w:r>
        <w:rPr>
          <w:highlight w:val="yellow"/>
        </w:rPr>
        <w:t xml:space="preserve"> obuhvaćeni su u smjernicama za </w:t>
      </w:r>
      <w:r w:rsidRPr="00DF00C2">
        <w:rPr>
          <w:i/>
          <w:highlight w:val="yellow"/>
        </w:rPr>
        <w:t>ex post</w:t>
      </w:r>
      <w:r>
        <w:rPr>
          <w:highlight w:val="yellow"/>
        </w:rPr>
        <w:t xml:space="preserve"> evaluaciju PRR-ova 2007. – 2013. Ove smjernice i postojeća iskustva mogu se iskoristiti za </w:t>
      </w:r>
      <w:r w:rsidRPr="00DF00C2">
        <w:rPr>
          <w:i/>
          <w:highlight w:val="yellow"/>
        </w:rPr>
        <w:t>ex post</w:t>
      </w:r>
      <w:r>
        <w:rPr>
          <w:highlight w:val="yellow"/>
        </w:rPr>
        <w:t xml:space="preserve"> evaluaciju NRM-ova koja se očekuje  krajem 2016. (kao dio evaluacije PRR-a ili zasebno). Rezultati naknadne evaluacije NRM-ova mogu poslužiti kao temelj za evaluaciju NRM-ova u 2017.</w:t>
      </w:r>
    </w:p>
    <w:p w:rsidR="00867290" w:rsidRPr="00BB2924" w:rsidRDefault="00867290" w:rsidP="00923616">
      <w:pPr>
        <w:pStyle w:val="HStandard"/>
        <w:rPr>
          <w:highlight w:val="yellow"/>
        </w:rPr>
      </w:pPr>
      <w:r>
        <w:rPr>
          <w:b/>
          <w:highlight w:val="yellow"/>
        </w:rPr>
        <w:t xml:space="preserve">Novi pravni okvir i Zajednički sustav za praćenje i evaluaciju (ZSPE) u razdoblju 2014. – 2020. osigurava više zajedničkih elemenata </w:t>
      </w:r>
      <w:r w:rsidRPr="009A38C0">
        <w:rPr>
          <w:highlight w:val="yellow"/>
        </w:rPr>
        <w:t>za konstrukciju intervencijske logike NRM-a i</w:t>
      </w:r>
      <w:r>
        <w:rPr>
          <w:highlight w:val="yellow"/>
        </w:rPr>
        <w:t xml:space="preserve"> sustava za praćenje i evaluaciju NRM-a. </w:t>
      </w:r>
      <w:r>
        <w:rPr>
          <w:b/>
          <w:highlight w:val="yellow"/>
        </w:rPr>
        <w:t>Ti elementi uključuju zajedničke ciljeve NRM-a, zajedničke skupove aktivnosti, zajedničko evaluacijsko pitanje</w:t>
      </w:r>
      <w:r>
        <w:rPr>
          <w:rFonts w:ascii="ZWAdobeF" w:hAnsi="ZWAdobeF"/>
          <w:b/>
          <w:color w:val="auto"/>
          <w:sz w:val="2"/>
          <w:highlight w:val="yellow"/>
        </w:rPr>
        <w:t>4F</w:t>
      </w:r>
      <w:r>
        <w:rPr>
          <w:rStyle w:val="FootnoteReference"/>
          <w:b/>
          <w:highlight w:val="yellow"/>
        </w:rPr>
        <w:footnoteReference w:id="5"/>
      </w:r>
      <w:r>
        <w:rPr>
          <w:b/>
          <w:highlight w:val="yellow"/>
        </w:rPr>
        <w:t xml:space="preserve"> i tri zajednička pokazatelja ostvarenja</w:t>
      </w:r>
      <w:r>
        <w:rPr>
          <w:rFonts w:ascii="ZWAdobeF" w:hAnsi="ZWAdobeF"/>
          <w:b/>
          <w:color w:val="auto"/>
          <w:sz w:val="2"/>
          <w:highlight w:val="yellow"/>
        </w:rPr>
        <w:t>5F</w:t>
      </w:r>
      <w:r>
        <w:rPr>
          <w:rStyle w:val="FootnoteReference"/>
          <w:highlight w:val="yellow"/>
        </w:rPr>
        <w:footnoteReference w:id="6"/>
      </w:r>
      <w:r>
        <w:rPr>
          <w:highlight w:val="yellow"/>
        </w:rPr>
        <w:t xml:space="preserve">. </w:t>
      </w:r>
    </w:p>
    <w:p w:rsidR="00867290" w:rsidRPr="00BB2924" w:rsidRDefault="00867290" w:rsidP="00923616">
      <w:pPr>
        <w:pStyle w:val="HStandard"/>
        <w:rPr>
          <w:highlight w:val="yellow"/>
        </w:rPr>
      </w:pPr>
      <w:r>
        <w:rPr>
          <w:b/>
          <w:highlight w:val="yellow"/>
        </w:rPr>
        <w:lastRenderedPageBreak/>
        <w:t>Od država članica očekuje se da nastave razvijati zajedničke elemente evaluacije osigurane ZSPE-om kako bi se omogućila ispravna evaluacija njihovih NRM-ova.</w:t>
      </w:r>
      <w:r>
        <w:rPr>
          <w:highlight w:val="yellow"/>
        </w:rPr>
        <w:t xml:space="preserve"> Zajednički su elementi temelj za evaluaciju NRM-a i treba ih nadopuniti ciljevima i skupovima aktivnosti za pojedine programe. Države članice trebaju razviti i pojedine pokazatelje ostvarenja za NRM, sastaviti evaluacijska pitanja za pojedine programe i razviti odgovarajuće pokazatelje rezultata i učinka kako bi se izmjerila ostvarenja NRM-a. Ovaj je pristup još važniji kad Nacionalne jedinice za potporu (NJP) odluče provesti samostalnu evaluaciju NRM-ova.</w:t>
      </w:r>
    </w:p>
    <w:p w:rsidR="00867290" w:rsidRPr="00BB2924" w:rsidRDefault="00867290" w:rsidP="003E7D43">
      <w:pPr>
        <w:pStyle w:val="HHeading5"/>
        <w:rPr>
          <w:highlight w:val="yellow"/>
        </w:rPr>
      </w:pPr>
      <w:r>
        <w:rPr>
          <w:highlight w:val="yellow"/>
        </w:rPr>
        <w:t>Kako je i tko razvio te smjernice?</w:t>
      </w:r>
    </w:p>
    <w:p w:rsidR="00867290" w:rsidRPr="00BB2924" w:rsidRDefault="00867290" w:rsidP="00923616">
      <w:pPr>
        <w:pStyle w:val="HStandard"/>
        <w:rPr>
          <w:highlight w:val="yellow"/>
        </w:rPr>
      </w:pPr>
      <w:r>
        <w:rPr>
          <w:b/>
          <w:highlight w:val="yellow"/>
        </w:rPr>
        <w:t>Europski centar za pomoć pri evaluaciji za ruralni razvoj</w:t>
      </w:r>
      <w:r>
        <w:rPr>
          <w:highlight w:val="yellow"/>
        </w:rPr>
        <w:t xml:space="preserve"> </w:t>
      </w:r>
      <w:r>
        <w:rPr>
          <w:b/>
          <w:highlight w:val="yellow"/>
        </w:rPr>
        <w:t>osnovao je tematsku radnu skupinu</w:t>
      </w:r>
      <w:r>
        <w:rPr>
          <w:highlight w:val="yellow"/>
        </w:rPr>
        <w:t xml:space="preserve"> kako bi dionicima u evaluaciji NRM-ova osigurao konkretnu pomoć u obavljanju potrebnih zadataka za pripremu i izvođenje evaluacije NRM-ova. Rezultat te tematske radne skupine ovdje su predstavljene smjernice. Tim se smjernicama nadopunjavaju postojeće smjernice za evaluaciju</w:t>
      </w:r>
      <w:r>
        <w:rPr>
          <w:rFonts w:ascii="ZWAdobeF" w:hAnsi="ZWAdobeF"/>
          <w:color w:val="auto"/>
          <w:sz w:val="2"/>
          <w:highlight w:val="yellow"/>
        </w:rPr>
        <w:t>6F</w:t>
      </w:r>
      <w:r>
        <w:rPr>
          <w:rStyle w:val="FootnoteReference"/>
          <w:highlight w:val="yellow"/>
        </w:rPr>
        <w:footnoteReference w:id="7"/>
      </w:r>
      <w:r>
        <w:rPr>
          <w:highlight w:val="yellow"/>
        </w:rPr>
        <w:t xml:space="preserve"> za programsko razdoblje 2014. – 2020. i u potpunosti su usklađene s njima. </w:t>
      </w:r>
    </w:p>
    <w:p w:rsidR="00867290" w:rsidRPr="00BB2924" w:rsidRDefault="00867290" w:rsidP="003E7D43">
      <w:pPr>
        <w:pStyle w:val="HStandard"/>
        <w:rPr>
          <w:highlight w:val="yellow"/>
        </w:rPr>
      </w:pPr>
      <w:r>
        <w:rPr>
          <w:b/>
          <w:highlight w:val="yellow"/>
        </w:rPr>
        <w:t>Smjernice za evaluaciju Nacionalnih ruralnih mreža 2014. – 2020.</w:t>
      </w:r>
      <w:r>
        <w:rPr>
          <w:highlight w:val="yellow"/>
        </w:rPr>
        <w:t xml:space="preserve"> </w:t>
      </w:r>
      <w:r>
        <w:rPr>
          <w:b/>
          <w:highlight w:val="yellow"/>
        </w:rPr>
        <w:t>sastavila je ekipa stručnjaka</w:t>
      </w:r>
      <w:r>
        <w:rPr>
          <w:highlight w:val="yellow"/>
        </w:rPr>
        <w:t xml:space="preserve"> za evaluaciju iz Europskog centra za pomoć pri evaluaciji za ruralni razvoj (Sari Rannanpää, Marili Parissaki, Robert Lukesch, Magda Porta, Jela Tvrdonova i Hannes Wimmer). Predstavnici GU-a za poljoprivredu i ruralni razvoj osigurali su koherentnost smjernica unutar okvira politike EU-a. Predstavnici država članica komentirali su strukturu i nacrt smjernica tijekom 7. i 8. sastanka Stručne skupine za praćenje i evaluaciju ZPP-a i tijekom sastanka Odbora za razmatranje</w:t>
      </w:r>
      <w:r>
        <w:rPr>
          <w:rFonts w:ascii="ZWAdobeF" w:hAnsi="ZWAdobeF"/>
          <w:color w:val="auto"/>
          <w:sz w:val="2"/>
          <w:highlight w:val="yellow"/>
        </w:rPr>
        <w:t>7F</w:t>
      </w:r>
      <w:r>
        <w:rPr>
          <w:rStyle w:val="FootnoteReference"/>
          <w:highlight w:val="yellow"/>
        </w:rPr>
        <w:footnoteReference w:id="8"/>
      </w:r>
      <w:r>
        <w:rPr>
          <w:highlight w:val="yellow"/>
        </w:rPr>
        <w:t xml:space="preserve">. Osim toga, primljeni su i uključeni pismeni komentari. Članovi nacionalnih ruralnih mreža te Kontaktna točka EMRR-a upoznati su s glavnim elementima tijekom nekoliko sastanaka s nacionalnim ruralnim mrežama i dali su važne prijedloge za usavršavanje sadržaja. </w:t>
      </w:r>
    </w:p>
    <w:p w:rsidR="00867290" w:rsidRPr="00BB2924" w:rsidRDefault="00867290" w:rsidP="00923616">
      <w:pPr>
        <w:pStyle w:val="HStandard"/>
        <w:rPr>
          <w:highlight w:val="yellow"/>
        </w:rPr>
      </w:pPr>
      <w:r>
        <w:rPr>
          <w:highlight w:val="yellow"/>
        </w:rPr>
        <w:t>Sadašnjim se smjernicama namjerava podržati dionike u državama članicama pri razvijanju intervencijske logike NRM-a te procijeniti djelotvornost i učinkovitost intervencija NRM-a i dodana vrijednost NRM-a u programskom razdoblju.</w:t>
      </w:r>
    </w:p>
    <w:p w:rsidR="00867290" w:rsidRPr="00BB2924" w:rsidRDefault="00867290" w:rsidP="006D3475">
      <w:pPr>
        <w:pStyle w:val="HHeading5"/>
        <w:rPr>
          <w:highlight w:val="yellow"/>
        </w:rPr>
      </w:pPr>
      <w:r>
        <w:rPr>
          <w:highlight w:val="yellow"/>
        </w:rPr>
        <w:t>Tko je ciljna skupina smjernica?</w:t>
      </w:r>
    </w:p>
    <w:p w:rsidR="00867290" w:rsidRPr="00BB2924" w:rsidRDefault="00867290" w:rsidP="00923616">
      <w:pPr>
        <w:pStyle w:val="HStandard"/>
        <w:rPr>
          <w:highlight w:val="yellow"/>
        </w:rPr>
      </w:pPr>
      <w:bookmarkStart w:id="5" w:name="_Toc358900248"/>
      <w:bookmarkEnd w:id="4"/>
      <w:r>
        <w:rPr>
          <w:highlight w:val="yellow"/>
        </w:rPr>
        <w:t>Smjernice za evaluaciju NRM-a sastavljene su za različite skupine dionika u ruralnom razvoju:</w:t>
      </w:r>
    </w:p>
    <w:p w:rsidR="00867290" w:rsidRPr="00BB2924" w:rsidRDefault="00867290" w:rsidP="008A261C">
      <w:pPr>
        <w:pStyle w:val="Hlistbullet"/>
        <w:rPr>
          <w:highlight w:val="yellow"/>
        </w:rPr>
      </w:pPr>
      <w:r>
        <w:rPr>
          <w:b/>
          <w:highlight w:val="yellow"/>
        </w:rPr>
        <w:t>Predstavnici upravljačkih tijela</w:t>
      </w:r>
      <w:r>
        <w:rPr>
          <w:highlight w:val="yellow"/>
        </w:rPr>
        <w:t xml:space="preserve"> naći će informacije o svrsi i opsegu evaluacije NRM-a, uključujući popis pravnih osnova koje države članice/regije moraju ispuniti. Nadalje, naći će usmjerenje i praktične alate koji će im pomoći u procesu upravljanja, koordinacije i usmjeravanja evaluacije NRM-a, kao i širenja rezultata evaluacije.</w:t>
      </w:r>
    </w:p>
    <w:p w:rsidR="00867290" w:rsidRPr="00BB2924" w:rsidRDefault="00867290" w:rsidP="008A261C">
      <w:pPr>
        <w:pStyle w:val="Hlistbullet"/>
        <w:rPr>
          <w:highlight w:val="yellow"/>
        </w:rPr>
      </w:pPr>
      <w:r>
        <w:rPr>
          <w:b/>
          <w:highlight w:val="yellow"/>
        </w:rPr>
        <w:t>Evaluatori</w:t>
      </w:r>
      <w:r>
        <w:rPr>
          <w:highlight w:val="yellow"/>
        </w:rPr>
        <w:t xml:space="preserve"> će naći daljnja objašnjenja pravnih tekstova i razloge zahtjeva u cilju zajedničkog razumijevanja zadatka. Isto tako, smjernicama se pojašnjavaju uloga i razvoj evaluacijskih pitanja i pokazatelja te predlažu pristupi evaluaciji i metode skupljanja dokaza za procjenu učinaka mreža. </w:t>
      </w:r>
    </w:p>
    <w:p w:rsidR="00867290" w:rsidRPr="00BB2924" w:rsidRDefault="00867290" w:rsidP="008A261C">
      <w:pPr>
        <w:pStyle w:val="Hlistbullet"/>
        <w:rPr>
          <w:highlight w:val="yellow"/>
        </w:rPr>
      </w:pPr>
      <w:r>
        <w:rPr>
          <w:b/>
          <w:highlight w:val="yellow"/>
        </w:rPr>
        <w:t>Sudionici uključeni u djelovanje NRM-a</w:t>
      </w:r>
      <w:r>
        <w:rPr>
          <w:highlight w:val="yellow"/>
        </w:rPr>
        <w:t>, kao što su JPM, Agencija za plaćanje, provedbena tijela, Odbor za praćenje, koordinacijska tijela i članovi mreže (LAG-ovi, Regionalna upravljačka tijela u slučaju PNRM-ova i korisnika) mogu se koristiti smjernicama kao izvorom informacija kada doprinose evaluaciji prikupljanjem podataka/informacija.</w:t>
      </w:r>
    </w:p>
    <w:p w:rsidR="00867290" w:rsidRPr="00BB2924" w:rsidRDefault="00867290" w:rsidP="008A261C">
      <w:pPr>
        <w:pStyle w:val="Hlistbullet"/>
        <w:rPr>
          <w:highlight w:val="yellow"/>
        </w:rPr>
      </w:pPr>
      <w:r>
        <w:rPr>
          <w:b/>
          <w:highlight w:val="yellow"/>
        </w:rPr>
        <w:t>Službenici GU-a za poljoprivredu i ruralni razvoj</w:t>
      </w:r>
      <w:r>
        <w:rPr>
          <w:highlight w:val="yellow"/>
        </w:rPr>
        <w:t xml:space="preserve"> koji se bave PRR-ovima i PNRM-ovima, kojima može biti od pomoći referentna točka koja sažima zajedničko razumijevanje svrhe i zadataka evaluacije mreže.</w:t>
      </w:r>
    </w:p>
    <w:p w:rsidR="00867290" w:rsidRPr="00BB2924" w:rsidRDefault="00867290" w:rsidP="008A261C">
      <w:pPr>
        <w:pStyle w:val="Hlistbullet2"/>
        <w:rPr>
          <w:highlight w:val="yellow"/>
        </w:rPr>
      </w:pPr>
      <w:r>
        <w:rPr>
          <w:b/>
          <w:highlight w:val="yellow"/>
        </w:rPr>
        <w:t>Drugi dionici</w:t>
      </w:r>
      <w:r>
        <w:rPr>
          <w:highlight w:val="yellow"/>
        </w:rPr>
        <w:t xml:space="preserve"> koje može zanimati evaluacija ruralnih mreža EU-a. </w:t>
      </w:r>
    </w:p>
    <w:p w:rsidR="00867290" w:rsidRPr="00BB2924" w:rsidRDefault="00867290" w:rsidP="006D3475">
      <w:pPr>
        <w:pStyle w:val="HHeading5"/>
        <w:rPr>
          <w:highlight w:val="yellow"/>
        </w:rPr>
      </w:pPr>
      <w:r>
        <w:rPr>
          <w:highlight w:val="yellow"/>
        </w:rPr>
        <w:lastRenderedPageBreak/>
        <w:t>Kako su strukturirane smjernice za evaluacije NRM-ova?</w:t>
      </w:r>
    </w:p>
    <w:bookmarkEnd w:id="5"/>
    <w:p w:rsidR="00867290" w:rsidRPr="00BB2924" w:rsidRDefault="00867290" w:rsidP="00923616">
      <w:pPr>
        <w:pStyle w:val="HStandard"/>
        <w:rPr>
          <w:highlight w:val="yellow"/>
        </w:rPr>
      </w:pPr>
      <w:r>
        <w:rPr>
          <w:highlight w:val="yellow"/>
        </w:rPr>
        <w:t xml:space="preserve">Smjernice za evaluacije NRM-ova strukturirane su u tri dijela i povezane su poveznicama u tekstu. </w:t>
      </w:r>
    </w:p>
    <w:p w:rsidR="00867290" w:rsidRPr="00BB2924" w:rsidRDefault="00867290" w:rsidP="003722C4">
      <w:pPr>
        <w:pStyle w:val="HStandard"/>
        <w:rPr>
          <w:highlight w:val="yellow"/>
        </w:rPr>
      </w:pPr>
      <w:r>
        <w:rPr>
          <w:b/>
          <w:color w:val="E7E6E6" w:themeColor="background2"/>
          <w:highlight w:val="yellow"/>
        </w:rPr>
        <w:t xml:space="preserve">DIO I. </w:t>
      </w:r>
      <w:r>
        <w:rPr>
          <w:highlight w:val="yellow"/>
        </w:rPr>
        <w:t>bavi se uglavnom upravljačkim tijelima i JPM-om kao naručiteljem evaluacije NRM-a te drugim dionicima zainteresiranima za planiranje i pripremu evaluacije NRM-a. Objašnjava uloge i odgovornosti svih dionika koji su uključeni ili bi mogli biti uključeni u evaluaciju NRM-a. Navodi i ključne korake u evaluaciji NRM-a, kao što su planiranje, priprema i provedba evaluacije NRM-a te širenje, komunikacija i koraci koji proizlaze iz rezultata evaluacije NRM-a.</w:t>
      </w:r>
    </w:p>
    <w:p w:rsidR="00867290" w:rsidRPr="00BB2924" w:rsidRDefault="00867290" w:rsidP="00923616">
      <w:pPr>
        <w:pStyle w:val="HStandard"/>
        <w:rPr>
          <w:highlight w:val="yellow"/>
        </w:rPr>
      </w:pPr>
      <w:r>
        <w:rPr>
          <w:b/>
          <w:color w:val="E7E6E6" w:themeColor="background2"/>
          <w:highlight w:val="yellow"/>
        </w:rPr>
        <w:t xml:space="preserve">DIO II. </w:t>
      </w:r>
      <w:r>
        <w:rPr>
          <w:highlight w:val="yellow"/>
        </w:rPr>
        <w:t xml:space="preserve">daje smjernice za dvije mogućnosti evaluacije NRM-a: 1. ocjenjivanje NRM-a kao dio tehničke pomoći unutar PRR-a; 2. „samostalna” evaluacija, koja uključuje evaluaciju programa NRM-a (PNRM-a) ili samostalna evaluacija NRM-a, čak i ako je to dio PRR-a (kao zasebna tema evaluacije). Sadržava informacije o strukturiranju, promatranju, analiziranju i prosudbi pri evaluaciji NRM-a te osobito korake koji trebali biti obuhvaćeni tijekom postupka evaluacije. </w:t>
      </w:r>
    </w:p>
    <w:p w:rsidR="00867290" w:rsidRPr="00BB2924" w:rsidRDefault="00867290" w:rsidP="00923616">
      <w:pPr>
        <w:pStyle w:val="HStandard"/>
        <w:rPr>
          <w:highlight w:val="yellow"/>
        </w:rPr>
      </w:pPr>
      <w:r>
        <w:rPr>
          <w:b/>
          <w:color w:val="E7E6E6" w:themeColor="background2"/>
          <w:highlight w:val="yellow"/>
        </w:rPr>
        <w:t xml:space="preserve">DIO III. </w:t>
      </w:r>
      <w:r>
        <w:rPr>
          <w:highlight w:val="yellow"/>
        </w:rPr>
        <w:t xml:space="preserve">(Pribor) uključuje indikativni obrazac za opis poslova za evaluaciju NRM-a tijekom programskog razdoblja i primjere lanaca ostvarenje – rezultat – učinak. </w:t>
      </w:r>
    </w:p>
    <w:p w:rsidR="00867290" w:rsidRPr="00BB2924" w:rsidRDefault="00867290" w:rsidP="00CA5E80">
      <w:pPr>
        <w:pStyle w:val="HHeading2"/>
        <w:numPr>
          <w:ilvl w:val="0"/>
          <w:numId w:val="0"/>
        </w:numPr>
        <w:rPr>
          <w:highlight w:val="yellow"/>
        </w:rPr>
      </w:pPr>
      <w:bookmarkStart w:id="6" w:name="_Toc453079747"/>
      <w:bookmarkStart w:id="7" w:name="_Toc461713621"/>
      <w:r>
        <w:rPr>
          <w:highlight w:val="yellow"/>
        </w:rPr>
        <w:t>1.2. Mreže i umrežavanje u politici ruralnog razvoja EU-a</w:t>
      </w:r>
      <w:bookmarkEnd w:id="6"/>
      <w:bookmarkEnd w:id="7"/>
      <w:r>
        <w:rPr>
          <w:highlight w:val="yellow"/>
        </w:rPr>
        <w:t xml:space="preserve"> </w:t>
      </w:r>
    </w:p>
    <w:p w:rsidR="00867290" w:rsidRPr="00BB2924" w:rsidRDefault="00867290" w:rsidP="00923616">
      <w:pPr>
        <w:pStyle w:val="HStandard"/>
        <w:rPr>
          <w:highlight w:val="yellow"/>
        </w:rPr>
      </w:pPr>
      <w:r>
        <w:rPr>
          <w:b/>
          <w:highlight w:val="yellow"/>
        </w:rPr>
        <w:t>Europska unija prepoznala je važnost umrežavanja u ruralnim područjima.</w:t>
      </w:r>
      <w:r>
        <w:rPr>
          <w:highlight w:val="yellow"/>
        </w:rPr>
        <w:t xml:space="preserve"> Mreže i umrežavanje među dionicima ruralnog razvoja uvedeni su 2007. kao instrument potpore provedbi politike ruralnog razvoja EU-a. Pozitivna iskustva s nacionalnim ruralnim mrežama i s Europskom mrežom za ruralni razvoj u programskom razdoblju 2007. – 2013. dovela su do veće potpore umrežavanju u razdoblju 2014. – 2020. uključivanjem više dionika i olakšavanjem više aktivnosti na razini država članica i EU-a. Usto, umrežavanje je postalo temeljni instrument poticanja inovacija u svim politikama EU-a.</w:t>
      </w:r>
    </w:p>
    <w:p w:rsidR="00867290" w:rsidRPr="00BB2924" w:rsidRDefault="00867290" w:rsidP="00923616">
      <w:pPr>
        <w:pStyle w:val="HStandard"/>
        <w:rPr>
          <w:highlight w:val="yellow"/>
        </w:rPr>
      </w:pPr>
      <w:r>
        <w:rPr>
          <w:b/>
          <w:highlight w:val="yellow"/>
        </w:rPr>
        <w:t>Mreže i umrežavanje uvijek su bili moćan alat za učenje i poboljšavanje stanja u ruralnim područjima.</w:t>
      </w:r>
      <w:r>
        <w:rPr>
          <w:highlight w:val="yellow"/>
        </w:rPr>
        <w:t xml:space="preserve"> Mrežama se doprinijelo stvaranju i umnožavanju novog društvenog kapitala kao što je osjećaj dijeljenja, promjena ponašanja, razvijanje zajedničkih kapaciteta, nova znanja i vještine, proizvodnja i razmjena dobara i usluga, poticanje inovacija te jačanje povjerenja među članovima mreže. </w:t>
      </w:r>
    </w:p>
    <w:p w:rsidR="00867290" w:rsidRPr="00BB2924" w:rsidRDefault="00867290" w:rsidP="006D3475">
      <w:pPr>
        <w:pStyle w:val="HHeading5"/>
        <w:rPr>
          <w:highlight w:val="yellow"/>
        </w:rPr>
      </w:pPr>
      <w:r>
        <w:rPr>
          <w:highlight w:val="yellow"/>
        </w:rPr>
        <w:t>Definicija mreža</w:t>
      </w:r>
    </w:p>
    <w:p w:rsidR="00867290" w:rsidRPr="00BB2924" w:rsidRDefault="00867290" w:rsidP="00923616">
      <w:pPr>
        <w:pStyle w:val="HStandard"/>
        <w:rPr>
          <w:highlight w:val="yellow"/>
        </w:rPr>
      </w:pPr>
      <w:r>
        <w:rPr>
          <w:b/>
          <w:highlight w:val="yellow"/>
        </w:rPr>
        <w:t>Iznimno je bitno definirati što je mreža</w:t>
      </w:r>
      <w:r>
        <w:rPr>
          <w:highlight w:val="yellow"/>
        </w:rPr>
        <w:t xml:space="preserve"> kad se mreže upotrebljavaju kao instrument potpore provedbi politike ruralnog razvoja i pri procjeni je li mreža ostvarila svoju svrhu i ciljeve. U znanstvenoj literaturi mreža je definirana kao „mreža interakcija”, sastavljena od niza sudionika kao što su organizacije, skupine ili pojedinci (čvorovi), i odnosa i veza koje postoje među tim sudionicima (poveznicama)</w:t>
      </w:r>
      <w:r>
        <w:rPr>
          <w:rFonts w:ascii="ZWAdobeF" w:hAnsi="ZWAdobeF"/>
          <w:color w:val="auto"/>
          <w:sz w:val="2"/>
          <w:highlight w:val="yellow"/>
        </w:rPr>
        <w:t>8F</w:t>
      </w:r>
      <w:r>
        <w:rPr>
          <w:rStyle w:val="FootnoteReference"/>
          <w:highlight w:val="yellow"/>
        </w:rPr>
        <w:footnoteReference w:id="9"/>
      </w:r>
      <w:r>
        <w:rPr>
          <w:highlight w:val="yellow"/>
        </w:rPr>
        <w:t>.</w:t>
      </w:r>
    </w:p>
    <w:p w:rsidR="00867290" w:rsidRPr="00BB2924" w:rsidRDefault="00867290" w:rsidP="00923616">
      <w:pPr>
        <w:pStyle w:val="HStandard"/>
        <w:rPr>
          <w:highlight w:val="yellow"/>
        </w:rPr>
      </w:pPr>
      <w:r>
        <w:rPr>
          <w:highlight w:val="yellow"/>
        </w:rPr>
        <w:t>Mreža može biti neformalna ili formalna</w:t>
      </w:r>
      <w:r>
        <w:rPr>
          <w:rFonts w:ascii="ZWAdobeF" w:hAnsi="ZWAdobeF"/>
          <w:color w:val="auto"/>
          <w:sz w:val="2"/>
          <w:highlight w:val="yellow"/>
        </w:rPr>
        <w:t>9F</w:t>
      </w:r>
      <w:r>
        <w:rPr>
          <w:rStyle w:val="FootnoteReference"/>
          <w:highlight w:val="yellow"/>
        </w:rPr>
        <w:footnoteReference w:id="10"/>
      </w:r>
      <w:r>
        <w:rPr>
          <w:highlight w:val="yellow"/>
        </w:rPr>
        <w:t xml:space="preserve">: </w:t>
      </w:r>
    </w:p>
    <w:p w:rsidR="00867290" w:rsidRPr="00BB2924" w:rsidRDefault="00867290" w:rsidP="005368DC">
      <w:pPr>
        <w:pStyle w:val="Hlistbullet2"/>
        <w:rPr>
          <w:color w:val="262626"/>
          <w:highlight w:val="yellow"/>
        </w:rPr>
      </w:pPr>
      <w:r>
        <w:rPr>
          <w:b/>
          <w:highlight w:val="yellow"/>
        </w:rPr>
        <w:t>Neformalne mreže</w:t>
      </w:r>
      <w:r>
        <w:rPr>
          <w:highlight w:val="yellow"/>
        </w:rPr>
        <w:t xml:space="preserve"> uglavnom idu odozdo prema gore, stvaraju ih pojedinci i utemeljene su na zajedničkom interesu. Obično rastu prirodno, bez unaprijed definiranih resursa ili operativnih pravila (s iznimkom bilo kojih društvenih normi koje se mogu primjenjivati</w:t>
      </w:r>
      <w:r>
        <w:rPr>
          <w:color w:val="262626"/>
          <w:highlight w:val="yellow"/>
        </w:rPr>
        <w:t xml:space="preserve">), i postoje zbog dodane vrijednosti koju članovi mreže unaprijed očekuju u svojem traženju zajedničkog cilja (npr. skupina poljoprivrednika kojoj je cilj bolji pristup tržištu); </w:t>
      </w:r>
    </w:p>
    <w:p w:rsidR="00867290" w:rsidRPr="00BB2924" w:rsidRDefault="00867290" w:rsidP="00923616">
      <w:pPr>
        <w:pStyle w:val="Hlistbullet2"/>
        <w:rPr>
          <w:highlight w:val="yellow"/>
        </w:rPr>
      </w:pPr>
      <w:r>
        <w:rPr>
          <w:b/>
          <w:highlight w:val="yellow"/>
        </w:rPr>
        <w:t>Formalne mreže</w:t>
      </w:r>
      <w:r>
        <w:rPr>
          <w:highlight w:val="yellow"/>
        </w:rPr>
        <w:t xml:space="preserve"> obično imaju eksplicitno definiranu svrhu, resurse i pravila za djelovanje. Formalne mreže mogu biti strukture odozgo nadolje koje definira i/ili nameće vlast (npr. kao političke mreže</w:t>
      </w:r>
      <w:r>
        <w:rPr>
          <w:rFonts w:ascii="ZWAdobeF" w:hAnsi="ZWAdobeF"/>
          <w:color w:val="auto"/>
          <w:sz w:val="2"/>
          <w:highlight w:val="yellow"/>
        </w:rPr>
        <w:t>F</w:t>
      </w:r>
      <w:r>
        <w:rPr>
          <w:rStyle w:val="FootnoteReference"/>
          <w:highlight w:val="yellow"/>
        </w:rPr>
        <w:footnoteReference w:id="11"/>
      </w:r>
      <w:r>
        <w:rPr>
          <w:highlight w:val="yellow"/>
        </w:rPr>
        <w:t>), ili se mogu razviti odozdo nagore i formalizirati registracijom i službenim priznanjem relevantnog tijela (npr. ministarstva, državne agencije itd.)</w:t>
      </w:r>
    </w:p>
    <w:p w:rsidR="00867290" w:rsidRPr="00BB2924" w:rsidRDefault="00867290" w:rsidP="00624AFC">
      <w:pPr>
        <w:pStyle w:val="HHeading5"/>
        <w:rPr>
          <w:highlight w:val="yellow"/>
        </w:rPr>
      </w:pPr>
      <w:r>
        <w:rPr>
          <w:highlight w:val="yellow"/>
        </w:rPr>
        <w:lastRenderedPageBreak/>
        <w:t>Ruralne mreže u EU-u</w:t>
      </w:r>
    </w:p>
    <w:p w:rsidR="00867290" w:rsidRPr="00BB2924" w:rsidRDefault="00867290" w:rsidP="00923616">
      <w:pPr>
        <w:pStyle w:val="HStandard"/>
        <w:rPr>
          <w:highlight w:val="yellow"/>
        </w:rPr>
      </w:pPr>
      <w:r>
        <w:rPr>
          <w:highlight w:val="yellow"/>
        </w:rPr>
        <w:t>Ruralne mreže u EU-u kombinacija su formalnih i neformalnih mreža. Formalno ih osnivaju vlasti, a djeluju u ruralnom kontekstu. U skladu s ciljevima politike EU-a ruralne mreže doprinose razvoju ruralnih područja.</w:t>
      </w:r>
    </w:p>
    <w:p w:rsidR="00867290" w:rsidRPr="00BB2924" w:rsidRDefault="00867290" w:rsidP="005368DC">
      <w:pPr>
        <w:pStyle w:val="Hlistbullet2"/>
        <w:rPr>
          <w:highlight w:val="yellow"/>
        </w:rPr>
      </w:pPr>
      <w:r>
        <w:rPr>
          <w:b/>
          <w:highlight w:val="yellow"/>
        </w:rPr>
        <w:t>Europska mreža za ruralni razvoj</w:t>
      </w:r>
      <w:r>
        <w:rPr>
          <w:highlight w:val="yellow"/>
        </w:rPr>
        <w:t xml:space="preserve"> (EMRR) osnovana je pravnim okvirom</w:t>
      </w:r>
      <w:r>
        <w:rPr>
          <w:rFonts w:ascii="ZWAdobeF" w:hAnsi="ZWAdobeF"/>
          <w:color w:val="auto"/>
          <w:sz w:val="2"/>
          <w:highlight w:val="yellow"/>
        </w:rPr>
        <w:t>11F</w:t>
      </w:r>
      <w:r>
        <w:rPr>
          <w:rStyle w:val="FootnoteReference"/>
          <w:highlight w:val="yellow"/>
        </w:rPr>
        <w:footnoteReference w:id="12"/>
      </w:r>
      <w:r>
        <w:rPr>
          <w:highlight w:val="yellow"/>
        </w:rPr>
        <w:t xml:space="preserve"> čiji je cilj „umrežavanje nacionalnih mreža, organizacija i uprava aktivnih u području ruralnog razvoja na razini Unije”.</w:t>
      </w:r>
    </w:p>
    <w:p w:rsidR="00867290" w:rsidRPr="00BB2924" w:rsidRDefault="00867290" w:rsidP="005368DC">
      <w:pPr>
        <w:pStyle w:val="Hlistbullet2"/>
        <w:rPr>
          <w:highlight w:val="yellow"/>
        </w:rPr>
      </w:pPr>
      <w:r>
        <w:rPr>
          <w:b/>
          <w:highlight w:val="yellow"/>
        </w:rPr>
        <w:t>Nacionalne ruralne mreže</w:t>
      </w:r>
      <w:r>
        <w:rPr>
          <w:highlight w:val="yellow"/>
        </w:rPr>
        <w:t xml:space="preserve"> nadalje su definirane kao mreže koje „okupljaju organizacije i uprave uključene u ruralni razvoj”</w:t>
      </w:r>
      <w:r>
        <w:rPr>
          <w:rFonts w:ascii="ZWAdobeF" w:hAnsi="ZWAdobeF"/>
          <w:color w:val="auto"/>
          <w:sz w:val="2"/>
          <w:highlight w:val="yellow"/>
        </w:rPr>
        <w:t>12F</w:t>
      </w:r>
      <w:r>
        <w:rPr>
          <w:rStyle w:val="FootnoteReference"/>
          <w:highlight w:val="yellow"/>
        </w:rPr>
        <w:footnoteReference w:id="13"/>
      </w:r>
      <w:r>
        <w:rPr>
          <w:highlight w:val="yellow"/>
        </w:rPr>
        <w:t xml:space="preserve"> u državama članicama. </w:t>
      </w:r>
    </w:p>
    <w:p w:rsidR="00867290" w:rsidRPr="00BB2924" w:rsidRDefault="00867290" w:rsidP="005368DC">
      <w:pPr>
        <w:pStyle w:val="Hlistbullet2"/>
        <w:rPr>
          <w:highlight w:val="yellow"/>
        </w:rPr>
      </w:pPr>
      <w:r>
        <w:rPr>
          <w:b/>
          <w:highlight w:val="yellow"/>
        </w:rPr>
        <w:t>Europsko partnerstvo za inovacije (EPI) za poljoprivrednu produktivnost i održivost</w:t>
      </w:r>
      <w:r>
        <w:rPr>
          <w:highlight w:val="yellow"/>
        </w:rPr>
        <w:t xml:space="preserve"> ili „mreža EPI-AGRI” nova je mreža</w:t>
      </w:r>
      <w:r>
        <w:rPr>
          <w:rFonts w:ascii="ZWAdobeF" w:hAnsi="ZWAdobeF"/>
          <w:color w:val="auto"/>
          <w:sz w:val="2"/>
          <w:highlight w:val="yellow"/>
        </w:rPr>
        <w:t>13F</w:t>
      </w:r>
      <w:r>
        <w:rPr>
          <w:rStyle w:val="FootnoteReference"/>
          <w:highlight w:val="yellow"/>
        </w:rPr>
        <w:footnoteReference w:id="14"/>
      </w:r>
      <w:r>
        <w:rPr>
          <w:highlight w:val="yellow"/>
        </w:rPr>
        <w:t xml:space="preserve"> uvedena u programskom razdoblju 2014. – 2020. kako bi se podržalo umrežavanje „operativnih skupina, savjetničkih službi i istraživača” za poticaj inovacijama u praktičnoj provedbi politike ruralnog razvoja. </w:t>
      </w:r>
    </w:p>
    <w:p w:rsidR="00867290" w:rsidRPr="00BB2924" w:rsidRDefault="00867290" w:rsidP="00923616">
      <w:pPr>
        <w:pStyle w:val="HStandard"/>
        <w:rPr>
          <w:highlight w:val="yellow"/>
        </w:rPr>
      </w:pPr>
      <w:r>
        <w:rPr>
          <w:highlight w:val="yellow"/>
        </w:rPr>
        <w:t xml:space="preserve">Ruralne mreže u EU-u povezuju i mnoge razne neformalne mreže kao što su dobrovoljne organizacije poljoprivrednika, LAG-ovi i odgovarajuće udruge, ruralni NVO-i, obrazovne i istraživačke institucije, poslovni klasteri itd. Te neformalne mreže povezuju korisnike s praktičnom primjenom politike ruralnog razvoja i osiguravaju mogućnost razmjene informacija između EU-a, PRR-a i lokalne razine. Neformalne mreže olakšavaju razvoj postojećih potencijala za postizanje ciljeva nacionalnih ruralnih mreža i ruralnog razvoja. </w:t>
      </w:r>
    </w:p>
    <w:p w:rsidR="00867290" w:rsidRPr="00BB2924" w:rsidRDefault="00867290" w:rsidP="00923616">
      <w:pPr>
        <w:pStyle w:val="HStandard"/>
        <w:rPr>
          <w:highlight w:val="yellow"/>
        </w:rPr>
      </w:pPr>
      <w:r>
        <w:rPr>
          <w:highlight w:val="yellow"/>
        </w:rPr>
        <w:t>Formalne ruralne mreže mogu imati neke neformalne osobine, npr. u pogledu upravljanja ili interakcije među dionicima.</w:t>
      </w:r>
    </w:p>
    <w:p w:rsidR="00867290" w:rsidRPr="00BB2924" w:rsidRDefault="00867290" w:rsidP="006D3475">
      <w:pPr>
        <w:pStyle w:val="HHeading5"/>
        <w:rPr>
          <w:highlight w:val="yellow"/>
        </w:rPr>
      </w:pPr>
      <w:r>
        <w:rPr>
          <w:highlight w:val="yellow"/>
        </w:rPr>
        <w:t>Struktura mreža</w:t>
      </w:r>
    </w:p>
    <w:p w:rsidR="00867290" w:rsidRPr="00BB2924" w:rsidRDefault="00867290" w:rsidP="00923616">
      <w:pPr>
        <w:pStyle w:val="HStandard"/>
        <w:rPr>
          <w:highlight w:val="yellow"/>
        </w:rPr>
      </w:pPr>
      <w:r>
        <w:rPr>
          <w:b/>
          <w:highlight w:val="yellow"/>
        </w:rPr>
        <w:t>Struktura mreže snažno utječe na prirodu umrežavanja među svojim članovima.</w:t>
      </w:r>
      <w:r>
        <w:rPr>
          <w:highlight w:val="yellow"/>
        </w:rPr>
        <w:t xml:space="preserve"> Može biti centralizirana ili decentralizirana</w:t>
      </w:r>
      <w:r>
        <w:rPr>
          <w:rFonts w:ascii="ZWAdobeF" w:hAnsi="ZWAdobeF"/>
          <w:color w:val="auto"/>
          <w:sz w:val="2"/>
          <w:highlight w:val="yellow"/>
        </w:rPr>
        <w:t>14F</w:t>
      </w:r>
      <w:r>
        <w:rPr>
          <w:rStyle w:val="FootnoteReference"/>
          <w:highlight w:val="yellow"/>
        </w:rPr>
        <w:footnoteReference w:id="15"/>
      </w:r>
      <w:r>
        <w:rPr>
          <w:highlight w:val="yellow"/>
        </w:rPr>
        <w:t xml:space="preserve">. Centralizirane mreže imaju središnji čvor, koji sa svojim članovima komunicira odvojeno. Decentralizirane mreže obilježavaju višestruke veze među članovima. </w:t>
      </w:r>
    </w:p>
    <w:p w:rsidR="00867290" w:rsidRPr="00BB2924" w:rsidRDefault="00867290" w:rsidP="00923616">
      <w:pPr>
        <w:pStyle w:val="HStandard"/>
        <w:rPr>
          <w:highlight w:val="yellow"/>
        </w:rPr>
      </w:pPr>
      <w:r>
        <w:rPr>
          <w:highlight w:val="yellow"/>
        </w:rPr>
        <w:t xml:space="preserve">Ruralne mreže u EU-u obično imaju centraliziranu strukturu jer su izgrađene oko JPM-ova koji služe kao središnji čvorovi, s kojima ugovore sklapa naručitelj, u ovom slučaju GU AGRI. Bez obzira na to trebale bi poticati decentraliziraniju komunikaciju među svojim članovima, kao i izvan njih, dolazeći do drugih skupina dionika. </w:t>
      </w:r>
    </w:p>
    <w:p w:rsidR="00867290" w:rsidRPr="00BB2924" w:rsidRDefault="00867290" w:rsidP="00923616">
      <w:pPr>
        <w:pStyle w:val="HStandard"/>
        <w:rPr>
          <w:highlight w:val="yellow"/>
        </w:rPr>
      </w:pPr>
      <w:r>
        <w:rPr>
          <w:b/>
          <w:highlight w:val="yellow"/>
        </w:rPr>
        <w:t>Struktura EMRR-a</w:t>
      </w:r>
      <w:r>
        <w:rPr>
          <w:highlight w:val="yellow"/>
        </w:rPr>
        <w:t xml:space="preserve"> ima dvije jedinice podrške s različitim funkcijama: </w:t>
      </w:r>
    </w:p>
    <w:p w:rsidR="00867290" w:rsidRPr="00BB2924" w:rsidRDefault="00867290" w:rsidP="005368DC">
      <w:pPr>
        <w:pStyle w:val="Hlistbullet2"/>
        <w:rPr>
          <w:highlight w:val="yellow"/>
        </w:rPr>
      </w:pPr>
      <w:r>
        <w:rPr>
          <w:b/>
          <w:highlight w:val="yellow"/>
        </w:rPr>
        <w:t>Kontaktna točka EMRR-a</w:t>
      </w:r>
      <w:r>
        <w:rPr>
          <w:highlight w:val="yellow"/>
        </w:rPr>
        <w:t xml:space="preserve"> podupire GU AGRI u vođenju EMRR-a i osigurava žarišnu točku za aktivnosti EMRR-a. Podupire umrežavanje i suradnju među dionicima ruralnog razvoja na razini EU-a i nacionalnoj razini te osigurava komunikaciju s njima i među njima, a na nacionalnoj razini poduzima tematsku analizu i organizira razne događaje umrežavanja. </w:t>
      </w:r>
    </w:p>
    <w:p w:rsidR="00867290" w:rsidRPr="00BB2924" w:rsidRDefault="00867290" w:rsidP="006D3475">
      <w:pPr>
        <w:pStyle w:val="Hlistbullet2"/>
        <w:rPr>
          <w:highlight w:val="yellow"/>
        </w:rPr>
      </w:pPr>
      <w:r>
        <w:rPr>
          <w:b/>
          <w:highlight w:val="yellow"/>
        </w:rPr>
        <w:t>Centar EMRR-a za pomoć u evaluaciji</w:t>
      </w:r>
      <w:r>
        <w:rPr>
          <w:highlight w:val="yellow"/>
        </w:rPr>
        <w:t xml:space="preserve"> odgovoran je za potporu GU-u AGRI, državama članicama i dionicima u evaluaciji pri postizanju ciljeva zajedničkog sustava praćenja i evaluacije za ruralni razvoj.</w:t>
      </w:r>
    </w:p>
    <w:p w:rsidR="00867290" w:rsidRPr="00BB2924" w:rsidRDefault="00867290" w:rsidP="00923616">
      <w:pPr>
        <w:pStyle w:val="HStandard"/>
        <w:rPr>
          <w:highlight w:val="yellow"/>
        </w:rPr>
      </w:pPr>
      <w:r>
        <w:rPr>
          <w:b/>
          <w:highlight w:val="yellow"/>
        </w:rPr>
        <w:t>Struktura Mreže EPI-AGRI</w:t>
      </w:r>
      <w:r>
        <w:rPr>
          <w:highlight w:val="yellow"/>
        </w:rPr>
        <w:t xml:space="preserve"> ima jednu jedinicu potpore – </w:t>
      </w:r>
      <w:r>
        <w:rPr>
          <w:b/>
          <w:highlight w:val="yellow"/>
        </w:rPr>
        <w:t>uslužnu točku</w:t>
      </w:r>
      <w:r w:rsidRPr="00563D21">
        <w:rPr>
          <w:b/>
          <w:highlight w:val="yellow"/>
        </w:rPr>
        <w:t xml:space="preserve"> </w:t>
      </w:r>
      <w:r>
        <w:rPr>
          <w:b/>
          <w:highlight w:val="yellow"/>
        </w:rPr>
        <w:t>EPI-AGRI.</w:t>
      </w:r>
      <w:r>
        <w:rPr>
          <w:highlight w:val="yellow"/>
        </w:rPr>
        <w:t xml:space="preserve"> Djeluje kao posrednik unutar mreže, jačajući komunikaciju i suradnju među svima koji su zainteresirani za inovacije u poljoprivredi: poljoprivrednicima, istraživačima, savjetnicima, poduzećima, ekološkim udrugama, skupinama za zaštitu potrošača i drugim NVO-ima.</w:t>
      </w:r>
    </w:p>
    <w:p w:rsidR="00867290" w:rsidRPr="00074461" w:rsidRDefault="00867290" w:rsidP="00074461">
      <w:pPr>
        <w:pStyle w:val="HHeadingfigures"/>
        <w:numPr>
          <w:ilvl w:val="0"/>
          <w:numId w:val="0"/>
        </w:numPr>
        <w:rPr>
          <w:highlight w:val="yellow"/>
        </w:rPr>
      </w:pPr>
      <w:bookmarkStart w:id="8" w:name="_Toc445465116"/>
      <w:bookmarkStart w:id="9" w:name="_Toc451781920"/>
      <w:bookmarkStart w:id="10" w:name="_Toc461713647"/>
      <w:r>
        <w:rPr>
          <w:highlight w:val="yellow"/>
        </w:rPr>
        <w:lastRenderedPageBreak/>
        <w:t xml:space="preserve">Slika 1. </w:t>
      </w:r>
      <w:r w:rsidRPr="00074461">
        <w:rPr>
          <w:highlight w:val="yellow"/>
        </w:rPr>
        <w:t>Upravljačka struktura ruralnih mreža EU-a</w:t>
      </w:r>
      <w:bookmarkEnd w:id="8"/>
      <w:bookmarkEnd w:id="9"/>
      <w:bookmarkEnd w:id="10"/>
    </w:p>
    <w:p w:rsidR="00867290" w:rsidRPr="00BB2924" w:rsidRDefault="00867290" w:rsidP="00CB52DC">
      <w:pPr>
        <w:jc w:val="center"/>
        <w:rPr>
          <w:highlight w:val="yellow"/>
        </w:rPr>
      </w:pPr>
      <w:r w:rsidRPr="004E2A09">
        <w:rPr>
          <w:noProof/>
          <w:lang w:eastAsia="en-GB"/>
        </w:rPr>
        <w:drawing>
          <wp:inline distT="0" distB="0" distL="0" distR="0" wp14:anchorId="20E4028D" wp14:editId="6642AB05">
            <wp:extent cx="4682532" cy="333375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6300" cy="3336432"/>
                    </a:xfrm>
                    <a:prstGeom prst="rect">
                      <a:avLst/>
                    </a:prstGeom>
                    <a:noFill/>
                    <a:ln>
                      <a:noFill/>
                    </a:ln>
                  </pic:spPr>
                </pic:pic>
              </a:graphicData>
            </a:graphic>
          </wp:inline>
        </w:drawing>
      </w:r>
    </w:p>
    <w:p w:rsidR="00867290" w:rsidRPr="00BB2924" w:rsidRDefault="00867290" w:rsidP="00CB52DC">
      <w:pPr>
        <w:pStyle w:val="HSource"/>
        <w:rPr>
          <w:highlight w:val="yellow"/>
        </w:rPr>
      </w:pPr>
      <w:r>
        <w:rPr>
          <w:highlight w:val="yellow"/>
        </w:rPr>
        <w:t>Izvor: Europski centar za pomoć pri evaluaciji za ruralni razvoj, 2016.</w:t>
      </w:r>
    </w:p>
    <w:p w:rsidR="00867290" w:rsidRPr="00BB2924" w:rsidRDefault="00867290" w:rsidP="00315513">
      <w:pPr>
        <w:pStyle w:val="HHeading5"/>
        <w:rPr>
          <w:highlight w:val="yellow"/>
        </w:rPr>
      </w:pPr>
      <w:r>
        <w:rPr>
          <w:highlight w:val="yellow"/>
        </w:rPr>
        <w:t>Kako su oblikovani NRM-ovi?</w:t>
      </w:r>
    </w:p>
    <w:p w:rsidR="00867290" w:rsidRPr="00BB2924" w:rsidRDefault="00867290" w:rsidP="00315513">
      <w:pPr>
        <w:pStyle w:val="HStandard"/>
        <w:jc w:val="left"/>
        <w:rPr>
          <w:highlight w:val="yellow"/>
        </w:rPr>
      </w:pPr>
      <w:r>
        <w:rPr>
          <w:highlight w:val="yellow"/>
        </w:rPr>
        <w:t>NRM-ovi se sastoje od triju glavnih konstitutivnih podsustava:</w:t>
      </w:r>
    </w:p>
    <w:p w:rsidR="00867290" w:rsidRPr="00BB2924" w:rsidRDefault="00867290"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Naručitelj</w:t>
      </w:r>
      <w:r>
        <w:rPr>
          <w:rFonts w:ascii="Arial" w:hAnsi="Arial"/>
          <w:sz w:val="20"/>
          <w:highlight w:val="yellow"/>
        </w:rPr>
        <w:t xml:space="preserve"> je dionik koji utvrđuje i podupire NRM. Naručuje JPM (interno, delegiranjem ili ugovaranjem) kako bi izgradio i podupro mrežu. Naručitelj može biti jedna </w:t>
      </w:r>
      <w:r>
        <w:rPr>
          <w:rFonts w:ascii="Arial" w:hAnsi="Arial"/>
          <w:b/>
          <w:sz w:val="20"/>
          <w:highlight w:val="yellow"/>
        </w:rPr>
        <w:t>organizacija</w:t>
      </w:r>
      <w:r>
        <w:rPr>
          <w:rFonts w:ascii="Arial" w:hAnsi="Arial"/>
          <w:sz w:val="20"/>
          <w:highlight w:val="yellow"/>
        </w:rPr>
        <w:t xml:space="preserve"> (najčešće </w:t>
      </w:r>
      <w:r>
        <w:rPr>
          <w:rFonts w:ascii="Arial" w:hAnsi="Arial"/>
          <w:b/>
          <w:sz w:val="20"/>
          <w:highlight w:val="yellow"/>
        </w:rPr>
        <w:t>upravljačko tijelo</w:t>
      </w:r>
      <w:r>
        <w:rPr>
          <w:rFonts w:ascii="Arial" w:hAnsi="Arial"/>
          <w:sz w:val="20"/>
          <w:highlight w:val="yellow"/>
        </w:rPr>
        <w:t xml:space="preserve">) ili </w:t>
      </w:r>
      <w:r>
        <w:rPr>
          <w:rFonts w:ascii="Arial" w:hAnsi="Arial"/>
          <w:b/>
          <w:sz w:val="20"/>
          <w:highlight w:val="yellow"/>
        </w:rPr>
        <w:t>kooperativni sustav</w:t>
      </w:r>
      <w:r>
        <w:rPr>
          <w:rFonts w:ascii="Arial" w:hAnsi="Arial"/>
          <w:sz w:val="20"/>
          <w:highlight w:val="yellow"/>
        </w:rPr>
        <w:t xml:space="preserve"> koji uključuje nekoliko institucija (vladinih institucija ili institucija civilnog društva).</w:t>
      </w:r>
    </w:p>
    <w:p w:rsidR="00867290" w:rsidRPr="00BB2924" w:rsidRDefault="00867290" w:rsidP="00892664">
      <w:pPr>
        <w:pStyle w:val="ListParagraph"/>
        <w:numPr>
          <w:ilvl w:val="1"/>
          <w:numId w:val="13"/>
        </w:numPr>
        <w:spacing w:after="200" w:line="276" w:lineRule="auto"/>
        <w:jc w:val="both"/>
        <w:rPr>
          <w:rFonts w:ascii="Arial" w:hAnsi="Arial" w:cs="Arial"/>
          <w:sz w:val="20"/>
          <w:szCs w:val="20"/>
          <w:highlight w:val="yellow"/>
        </w:rPr>
      </w:pPr>
      <w:r>
        <w:rPr>
          <w:rFonts w:ascii="Arial" w:hAnsi="Arial"/>
          <w:b/>
          <w:sz w:val="20"/>
          <w:highlight w:val="yellow"/>
        </w:rPr>
        <w:t>Jedinica za potporu mreže (JPM)</w:t>
      </w:r>
      <w:r>
        <w:rPr>
          <w:rFonts w:ascii="Arial" w:hAnsi="Arial"/>
          <w:sz w:val="20"/>
          <w:highlight w:val="yellow"/>
        </w:rPr>
        <w:t xml:space="preserve">, bez obzira na to je li dio UT-a ili je eksterno ugovorena, </w:t>
      </w:r>
      <w:r>
        <w:rPr>
          <w:rFonts w:ascii="Arial" w:hAnsi="Arial"/>
          <w:b/>
          <w:sz w:val="20"/>
          <w:highlight w:val="yellow"/>
        </w:rPr>
        <w:t>organizacija je</w:t>
      </w:r>
      <w:r>
        <w:rPr>
          <w:rFonts w:ascii="Arial" w:hAnsi="Arial"/>
          <w:sz w:val="20"/>
          <w:highlight w:val="yellow"/>
        </w:rPr>
        <w:t xml:space="preserve"> čiji je zadatak izgradnja i potpora NRM-u. Obično je središnji čvor u NRM-u. JPM komunicira s članovima mreže, olakšava tematsku i analitičku razmjenu i dijeli relevantne informacije. JPM isto tako priprema i vodi obuku za LAG-ove, podupire projekte suradnje, potiče umrežavanje među savjetnicima i službama za podršku inovacija, omogućava dijeljenje i širenje rezultata praćenja i evaluacije PRR-a te sudjeluje u aktivnostima EMRR-a ili im doprinosi</w:t>
      </w:r>
      <w:r>
        <w:rPr>
          <w:rFonts w:ascii="ZWAdobeF" w:hAnsi="ZWAdobeF"/>
          <w:sz w:val="2"/>
          <w:highlight w:val="yellow"/>
        </w:rPr>
        <w:t>15F</w:t>
      </w:r>
      <w:r>
        <w:rPr>
          <w:rStyle w:val="FootnoteReference"/>
          <w:highlight w:val="yellow"/>
        </w:rPr>
        <w:footnoteReference w:id="16"/>
      </w:r>
      <w:r>
        <w:rPr>
          <w:rFonts w:ascii="Arial" w:hAnsi="Arial"/>
          <w:sz w:val="20"/>
          <w:highlight w:val="yellow"/>
        </w:rPr>
        <w:t xml:space="preserve">. </w:t>
      </w:r>
    </w:p>
    <w:p w:rsidR="00867290" w:rsidRPr="00241094" w:rsidRDefault="00867290" w:rsidP="00892664">
      <w:pPr>
        <w:pStyle w:val="ListParagraph"/>
        <w:numPr>
          <w:ilvl w:val="1"/>
          <w:numId w:val="13"/>
        </w:numPr>
        <w:spacing w:after="200" w:line="276" w:lineRule="auto"/>
        <w:jc w:val="both"/>
        <w:rPr>
          <w:rFonts w:ascii="Arial" w:hAnsi="Arial" w:cs="Arial"/>
          <w:sz w:val="20"/>
          <w:szCs w:val="20"/>
          <w:highlight w:val="yellow"/>
        </w:rPr>
      </w:pPr>
      <w:r w:rsidRPr="00241094">
        <w:rPr>
          <w:rFonts w:ascii="Arial" w:hAnsi="Arial" w:cs="Arial"/>
          <w:b/>
          <w:sz w:val="20"/>
          <w:szCs w:val="20"/>
          <w:highlight w:val="yellow"/>
        </w:rPr>
        <w:t>NRM</w:t>
      </w:r>
      <w:r w:rsidRPr="00241094">
        <w:rPr>
          <w:rFonts w:ascii="Arial" w:hAnsi="Arial" w:cs="Arial"/>
          <w:sz w:val="20"/>
          <w:szCs w:val="20"/>
          <w:highlight w:val="yellow"/>
        </w:rPr>
        <w:t xml:space="preserve"> je </w:t>
      </w:r>
      <w:r w:rsidRPr="00241094">
        <w:rPr>
          <w:rFonts w:ascii="Arial" w:hAnsi="Arial" w:cs="Arial"/>
          <w:b/>
          <w:sz w:val="20"/>
          <w:szCs w:val="20"/>
          <w:highlight w:val="yellow"/>
        </w:rPr>
        <w:t>mreža</w:t>
      </w:r>
      <w:r w:rsidRPr="00241094">
        <w:rPr>
          <w:rFonts w:ascii="Arial" w:hAnsi="Arial" w:cs="Arial"/>
          <w:sz w:val="20"/>
          <w:szCs w:val="20"/>
          <w:highlight w:val="yellow"/>
        </w:rPr>
        <w:t xml:space="preserve"> čije su granice po definiciji mutne, sastavljena od svih sudionika uključenih u aktivnosti NRM-a, bilo izravno ili barem potencijalno uključenih kao doprinositelji ili korisnici, ili oboje. U načelu NRM uključuje i sudionike pod točkama a. i b.</w:t>
      </w:r>
    </w:p>
    <w:p w:rsidR="00867290" w:rsidRPr="00BB2924" w:rsidRDefault="00867290" w:rsidP="00315513">
      <w:pPr>
        <w:pStyle w:val="HStandard"/>
        <w:jc w:val="left"/>
        <w:rPr>
          <w:highlight w:val="yellow"/>
        </w:rPr>
      </w:pPr>
      <w:r>
        <w:rPr>
          <w:highlight w:val="yellow"/>
        </w:rPr>
        <w:t>Sljedeći dijagram prikazuje primjer tipične arhitekture NRM-a:</w:t>
      </w:r>
    </w:p>
    <w:p w:rsidR="00867290" w:rsidRPr="00BB2924" w:rsidRDefault="00867290" w:rsidP="00074461">
      <w:pPr>
        <w:pStyle w:val="HHeadingfigures"/>
        <w:numPr>
          <w:ilvl w:val="0"/>
          <w:numId w:val="0"/>
        </w:numPr>
        <w:rPr>
          <w:highlight w:val="yellow"/>
        </w:rPr>
      </w:pPr>
      <w:bookmarkStart w:id="11" w:name="_Toc445465117"/>
      <w:bookmarkStart w:id="12" w:name="_Toc451781921"/>
      <w:bookmarkStart w:id="13" w:name="_Toc461713648"/>
      <w:r>
        <w:rPr>
          <w:highlight w:val="yellow"/>
        </w:rPr>
        <w:t>Slika 2. Arhitektura NRM-a</w:t>
      </w:r>
      <w:bookmarkEnd w:id="11"/>
      <w:bookmarkEnd w:id="12"/>
      <w:bookmarkEnd w:id="13"/>
    </w:p>
    <w:p w:rsidR="00867290" w:rsidRPr="00BB2924" w:rsidRDefault="00867290" w:rsidP="008A261C">
      <w:pPr>
        <w:jc w:val="center"/>
        <w:rPr>
          <w:highlight w:val="yellow"/>
        </w:rPr>
      </w:pPr>
      <w:r>
        <w:rPr>
          <w:noProof/>
          <w:highlight w:val="yellow"/>
          <w:lang w:eastAsia="en-GB"/>
        </w:rPr>
        <w:lastRenderedPageBreak/>
        <w:drawing>
          <wp:inline distT="0" distB="0" distL="0" distR="0" wp14:anchorId="7B28A91E" wp14:editId="61ECDB1C">
            <wp:extent cx="3998544" cy="2971668"/>
            <wp:effectExtent l="0" t="0" r="254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07695" cy="2978469"/>
                    </a:xfrm>
                    <a:prstGeom prst="rect">
                      <a:avLst/>
                    </a:prstGeom>
                    <a:noFill/>
                  </pic:spPr>
                </pic:pic>
              </a:graphicData>
            </a:graphic>
          </wp:inline>
        </w:drawing>
      </w:r>
    </w:p>
    <w:p w:rsidR="00867290" w:rsidRPr="00BB2924" w:rsidRDefault="00867290" w:rsidP="00315513">
      <w:pPr>
        <w:pStyle w:val="HSource"/>
        <w:rPr>
          <w:rFonts w:cs="Arial"/>
          <w:highlight w:val="yellow"/>
        </w:rPr>
      </w:pPr>
      <w:r>
        <w:rPr>
          <w:highlight w:val="yellow"/>
        </w:rPr>
        <w:t>Izvor: Europski centar za pomoć pri evaluaciji za ruralni razvoj, 2016.</w:t>
      </w:r>
    </w:p>
    <w:p w:rsidR="00867290" w:rsidRPr="00BB2924" w:rsidRDefault="00867290" w:rsidP="00315513">
      <w:pPr>
        <w:pStyle w:val="HStandard"/>
        <w:rPr>
          <w:highlight w:val="yellow"/>
        </w:rPr>
      </w:pPr>
      <w:r>
        <w:rPr>
          <w:highlight w:val="yellow"/>
        </w:rPr>
        <w:t xml:space="preserve">Sudionici u </w:t>
      </w:r>
      <w:r>
        <w:rPr>
          <w:b/>
          <w:highlight w:val="yellow"/>
        </w:rPr>
        <w:t>središnjem polju</w:t>
      </w:r>
      <w:r>
        <w:rPr>
          <w:highlight w:val="yellow"/>
        </w:rPr>
        <w:t xml:space="preserve"> redovito međusobno surađuju. Može ih se smatrati kooperativnim sustavom. Naručitelj (UT) označen je velikim zelenim pravokutnicima. Mali zeleni pravokutnici predstavljaju druge institucije s posebnim odgovornostima u vezi s nadzorom JPM-a. JPM (b) označen je narančastim krugom; u našem slučaju pretpostavljamo da je vođenje JPM-a povjereno vanjskom konzorciju. Partneri konzorcija označeni su narančastim kvadratima s debelim narančastim obrisima. Drugi ključni sudionici (narančasti rombovi s crvenim obrubom) uključeni su u središte (npr. u odbor za praćenje ili kao redoviti pružatelji znanja). U skladu s pravnim okvirom partnerstvo se sastoji</w:t>
      </w:r>
      <w:r>
        <w:rPr>
          <w:rFonts w:ascii="ZWAdobeF" w:hAnsi="ZWAdobeF"/>
          <w:color w:val="auto"/>
          <w:sz w:val="2"/>
          <w:highlight w:val="yellow"/>
        </w:rPr>
        <w:t>16F</w:t>
      </w:r>
      <w:r>
        <w:rPr>
          <w:rStyle w:val="FootnoteReference"/>
          <w:highlight w:val="yellow"/>
        </w:rPr>
        <w:footnoteReference w:id="17"/>
      </w:r>
      <w:r>
        <w:rPr>
          <w:highlight w:val="yellow"/>
        </w:rPr>
        <w:t xml:space="preserve"> od „nadležnih javnih tijela”, „gospodarskih i socijalnih partnera” i „tijela koja predstavljaju civilno društvo”, koji se nalaze u središnjem polju.</w:t>
      </w:r>
      <w:r>
        <w:rPr>
          <w:rFonts w:ascii="ZWAdobeF" w:hAnsi="ZWAdobeF"/>
          <w:color w:val="auto"/>
          <w:sz w:val="2"/>
          <w:highlight w:val="yellow"/>
        </w:rPr>
        <w:t>17F</w:t>
      </w:r>
      <w:r>
        <w:rPr>
          <w:rStyle w:val="FootnoteReference"/>
          <w:highlight w:val="yellow"/>
        </w:rPr>
        <w:footnoteReference w:id="18"/>
      </w:r>
    </w:p>
    <w:p w:rsidR="00867290" w:rsidRPr="00BB2924" w:rsidRDefault="00867290" w:rsidP="008A261C">
      <w:pPr>
        <w:pStyle w:val="HStandard"/>
        <w:rPr>
          <w:highlight w:val="yellow"/>
        </w:rPr>
      </w:pPr>
      <w:r>
        <w:rPr>
          <w:b/>
          <w:highlight w:val="yellow"/>
        </w:rPr>
        <w:t>Drugo polje,</w:t>
      </w:r>
      <w:r>
        <w:rPr>
          <w:highlight w:val="yellow"/>
        </w:rPr>
        <w:t xml:space="preserve"> ograničeno istočkanom linijom, sadržava ruralne sudionike koji su među ključnim klijentima ili doprinositeljima usluga JPM-a, kao što su LAG-ovi, savjetodavne službe, obrazovne institucije, sveučilišta itd. </w:t>
      </w:r>
    </w:p>
    <w:p w:rsidR="00867290" w:rsidRPr="00BB2924" w:rsidRDefault="00867290" w:rsidP="008A261C">
      <w:pPr>
        <w:pStyle w:val="HStandard"/>
        <w:rPr>
          <w:highlight w:val="yellow"/>
        </w:rPr>
      </w:pPr>
      <w:r>
        <w:rPr>
          <w:highlight w:val="yellow"/>
        </w:rPr>
        <w:t xml:space="preserve">Dalje vani, u </w:t>
      </w:r>
      <w:r>
        <w:rPr>
          <w:b/>
          <w:highlight w:val="yellow"/>
        </w:rPr>
        <w:t>trećem polju</w:t>
      </w:r>
      <w:r>
        <w:rPr>
          <w:highlight w:val="yellow"/>
        </w:rPr>
        <w:t xml:space="preserve">, sudionici su manje uključeni, ograničeni na pojedine teme i određene prigode, kao što su informativne radionice. </w:t>
      </w:r>
    </w:p>
    <w:p w:rsidR="00867290" w:rsidRPr="00BB2924" w:rsidRDefault="00867290" w:rsidP="008A261C">
      <w:pPr>
        <w:pStyle w:val="HStandard"/>
        <w:rPr>
          <w:highlight w:val="yellow"/>
        </w:rPr>
      </w:pPr>
      <w:r>
        <w:rPr>
          <w:highlight w:val="yellow"/>
        </w:rPr>
        <w:t xml:space="preserve">Polje na </w:t>
      </w:r>
      <w:r>
        <w:rPr>
          <w:b/>
          <w:highlight w:val="yellow"/>
        </w:rPr>
        <w:t>vanjskom rubu</w:t>
      </w:r>
      <w:r>
        <w:rPr>
          <w:highlight w:val="yellow"/>
        </w:rPr>
        <w:t xml:space="preserve"> označava sudionike koji su više ili manje pasivni, ali ih se ostavlja među središnjim sudionicima kao potencijalne doprinositelje ili korisnike aktivnosti mreže. </w:t>
      </w:r>
    </w:p>
    <w:p w:rsidR="00867290" w:rsidRPr="00BB2924" w:rsidRDefault="00867290" w:rsidP="00315513">
      <w:pPr>
        <w:pStyle w:val="HStandard"/>
        <w:jc w:val="left"/>
        <w:rPr>
          <w:highlight w:val="yellow"/>
        </w:rPr>
      </w:pPr>
      <w:r>
        <w:rPr>
          <w:highlight w:val="yellow"/>
        </w:rPr>
        <w:t>Svi sudionici i polje kao cjelina čine čitav NRM (c). Ti su sudionici međusobno povezani na mnogo načina, iako to zbog jasnoće nije pokazano na dijagramu.</w:t>
      </w:r>
    </w:p>
    <w:p w:rsidR="00867290" w:rsidRPr="00BB2924" w:rsidRDefault="00867290" w:rsidP="00F14A86">
      <w:pPr>
        <w:pStyle w:val="HStandard"/>
        <w:rPr>
          <w:highlight w:val="yellow"/>
        </w:rPr>
      </w:pPr>
      <w:r>
        <w:rPr>
          <w:highlight w:val="yellow"/>
        </w:rPr>
        <w:t>Unatoč opisanoj arhitekturi NRM-a, svaki NRM može razviti vlastitu definiciju i načiniti mapu svoje arhitekture, npr. koristeći se metodama analize dionika.</w:t>
      </w:r>
      <w:r>
        <w:rPr>
          <w:rFonts w:ascii="ZWAdobeF" w:hAnsi="ZWAdobeF"/>
          <w:color w:val="auto"/>
          <w:sz w:val="2"/>
          <w:highlight w:val="yellow"/>
        </w:rPr>
        <w:t>18F</w:t>
      </w:r>
      <w:r>
        <w:rPr>
          <w:rStyle w:val="FootnoteReference"/>
          <w:highlight w:val="yellow"/>
        </w:rPr>
        <w:footnoteReference w:id="19"/>
      </w:r>
      <w:r>
        <w:rPr>
          <w:highlight w:val="yellow"/>
        </w:rPr>
        <w:t xml:space="preserve"> U stvarnosti u arhitekturi NRM-a među državama članicama može biti različitih situacija</w:t>
      </w:r>
      <w:r>
        <w:rPr>
          <w:rFonts w:ascii="ZWAdobeF" w:hAnsi="ZWAdobeF"/>
          <w:color w:val="auto"/>
          <w:sz w:val="2"/>
          <w:highlight w:val="yellow"/>
        </w:rPr>
        <w:t>19F</w:t>
      </w:r>
      <w:r>
        <w:rPr>
          <w:rStyle w:val="FootnoteReference"/>
          <w:highlight w:val="yellow"/>
        </w:rPr>
        <w:footnoteReference w:id="20"/>
      </w:r>
      <w:r>
        <w:rPr>
          <w:highlight w:val="yellow"/>
        </w:rPr>
        <w:t xml:space="preserve">. Na primjer, JPM može smanjiti regionalne čvorove </w:t>
      </w:r>
      <w:r>
        <w:rPr>
          <w:highlight w:val="yellow"/>
        </w:rPr>
        <w:lastRenderedPageBreak/>
        <w:t xml:space="preserve">kako bi bolje dosegnuo članove NRM-a. U nekim NRM-ovima članstvo je ograničenije, a u drugima otvorenije.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B57DA2">
        <w:trPr>
          <w:trHeight w:val="330"/>
        </w:trPr>
        <w:tc>
          <w:tcPr>
            <w:tcW w:w="9016" w:type="dxa"/>
            <w:shd w:val="clear" w:color="auto" w:fill="F5F4F4" w:themeFill="background2" w:themeFillTint="66"/>
          </w:tcPr>
          <w:p w:rsidR="00867290" w:rsidRPr="00BB2924" w:rsidRDefault="00867290" w:rsidP="00B57DA2">
            <w:pPr>
              <w:pStyle w:val="HStandard"/>
              <w:jc w:val="left"/>
              <w:rPr>
                <w:b/>
                <w:highlight w:val="yellow"/>
              </w:rPr>
            </w:pPr>
            <w:r>
              <w:rPr>
                <w:b/>
                <w:highlight w:val="yellow"/>
              </w:rPr>
              <w:t>Razumijevanje definicije pojedinačne mreže i njezine strukture važno je za evaluaciju NRM-a.</w:t>
            </w:r>
          </w:p>
        </w:tc>
      </w:tr>
    </w:tbl>
    <w:p w:rsidR="00867290" w:rsidRPr="00BB2924" w:rsidRDefault="00867290" w:rsidP="00CA5E80">
      <w:pPr>
        <w:pStyle w:val="HHeading2"/>
        <w:numPr>
          <w:ilvl w:val="0"/>
          <w:numId w:val="0"/>
        </w:numPr>
        <w:rPr>
          <w:highlight w:val="yellow"/>
        </w:rPr>
      </w:pPr>
      <w:bookmarkStart w:id="14" w:name="_Toc453079748"/>
      <w:bookmarkStart w:id="15" w:name="_Toc461713622"/>
      <w:r>
        <w:rPr>
          <w:highlight w:val="yellow"/>
        </w:rPr>
        <w:t>1.3. Kada i kako evaluirati NRM-ove?</w:t>
      </w:r>
      <w:bookmarkEnd w:id="14"/>
      <w:bookmarkEnd w:id="15"/>
    </w:p>
    <w:p w:rsidR="00867290" w:rsidRPr="00BB2924" w:rsidRDefault="00867290" w:rsidP="006D3475">
      <w:pPr>
        <w:pStyle w:val="HHeading5"/>
        <w:rPr>
          <w:highlight w:val="yellow"/>
        </w:rPr>
      </w:pPr>
      <w:r>
        <w:rPr>
          <w:highlight w:val="yellow"/>
        </w:rPr>
        <w:t>Svrha evaluacije NRM-a</w:t>
      </w:r>
    </w:p>
    <w:p w:rsidR="00867290" w:rsidRPr="00BB2924" w:rsidRDefault="00867290" w:rsidP="00923616">
      <w:pPr>
        <w:pStyle w:val="HStandard"/>
        <w:rPr>
          <w:highlight w:val="yellow"/>
        </w:rPr>
      </w:pPr>
      <w:r>
        <w:rPr>
          <w:b/>
          <w:highlight w:val="yellow"/>
        </w:rPr>
        <w:t>NRM-ovi su jedna od ključnih sastavnica politike ruralnog razvoja EU-a.</w:t>
      </w:r>
      <w:r>
        <w:rPr>
          <w:highlight w:val="yellow"/>
        </w:rPr>
        <w:t xml:space="preserve"> Kao takvi podložni su evaluaciji u programskom razdoblju </w:t>
      </w:r>
      <w:r>
        <w:rPr>
          <w:rFonts w:ascii="ZWAdobeF" w:hAnsi="ZWAdobeF"/>
          <w:color w:val="auto"/>
          <w:sz w:val="2"/>
          <w:highlight w:val="yellow"/>
        </w:rPr>
        <w:t>20F</w:t>
      </w:r>
      <w:r>
        <w:rPr>
          <w:rStyle w:val="FootnoteReference"/>
          <w:highlight w:val="yellow"/>
        </w:rPr>
        <w:footnoteReference w:id="21"/>
      </w:r>
      <w:r>
        <w:rPr>
          <w:highlight w:val="yellow"/>
        </w:rPr>
        <w:t xml:space="preserve">. </w:t>
      </w:r>
    </w:p>
    <w:p w:rsidR="00867290" w:rsidRPr="00BB2924" w:rsidRDefault="00867290" w:rsidP="005F73EB">
      <w:pPr>
        <w:pStyle w:val="HStandard"/>
        <w:rPr>
          <w:highlight w:val="yellow"/>
        </w:rPr>
      </w:pPr>
      <w:r>
        <w:rPr>
          <w:highlight w:val="yellow"/>
        </w:rPr>
        <w:t>Pravnim aktima</w:t>
      </w:r>
      <w:r>
        <w:rPr>
          <w:rFonts w:ascii="ZWAdobeF" w:hAnsi="ZWAdobeF"/>
          <w:color w:val="auto"/>
          <w:sz w:val="2"/>
          <w:highlight w:val="yellow"/>
        </w:rPr>
        <w:t>21F</w:t>
      </w:r>
      <w:r>
        <w:rPr>
          <w:rStyle w:val="FootnoteReference"/>
          <w:highlight w:val="yellow"/>
        </w:rPr>
        <w:footnoteReference w:id="22"/>
      </w:r>
      <w:r>
        <w:rPr>
          <w:highlight w:val="yellow"/>
        </w:rPr>
        <w:t xml:space="preserve"> definirani su posebni ciljevi politike NRM-ova radi doprinosa provedbi politike ruralnog razvoja Europske unije: </w:t>
      </w:r>
    </w:p>
    <w:p w:rsidR="00867290" w:rsidRPr="00BB2924" w:rsidRDefault="00867290" w:rsidP="00923616">
      <w:pPr>
        <w:pStyle w:val="Hlistabc"/>
        <w:rPr>
          <w:highlight w:val="yellow"/>
        </w:rPr>
      </w:pPr>
      <w:r>
        <w:rPr>
          <w:highlight w:val="yellow"/>
        </w:rPr>
        <w:t xml:space="preserve">povećati sudjelovanje dionika u provedbi ruralnog razvoja, </w:t>
      </w:r>
    </w:p>
    <w:p w:rsidR="00867290" w:rsidRPr="00BB2924" w:rsidRDefault="00867290" w:rsidP="00923616">
      <w:pPr>
        <w:pStyle w:val="Hlistabc"/>
        <w:rPr>
          <w:highlight w:val="yellow"/>
        </w:rPr>
      </w:pPr>
      <w:r>
        <w:rPr>
          <w:highlight w:val="yellow"/>
        </w:rPr>
        <w:t xml:space="preserve">poboljšati kvalitetu provedbe programa ruralnog razvoja, </w:t>
      </w:r>
    </w:p>
    <w:p w:rsidR="00867290" w:rsidRPr="00BB2924" w:rsidRDefault="00867290" w:rsidP="00923616">
      <w:pPr>
        <w:pStyle w:val="Hlistabc"/>
        <w:rPr>
          <w:highlight w:val="yellow"/>
        </w:rPr>
      </w:pPr>
      <w:r>
        <w:rPr>
          <w:highlight w:val="yellow"/>
        </w:rPr>
        <w:t xml:space="preserve">obavještavati širu javnost i potencijalne korisnike o politici ruralnog razvoja i mogućnostima financiranja i </w:t>
      </w:r>
    </w:p>
    <w:p w:rsidR="00867290" w:rsidRPr="00BB2924" w:rsidRDefault="00867290" w:rsidP="00FF5B4F">
      <w:pPr>
        <w:pStyle w:val="Hlistabc2"/>
        <w:rPr>
          <w:highlight w:val="yellow"/>
        </w:rPr>
      </w:pPr>
      <w:r>
        <w:rPr>
          <w:highlight w:val="yellow"/>
        </w:rPr>
        <w:t xml:space="preserve">poticati inovacije u poljoprivredi, proizvodnji hrane, šumarstvu i ruralnim područjima. </w:t>
      </w:r>
    </w:p>
    <w:p w:rsidR="00867290" w:rsidRPr="00BB2924" w:rsidRDefault="00867290" w:rsidP="00923616">
      <w:pPr>
        <w:pStyle w:val="HStandard"/>
        <w:rPr>
          <w:highlight w:val="yellow"/>
        </w:rPr>
      </w:pPr>
      <w:r>
        <w:rPr>
          <w:b/>
          <w:highlight w:val="yellow"/>
        </w:rPr>
        <w:t>Evaluacijom se pridonosi postizanju ciljeva</w:t>
      </w:r>
      <w:r>
        <w:rPr>
          <w:highlight w:val="yellow"/>
        </w:rPr>
        <w:t xml:space="preserve"> putem rezultata, učinaka i dodane vrijednosti</w:t>
      </w:r>
      <w:r>
        <w:rPr>
          <w:rFonts w:ascii="ZWAdobeF" w:hAnsi="ZWAdobeF"/>
          <w:color w:val="auto"/>
          <w:sz w:val="2"/>
          <w:highlight w:val="yellow"/>
        </w:rPr>
        <w:t>22F</w:t>
      </w:r>
      <w:r>
        <w:rPr>
          <w:rStyle w:val="FootnoteReference"/>
          <w:highlight w:val="yellow"/>
        </w:rPr>
        <w:footnoteReference w:id="23"/>
      </w:r>
      <w:r>
        <w:rPr>
          <w:highlight w:val="yellow"/>
        </w:rPr>
        <w:t xml:space="preserve"> aktivnosti NRM-a. To pridonosi poboljšanju oblikovanja, kvalitete i provedbe aktivnosti mreže te pomaže opravdati i legitimizirati utrošena sredstva. Evaluacijom se povećava transparentnost i odgovornost intervencija NRM-a pokazujući dionicima i poreznim obveznicima kako je novac utrošen. </w:t>
      </w:r>
    </w:p>
    <w:p w:rsidR="00867290" w:rsidRPr="00BB2924" w:rsidRDefault="00867290" w:rsidP="006D3475">
      <w:pPr>
        <w:pStyle w:val="HHeading5"/>
        <w:rPr>
          <w:highlight w:val="yellow"/>
        </w:rPr>
      </w:pPr>
      <w:r>
        <w:rPr>
          <w:highlight w:val="yellow"/>
        </w:rPr>
        <w:t xml:space="preserve">Oblici evaluacije NRM-a </w:t>
      </w:r>
    </w:p>
    <w:p w:rsidR="00867290" w:rsidRPr="00BB2924" w:rsidRDefault="00867290" w:rsidP="00115611">
      <w:pPr>
        <w:pStyle w:val="HStandard"/>
        <w:rPr>
          <w:highlight w:val="yellow"/>
        </w:rPr>
      </w:pPr>
      <w:r>
        <w:rPr>
          <w:b/>
          <w:highlight w:val="yellow"/>
        </w:rPr>
        <w:t>Evaluacija NRM-ova može imati različite oblike.</w:t>
      </w:r>
      <w:r>
        <w:rPr>
          <w:highlight w:val="yellow"/>
        </w:rPr>
        <w:t xml:space="preserve"> U onim državama članicama u kojima NRM nije zasebni program NRM se najčešće evaluira kao dio PRR-a, i samo se po želji procjenjuje samostalnom pojedinačnom evaluacijom. Nasuprot tome, PNRM se kao bilo koji drugi program mora uvijek evaluirati zasebnom samostalnom evaluacijom. </w:t>
      </w:r>
    </w:p>
    <w:p w:rsidR="00867290" w:rsidRPr="00BB2924" w:rsidRDefault="00867290" w:rsidP="00FF5B4F">
      <w:pPr>
        <w:pStyle w:val="HStandard"/>
        <w:rPr>
          <w:highlight w:val="yellow"/>
        </w:rPr>
      </w:pPr>
      <w:r>
        <w:rPr>
          <w:b/>
          <w:highlight w:val="yellow"/>
        </w:rPr>
        <w:t>Evaluacije NRM-a mogu biti i dio tematske evaluacije</w:t>
      </w:r>
      <w:r>
        <w:rPr>
          <w:highlight w:val="yellow"/>
        </w:rPr>
        <w:t xml:space="preserve"> različitih tema. Na primjer, tematska evaluacija inovacije može uključivati procjenu doprinosa aktivnosti NRM-a podršci inovacijskim partnerstvima, npr. prijenos inovativnih pristupa, širenje inovativnih projekata podržanih mjerama PRR-a itd. To može uključivati i suradnju NRM-a s Mrežom EPI-AGRI. </w:t>
      </w:r>
    </w:p>
    <w:p w:rsidR="00867290" w:rsidRPr="00BB2924" w:rsidRDefault="00867290" w:rsidP="00E02C8A">
      <w:pPr>
        <w:pStyle w:val="HStandard"/>
        <w:rPr>
          <w:rFonts w:ascii="Helvetica" w:hAnsi="Helvetica" w:cs="Helvetica"/>
          <w:color w:val="auto"/>
          <w:highlight w:val="yellow"/>
        </w:rPr>
      </w:pPr>
      <w:r>
        <w:rPr>
          <w:highlight w:val="yellow"/>
        </w:rPr>
        <w:t xml:space="preserve">Osim toga, NRM-ovi mogu odlučiti i provoditi samoocjenjivanje rezultata, učinaka i ostvarenja ciljeva mreže. </w:t>
      </w:r>
    </w:p>
    <w:p w:rsidR="00867290" w:rsidRPr="00BB2924" w:rsidRDefault="00867290" w:rsidP="00FF5B4F">
      <w:pPr>
        <w:pStyle w:val="HStandard"/>
        <w:rPr>
          <w:highlight w:val="yellow"/>
        </w:rPr>
      </w:pPr>
      <w:r>
        <w:rPr>
          <w:highlight w:val="yellow"/>
        </w:rPr>
        <w:t>Osim pravnih zahtjeva, odabrani oblik evaluacije NRM-a ovisit će o pojedinim interesima UT-a i JPM-a i proračunu dodijeljenom za evaluaciju.</w:t>
      </w:r>
    </w:p>
    <w:p w:rsidR="00867290" w:rsidRPr="00BB2924" w:rsidRDefault="00867290" w:rsidP="006D3475">
      <w:pPr>
        <w:pStyle w:val="HHeading5"/>
        <w:rPr>
          <w:highlight w:val="yellow"/>
        </w:rPr>
      </w:pPr>
      <w:r>
        <w:rPr>
          <w:highlight w:val="yellow"/>
        </w:rPr>
        <w:t>Samoocjenjivanje NRM-a</w:t>
      </w:r>
    </w:p>
    <w:p w:rsidR="00867290" w:rsidRPr="00BB2924" w:rsidRDefault="00867290" w:rsidP="00FF5B4F">
      <w:pPr>
        <w:pStyle w:val="HStandard"/>
        <w:rPr>
          <w:highlight w:val="yellow"/>
        </w:rPr>
      </w:pPr>
      <w:r>
        <w:rPr>
          <w:b/>
          <w:highlight w:val="yellow"/>
        </w:rPr>
        <w:t>Samoocjenjivanje je proces koji provodi sam NRM</w:t>
      </w:r>
      <w:r>
        <w:rPr>
          <w:highlight w:val="yellow"/>
        </w:rPr>
        <w:t>, ostvarujući tako pogled iznutra na aktivnosti i uspješnost NRM-a. To uključenim sudionicima pomaže razmotriti doprinose li njihove aktivnosti ostvarivanju ciljeva mreže. Nasuprot tome, vanjskom se evaluacijom osigurava nezavisna vanjska perspektiva sa sličnom namjerom. Vanjskom evaluacijom stječe se iskustvo u cilju poboljšanja oblikovanja NRM-a, intervencije i njihove provedbe.</w:t>
      </w:r>
    </w:p>
    <w:p w:rsidR="00867290" w:rsidRPr="00BB2924" w:rsidRDefault="00867290" w:rsidP="001B43DA">
      <w:pPr>
        <w:pStyle w:val="HStandard"/>
        <w:rPr>
          <w:highlight w:val="yellow"/>
        </w:rPr>
      </w:pPr>
      <w:r>
        <w:rPr>
          <w:b/>
          <w:highlight w:val="yellow"/>
        </w:rPr>
        <w:lastRenderedPageBreak/>
        <w:t>Samoocjenjivanje može i trebalo bi biti povezano s evaluacijom NRM-a</w:t>
      </w:r>
      <w:r>
        <w:rPr>
          <w:highlight w:val="yellow"/>
        </w:rPr>
        <w:t xml:space="preserve"> kako bi se osiguralo da se prikupljeni dokazi mogu upotrebljavati kao jedan od mogućih izvora informacija pri procjeni učinkovitosti, djelotvornosti, rezultata i učinaka NRM-a. Utvrđenim poveznicama i komplementarnostima između samoocjenjivanja NRM-a i evaluacije NRM-a pridonosi se smanjenju troškova jednog i drugog postupka. To međutim zahtijeva koordinaciju i suradnju između nekoliko sudionika: JPM/NRM-a, upravljačkog tijela programa i evaluatora (</w:t>
      </w:r>
      <w:r>
        <w:rPr>
          <w:highlight w:val="yellow"/>
        </w:rPr>
        <w:fldChar w:fldCharType="begin" w:fldLock="1"/>
      </w:r>
      <w:r>
        <w:rPr>
          <w:highlight w:val="yellow"/>
        </w:rPr>
        <w:instrText xml:space="preserve"> REF _Ref451784251 \r \h  \* MERGEFORMAT </w:instrText>
      </w:r>
      <w:r>
        <w:rPr>
          <w:highlight w:val="yellow"/>
        </w:rPr>
      </w:r>
      <w:r>
        <w:rPr>
          <w:highlight w:val="yellow"/>
        </w:rPr>
        <w:fldChar w:fldCharType="separate"/>
      </w:r>
      <w:r>
        <w:rPr>
          <w:highlight w:val="yellow"/>
        </w:rPr>
        <w:t>Figure 3</w:t>
      </w:r>
      <w:r>
        <w:rPr>
          <w:highlight w:val="yellow"/>
        </w:rPr>
        <w:fldChar w:fldCharType="end"/>
      </w:r>
      <w:r>
        <w:rPr>
          <w:highlight w:val="yellow"/>
        </w:rPr>
        <w:t>).</w:t>
      </w:r>
    </w:p>
    <w:p w:rsidR="00867290" w:rsidRPr="00BB2924" w:rsidRDefault="00867290">
      <w:pPr>
        <w:spacing w:after="0" w:line="240" w:lineRule="auto"/>
        <w:rPr>
          <w:rFonts w:cs="Arial"/>
          <w:b/>
          <w:color w:val="576C88" w:themeColor="text2" w:themeTint="D9"/>
          <w:sz w:val="16"/>
          <w:szCs w:val="20"/>
          <w:highlight w:val="yellow"/>
        </w:rPr>
      </w:pPr>
      <w:bookmarkStart w:id="16" w:name="_Toc390439646"/>
      <w:bookmarkStart w:id="17" w:name="_Ref434411589"/>
      <w:bookmarkStart w:id="18" w:name="_Ref435789100"/>
      <w:bookmarkStart w:id="19" w:name="_Toc436383141"/>
      <w:bookmarkStart w:id="20" w:name="_Toc445465118"/>
      <w:bookmarkStart w:id="21" w:name="_Toc451781922"/>
      <w:bookmarkStart w:id="22" w:name="_Ref451784251"/>
      <w:bookmarkStart w:id="23" w:name="_Ref451784253"/>
      <w:bookmarkStart w:id="24" w:name="_Ref451784254"/>
      <w:r>
        <w:br w:type="page"/>
      </w:r>
    </w:p>
    <w:p w:rsidR="00867290" w:rsidRPr="00BB2924" w:rsidRDefault="00867290" w:rsidP="00074461">
      <w:pPr>
        <w:pStyle w:val="HHeadingfigures"/>
        <w:numPr>
          <w:ilvl w:val="0"/>
          <w:numId w:val="0"/>
        </w:numPr>
        <w:rPr>
          <w:highlight w:val="yellow"/>
        </w:rPr>
      </w:pPr>
      <w:bookmarkStart w:id="25" w:name="_Toc461713649"/>
      <w:r>
        <w:rPr>
          <w:highlight w:val="yellow"/>
        </w:rPr>
        <w:lastRenderedPageBreak/>
        <w:t>Slika 3. Usporedbe između samoocjenjivanja i evaluacije NRM-a</w:t>
      </w:r>
      <w:bookmarkEnd w:id="16"/>
      <w:bookmarkEnd w:id="17"/>
      <w:bookmarkEnd w:id="18"/>
      <w:bookmarkEnd w:id="19"/>
      <w:bookmarkEnd w:id="20"/>
      <w:bookmarkEnd w:id="21"/>
      <w:bookmarkEnd w:id="22"/>
      <w:bookmarkEnd w:id="23"/>
      <w:bookmarkEnd w:id="24"/>
      <w:bookmarkEnd w:id="25"/>
    </w:p>
    <w:p w:rsidR="00867290" w:rsidRPr="00BB2924" w:rsidRDefault="00867290" w:rsidP="00240358">
      <w:pPr>
        <w:pStyle w:val="HStandard"/>
        <w:jc w:val="center"/>
        <w:rPr>
          <w:highlight w:val="yellow"/>
        </w:rPr>
      </w:pPr>
      <w:r>
        <w:rPr>
          <w:noProof/>
          <w:highlight w:val="yellow"/>
          <w:lang w:val="en-GB" w:eastAsia="en-GB" w:bidi="ar-SA"/>
        </w:rPr>
        <w:drawing>
          <wp:inline distT="0" distB="0" distL="0" distR="0" wp14:anchorId="569EA859" wp14:editId="1FAD3CBE">
            <wp:extent cx="5667375" cy="366232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75599" cy="3667640"/>
                    </a:xfrm>
                    <a:prstGeom prst="rect">
                      <a:avLst/>
                    </a:prstGeom>
                    <a:noFill/>
                  </pic:spPr>
                </pic:pic>
              </a:graphicData>
            </a:graphic>
          </wp:inline>
        </w:drawing>
      </w:r>
    </w:p>
    <w:p w:rsidR="00867290" w:rsidRPr="00BB2924" w:rsidRDefault="00867290" w:rsidP="00C71F5E">
      <w:pPr>
        <w:pStyle w:val="HSource"/>
        <w:rPr>
          <w:rFonts w:cs="Arial"/>
          <w:highlight w:val="yellow"/>
        </w:rPr>
      </w:pPr>
      <w:bookmarkStart w:id="26" w:name="_Toc260776799"/>
      <w:bookmarkStart w:id="27" w:name="_Toc262890482"/>
      <w:bookmarkStart w:id="28" w:name="_Toc263960909"/>
      <w:bookmarkStart w:id="29" w:name="_Toc264576620"/>
      <w:bookmarkStart w:id="30" w:name="_Toc267576419"/>
      <w:bookmarkStart w:id="31" w:name="_Toc267576747"/>
      <w:r>
        <w:rPr>
          <w:highlight w:val="yellow"/>
        </w:rPr>
        <w:t>Izvor: Europski centar za pomoć pri evaluaciji za ruralni razvoj, 2016.</w:t>
      </w:r>
    </w:p>
    <w:bookmarkEnd w:id="26"/>
    <w:bookmarkEnd w:id="27"/>
    <w:bookmarkEnd w:id="28"/>
    <w:bookmarkEnd w:id="29"/>
    <w:bookmarkEnd w:id="30"/>
    <w:bookmarkEnd w:id="31"/>
    <w:p w:rsidR="00867290" w:rsidRPr="00BB2924" w:rsidRDefault="00867290" w:rsidP="00FF5B4F">
      <w:pPr>
        <w:pStyle w:val="HStandard"/>
        <w:rPr>
          <w:highlight w:val="yellow"/>
        </w:rPr>
      </w:pPr>
      <w:r>
        <w:rPr>
          <w:highlight w:val="yellow"/>
        </w:rPr>
        <w:t xml:space="preserve">Kako bi samoocjenjivanje bio učinkoviti alat koji potiče na razmišljanje o sebi i učenje, sudionici mogu samoocjenjivanje NRM-a uključiti u svoj akcijski plan ili plan razvoja kapaciteta. Planiranje aktivnosti samoocjenjivanja usmjereno prema budućnosti u najboljem slučaju započinje u ranoj fazi provedbe NRM-a. </w:t>
      </w:r>
    </w:p>
    <w:p w:rsidR="00867290" w:rsidRPr="00BB2924" w:rsidRDefault="00867290" w:rsidP="009D73B8">
      <w:pPr>
        <w:pStyle w:val="HStandard"/>
        <w:rPr>
          <w:highlight w:val="yellow"/>
        </w:rPr>
      </w:pPr>
      <w:r>
        <w:rPr>
          <w:highlight w:val="yellow"/>
        </w:rPr>
        <w:t xml:space="preserve">Samoocjenjivanje se često organizira kao kontinuirani ciklus aktivnosti, periodično uključujući različite sudionike u različito vrijeme. Uobičajeno se upotrebljavaju kvalitativne metode prikupljanja dokaza kao što su sljedeće: </w:t>
      </w:r>
    </w:p>
    <w:p w:rsidR="00867290" w:rsidRPr="00BB2924" w:rsidRDefault="00867290" w:rsidP="009D73B8">
      <w:pPr>
        <w:pStyle w:val="Hlistbullet"/>
        <w:rPr>
          <w:highlight w:val="yellow"/>
        </w:rPr>
      </w:pPr>
      <w:r>
        <w:rPr>
          <w:highlight w:val="yellow"/>
        </w:rPr>
        <w:t xml:space="preserve">sastanci dionika; </w:t>
      </w:r>
    </w:p>
    <w:p w:rsidR="00867290" w:rsidRPr="00BB2924" w:rsidRDefault="00867290" w:rsidP="009D73B8">
      <w:pPr>
        <w:pStyle w:val="Hlistbullet"/>
        <w:rPr>
          <w:highlight w:val="yellow"/>
        </w:rPr>
      </w:pPr>
      <w:r>
        <w:rPr>
          <w:highlight w:val="yellow"/>
        </w:rPr>
        <w:t xml:space="preserve">građanske skupine i panel-rasprave građana; </w:t>
      </w:r>
    </w:p>
    <w:p w:rsidR="00867290" w:rsidRPr="00BB2924" w:rsidRDefault="00867290" w:rsidP="009D73B8">
      <w:pPr>
        <w:pStyle w:val="Hlistbullet"/>
        <w:rPr>
          <w:highlight w:val="yellow"/>
        </w:rPr>
      </w:pPr>
      <w:r>
        <w:rPr>
          <w:highlight w:val="yellow"/>
        </w:rPr>
        <w:t xml:space="preserve">žarišne skupine; </w:t>
      </w:r>
    </w:p>
    <w:p w:rsidR="00867290" w:rsidRPr="00BB2924" w:rsidRDefault="00867290" w:rsidP="009D73B8">
      <w:pPr>
        <w:pStyle w:val="Hlistbullet"/>
        <w:rPr>
          <w:highlight w:val="yellow"/>
        </w:rPr>
      </w:pPr>
      <w:r>
        <w:rPr>
          <w:highlight w:val="yellow"/>
        </w:rPr>
        <w:t xml:space="preserve">otvoreni prostor; </w:t>
      </w:r>
    </w:p>
    <w:p w:rsidR="00867290" w:rsidRPr="00BB2924" w:rsidRDefault="00867290" w:rsidP="009D73B8">
      <w:pPr>
        <w:pStyle w:val="Hlistbullet"/>
        <w:rPr>
          <w:highlight w:val="yellow"/>
        </w:rPr>
      </w:pPr>
      <w:r>
        <w:rPr>
          <w:highlight w:val="yellow"/>
        </w:rPr>
        <w:t>radni listovi povratnih informacija aktivnosti;</w:t>
      </w:r>
    </w:p>
    <w:p w:rsidR="00867290" w:rsidRPr="00BB2924" w:rsidRDefault="00867290" w:rsidP="009D73B8">
      <w:pPr>
        <w:pStyle w:val="Hlistbullet2"/>
        <w:rPr>
          <w:highlight w:val="yellow"/>
        </w:rPr>
      </w:pPr>
      <w:r>
        <w:rPr>
          <w:highlight w:val="yellow"/>
        </w:rPr>
        <w:t xml:space="preserve">procjene potreba provedene anketama itd. </w:t>
      </w:r>
    </w:p>
    <w:p w:rsidR="00867290" w:rsidRPr="00BB2924" w:rsidRDefault="00867290" w:rsidP="009D73B8">
      <w:pPr>
        <w:pStyle w:val="HStandard"/>
        <w:rPr>
          <w:highlight w:val="yellow"/>
        </w:rPr>
      </w:pPr>
      <w:r>
        <w:rPr>
          <w:highlight w:val="yellow"/>
        </w:rPr>
        <w:t>Važno je odabrati i prilagoditi metodologiju koja je posebno razvijena i testirana za procjenu mreža</w:t>
      </w:r>
      <w:r>
        <w:rPr>
          <w:rFonts w:ascii="ZWAdobeF" w:hAnsi="ZWAdobeF"/>
          <w:color w:val="auto"/>
          <w:sz w:val="2"/>
          <w:highlight w:val="yellow"/>
        </w:rPr>
        <w:t>23F</w:t>
      </w:r>
      <w:r>
        <w:rPr>
          <w:rStyle w:val="FootnoteReference"/>
          <w:highlight w:val="yellow"/>
        </w:rPr>
        <w:footnoteReference w:id="24"/>
      </w:r>
      <w:r>
        <w:rPr>
          <w:highlight w:val="yellow"/>
        </w:rPr>
        <w:t xml:space="preserve">. Za samoocjenjivanje treba odvojiti dovoljno resursa i vremena, a njegovi se rezultati moraju uklopiti u akcijski plan i operacije NRM-a. </w:t>
      </w:r>
    </w:p>
    <w:p w:rsidR="00867290" w:rsidRPr="00BB2924" w:rsidRDefault="00867290" w:rsidP="003A1D3C">
      <w:pPr>
        <w:pStyle w:val="HStandard"/>
        <w:rPr>
          <w:highlight w:val="yellow"/>
        </w:rPr>
      </w:pPr>
      <w:r>
        <w:rPr>
          <w:highlight w:val="yellow"/>
        </w:rPr>
        <w:t>Više informacija o alatima i metodama samoocjenjivanja mogu se pronaći na mrežnoj stranici EMRR-a</w:t>
      </w:r>
      <w:r>
        <w:rPr>
          <w:rFonts w:ascii="ZWAdobeF" w:hAnsi="ZWAdobeF"/>
          <w:color w:val="auto"/>
          <w:sz w:val="2"/>
          <w:highlight w:val="yellow"/>
        </w:rPr>
        <w:t>24F</w:t>
      </w:r>
      <w:r>
        <w:rPr>
          <w:rStyle w:val="FootnoteReference"/>
          <w:highlight w:val="yellow"/>
        </w:rPr>
        <w:footnoteReference w:id="25"/>
      </w:r>
      <w:r>
        <w:rPr>
          <w:highlight w:val="yellow"/>
        </w:rPr>
        <w:t xml:space="preserve">. </w:t>
      </w:r>
    </w:p>
    <w:p w:rsidR="00867290" w:rsidRPr="00BB2924" w:rsidRDefault="00867290" w:rsidP="00CA5E80">
      <w:pPr>
        <w:pStyle w:val="HHeading2"/>
        <w:numPr>
          <w:ilvl w:val="0"/>
          <w:numId w:val="0"/>
        </w:numPr>
        <w:rPr>
          <w:highlight w:val="yellow"/>
        </w:rPr>
      </w:pPr>
      <w:bookmarkStart w:id="32" w:name="_Toc453079749"/>
      <w:bookmarkStart w:id="33" w:name="_Toc461713623"/>
      <w:r>
        <w:rPr>
          <w:highlight w:val="yellow"/>
        </w:rPr>
        <w:lastRenderedPageBreak/>
        <w:t>1.4. Zahtjevi za evaluaciju NRM-a u politici ruralnog razvoja EU-a</w:t>
      </w:r>
      <w:bookmarkEnd w:id="32"/>
      <w:bookmarkEnd w:id="33"/>
    </w:p>
    <w:p w:rsidR="00867290" w:rsidRPr="00BB2924" w:rsidRDefault="00867290" w:rsidP="00CA5E80">
      <w:pPr>
        <w:pStyle w:val="HHeading3"/>
        <w:numPr>
          <w:ilvl w:val="0"/>
          <w:numId w:val="0"/>
        </w:numPr>
        <w:rPr>
          <w:highlight w:val="yellow"/>
        </w:rPr>
      </w:pPr>
      <w:bookmarkStart w:id="34" w:name="_Toc453079750"/>
      <w:bookmarkStart w:id="35" w:name="_Toc461713624"/>
      <w:r>
        <w:rPr>
          <w:highlight w:val="yellow"/>
        </w:rPr>
        <w:t>1.4.1. Vremenski okvir pravnih zahtjeva za evaluaciju i izvješćivanje</w:t>
      </w:r>
      <w:bookmarkEnd w:id="34"/>
      <w:bookmarkEnd w:id="35"/>
    </w:p>
    <w:p w:rsidR="00867290" w:rsidRPr="00BB2924" w:rsidRDefault="00867290" w:rsidP="00923616">
      <w:pPr>
        <w:pStyle w:val="HStandard"/>
        <w:rPr>
          <w:highlight w:val="yellow"/>
        </w:rPr>
      </w:pPr>
      <w:r>
        <w:rPr>
          <w:b/>
          <w:highlight w:val="yellow"/>
        </w:rPr>
        <w:t>Pravnim okvirom EU-a</w:t>
      </w:r>
      <w:r>
        <w:rPr>
          <w:rFonts w:ascii="ZWAdobeF" w:hAnsi="ZWAdobeF"/>
          <w:color w:val="auto"/>
          <w:sz w:val="2"/>
          <w:highlight w:val="yellow"/>
        </w:rPr>
        <w:t>25F</w:t>
      </w:r>
      <w:r>
        <w:rPr>
          <w:rStyle w:val="FootnoteReference"/>
          <w:highlight w:val="yellow"/>
        </w:rPr>
        <w:footnoteReference w:id="26"/>
      </w:r>
      <w:r>
        <w:rPr>
          <w:b/>
          <w:highlight w:val="yellow"/>
        </w:rPr>
        <w:t xml:space="preserve"> zahtijeva se evaluacija NRM-a:</w:t>
      </w:r>
      <w:r>
        <w:rPr>
          <w:highlight w:val="yellow"/>
        </w:rPr>
        <w:t xml:space="preserve"> kao dio evaluacije PRR-a za NRM-ove uključene u program ili kao zasebna evaluacija za PNRM-ove. O tim je evaluacijama potrebno izvješćivati tijekom programskog razdoblja.</w:t>
      </w:r>
    </w:p>
    <w:p w:rsidR="00867290" w:rsidRPr="00BB2924" w:rsidRDefault="00867290" w:rsidP="00074461">
      <w:pPr>
        <w:pStyle w:val="HHeadingfigures"/>
        <w:numPr>
          <w:ilvl w:val="0"/>
          <w:numId w:val="0"/>
        </w:numPr>
        <w:rPr>
          <w:highlight w:val="yellow"/>
        </w:rPr>
      </w:pPr>
      <w:bookmarkStart w:id="36" w:name="_Toc445465119"/>
      <w:bookmarkStart w:id="37" w:name="_Toc451781923"/>
      <w:bookmarkStart w:id="38" w:name="_Toc461713650"/>
      <w:r>
        <w:rPr>
          <w:highlight w:val="yellow"/>
        </w:rPr>
        <w:t>Slika 4. Vremenski okvir izvješćivanja o evaluaciji NRM-a</w:t>
      </w:r>
      <w:bookmarkEnd w:id="36"/>
      <w:bookmarkEnd w:id="37"/>
      <w:bookmarkEnd w:id="38"/>
      <w:r>
        <w:rPr>
          <w:highlight w:val="yellow"/>
        </w:rPr>
        <w:t xml:space="preserve"> </w:t>
      </w:r>
    </w:p>
    <w:p w:rsidR="00867290" w:rsidRPr="00BB2924" w:rsidRDefault="00867290" w:rsidP="008F4DBD">
      <w:pPr>
        <w:pStyle w:val="HStandard"/>
        <w:rPr>
          <w:highlight w:val="yellow"/>
        </w:rPr>
      </w:pPr>
      <w:r>
        <w:rPr>
          <w:noProof/>
          <w:highlight w:val="yellow"/>
          <w:lang w:val="en-GB" w:eastAsia="en-GB" w:bidi="ar-SA"/>
        </w:rPr>
        <w:drawing>
          <wp:inline distT="0" distB="0" distL="0" distR="0" wp14:anchorId="540019C4" wp14:editId="22E95EC1">
            <wp:extent cx="5509260" cy="14754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4186" cy="1482149"/>
                    </a:xfrm>
                    <a:prstGeom prst="rect">
                      <a:avLst/>
                    </a:prstGeom>
                    <a:noFill/>
                  </pic:spPr>
                </pic:pic>
              </a:graphicData>
            </a:graphic>
          </wp:inline>
        </w:drawing>
      </w:r>
    </w:p>
    <w:p w:rsidR="00867290" w:rsidRPr="00BB2924" w:rsidRDefault="00867290" w:rsidP="008F4DBD">
      <w:pPr>
        <w:pStyle w:val="HSource"/>
        <w:rPr>
          <w:highlight w:val="yellow"/>
        </w:rPr>
      </w:pPr>
      <w:r>
        <w:rPr>
          <w:highlight w:val="yellow"/>
        </w:rPr>
        <w:t>Izvor: Europski centar za pomoć pri evaluaciji za ruralni razvoj, 2016.</w:t>
      </w:r>
    </w:p>
    <w:p w:rsidR="00867290" w:rsidRPr="00BB2924" w:rsidRDefault="00867290" w:rsidP="006D3475">
      <w:pPr>
        <w:pStyle w:val="HHeading5"/>
        <w:rPr>
          <w:highlight w:val="yellow"/>
        </w:rPr>
      </w:pPr>
      <w:r>
        <w:rPr>
          <w:highlight w:val="yellow"/>
        </w:rPr>
        <w:t>Izvješćivanje o evaluaciji (P)NRM-a u godišnjim izvješćima o provedbi</w:t>
      </w:r>
    </w:p>
    <w:p w:rsidR="00867290" w:rsidRPr="00BB2924" w:rsidRDefault="00867290" w:rsidP="00923616">
      <w:pPr>
        <w:pStyle w:val="HStandard"/>
        <w:rPr>
          <w:highlight w:val="yellow"/>
        </w:rPr>
      </w:pPr>
      <w:r>
        <w:rPr>
          <w:highlight w:val="yellow"/>
        </w:rPr>
        <w:t>Svako godišnje izvješće o provedbi (PRR i PNRM) mora sadržavati informacije o napretku u provedbi plana evaluacije</w:t>
      </w:r>
      <w:r>
        <w:rPr>
          <w:rFonts w:ascii="ZWAdobeF" w:hAnsi="ZWAdobeF"/>
          <w:color w:val="auto"/>
          <w:sz w:val="2"/>
          <w:highlight w:val="yellow"/>
        </w:rPr>
        <w:t>26F</w:t>
      </w:r>
      <w:r>
        <w:rPr>
          <w:rStyle w:val="FootnoteReference"/>
          <w:highlight w:val="yellow"/>
        </w:rPr>
        <w:footnoteReference w:id="27"/>
      </w:r>
      <w:r>
        <w:rPr>
          <w:highlight w:val="yellow"/>
        </w:rPr>
        <w:t xml:space="preserve">, uključujući poduzete evaluacije, popis i sažetak dovršenih evaluacija te komunikaciju i popratne aktivnosti koje se odnose na zaključke i rezultate evaluacije. Za NRM-ove osnovane kao dio PRR-a izvješćivanje će se usredotočiti na ono što je ostvareno u predmetnoj godini s obzirom na evaluaciju NRM-a (npr. pojedine aktivnosti evaluacije NRM-a, komunikaciju o zaključcima evaluacije i popratnim aktivnostima), dok se za PNRM-ove o svim navedenim elementima mora izvještavati svake godine. </w:t>
      </w:r>
    </w:p>
    <w:p w:rsidR="00867290" w:rsidRPr="00BB2924" w:rsidRDefault="00867290" w:rsidP="006D3475">
      <w:pPr>
        <w:pStyle w:val="HHeading5"/>
        <w:rPr>
          <w:highlight w:val="yellow"/>
        </w:rPr>
      </w:pPr>
      <w:r>
        <w:rPr>
          <w:highlight w:val="yellow"/>
        </w:rPr>
        <w:t>Izvješćivanje o evaluaciji (P)NRM-a u GIP-u 2017. i 2019.</w:t>
      </w:r>
    </w:p>
    <w:p w:rsidR="00867290" w:rsidRPr="00BB2924" w:rsidRDefault="00867290" w:rsidP="00923616">
      <w:pPr>
        <w:pStyle w:val="HStandard"/>
        <w:rPr>
          <w:highlight w:val="yellow"/>
        </w:rPr>
      </w:pPr>
      <w:r>
        <w:rPr>
          <w:highlight w:val="yellow"/>
        </w:rPr>
        <w:t>Nadopunjeni GIP-ovi koji se podnose 2017. i 2019. moraju sadržavati informacije o napretku PRR-a i kvantifikaciji ostvarivanja programskih ciljeva</w:t>
      </w:r>
      <w:r>
        <w:rPr>
          <w:rFonts w:ascii="ZWAdobeF" w:hAnsi="ZWAdobeF"/>
          <w:color w:val="auto"/>
          <w:sz w:val="2"/>
          <w:highlight w:val="yellow"/>
        </w:rPr>
        <w:t>27F</w:t>
      </w:r>
      <w:r>
        <w:rPr>
          <w:rStyle w:val="FootnoteReference"/>
          <w:highlight w:val="yellow"/>
        </w:rPr>
        <w:footnoteReference w:id="28"/>
      </w:r>
      <w:r>
        <w:rPr>
          <w:highlight w:val="yellow"/>
        </w:rPr>
        <w:t>. U odnosu na evaluaciju NRM-a, na zajedničko evaluacijsko pitanje: „U kojoj je mjeri nacionalna ruralna mreža pridonijela ostvarenju ciljeva iz članka 54. stavka 2. Uredbe (EU) br. 1305/2013?” mora se odgovoriti već 2017. za NRM kao dio PRR-a i za PNRM</w:t>
      </w:r>
      <w:r>
        <w:rPr>
          <w:rFonts w:ascii="ZWAdobeF" w:hAnsi="ZWAdobeF"/>
          <w:color w:val="auto"/>
          <w:sz w:val="2"/>
          <w:highlight w:val="yellow"/>
        </w:rPr>
        <w:t>28F</w:t>
      </w:r>
      <w:r>
        <w:rPr>
          <w:rStyle w:val="FootnoteReference"/>
          <w:highlight w:val="yellow"/>
        </w:rPr>
        <w:footnoteReference w:id="29"/>
      </w:r>
      <w:r>
        <w:rPr>
          <w:highlight w:val="yellow"/>
        </w:rPr>
        <w:t xml:space="preserve">, koristeći se zajedničkim pokazateljima ostvarenja. </w:t>
      </w:r>
    </w:p>
    <w:p w:rsidR="00867290" w:rsidRPr="00BB2924" w:rsidRDefault="00867290" w:rsidP="00745022">
      <w:pPr>
        <w:pStyle w:val="HStandard"/>
        <w:rPr>
          <w:highlight w:val="yellow"/>
        </w:rPr>
      </w:pPr>
      <w:r>
        <w:rPr>
          <w:highlight w:val="yellow"/>
        </w:rPr>
        <w:t xml:space="preserve">Godišnjim izvješćima o provedbi predanima 2017. i 2019. trebale bi se osigurati </w:t>
      </w:r>
      <w:r>
        <w:rPr>
          <w:b/>
          <w:highlight w:val="yellow"/>
        </w:rPr>
        <w:t>informacije o upotrebi svih elemenata za pojedine programe koji se odnose na NRM</w:t>
      </w:r>
      <w:r>
        <w:rPr>
          <w:highlight w:val="yellow"/>
        </w:rPr>
        <w:t xml:space="preserve"> i, ako je moguće, dati rezultati evaluacije </w:t>
      </w:r>
      <w:r>
        <w:rPr>
          <w:b/>
          <w:highlight w:val="yellow"/>
        </w:rPr>
        <w:t>za pokazatelje za pojedine programe koji se odnose na NRM</w:t>
      </w:r>
      <w:r>
        <w:rPr>
          <w:highlight w:val="yellow"/>
        </w:rPr>
        <w:t xml:space="preserve"> i odgovori na </w:t>
      </w:r>
      <w:r>
        <w:rPr>
          <w:b/>
          <w:highlight w:val="yellow"/>
        </w:rPr>
        <w:t>evaluacijska pitanja za pojedine programe koja se odnose na NRM.</w:t>
      </w:r>
      <w:r>
        <w:rPr>
          <w:highlight w:val="yellow"/>
        </w:rPr>
        <w:t xml:space="preserve"> </w:t>
      </w:r>
    </w:p>
    <w:p w:rsidR="00867290" w:rsidRPr="00BB2924" w:rsidRDefault="00867290" w:rsidP="006D3475">
      <w:pPr>
        <w:pStyle w:val="HHeading5"/>
        <w:rPr>
          <w:highlight w:val="yellow"/>
        </w:rPr>
      </w:pPr>
      <w:r>
        <w:rPr>
          <w:highlight w:val="yellow"/>
        </w:rPr>
        <w:t>Izvješćivanje o evaluaciji (P)NRM-a u izvješću o napretku provedbe Sporazuma o partnerstvu</w:t>
      </w:r>
    </w:p>
    <w:p w:rsidR="00867290" w:rsidRPr="00BB2924" w:rsidRDefault="00867290" w:rsidP="00923616">
      <w:pPr>
        <w:pStyle w:val="HStandard"/>
        <w:rPr>
          <w:highlight w:val="yellow"/>
        </w:rPr>
      </w:pPr>
      <w:r>
        <w:rPr>
          <w:highlight w:val="yellow"/>
        </w:rPr>
        <w:t>Države članice moraju Komisiji podnijeti Izvješće o napretku provedbe Sporazuma o partnerstvu do 31. kolovoza 2017., odnosno 2019.</w:t>
      </w:r>
      <w:r>
        <w:rPr>
          <w:rFonts w:ascii="ZWAdobeF" w:hAnsi="ZWAdobeF"/>
          <w:color w:val="auto"/>
          <w:sz w:val="2"/>
          <w:highlight w:val="yellow"/>
        </w:rPr>
        <w:t>29F</w:t>
      </w:r>
      <w:r>
        <w:rPr>
          <w:rStyle w:val="FootnoteReference"/>
          <w:highlight w:val="yellow"/>
        </w:rPr>
        <w:footnoteReference w:id="30"/>
      </w:r>
      <w:r>
        <w:rPr>
          <w:highlight w:val="yellow"/>
        </w:rPr>
        <w:t xml:space="preserve"> Ta izvješća obavještavaju o zaključcima evaluacije koji se odnose na NRM ako je procjena NRM-a uključivala aspekte o kojima treba izvijestiti</w:t>
      </w:r>
      <w:r>
        <w:rPr>
          <w:rFonts w:ascii="ZWAdobeF" w:hAnsi="ZWAdobeF"/>
          <w:color w:val="auto"/>
          <w:sz w:val="2"/>
          <w:highlight w:val="yellow"/>
        </w:rPr>
        <w:t>30F</w:t>
      </w:r>
      <w:r>
        <w:rPr>
          <w:rStyle w:val="FootnoteReference"/>
          <w:highlight w:val="yellow"/>
        </w:rPr>
        <w:footnoteReference w:id="31"/>
      </w:r>
      <w:r>
        <w:rPr>
          <w:highlight w:val="yellow"/>
        </w:rPr>
        <w:t xml:space="preserve"> u izvješću o napretku, kao što su uloga partnera, mjere poduzete za jačanje kapaciteta vlasti država članica da raspolažu ESI </w:t>
      </w:r>
      <w:r>
        <w:rPr>
          <w:highlight w:val="yellow"/>
        </w:rPr>
        <w:lastRenderedPageBreak/>
        <w:t xml:space="preserve">fondovima te poduzete mjere i učinjeni napredak u pogledu smanjenja administrativnog tereta za korisnike. </w:t>
      </w:r>
    </w:p>
    <w:p w:rsidR="00867290" w:rsidRPr="00BB2924" w:rsidRDefault="00867290" w:rsidP="006D3475">
      <w:pPr>
        <w:pStyle w:val="HHeading5"/>
        <w:rPr>
          <w:highlight w:val="yellow"/>
        </w:rPr>
      </w:pPr>
      <w:r>
        <w:rPr>
          <w:highlight w:val="yellow"/>
        </w:rPr>
        <w:t xml:space="preserve">Izvješćivanje o evaluaciji (P)NRM-ova u </w:t>
      </w:r>
      <w:r w:rsidRPr="00DF00C2">
        <w:rPr>
          <w:i/>
          <w:highlight w:val="yellow"/>
        </w:rPr>
        <w:t>ex post</w:t>
      </w:r>
      <w:r>
        <w:rPr>
          <w:highlight w:val="yellow"/>
        </w:rPr>
        <w:t xml:space="preserve"> evaluaciji</w:t>
      </w:r>
    </w:p>
    <w:p w:rsidR="00867290" w:rsidRPr="00BB2924" w:rsidRDefault="00867290" w:rsidP="00923616">
      <w:pPr>
        <w:pStyle w:val="HStandard"/>
        <w:rPr>
          <w:highlight w:val="yellow"/>
        </w:rPr>
      </w:pPr>
      <w:r>
        <w:rPr>
          <w:highlight w:val="yellow"/>
        </w:rPr>
        <w:t xml:space="preserve">Slično nadopunjenim godišnjim izvješćima o provedbi, </w:t>
      </w:r>
      <w:r w:rsidRPr="00DF00C2">
        <w:rPr>
          <w:i/>
          <w:highlight w:val="yellow"/>
        </w:rPr>
        <w:t>ex post</w:t>
      </w:r>
      <w:r>
        <w:rPr>
          <w:highlight w:val="yellow"/>
        </w:rPr>
        <w:t xml:space="preserve"> evaluacija, koju treba predati do 31. prosinca 2024.</w:t>
      </w:r>
      <w:r>
        <w:rPr>
          <w:rFonts w:ascii="ZWAdobeF" w:hAnsi="ZWAdobeF"/>
          <w:color w:val="auto"/>
          <w:sz w:val="2"/>
          <w:highlight w:val="yellow"/>
        </w:rPr>
        <w:t>31F</w:t>
      </w:r>
      <w:r>
        <w:rPr>
          <w:rStyle w:val="FootnoteReference"/>
          <w:highlight w:val="yellow"/>
        </w:rPr>
        <w:footnoteReference w:id="32"/>
      </w:r>
      <w:r>
        <w:rPr>
          <w:highlight w:val="yellow"/>
        </w:rPr>
        <w:t>, mora sadržavati odgovor na ZPE</w:t>
      </w:r>
      <w:r>
        <w:rPr>
          <w:rFonts w:ascii="ZWAdobeF" w:hAnsi="ZWAdobeF"/>
          <w:color w:val="auto"/>
          <w:sz w:val="2"/>
          <w:highlight w:val="yellow"/>
        </w:rPr>
        <w:t>32F</w:t>
      </w:r>
      <w:r>
        <w:rPr>
          <w:rStyle w:val="FootnoteReference"/>
          <w:highlight w:val="yellow"/>
        </w:rPr>
        <w:footnoteReference w:id="33"/>
      </w:r>
      <w:r>
        <w:rPr>
          <w:highlight w:val="yellow"/>
        </w:rPr>
        <w:t xml:space="preserve"> u vezi s NRM-ovima, koristeći se zajedničkim pokazateljima ostvarenja. Ako program sadržava evaluacijska pitanja i pokazatelje za pojedine programe koji se odnose na NRM (npr. pokazatelji rezultata i učinaka koji se odnose na NRM), trebalo bi osigurati informacije o njihovoj procjeni i odgovore na evaluacijska pitanja za pojedine programe.</w:t>
      </w:r>
    </w:p>
    <w:p w:rsidR="00867290" w:rsidRPr="00BB2924" w:rsidRDefault="00867290" w:rsidP="00CA5E80">
      <w:pPr>
        <w:pStyle w:val="HHeading3"/>
        <w:numPr>
          <w:ilvl w:val="0"/>
          <w:numId w:val="0"/>
        </w:numPr>
        <w:rPr>
          <w:highlight w:val="yellow"/>
        </w:rPr>
      </w:pPr>
      <w:bookmarkStart w:id="39" w:name="_Toc453079751"/>
      <w:bookmarkStart w:id="40" w:name="_Toc461713625"/>
      <w:r>
        <w:rPr>
          <w:highlight w:val="yellow"/>
        </w:rPr>
        <w:t>1.4.2. Žarište evaluacije NRM-a: što treba procijeniti?</w:t>
      </w:r>
      <w:bookmarkEnd w:id="39"/>
      <w:bookmarkEnd w:id="40"/>
    </w:p>
    <w:p w:rsidR="00867290" w:rsidRPr="00BB2924" w:rsidRDefault="00867290" w:rsidP="00240358">
      <w:pPr>
        <w:pStyle w:val="HStandard"/>
        <w:rPr>
          <w:highlight w:val="yellow"/>
        </w:rPr>
      </w:pPr>
      <w:r>
        <w:rPr>
          <w:highlight w:val="yellow"/>
        </w:rPr>
        <w:t xml:space="preserve">NRM se utvrđuje radi ostvarivanja </w:t>
      </w:r>
      <w:r>
        <w:rPr>
          <w:b/>
          <w:highlight w:val="yellow"/>
        </w:rPr>
        <w:t>ciljeva koji se odnose na NRM</w:t>
      </w:r>
      <w:r>
        <w:rPr>
          <w:highlight w:val="yellow"/>
        </w:rPr>
        <w:t xml:space="preserve"> i </w:t>
      </w:r>
      <w:r>
        <w:rPr>
          <w:b/>
          <w:highlight w:val="yellow"/>
        </w:rPr>
        <w:t>doprinosa širim ciljevima politike ruralnog razvoja EU-a</w:t>
      </w:r>
      <w:r>
        <w:rPr>
          <w:highlight w:val="yellow"/>
        </w:rPr>
        <w:t xml:space="preserve">. Bave se prioritetima politike ruralnog razvoja i potrebama ruralnih područja (relevantnost). </w:t>
      </w:r>
    </w:p>
    <w:p w:rsidR="00867290" w:rsidRPr="00BB2924" w:rsidRDefault="00867290" w:rsidP="00240358">
      <w:pPr>
        <w:pStyle w:val="HStandard"/>
        <w:rPr>
          <w:highlight w:val="yellow"/>
        </w:rPr>
      </w:pPr>
      <w:r>
        <w:rPr>
          <w:highlight w:val="yellow"/>
        </w:rPr>
        <w:t xml:space="preserve">Kako bi se </w:t>
      </w:r>
      <w:r>
        <w:rPr>
          <w:b/>
          <w:highlight w:val="yellow"/>
        </w:rPr>
        <w:t>ostvarili</w:t>
      </w:r>
      <w:r>
        <w:rPr>
          <w:highlight w:val="yellow"/>
        </w:rPr>
        <w:t xml:space="preserve"> navedeni ciljevi ili kako bi se njima pridonijelo, NRM mora proizvoditi ostvarenja doprinosom u obliku provedbe raznih skupina aktivnosti. Ostvarenja bi tako trebala ostvarivati </w:t>
      </w:r>
      <w:r>
        <w:rPr>
          <w:b/>
          <w:highlight w:val="yellow"/>
        </w:rPr>
        <w:t>rezultate i učinke NRM-a</w:t>
      </w:r>
      <w:r>
        <w:rPr>
          <w:highlight w:val="yellow"/>
        </w:rPr>
        <w:t xml:space="preserve"> na </w:t>
      </w:r>
      <w:r>
        <w:rPr>
          <w:b/>
          <w:highlight w:val="yellow"/>
        </w:rPr>
        <w:t xml:space="preserve">djelotvoran </w:t>
      </w:r>
      <w:r>
        <w:rPr>
          <w:highlight w:val="yellow"/>
        </w:rPr>
        <w:t xml:space="preserve">način i omogućiti </w:t>
      </w:r>
      <w:r>
        <w:rPr>
          <w:b/>
          <w:highlight w:val="yellow"/>
        </w:rPr>
        <w:t>učinkovito</w:t>
      </w:r>
      <w:r>
        <w:rPr>
          <w:highlight w:val="yellow"/>
        </w:rPr>
        <w:t xml:space="preserve"> postizanje ciljeva NRM-a te doprinositi ciljevima politike ruralnog razvoja ruralnih područja EU-a. </w:t>
      </w:r>
    </w:p>
    <w:p w:rsidR="00867290" w:rsidRPr="00BB2924" w:rsidRDefault="00867290" w:rsidP="00240358">
      <w:pPr>
        <w:pStyle w:val="HStandard"/>
        <w:rPr>
          <w:highlight w:val="yellow"/>
        </w:rPr>
      </w:pPr>
      <w:r>
        <w:rPr>
          <w:b/>
          <w:highlight w:val="yellow"/>
        </w:rPr>
        <w:t>Ciljevi, aktivnosti, ostvarenja, rezultati i učinci su temelji intervencijske logike NRM-a.</w:t>
      </w:r>
      <w:r>
        <w:rPr>
          <w:highlight w:val="yellow"/>
        </w:rPr>
        <w:t xml:space="preserve"> Unutarnja i vanjska dosljednost, relevantnost, učinkovitost i djelotvornost intervencijske logike NRM-a temeljni je preduvjet uspješne provedbe NRM-a tijekom cijelog programskog razdoblja, a istodobno predstavlja žarište evaluacije NRM-a.</w:t>
      </w:r>
    </w:p>
    <w:p w:rsidR="00867290" w:rsidRPr="00074461" w:rsidRDefault="00867290" w:rsidP="00074461">
      <w:pPr>
        <w:pStyle w:val="HHeadingfigures"/>
        <w:numPr>
          <w:ilvl w:val="0"/>
          <w:numId w:val="0"/>
        </w:numPr>
        <w:rPr>
          <w:highlight w:val="yellow"/>
        </w:rPr>
      </w:pPr>
      <w:r>
        <w:br w:type="column"/>
      </w:r>
      <w:bookmarkStart w:id="41" w:name="_Toc451781924"/>
      <w:bookmarkStart w:id="42" w:name="_Ref451784361"/>
      <w:bookmarkStart w:id="43" w:name="_Ref451784678"/>
      <w:bookmarkStart w:id="44" w:name="_Ref451784699"/>
      <w:bookmarkStart w:id="45" w:name="_Toc461713651"/>
      <w:r w:rsidRPr="00074461">
        <w:rPr>
          <w:highlight w:val="yellow"/>
        </w:rPr>
        <w:lastRenderedPageBreak/>
        <w:t>Slika 5. Fokus evaluacije NRM-a</w:t>
      </w:r>
      <w:bookmarkEnd w:id="41"/>
      <w:bookmarkEnd w:id="42"/>
      <w:bookmarkEnd w:id="43"/>
      <w:bookmarkEnd w:id="44"/>
      <w:bookmarkEnd w:id="45"/>
    </w:p>
    <w:p w:rsidR="00867290" w:rsidRPr="00BB2924" w:rsidRDefault="00867290" w:rsidP="003C20E8">
      <w:pPr>
        <w:pStyle w:val="HStandard"/>
        <w:jc w:val="center"/>
        <w:rPr>
          <w:highlight w:val="yellow"/>
        </w:rPr>
      </w:pPr>
      <w:r>
        <w:rPr>
          <w:noProof/>
          <w:highlight w:val="yellow"/>
          <w:lang w:val="en-GB" w:eastAsia="en-GB" w:bidi="ar-SA"/>
        </w:rPr>
        <w:drawing>
          <wp:inline distT="0" distB="0" distL="0" distR="0" wp14:anchorId="6DE4D0D3" wp14:editId="7E2C3020">
            <wp:extent cx="4791075" cy="3960202"/>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06512" cy="3972962"/>
                    </a:xfrm>
                    <a:prstGeom prst="rect">
                      <a:avLst/>
                    </a:prstGeom>
                    <a:noFill/>
                  </pic:spPr>
                </pic:pic>
              </a:graphicData>
            </a:graphic>
          </wp:inline>
        </w:drawing>
      </w:r>
    </w:p>
    <w:p w:rsidR="00867290" w:rsidRPr="00BB2924" w:rsidRDefault="00867290" w:rsidP="003C20E8">
      <w:pPr>
        <w:pStyle w:val="HSource"/>
        <w:rPr>
          <w:highlight w:val="yellow"/>
        </w:rPr>
      </w:pPr>
      <w:r>
        <w:rPr>
          <w:highlight w:val="yellow"/>
        </w:rPr>
        <w:t>Izvor: Europski centar za pomoć pri evaluaciji za ruralni razvoj, 2016.</w:t>
      </w:r>
    </w:p>
    <w:p w:rsidR="00867290" w:rsidRPr="00BB2924" w:rsidRDefault="00867290" w:rsidP="00240358">
      <w:pPr>
        <w:pStyle w:val="HStandard"/>
        <w:rPr>
          <w:highlight w:val="yellow"/>
        </w:rPr>
      </w:pPr>
      <w:r>
        <w:rPr>
          <w:highlight w:val="yellow"/>
        </w:rPr>
        <w:t xml:space="preserve">U tekstu u nastavku detaljnije se objašnjava fokus evaluacije NRM-a. </w:t>
      </w:r>
    </w:p>
    <w:p w:rsidR="00867290" w:rsidRPr="00BB2924" w:rsidRDefault="00867290" w:rsidP="00403F21">
      <w:pPr>
        <w:pStyle w:val="HHeading5"/>
        <w:rPr>
          <w:highlight w:val="yellow"/>
        </w:rPr>
      </w:pPr>
      <w:r>
        <w:rPr>
          <w:highlight w:val="yellow"/>
        </w:rPr>
        <w:t xml:space="preserve">Unutarnja dosljednost i relevantnost intervencijske logike NRM-a </w:t>
      </w:r>
    </w:p>
    <w:p w:rsidR="00867290" w:rsidRPr="00BB2924" w:rsidRDefault="00867290" w:rsidP="00403F21">
      <w:pPr>
        <w:pStyle w:val="HHeading5"/>
        <w:rPr>
          <w:highlight w:val="yellow"/>
        </w:rPr>
      </w:pPr>
      <w:r>
        <w:rPr>
          <w:color w:val="auto"/>
          <w:highlight w:val="yellow"/>
        </w:rPr>
        <w:t xml:space="preserve">Ciljevi NRM-a </w:t>
      </w:r>
    </w:p>
    <w:p w:rsidR="00867290" w:rsidRPr="00BB2924" w:rsidRDefault="00867290" w:rsidP="00403F21">
      <w:pPr>
        <w:pStyle w:val="HStandard"/>
        <w:rPr>
          <w:highlight w:val="yellow"/>
        </w:rPr>
      </w:pPr>
      <w:r>
        <w:rPr>
          <w:highlight w:val="yellow"/>
        </w:rPr>
        <w:t>Konstrukcija intervencijske logike (P)NRM-a počinje s ciljevima NRM-a. Pravnim okvirom definirani su ciljevi NRM-a, koji su u hijerarhiji ciljeva NRM-a predloženi kao sveobuhvatni ciljevi NRM-a.</w:t>
      </w:r>
    </w:p>
    <w:p w:rsidR="00867290" w:rsidRPr="00BB2924" w:rsidRDefault="00867290" w:rsidP="00403F21">
      <w:pPr>
        <w:pStyle w:val="HStandard"/>
        <w:rPr>
          <w:highlight w:val="yellow"/>
        </w:rPr>
      </w:pPr>
      <w:r>
        <w:rPr>
          <w:highlight w:val="yellow"/>
        </w:rPr>
        <w:t xml:space="preserve">Sljedeći su </w:t>
      </w:r>
      <w:r>
        <w:rPr>
          <w:b/>
          <w:highlight w:val="yellow"/>
        </w:rPr>
        <w:t>ciljevi politike</w:t>
      </w:r>
      <w:r>
        <w:rPr>
          <w:highlight w:val="yellow"/>
        </w:rPr>
        <w:t xml:space="preserve"> u vezi s NRM-ovima utvrđeni</w:t>
      </w:r>
      <w:r>
        <w:rPr>
          <w:b/>
          <w:highlight w:val="yellow"/>
        </w:rPr>
        <w:t xml:space="preserve"> na razini EU-a</w:t>
      </w:r>
      <w:r>
        <w:rPr>
          <w:rFonts w:ascii="ZWAdobeF" w:hAnsi="ZWAdobeF"/>
          <w:color w:val="auto"/>
          <w:sz w:val="2"/>
          <w:highlight w:val="yellow"/>
        </w:rPr>
        <w:t>33F</w:t>
      </w:r>
      <w:r>
        <w:rPr>
          <w:rStyle w:val="FootnoteReference"/>
          <w:highlight w:val="yellow"/>
        </w:rPr>
        <w:footnoteReference w:id="34"/>
      </w:r>
      <w:r>
        <w:rPr>
          <w:highlight w:val="yellow"/>
        </w:rPr>
        <w:t xml:space="preserve">: </w:t>
      </w:r>
    </w:p>
    <w:p w:rsidR="00867290" w:rsidRPr="00BB2924" w:rsidRDefault="00867290" w:rsidP="00403F21">
      <w:pPr>
        <w:pStyle w:val="Hlistbullet"/>
        <w:rPr>
          <w:highlight w:val="yellow"/>
        </w:rPr>
      </w:pPr>
      <w:r>
        <w:rPr>
          <w:highlight w:val="yellow"/>
        </w:rPr>
        <w:t xml:space="preserve">povećati sudjelovanje dionika u provedbi ruralnog razvoja; </w:t>
      </w:r>
    </w:p>
    <w:p w:rsidR="00867290" w:rsidRPr="00BB2924" w:rsidRDefault="00867290" w:rsidP="00403F21">
      <w:pPr>
        <w:pStyle w:val="Hlistbullet"/>
        <w:rPr>
          <w:highlight w:val="yellow"/>
        </w:rPr>
      </w:pPr>
      <w:r>
        <w:rPr>
          <w:highlight w:val="yellow"/>
        </w:rPr>
        <w:t xml:space="preserve">poboljšati kvalitetu provedbe programa ruralnog razvoja; </w:t>
      </w:r>
    </w:p>
    <w:p w:rsidR="00867290" w:rsidRPr="00BB2924" w:rsidRDefault="00867290" w:rsidP="00403F21">
      <w:pPr>
        <w:pStyle w:val="Hlistbullet"/>
        <w:rPr>
          <w:highlight w:val="yellow"/>
        </w:rPr>
      </w:pPr>
      <w:r>
        <w:rPr>
          <w:highlight w:val="yellow"/>
        </w:rPr>
        <w:t xml:space="preserve">obavještavati širu javnost i potencijalne korisnike o politici ruralnog razvoja i mogućnostima financiranja; </w:t>
      </w:r>
    </w:p>
    <w:p w:rsidR="00867290" w:rsidRPr="00BB2924" w:rsidRDefault="00867290" w:rsidP="00403F21">
      <w:pPr>
        <w:pStyle w:val="Hlistbullet2"/>
        <w:rPr>
          <w:highlight w:val="yellow"/>
        </w:rPr>
      </w:pPr>
      <w:r>
        <w:rPr>
          <w:highlight w:val="yellow"/>
        </w:rPr>
        <w:t>poticati inovacije u poljoprivredi, proizvodnji hrane, šumarstvu i ruralnim područjima.</w:t>
      </w:r>
    </w:p>
    <w:p w:rsidR="00867290" w:rsidRPr="00BB2924" w:rsidRDefault="00867290" w:rsidP="00403F21">
      <w:pPr>
        <w:pStyle w:val="HStandard"/>
        <w:rPr>
          <w:highlight w:val="yellow"/>
        </w:rPr>
      </w:pPr>
      <w:r>
        <w:rPr>
          <w:highlight w:val="yellow"/>
        </w:rPr>
        <w:t>Dionici NRM-a mogu definirati i ciljeve NRM-a za pojedine programe ako su programskom SWOT analizom i procjenom potreba utvrđene konkretne potrebe koje bi ruralne mreže trebale riješiti. Ciljevi NRM-a za pojedine programe mogu se definirati na svakoj razini hijerarhije ciljeva NRM-a</w:t>
      </w:r>
      <w:r>
        <w:rPr>
          <w:rFonts w:ascii="ZWAdobeF" w:hAnsi="ZWAdobeF"/>
          <w:color w:val="auto"/>
          <w:sz w:val="2"/>
          <w:highlight w:val="yellow"/>
        </w:rPr>
        <w:t>34F</w:t>
      </w:r>
      <w:r>
        <w:rPr>
          <w:rStyle w:val="FootnoteReference"/>
          <w:highlight w:val="yellow"/>
        </w:rPr>
        <w:footnoteReference w:id="35"/>
      </w:r>
      <w:r>
        <w:rPr>
          <w:highlight w:val="yellow"/>
        </w:rPr>
        <w:t xml:space="preserve">. </w:t>
      </w:r>
    </w:p>
    <w:p w:rsidR="00867290" w:rsidRPr="00BB2924" w:rsidRDefault="00867290" w:rsidP="00403F21">
      <w:pPr>
        <w:pStyle w:val="HStandard"/>
        <w:rPr>
          <w:highlight w:val="yellow"/>
        </w:rPr>
      </w:pPr>
      <w:r>
        <w:rPr>
          <w:highlight w:val="yellow"/>
        </w:rPr>
        <w:t xml:space="preserve">Tri su razine u hijerarhiji ciljeva NRM-a: </w:t>
      </w:r>
    </w:p>
    <w:p w:rsidR="00867290" w:rsidRPr="00BB2924" w:rsidRDefault="00867290" w:rsidP="0088579D">
      <w:pPr>
        <w:pStyle w:val="Hlistbullet"/>
        <w:rPr>
          <w:highlight w:val="yellow"/>
        </w:rPr>
      </w:pPr>
      <w:r>
        <w:rPr>
          <w:b/>
          <w:highlight w:val="yellow"/>
        </w:rPr>
        <w:t>sveobuhvatni ciljevi NRM-a</w:t>
      </w:r>
      <w:r>
        <w:rPr>
          <w:highlight w:val="yellow"/>
        </w:rPr>
        <w:t xml:space="preserve"> (povezani s učincima NRM-a u intervencijskoj logici NRM-a): </w:t>
      </w:r>
    </w:p>
    <w:p w:rsidR="00867290" w:rsidRPr="00BB2924" w:rsidRDefault="00867290" w:rsidP="00892664">
      <w:pPr>
        <w:pStyle w:val="HStandard"/>
        <w:numPr>
          <w:ilvl w:val="1"/>
          <w:numId w:val="14"/>
        </w:numPr>
        <w:ind w:left="1442"/>
        <w:rPr>
          <w:highlight w:val="yellow"/>
        </w:rPr>
      </w:pPr>
      <w:r>
        <w:rPr>
          <w:highlight w:val="yellow"/>
        </w:rPr>
        <w:lastRenderedPageBreak/>
        <w:t xml:space="preserve">četiri zajednička cilja NRM-a, ukorijenjena u pravnom okviru i povezana sa spomenutim ciljevima politike EU-a; </w:t>
      </w:r>
    </w:p>
    <w:p w:rsidR="00867290" w:rsidRPr="00BB2924" w:rsidRDefault="00867290" w:rsidP="00892664">
      <w:pPr>
        <w:pStyle w:val="HStandard"/>
        <w:numPr>
          <w:ilvl w:val="1"/>
          <w:numId w:val="14"/>
        </w:numPr>
        <w:ind w:left="1442"/>
        <w:rPr>
          <w:highlight w:val="yellow"/>
        </w:rPr>
      </w:pPr>
      <w:r>
        <w:rPr>
          <w:highlight w:val="yellow"/>
        </w:rPr>
        <w:t>sveobuhvatni ciljevi definirani u državama članicama kao ciljevi za pojedine programe;</w:t>
      </w:r>
    </w:p>
    <w:p w:rsidR="00867290" w:rsidRPr="00BB2924" w:rsidRDefault="00867290" w:rsidP="008C47A9">
      <w:pPr>
        <w:pStyle w:val="Hlistbullet"/>
        <w:rPr>
          <w:highlight w:val="yellow"/>
        </w:rPr>
      </w:pPr>
      <w:r>
        <w:rPr>
          <w:b/>
          <w:highlight w:val="yellow"/>
        </w:rPr>
        <w:t>pojedini ciljevi NRM-a</w:t>
      </w:r>
      <w:r>
        <w:rPr>
          <w:highlight w:val="yellow"/>
        </w:rPr>
        <w:t xml:space="preserve"> definirani u državama članicama kao ciljevi za pojedine programe (povezani s rezultatima NRM-a u intervencijskoj logici NRM-a), koji dalje preciziraju sveobuhvatne ciljeve;</w:t>
      </w:r>
    </w:p>
    <w:p w:rsidR="00867290" w:rsidRPr="00BB2924" w:rsidRDefault="00867290" w:rsidP="008C47A9">
      <w:pPr>
        <w:pStyle w:val="Hlistbullet2"/>
        <w:rPr>
          <w:highlight w:val="yellow"/>
        </w:rPr>
      </w:pPr>
      <w:r>
        <w:rPr>
          <w:b/>
          <w:highlight w:val="yellow"/>
        </w:rPr>
        <w:t>operativni ciljevi</w:t>
      </w:r>
      <w:r>
        <w:rPr>
          <w:highlight w:val="yellow"/>
        </w:rPr>
        <w:t xml:space="preserve"> definirani kao ciljevi za pojedine programe (povezani s ostvarenjima NRM-a ostvarenima akcijskim planom NRM-a) i povezani sa zajedničkim skupovima aktivnosti i skupovima aktivnosti za pojedine programe. </w:t>
      </w:r>
    </w:p>
    <w:p w:rsidR="00867290" w:rsidRPr="00BB2924" w:rsidRDefault="00867290" w:rsidP="00403F21">
      <w:pPr>
        <w:pStyle w:val="HStandard"/>
        <w:rPr>
          <w:highlight w:val="yellow"/>
        </w:rPr>
      </w:pPr>
      <w:r>
        <w:rPr>
          <w:highlight w:val="yellow"/>
        </w:rPr>
        <w:t xml:space="preserve">Sveobuhvatne, pojedine i operativne ciljeve NRM-a trebalo bi definirati kao </w:t>
      </w:r>
      <w:r>
        <w:rPr>
          <w:b/>
          <w:highlight w:val="yellow"/>
        </w:rPr>
        <w:t>relevantne</w:t>
      </w:r>
      <w:r>
        <w:rPr>
          <w:highlight w:val="yellow"/>
        </w:rPr>
        <w:t xml:space="preserve"> u rješavanju pojedinih potreba programskog područja i uz potpuno poštovanje </w:t>
      </w:r>
      <w:r>
        <w:rPr>
          <w:b/>
          <w:highlight w:val="yellow"/>
        </w:rPr>
        <w:t>vertikalne dosljednosti</w:t>
      </w:r>
      <w:r>
        <w:rPr>
          <w:highlight w:val="yellow"/>
        </w:rPr>
        <w:t xml:space="preserve">. To znači da ostvarenje operativnih ciljeva mora pridonijeti ostvarenju pojedinih ciljeva i ostvarenje pojedinih ciljeva ostvarenju sveobuhvatnih ciljeva. </w:t>
      </w:r>
    </w:p>
    <w:p w:rsidR="00867290" w:rsidRPr="00BB2924" w:rsidRDefault="00867290" w:rsidP="00403F21">
      <w:pPr>
        <w:pStyle w:val="HHeading5"/>
        <w:rPr>
          <w:color w:val="auto"/>
          <w:highlight w:val="yellow"/>
        </w:rPr>
      </w:pPr>
      <w:r>
        <w:rPr>
          <w:color w:val="auto"/>
          <w:highlight w:val="yellow"/>
        </w:rPr>
        <w:t>Učinci NRM-a (rezultati i učinci)</w:t>
      </w:r>
    </w:p>
    <w:p w:rsidR="00867290" w:rsidRPr="00BB2924" w:rsidRDefault="00867290" w:rsidP="00403F21">
      <w:pPr>
        <w:pStyle w:val="HStandard"/>
        <w:rPr>
          <w:highlight w:val="yellow"/>
        </w:rPr>
      </w:pPr>
      <w:r>
        <w:rPr>
          <w:highlight w:val="yellow"/>
        </w:rPr>
        <w:t>NRM intervenira aktivnostima akcijskog plana NRM-a ili, za PNRM-ove, provedenim operacijama. Pravnim okvirom</w:t>
      </w:r>
      <w:r>
        <w:rPr>
          <w:rFonts w:ascii="ZWAdobeF" w:hAnsi="ZWAdobeF"/>
          <w:color w:val="auto"/>
          <w:sz w:val="2"/>
          <w:highlight w:val="yellow"/>
        </w:rPr>
        <w:t>35F</w:t>
      </w:r>
      <w:r>
        <w:rPr>
          <w:rStyle w:val="FootnoteReference"/>
          <w:highlight w:val="yellow"/>
        </w:rPr>
        <w:footnoteReference w:id="36"/>
      </w:r>
      <w:r>
        <w:rPr>
          <w:highlight w:val="yellow"/>
        </w:rPr>
        <w:t xml:space="preserve"> propisuje se zajednički skup aktivnosti, koje se mogu dopuniti s više aktivnosti za pojedine programe oblikovanih u državama članicama. Iako su poveznice između zajedničkih skupova aktivnosti NRM-a i zajedničkih ciljeva NRM-a predložene u Pregledu smjernica za osnivanje i djelovanje nacionalnih ruralnih mreža u Prilogu 1., dionici u državama članicama mogu utvrditi vlastite poveznice između ciljeva NRM-a i aktivnosti u intervencijskoj logici za pojedini NRM. </w:t>
      </w:r>
    </w:p>
    <w:p w:rsidR="00867290" w:rsidRPr="00BB2924" w:rsidRDefault="00867290" w:rsidP="00403F21">
      <w:pPr>
        <w:pStyle w:val="HStandard"/>
        <w:rPr>
          <w:b/>
          <w:highlight w:val="yellow"/>
        </w:rPr>
      </w:pPr>
      <w:r>
        <w:rPr>
          <w:highlight w:val="yellow"/>
        </w:rPr>
        <w:t>Aktivnostima NRM-a proizvode se ostvarenja koja dalje ostvaruju učinke u obliku rezultata i učinaka NRM-a.</w:t>
      </w:r>
      <w:r>
        <w:rPr>
          <w:b/>
          <w:highlight w:val="yellow"/>
        </w:rPr>
        <w:t xml:space="preserve"> </w:t>
      </w:r>
      <w:r>
        <w:rPr>
          <w:highlight w:val="yellow"/>
        </w:rPr>
        <w:t xml:space="preserve">Svaka razina hijerarhija ciljeva NRM-a trebala bi biti </w:t>
      </w:r>
      <w:r>
        <w:rPr>
          <w:b/>
          <w:highlight w:val="yellow"/>
        </w:rPr>
        <w:t>horizontalno usklađena</w:t>
      </w:r>
      <w:r>
        <w:rPr>
          <w:highlight w:val="yellow"/>
        </w:rPr>
        <w:t xml:space="preserve"> sa svojom razinom očekivanih učinaka:</w:t>
      </w:r>
    </w:p>
    <w:p w:rsidR="00867290" w:rsidRPr="00BB2924" w:rsidRDefault="00867290" w:rsidP="008C47A9">
      <w:pPr>
        <w:pStyle w:val="Hlistbullet"/>
        <w:rPr>
          <w:highlight w:val="yellow"/>
        </w:rPr>
      </w:pPr>
      <w:r>
        <w:rPr>
          <w:highlight w:val="yellow"/>
        </w:rPr>
        <w:t>operativni ciljevi s očekivanim ostvarenjima;</w:t>
      </w:r>
    </w:p>
    <w:p w:rsidR="00867290" w:rsidRPr="00BB2924" w:rsidRDefault="00867290" w:rsidP="008C47A9">
      <w:pPr>
        <w:pStyle w:val="Hlistbullet"/>
        <w:rPr>
          <w:highlight w:val="yellow"/>
        </w:rPr>
      </w:pPr>
      <w:r>
        <w:rPr>
          <w:highlight w:val="yellow"/>
        </w:rPr>
        <w:t>pojedini ciljevi s očekivanim rezultatima;</w:t>
      </w:r>
    </w:p>
    <w:p w:rsidR="00867290" w:rsidRPr="00BB2924" w:rsidRDefault="00867290" w:rsidP="008C47A9">
      <w:pPr>
        <w:pStyle w:val="Hlistbullet"/>
        <w:rPr>
          <w:highlight w:val="yellow"/>
        </w:rPr>
      </w:pPr>
      <w:r>
        <w:rPr>
          <w:highlight w:val="yellow"/>
        </w:rPr>
        <w:t xml:space="preserve">sveobuhvatni ciljevi s očekivanim učincima. </w:t>
      </w:r>
    </w:p>
    <w:p w:rsidR="00867290" w:rsidRPr="00BB2924" w:rsidRDefault="00867290" w:rsidP="00403F21">
      <w:pPr>
        <w:pStyle w:val="HStandard"/>
        <w:ind w:firstLine="1"/>
        <w:rPr>
          <w:highlight w:val="yellow"/>
        </w:rPr>
      </w:pPr>
      <w:r>
        <w:rPr>
          <w:highlight w:val="yellow"/>
        </w:rPr>
        <w:t xml:space="preserve">Situacija se može objasniti sljedećim prikazom: </w:t>
      </w:r>
    </w:p>
    <w:p w:rsidR="00867290" w:rsidRPr="00057273" w:rsidRDefault="00867290" w:rsidP="00057273">
      <w:pPr>
        <w:pStyle w:val="HHeadingfigures"/>
        <w:numPr>
          <w:ilvl w:val="0"/>
          <w:numId w:val="0"/>
        </w:numPr>
        <w:rPr>
          <w:highlight w:val="yellow"/>
        </w:rPr>
      </w:pPr>
      <w:bookmarkStart w:id="46" w:name="_Toc445465120"/>
      <w:r>
        <w:br w:type="column"/>
      </w:r>
      <w:bookmarkStart w:id="47" w:name="_Toc451781925"/>
      <w:bookmarkStart w:id="48" w:name="_Ref451784505"/>
      <w:bookmarkStart w:id="49" w:name="_Ref451784593"/>
      <w:bookmarkStart w:id="50" w:name="_Ref451784688"/>
      <w:bookmarkStart w:id="51" w:name="_Toc461713652"/>
      <w:r w:rsidRPr="00057273">
        <w:rPr>
          <w:highlight w:val="yellow"/>
        </w:rPr>
        <w:lastRenderedPageBreak/>
        <w:t>Slika 6. Vertikalna i horizontalna dosljednost između ciljeva i učinaka NRM-a</w:t>
      </w:r>
      <w:bookmarkEnd w:id="46"/>
      <w:bookmarkEnd w:id="47"/>
      <w:bookmarkEnd w:id="48"/>
      <w:bookmarkEnd w:id="49"/>
      <w:bookmarkEnd w:id="50"/>
      <w:bookmarkEnd w:id="51"/>
    </w:p>
    <w:p w:rsidR="00867290" w:rsidRPr="00BB2924" w:rsidRDefault="00867290" w:rsidP="008C47A9">
      <w:pPr>
        <w:pStyle w:val="HStandard"/>
        <w:ind w:firstLine="1"/>
        <w:jc w:val="center"/>
        <w:rPr>
          <w:highlight w:val="yellow"/>
        </w:rPr>
      </w:pPr>
      <w:r w:rsidRPr="004E2A09">
        <w:rPr>
          <w:noProof/>
          <w:lang w:val="en-GB" w:eastAsia="en-GB" w:bidi="ar-SA"/>
        </w:rPr>
        <w:drawing>
          <wp:inline distT="0" distB="0" distL="0" distR="0" wp14:anchorId="1B9B0493" wp14:editId="250B42BC">
            <wp:extent cx="3924300" cy="391885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35979" cy="3930513"/>
                    </a:xfrm>
                    <a:prstGeom prst="rect">
                      <a:avLst/>
                    </a:prstGeom>
                    <a:noFill/>
                    <a:ln>
                      <a:noFill/>
                    </a:ln>
                  </pic:spPr>
                </pic:pic>
              </a:graphicData>
            </a:graphic>
          </wp:inline>
        </w:drawing>
      </w:r>
    </w:p>
    <w:p w:rsidR="00867290" w:rsidRPr="00BB2924" w:rsidRDefault="00867290" w:rsidP="00403F21">
      <w:pPr>
        <w:pStyle w:val="HSource"/>
        <w:rPr>
          <w:rFonts w:cs="Arial"/>
          <w:highlight w:val="yellow"/>
        </w:rPr>
      </w:pPr>
      <w:r>
        <w:rPr>
          <w:highlight w:val="yellow"/>
        </w:rPr>
        <w:t>Izvor: Europski centar za pomoć pri evaluaciji za ruralni razvoj, 2016.</w:t>
      </w:r>
    </w:p>
    <w:p w:rsidR="00867290" w:rsidRPr="00BB2924" w:rsidRDefault="00867290" w:rsidP="00403F21">
      <w:pPr>
        <w:pStyle w:val="HStandard"/>
        <w:rPr>
          <w:highlight w:val="yellow"/>
        </w:rPr>
      </w:pPr>
      <w:r>
        <w:rPr>
          <w:highlight w:val="yellow"/>
        </w:rPr>
        <w:t xml:space="preserve">Učinci NRM-a mogu se opisati na sljedeći način: </w:t>
      </w:r>
    </w:p>
    <w:p w:rsidR="00867290" w:rsidRPr="00BB2924" w:rsidRDefault="00867290" w:rsidP="005368DC">
      <w:pPr>
        <w:pStyle w:val="Hlistbullet2"/>
        <w:rPr>
          <w:highlight w:val="yellow"/>
        </w:rPr>
      </w:pPr>
      <w:r>
        <w:rPr>
          <w:b/>
          <w:highlight w:val="yellow"/>
        </w:rPr>
        <w:t>Rezultati NRM-a</w:t>
      </w:r>
      <w:r>
        <w:rPr>
          <w:highlight w:val="yellow"/>
        </w:rPr>
        <w:t xml:space="preserve"> horizontalno su povezani s pojedinim ciljevima NRM-a koji su definirani kao ciljevi za pojedine programe i koje su dionici NRM-a formulirali kao dio intervencijske logike NRM-a. Očekivani rezultati ostvareni su ostvarenjima aktivnosti / akcijskog plana NRM-a unutar skupine članova NRM-a u kratkom roku i povezani su s promjenama u ponašanju, stajalištima ljudi, sposobnostima, kapacitetima itd. Rezultati NRM-a doprinose ostvarenjima PRR-a (vidi </w:t>
      </w:r>
      <w:r>
        <w:rPr>
          <w:highlight w:val="yellow"/>
        </w:rPr>
        <w:fldChar w:fldCharType="begin" w:fldLock="1"/>
      </w:r>
      <w:r>
        <w:rPr>
          <w:highlight w:val="yellow"/>
        </w:rPr>
        <w:instrText xml:space="preserve"> REF _Ref451784361 \r \h  \* MERGEFORMAT </w:instrText>
      </w:r>
      <w:r>
        <w:rPr>
          <w:highlight w:val="yellow"/>
        </w:rPr>
      </w:r>
      <w:r>
        <w:rPr>
          <w:highlight w:val="yellow"/>
        </w:rPr>
        <w:fldChar w:fldCharType="separate"/>
      </w:r>
      <w:r>
        <w:rPr>
          <w:highlight w:val="yellow"/>
        </w:rPr>
        <w:t>Figure 5</w:t>
      </w:r>
      <w:r>
        <w:rPr>
          <w:highlight w:val="yellow"/>
        </w:rPr>
        <w:fldChar w:fldCharType="end"/>
      </w:r>
      <w:r>
        <w:rPr>
          <w:highlight w:val="yellow"/>
        </w:rPr>
        <w:t>). Na primjer, ako je u akcijskom planu NRM-a mnogo aktivnosti usredotočeno na prijenos inovativnih praksi koje podupiru bioraznolikost, može se očekivati da će se među članovima NRM-a i korisnicima povećati svijest o inovaciji.</w:t>
      </w:r>
    </w:p>
    <w:p w:rsidR="00867290" w:rsidRPr="00BB2924" w:rsidRDefault="00867290" w:rsidP="005368DC">
      <w:pPr>
        <w:pStyle w:val="Hlistbullet2"/>
        <w:rPr>
          <w:highlight w:val="yellow"/>
        </w:rPr>
      </w:pPr>
      <w:r>
        <w:rPr>
          <w:b/>
          <w:highlight w:val="yellow"/>
        </w:rPr>
        <w:t>Učinci NRM-a</w:t>
      </w:r>
      <w:r>
        <w:rPr>
          <w:highlight w:val="yellow"/>
        </w:rPr>
        <w:t xml:space="preserve"> jesu učinci NRM-a na različite dionike na teritoriju na koji se odnosi PRR. Očekivani učinci povezani su sa sveobuhvatnim ciljevima i dugoročno ih ostvaruju rezultati NRM-a. Učinci NRM-a doprinose rezultatima PRR-a i može ih se zamijetiti u području ruralnog razvoja, ali djeluju i na područja ljudskog i društvenog kapitala. Na primjer, inovativnim mjerama NRM-a poljoprivrednici mogu smanjiti emisije amonijaka. Osim toga, aktivnostima NRM-a može se poboljšati uključenost dionika u ruralnom razvoju i komunikacija u ruralnim područjima (vidi </w:t>
      </w:r>
      <w:r>
        <w:rPr>
          <w:highlight w:val="yellow"/>
        </w:rPr>
        <w:fldChar w:fldCharType="begin" w:fldLock="1"/>
      </w:r>
      <w:r>
        <w:rPr>
          <w:highlight w:val="yellow"/>
        </w:rPr>
        <w:instrText xml:space="preserve"> REF _Ref451784376 \r \h  \* MERGEFORMAT </w:instrText>
      </w:r>
      <w:r>
        <w:rPr>
          <w:highlight w:val="yellow"/>
        </w:rPr>
      </w:r>
      <w:r>
        <w:rPr>
          <w:highlight w:val="yellow"/>
        </w:rPr>
        <w:fldChar w:fldCharType="separate"/>
      </w:r>
      <w:r>
        <w:rPr>
          <w:highlight w:val="yellow"/>
        </w:rPr>
        <w:t>Figure 7</w:t>
      </w:r>
      <w:r>
        <w:rPr>
          <w:highlight w:val="yellow"/>
        </w:rPr>
        <w:fldChar w:fldCharType="end"/>
      </w:r>
      <w:r>
        <w:rPr>
          <w:highlight w:val="yellow"/>
        </w:rPr>
        <w:t>).</w:t>
      </w:r>
    </w:p>
    <w:p w:rsidR="00867290" w:rsidRPr="00BB2924" w:rsidRDefault="00867290" w:rsidP="008C47A9">
      <w:pPr>
        <w:pStyle w:val="HStandard"/>
        <w:rPr>
          <w:highlight w:val="yellow"/>
        </w:rPr>
      </w:pPr>
      <w:r>
        <w:rPr>
          <w:color w:val="auto"/>
          <w:highlight w:val="yellow"/>
        </w:rPr>
        <w:t>Učinci NRM-a na područjima ljudskog i društvenog kapitala (često zvani „dodana vrijednost” mreža)</w:t>
      </w:r>
      <w:r>
        <w:rPr>
          <w:highlight w:val="yellow"/>
        </w:rPr>
        <w:t xml:space="preserve"> predstavljaju vrlo širok spektar različitih tipova koristi unutar različitih skupina dionika koji mogu i ne moraju biti članovi i korisnici NRM-a.</w:t>
      </w:r>
      <w:r>
        <w:rPr>
          <w:color w:val="auto"/>
          <w:highlight w:val="yellow"/>
        </w:rPr>
        <w:t xml:space="preserve"> </w:t>
      </w:r>
      <w:r>
        <w:rPr>
          <w:highlight w:val="yellow"/>
        </w:rPr>
        <w:t xml:space="preserve">Učinci vezani za ljudski i društveni kapital </w:t>
      </w:r>
      <w:r>
        <w:rPr>
          <w:color w:val="auto"/>
          <w:highlight w:val="yellow"/>
        </w:rPr>
        <w:t xml:space="preserve">nastaju </w:t>
      </w:r>
      <w:r>
        <w:rPr>
          <w:highlight w:val="yellow"/>
        </w:rPr>
        <w:t xml:space="preserve">na različitim razinama: </w:t>
      </w:r>
    </w:p>
    <w:p w:rsidR="00867290" w:rsidRPr="00BB2924" w:rsidRDefault="00867290" w:rsidP="00D866BD">
      <w:pPr>
        <w:pStyle w:val="Hlistbullet2"/>
        <w:rPr>
          <w:highlight w:val="yellow"/>
        </w:rPr>
      </w:pPr>
      <w:r>
        <w:rPr>
          <w:highlight w:val="yellow"/>
        </w:rPr>
        <w:t xml:space="preserve">Na </w:t>
      </w:r>
      <w:r>
        <w:rPr>
          <w:b/>
          <w:highlight w:val="yellow"/>
        </w:rPr>
        <w:t>pojedinačnoj razini</w:t>
      </w:r>
      <w:r>
        <w:rPr>
          <w:highlight w:val="yellow"/>
        </w:rPr>
        <w:t xml:space="preserve">, ljudi koji su uključeni ili imaju koristi od aktivnosti umrežavanja mogu promijeniti svoje ponašanje ili ojačati svoje kapacitete za inovativne mjere. Poboljšavaju svoju sposobnost anticipiranja i reagiranja na izazove, kako bi stekli osjećaj za poduzetništvo i sretne prilike. Uče i savladati nove tehnologije, sastaviti ih s riznicama implicitnog znanja stečenog lokalnim tradicijama i stečenog znanja i vještina iz svojih obrazovnih i strukovnih pozadina. To </w:t>
      </w:r>
      <w:r>
        <w:rPr>
          <w:highlight w:val="yellow"/>
        </w:rPr>
        <w:lastRenderedPageBreak/>
        <w:t>povećava i njihov potencijal za suradnju i stručno bavljenje odnosima i interakcijama u okolišu sve veće različitosti.</w:t>
      </w:r>
    </w:p>
    <w:p w:rsidR="00867290" w:rsidRPr="00BB2924" w:rsidRDefault="00867290" w:rsidP="008C47A9">
      <w:pPr>
        <w:pStyle w:val="Hlistbullet2"/>
        <w:rPr>
          <w:highlight w:val="yellow"/>
        </w:rPr>
      </w:pPr>
      <w:r>
        <w:rPr>
          <w:highlight w:val="yellow"/>
        </w:rPr>
        <w:t>Na razini</w:t>
      </w:r>
      <w:r>
        <w:rPr>
          <w:b/>
          <w:highlight w:val="yellow"/>
        </w:rPr>
        <w:t xml:space="preserve"> poduzetništva </w:t>
      </w:r>
      <w:r w:rsidRPr="00B71DB3">
        <w:rPr>
          <w:highlight w:val="yellow"/>
        </w:rPr>
        <w:t>poduzeća</w:t>
      </w:r>
      <w:r>
        <w:rPr>
          <w:highlight w:val="yellow"/>
        </w:rPr>
        <w:t xml:space="preserve"> potiču individualne vještine, kulturu suradnje unutar tvrtke i između tvrtki u složenom okolišu u kojem se suradnja i konkurencija prepliću na mnoge načine. Poduzeća trebaju prihvatiti nove oblike poslovanja i vrijednost kvalitetnog rada i proizvoda. </w:t>
      </w:r>
    </w:p>
    <w:p w:rsidR="00867290" w:rsidRPr="00BB2924" w:rsidRDefault="00867290" w:rsidP="008C47A9">
      <w:pPr>
        <w:pStyle w:val="Hlistbullet2"/>
        <w:rPr>
          <w:highlight w:val="yellow"/>
        </w:rPr>
      </w:pPr>
      <w:r>
        <w:rPr>
          <w:b/>
          <w:highlight w:val="yellow"/>
        </w:rPr>
        <w:t>Organizacije civilnog društva</w:t>
      </w:r>
      <w:r>
        <w:rPr>
          <w:highlight w:val="yellow"/>
        </w:rPr>
        <w:t xml:space="preserve"> redovito sudjeluju, unoseći svoje zabrinutosti, kompetencije i vještine koje potiču svojim mjerama, predstavljajući interese koji se lako zanemare u globalnim igrama bogatstva i moći.</w:t>
      </w:r>
    </w:p>
    <w:p w:rsidR="00867290" w:rsidRPr="00BB2924" w:rsidRDefault="00867290" w:rsidP="008C47A9">
      <w:pPr>
        <w:pStyle w:val="Hlistbullet2"/>
        <w:rPr>
          <w:highlight w:val="yellow"/>
        </w:rPr>
      </w:pPr>
      <w:r>
        <w:rPr>
          <w:b/>
          <w:highlight w:val="yellow"/>
        </w:rPr>
        <w:t xml:space="preserve">Institucije </w:t>
      </w:r>
      <w:r>
        <w:rPr>
          <w:highlight w:val="yellow"/>
        </w:rPr>
        <w:t xml:space="preserve">se preoblikuju prema svojoj svrsi i za pravu službu ljudima i zajednicama; pružajući kontinuitet u svijetu rastuće nesigurnosti, ali spremne prilagoditi se i preobraziti kad okolnosti to zahtijevaju. </w:t>
      </w:r>
    </w:p>
    <w:p w:rsidR="00867290" w:rsidRPr="00BB2924" w:rsidRDefault="00867290" w:rsidP="008C47A9">
      <w:pPr>
        <w:pStyle w:val="Hlistbullet2"/>
        <w:rPr>
          <w:highlight w:val="yellow"/>
        </w:rPr>
      </w:pPr>
      <w:r>
        <w:rPr>
          <w:b/>
          <w:highlight w:val="yellow"/>
        </w:rPr>
        <w:t>Društvene i gospodarske sektore</w:t>
      </w:r>
      <w:r>
        <w:rPr>
          <w:highlight w:val="yellow"/>
        </w:rPr>
        <w:t xml:space="preserve"> i lokalne zajednice može se gledati kao sustave suradnje koji uključuju ljude, poduzeća, institucije i organizacije civilnog društva. Te organizacije dobivaju svježe utjecaje, imaju iskustvo novih mogućnosti za inovaciju i diversifikaciju, da postanu predvodnici transformacija na višoj razini i da se suočavaju s budućim izazovima s kojima se ne mogu nositi samo lokalnim mjerama. </w:t>
      </w:r>
    </w:p>
    <w:p w:rsidR="00867290" w:rsidRPr="00BB2924" w:rsidRDefault="00867290" w:rsidP="00403F21">
      <w:pPr>
        <w:rPr>
          <w:rFonts w:cs="Arial"/>
          <w:b/>
          <w:color w:val="E7E6E6" w:themeColor="background2"/>
          <w:sz w:val="20"/>
          <w:szCs w:val="20"/>
          <w:highlight w:val="yellow"/>
        </w:rPr>
      </w:pPr>
      <w:r>
        <w:rPr>
          <w:sz w:val="20"/>
          <w:highlight w:val="yellow"/>
        </w:rPr>
        <w:t>Rezultati i učinci NRM-a mogu isto tako predstavljati neovisne teme za evaluaciju (npr. kapacitete za umrežavanje).</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6F407B">
        <w:trPr>
          <w:jc w:val="center"/>
        </w:trPr>
        <w:tc>
          <w:tcPr>
            <w:tcW w:w="9016" w:type="dxa"/>
            <w:shd w:val="clear" w:color="auto" w:fill="F5F4F4" w:themeFill="background2" w:themeFillTint="66"/>
          </w:tcPr>
          <w:p w:rsidR="00867290" w:rsidRPr="00BB2924" w:rsidRDefault="00867290" w:rsidP="007D1DEB">
            <w:pPr>
              <w:pStyle w:val="HStandard"/>
              <w:rPr>
                <w:b/>
                <w:highlight w:val="yellow"/>
              </w:rPr>
            </w:pPr>
            <w:r>
              <w:rPr>
                <w:b/>
                <w:highlight w:val="yellow"/>
              </w:rPr>
              <w:t xml:space="preserve">Intervencijska logika NRM-a temelj je za evaluaciju NRM-a i oblikovana je kao odgovor na pojedine potrebe programskog područja koje mogu rješavati NRM-ovi. </w:t>
            </w:r>
          </w:p>
          <w:p w:rsidR="00867290" w:rsidRPr="00BB2924" w:rsidRDefault="00867290" w:rsidP="00501EAB">
            <w:pPr>
              <w:pStyle w:val="HStandard"/>
              <w:rPr>
                <w:b/>
                <w:highlight w:val="yellow"/>
              </w:rPr>
            </w:pPr>
            <w:r>
              <w:rPr>
                <w:b/>
                <w:highlight w:val="yellow"/>
              </w:rPr>
              <w:t xml:space="preserve">Intervencijska logika NRM-a uključuje ciljeve, aktivnosti i očekivane učinke NRM-a i utvrđuje se poštovanjem vertikalne i horizontalne dosljednosti. </w:t>
            </w:r>
          </w:p>
          <w:p w:rsidR="00867290" w:rsidRPr="00BB2924" w:rsidRDefault="00867290" w:rsidP="007D1DEB">
            <w:pPr>
              <w:pStyle w:val="HStandard"/>
              <w:rPr>
                <w:b/>
                <w:highlight w:val="yellow"/>
              </w:rPr>
            </w:pPr>
            <w:r>
              <w:rPr>
                <w:b/>
                <w:highlight w:val="yellow"/>
              </w:rPr>
              <w:t xml:space="preserve">Intervencijska logika trebala bi ostati stabilna tijekom cijelog programskog razdoblja osim ako su se potrebe programskog područja znatno promijenile. </w:t>
            </w:r>
          </w:p>
          <w:p w:rsidR="00867290" w:rsidRPr="00BB2924" w:rsidRDefault="00867290" w:rsidP="0024775E">
            <w:pPr>
              <w:pStyle w:val="HStandard"/>
              <w:rPr>
                <w:b/>
                <w:color w:val="E7E6E6" w:themeColor="background2"/>
                <w:highlight w:val="yellow"/>
              </w:rPr>
            </w:pPr>
            <w:r>
              <w:rPr>
                <w:b/>
                <w:highlight w:val="yellow"/>
              </w:rPr>
              <w:t>Evaluacija NRM-a fokusira se na procjenu relevantnosti, učinkovitosti i djelotvornosti intervencija NRM-a, ostvarenje ciljeva mreže i procjenu rezultata i učinaka.</w:t>
            </w:r>
          </w:p>
        </w:tc>
      </w:tr>
    </w:tbl>
    <w:p w:rsidR="00867290" w:rsidRPr="00BB2924" w:rsidRDefault="00867290" w:rsidP="00403F21">
      <w:pPr>
        <w:pStyle w:val="HHeading5"/>
        <w:rPr>
          <w:highlight w:val="yellow"/>
        </w:rPr>
      </w:pPr>
      <w:r>
        <w:rPr>
          <w:highlight w:val="yellow"/>
        </w:rPr>
        <w:t>Vanjska dosljednost intervencijske logike NRM-a</w:t>
      </w:r>
    </w:p>
    <w:p w:rsidR="00867290" w:rsidRPr="00BB2924" w:rsidRDefault="00867290" w:rsidP="00403F21">
      <w:pPr>
        <w:pStyle w:val="HStandard"/>
        <w:rPr>
          <w:rFonts w:eastAsia="Calibri"/>
          <w:highlight w:val="yellow"/>
        </w:rPr>
      </w:pPr>
      <w:r>
        <w:rPr>
          <w:highlight w:val="yellow"/>
        </w:rPr>
        <w:t xml:space="preserve">Kako ga financira EPFRR, konačna je svrha NRM-a potpora ciljevima politike ruralnog razvoja EU-a. To uključuje društveno-gospodarsku dobrobit ruralne populacije te ekološku, kulturnu i estetsku cjelovitost ruralnih područja, ne zaboravljajući na doprinos ruralnih područja održivom razvoju društva kao cjeline, neovisno o granicama. To se može ostvariti samo ako je intervencijska logika NRM-a </w:t>
      </w:r>
      <w:r>
        <w:rPr>
          <w:b/>
          <w:highlight w:val="yellow"/>
        </w:rPr>
        <w:t xml:space="preserve">vanjski usklađena </w:t>
      </w:r>
      <w:r>
        <w:rPr>
          <w:highlight w:val="yellow"/>
        </w:rPr>
        <w:t>s</w:t>
      </w:r>
      <w:r>
        <w:rPr>
          <w:b/>
          <w:highlight w:val="yellow"/>
        </w:rPr>
        <w:t xml:space="preserve"> </w:t>
      </w:r>
      <w:r>
        <w:rPr>
          <w:highlight w:val="yellow"/>
        </w:rPr>
        <w:t>ciljevima politike ruralnog razvoja</w:t>
      </w:r>
      <w:r>
        <w:rPr>
          <w:b/>
          <w:highlight w:val="yellow"/>
        </w:rPr>
        <w:t>.</w:t>
      </w:r>
      <w:r>
        <w:rPr>
          <w:highlight w:val="yellow"/>
        </w:rPr>
        <w:t xml:space="preserve"> </w:t>
      </w:r>
    </w:p>
    <w:p w:rsidR="00867290" w:rsidRPr="00BB2924" w:rsidRDefault="00867290" w:rsidP="00403F21">
      <w:pPr>
        <w:pStyle w:val="HStandard"/>
        <w:rPr>
          <w:rFonts w:eastAsia="Calibri"/>
          <w:highlight w:val="yellow"/>
        </w:rPr>
      </w:pPr>
      <w:r>
        <w:rPr>
          <w:highlight w:val="yellow"/>
        </w:rPr>
        <w:t>Vanjska usklađenost intervencijske logike NRM-a znači da ostvarenje četiriju zajedničkih ciljeva NRM-a osigurava i doprinos NRM-a ciljevima PRR-a (jednom PRR-u ili nekoliko PRR-ova u slučaju PNRM-a). Isto onako kako NRM doprinosi ciljevima PRR-a, rezultati ostvareni NRM-om trebali bi pridonijeti ostvarenjima PRR-a i učinci NRM-a rezultatima PRR-a. Osim toga, NRM obično utječe i na društvenu okolinu unutar skupine izravnih i neizravnih korisnika NRM-a, a i na nekorisnike na području društvenog i ljudskog kapitala. Društveni kapital koji ostvaruju NRM-ovi može utjecati i na učinke PRR-a, kako je prikazano na sljedećoj slici:</w:t>
      </w:r>
    </w:p>
    <w:p w:rsidR="00867290" w:rsidRPr="00057273" w:rsidRDefault="00867290" w:rsidP="00057273">
      <w:pPr>
        <w:pStyle w:val="HHeadingfigures"/>
        <w:numPr>
          <w:ilvl w:val="0"/>
          <w:numId w:val="0"/>
        </w:numPr>
        <w:rPr>
          <w:highlight w:val="yellow"/>
        </w:rPr>
      </w:pPr>
      <w:bookmarkStart w:id="52" w:name="_Toc445465121"/>
      <w:r>
        <w:br w:type="column"/>
      </w:r>
      <w:bookmarkStart w:id="53" w:name="_Toc451781926"/>
      <w:bookmarkStart w:id="54" w:name="_Ref451784376"/>
      <w:bookmarkStart w:id="55" w:name="_Ref451784562"/>
      <w:bookmarkStart w:id="56" w:name="_Toc461713653"/>
      <w:r w:rsidRPr="00057273">
        <w:rPr>
          <w:highlight w:val="yellow"/>
        </w:rPr>
        <w:lastRenderedPageBreak/>
        <w:t>Slika 7. Učinci NRM-a i njihov doprinos ostvarenjima, rezultatima i učincima PRR-a</w:t>
      </w:r>
      <w:bookmarkEnd w:id="52"/>
      <w:bookmarkEnd w:id="53"/>
      <w:bookmarkEnd w:id="54"/>
      <w:bookmarkEnd w:id="55"/>
      <w:bookmarkEnd w:id="56"/>
    </w:p>
    <w:p w:rsidR="00867290" w:rsidRPr="00BB2924" w:rsidRDefault="00867290" w:rsidP="00A82087">
      <w:pPr>
        <w:pStyle w:val="HStandard"/>
        <w:jc w:val="center"/>
        <w:rPr>
          <w:rFonts w:eastAsia="Calibri"/>
          <w:sz w:val="12"/>
          <w:szCs w:val="12"/>
          <w:highlight w:val="yellow"/>
        </w:rPr>
      </w:pPr>
      <w:r>
        <w:rPr>
          <w:noProof/>
          <w:sz w:val="16"/>
          <w:highlight w:val="yellow"/>
          <w:lang w:val="en-GB" w:eastAsia="en-GB" w:bidi="ar-SA"/>
        </w:rPr>
        <w:drawing>
          <wp:inline distT="0" distB="0" distL="0" distR="0" wp14:anchorId="6C3A7132" wp14:editId="19157206">
            <wp:extent cx="5844540" cy="2881782"/>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6551" cy="2887704"/>
                    </a:xfrm>
                    <a:prstGeom prst="rect">
                      <a:avLst/>
                    </a:prstGeom>
                    <a:noFill/>
                  </pic:spPr>
                </pic:pic>
              </a:graphicData>
            </a:graphic>
          </wp:inline>
        </w:drawing>
      </w:r>
      <w:r>
        <w:rPr>
          <w:sz w:val="16"/>
          <w:highlight w:val="yellow"/>
        </w:rPr>
        <w:t>Izvor: Europski centar za pomoć pri evaluaciji za ruralni razvoj, 2016.</w:t>
      </w:r>
    </w:p>
    <w:p w:rsidR="00867290" w:rsidRPr="00BB2924" w:rsidRDefault="00867290" w:rsidP="0031367A">
      <w:pPr>
        <w:pStyle w:val="HStandard"/>
        <w:rPr>
          <w:rFonts w:eastAsia="Calibri"/>
          <w:highlight w:val="yellow"/>
        </w:rPr>
      </w:pPr>
      <w:r>
        <w:rPr>
          <w:highlight w:val="yellow"/>
        </w:rPr>
        <w:t xml:space="preserve">Ciljevima, rezultatima i učincima PRR-a NRM je povezan i s ciljevima politike ruralnog razvoja EU-a, a tako i s prioritetima i glavnim ciljevima Strategije Europa 2020 na drugoj razini vanjske usklađenosti. </w:t>
      </w:r>
    </w:p>
    <w:p w:rsidR="00867290" w:rsidRPr="00BB2924" w:rsidRDefault="00867290" w:rsidP="0031367A">
      <w:pPr>
        <w:pStyle w:val="HStandard"/>
        <w:rPr>
          <w:rFonts w:eastAsia="Calibri"/>
          <w:highlight w:val="yellow"/>
        </w:rPr>
      </w:pPr>
      <w:r>
        <w:rPr>
          <w:highlight w:val="yellow"/>
        </w:rPr>
        <w:t xml:space="preserve">Vanjska usklađenost NRM-a s PRR-ovima, ciljevima ruralnog razvoja i horizontalnim ciljevima politike te rezultatima/učincima prikazana je u </w:t>
      </w:r>
      <w:r>
        <w:rPr>
          <w:rFonts w:eastAsia="Calibri"/>
          <w:highlight w:val="yellow"/>
        </w:rPr>
        <w:fldChar w:fldCharType="begin" w:fldLock="1"/>
      </w:r>
      <w:r>
        <w:rPr>
          <w:rFonts w:eastAsia="Calibri"/>
          <w:highlight w:val="yellow"/>
        </w:rPr>
        <w:instrText xml:space="preserve"> REF _Ref451784406 \r \h  \* MERGEFORMAT </w:instrText>
      </w:r>
      <w:r>
        <w:rPr>
          <w:rFonts w:eastAsia="Calibri"/>
          <w:highlight w:val="yellow"/>
        </w:rPr>
      </w:r>
      <w:r>
        <w:rPr>
          <w:rFonts w:eastAsia="Calibri"/>
          <w:highlight w:val="yellow"/>
        </w:rPr>
        <w:fldChar w:fldCharType="separate"/>
      </w:r>
      <w:r>
        <w:rPr>
          <w:rFonts w:eastAsia="Calibri"/>
          <w:highlight w:val="yellow"/>
        </w:rPr>
        <w:t>Figure 8</w:t>
      </w:r>
      <w:r>
        <w:rPr>
          <w:rFonts w:eastAsia="Calibri"/>
          <w:highlight w:val="yellow"/>
        </w:rPr>
        <w:fldChar w:fldCharType="end"/>
      </w:r>
      <w:r>
        <w:rPr>
          <w:highlight w:val="yellow"/>
        </w:rPr>
        <w:t xml:space="preserve">. </w:t>
      </w:r>
    </w:p>
    <w:p w:rsidR="00867290" w:rsidRPr="00BB2924" w:rsidRDefault="00867290" w:rsidP="00057273">
      <w:pPr>
        <w:pStyle w:val="HHeadingfigures"/>
        <w:numPr>
          <w:ilvl w:val="0"/>
          <w:numId w:val="0"/>
        </w:numPr>
        <w:rPr>
          <w:highlight w:val="yellow"/>
        </w:rPr>
      </w:pPr>
      <w:bookmarkStart w:id="57" w:name="_Toc445465122"/>
      <w:bookmarkStart w:id="58" w:name="_Toc451781927"/>
      <w:bookmarkStart w:id="59" w:name="_Ref451784406"/>
      <w:bookmarkStart w:id="60" w:name="_Ref451784429"/>
      <w:bookmarkStart w:id="61" w:name="_Ref451784787"/>
      <w:bookmarkStart w:id="62" w:name="_Toc461713654"/>
      <w:r>
        <w:rPr>
          <w:highlight w:val="yellow"/>
        </w:rPr>
        <w:t>Slika 8. Doprinos NRM-a nacionalnim ciljevima, ciljevima PRR-a i EU-a</w:t>
      </w:r>
      <w:bookmarkEnd w:id="57"/>
      <w:bookmarkEnd w:id="58"/>
      <w:bookmarkEnd w:id="59"/>
      <w:bookmarkEnd w:id="60"/>
      <w:bookmarkEnd w:id="61"/>
      <w:bookmarkEnd w:id="62"/>
    </w:p>
    <w:p w:rsidR="00867290" w:rsidRPr="00BB2924" w:rsidRDefault="00867290" w:rsidP="00F94860">
      <w:pPr>
        <w:pStyle w:val="HStandard"/>
        <w:jc w:val="center"/>
        <w:rPr>
          <w:highlight w:val="yellow"/>
        </w:rPr>
      </w:pPr>
      <w:r>
        <w:rPr>
          <w:noProof/>
          <w:highlight w:val="yellow"/>
          <w:lang w:val="en-GB" w:eastAsia="en-GB" w:bidi="ar-SA"/>
        </w:rPr>
        <w:drawing>
          <wp:inline distT="0" distB="0" distL="0" distR="0" wp14:anchorId="66C41A95" wp14:editId="0C3CAE22">
            <wp:extent cx="3969105" cy="370125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76256" cy="3707920"/>
                    </a:xfrm>
                    <a:prstGeom prst="rect">
                      <a:avLst/>
                    </a:prstGeom>
                    <a:noFill/>
                  </pic:spPr>
                </pic:pic>
              </a:graphicData>
            </a:graphic>
          </wp:inline>
        </w:drawing>
      </w:r>
    </w:p>
    <w:p w:rsidR="00867290" w:rsidRPr="00BB2924" w:rsidRDefault="00867290" w:rsidP="0031367A">
      <w:pPr>
        <w:pStyle w:val="HSource"/>
        <w:rPr>
          <w:rFonts w:eastAsia="Calibri"/>
          <w:highlight w:val="yellow"/>
        </w:rPr>
      </w:pPr>
      <w:r>
        <w:rPr>
          <w:highlight w:val="yellow"/>
        </w:rPr>
        <w:t>Izvor: Europski centar za pomoć pri evaluaciji za ruralni razvoj, 2016.</w:t>
      </w:r>
    </w:p>
    <w:p w:rsidR="00867290" w:rsidRPr="00BB2924" w:rsidRDefault="00867290" w:rsidP="0031367A">
      <w:pPr>
        <w:pStyle w:val="HStandard"/>
        <w:rPr>
          <w:rFonts w:eastAsia="Calibri"/>
          <w:highlight w:val="yellow"/>
        </w:rPr>
      </w:pPr>
      <w:r>
        <w:rPr>
          <w:highlight w:val="yellow"/>
        </w:rPr>
        <w:lastRenderedPageBreak/>
        <w:t>Doprinos NRM-a određenim ciljevima politike može predstavljati i zasebne teme za evaluaciju (npr. doprinos NRM-a jačanju biološke raznolikosti, borbi protiv klimatskih promjena itd.).</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D70CE9">
        <w:tc>
          <w:tcPr>
            <w:tcW w:w="9016" w:type="dxa"/>
            <w:shd w:val="clear" w:color="auto" w:fill="F5F4F4" w:themeFill="background2" w:themeFillTint="66"/>
          </w:tcPr>
          <w:p w:rsidR="00867290" w:rsidRPr="00BB2924" w:rsidRDefault="00867290" w:rsidP="00B67AEC">
            <w:pPr>
              <w:pStyle w:val="HStandard"/>
              <w:rPr>
                <w:rFonts w:eastAsia="Calibri"/>
                <w:b/>
                <w:highlight w:val="yellow"/>
              </w:rPr>
            </w:pPr>
            <w:r>
              <w:rPr>
                <w:b/>
                <w:highlight w:val="yellow"/>
              </w:rPr>
              <w:t xml:space="preserve">Vanjska usklađenost osigurava da intervencijska logika NRM-a pridonosi i ciljevima PRR-a i ciljevima na razini EU-a. </w:t>
            </w:r>
          </w:p>
          <w:p w:rsidR="00867290" w:rsidRPr="00BB2924" w:rsidRDefault="00867290" w:rsidP="00501EAB">
            <w:pPr>
              <w:pStyle w:val="HStandard"/>
              <w:rPr>
                <w:rFonts w:eastAsia="Calibri"/>
                <w:b/>
                <w:highlight w:val="yellow"/>
              </w:rPr>
            </w:pPr>
            <w:r>
              <w:rPr>
                <w:b/>
                <w:highlight w:val="yellow"/>
              </w:rPr>
              <w:t>Procjena vanjske usklađenosti i procjena doprinosa NRM-a ciljevima PRR-a i politike EU-a fokus je evaluacije NRM-a.</w:t>
            </w:r>
          </w:p>
        </w:tc>
      </w:tr>
    </w:tbl>
    <w:p w:rsidR="00867290" w:rsidRPr="00BB2924" w:rsidRDefault="00867290" w:rsidP="0031367A">
      <w:pPr>
        <w:pStyle w:val="HHeading5"/>
        <w:rPr>
          <w:highlight w:val="yellow"/>
        </w:rPr>
      </w:pPr>
      <w:r>
        <w:rPr>
          <w:highlight w:val="yellow"/>
        </w:rPr>
        <w:t xml:space="preserve">Učinkovitost i djelotvornost </w:t>
      </w:r>
    </w:p>
    <w:p w:rsidR="00867290" w:rsidRPr="00BB2924" w:rsidRDefault="00867290" w:rsidP="0031367A">
      <w:pPr>
        <w:pStyle w:val="HStandard"/>
        <w:rPr>
          <w:highlight w:val="yellow"/>
        </w:rPr>
      </w:pPr>
      <w:r>
        <w:rPr>
          <w:highlight w:val="yellow"/>
        </w:rPr>
        <w:t xml:space="preserve">Procjenom učinkovitosti NRM-a sagledava se u kojoj su mjeri ostvareni ciljevi NRM-a i u kojoj mjeri NRM pridonosi ostvarenju ciljeva politike na razini PRR-a i EU-a. Djelotvornost se ispituje zajedno s učinkovitošću i pita jesu li dodijeljena javna i privatna sredstva potrošena na smislen način kako bi se postigli ciljevi politike (na razinama NRM-a, PRR-a i EU-a) i ostvarila očekivana ostvarenja, rezultati i učinci.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D70CE9">
        <w:tc>
          <w:tcPr>
            <w:tcW w:w="9016" w:type="dxa"/>
            <w:shd w:val="clear" w:color="auto" w:fill="F5F4F4" w:themeFill="background2" w:themeFillTint="66"/>
          </w:tcPr>
          <w:p w:rsidR="00867290" w:rsidRPr="00BB2924" w:rsidRDefault="00867290" w:rsidP="004F780F">
            <w:pPr>
              <w:pStyle w:val="HStandard"/>
              <w:rPr>
                <w:b/>
                <w:highlight w:val="yellow"/>
              </w:rPr>
            </w:pPr>
            <w:r>
              <w:rPr>
                <w:b/>
                <w:highlight w:val="yellow"/>
              </w:rPr>
              <w:t xml:space="preserve">Procjena učinkovitosti NRM-a sagledava u kojoj su se mjeri intervencijama NRM-a mogli ostvariti ciljevi politike na razinama NRM-a, PRR-a i EU-a. </w:t>
            </w:r>
          </w:p>
          <w:p w:rsidR="00867290" w:rsidRPr="00BB2924" w:rsidRDefault="00867290" w:rsidP="00CE1BD8">
            <w:pPr>
              <w:pStyle w:val="HStandard"/>
              <w:rPr>
                <w:highlight w:val="yellow"/>
              </w:rPr>
            </w:pPr>
            <w:r>
              <w:rPr>
                <w:b/>
                <w:highlight w:val="yellow"/>
              </w:rPr>
              <w:t xml:space="preserve">Procjena učinkovitosti sagledava s kolikim su troškovima postignuta ostvarena ostvarenja, rezultati i učinci NRM-a. </w:t>
            </w:r>
          </w:p>
        </w:tc>
      </w:tr>
    </w:tbl>
    <w:p w:rsidR="00867290" w:rsidRPr="00BB2924" w:rsidRDefault="00867290" w:rsidP="0031367A">
      <w:pPr>
        <w:pStyle w:val="HHeading5"/>
        <w:rPr>
          <w:highlight w:val="yellow"/>
        </w:rPr>
      </w:pPr>
      <w:r>
        <w:rPr>
          <w:highlight w:val="yellow"/>
        </w:rPr>
        <w:t>Čimbenici uspjeha i neuspjeha NRM-ova</w:t>
      </w:r>
    </w:p>
    <w:p w:rsidR="00867290" w:rsidRPr="00BB2924" w:rsidRDefault="00867290" w:rsidP="0031367A">
      <w:pPr>
        <w:pStyle w:val="HStandard"/>
        <w:rPr>
          <w:highlight w:val="yellow"/>
        </w:rPr>
      </w:pPr>
      <w:r>
        <w:rPr>
          <w:highlight w:val="yellow"/>
        </w:rPr>
        <w:t xml:space="preserve">Osim ispitivanja rezultata, učinaka i ostvarenja NRM-a, evaluacija nudi priliku da pruži važne pouke kako bi se poboljšale aktivnosti NRM-a i olakšalo bolje oblikovanje budućih NRM-ova promatranjem čimbenika koji su pridonijeli uspjehu i neuspjehu mreže. </w:t>
      </w:r>
    </w:p>
    <w:p w:rsidR="00867290" w:rsidRPr="00BB2924" w:rsidRDefault="00867290" w:rsidP="0031367A">
      <w:pPr>
        <w:pStyle w:val="HStandard"/>
        <w:rPr>
          <w:highlight w:val="yellow"/>
        </w:rPr>
      </w:pPr>
      <w:r>
        <w:rPr>
          <w:highlight w:val="yellow"/>
        </w:rPr>
        <w:t xml:space="preserve">Čimbenici uspjeha i neuspjeha mogu biti unutarnji ili vanjski. Mogu poticati ili smanjivati učinke aktivnosti NRM-a. Unutarnji faktori mogu biti pitanja povezana s administracijom i ispunjavanjem aktivnosti NRM-a (npr. funkcioniranjem JPM-a). Vanjski faktori mogu biti kultura umrežavanja u ruralnim područjima ili njezina odsutnost.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D70CE9">
        <w:tc>
          <w:tcPr>
            <w:tcW w:w="9016" w:type="dxa"/>
            <w:shd w:val="clear" w:color="auto" w:fill="F5F4F4" w:themeFill="background2" w:themeFillTint="66"/>
          </w:tcPr>
          <w:p w:rsidR="00867290" w:rsidRPr="00BB2924" w:rsidRDefault="00867290" w:rsidP="00DC0897">
            <w:pPr>
              <w:pStyle w:val="HStandard"/>
              <w:rPr>
                <w:b/>
                <w:highlight w:val="yellow"/>
              </w:rPr>
            </w:pPr>
            <w:r>
              <w:rPr>
                <w:b/>
                <w:highlight w:val="yellow"/>
              </w:rPr>
              <w:t xml:space="preserve">Procjena faktora uspjeha i neuspjeha intervencija NRM-a sagledava i unutarnje i vanjske čimbenike koji potiču ili smanjuju intervencije NRM-a. To ispitivanje važan je dio funkcije učenja u evaluaciji NRM-a. </w:t>
            </w:r>
          </w:p>
        </w:tc>
      </w:tr>
    </w:tbl>
    <w:p w:rsidR="00867290" w:rsidRPr="00BB2924" w:rsidRDefault="00867290" w:rsidP="00CA5E80">
      <w:pPr>
        <w:pStyle w:val="HHeading3"/>
        <w:numPr>
          <w:ilvl w:val="0"/>
          <w:numId w:val="0"/>
        </w:numPr>
        <w:rPr>
          <w:highlight w:val="yellow"/>
        </w:rPr>
      </w:pPr>
      <w:bookmarkStart w:id="63" w:name="_Toc453079752"/>
      <w:bookmarkStart w:id="64" w:name="_Toc461713626"/>
      <w:r>
        <w:rPr>
          <w:highlight w:val="yellow"/>
        </w:rPr>
        <w:t>1.4.3. Elementi evaluacije za NRM-ove</w:t>
      </w:r>
      <w:bookmarkEnd w:id="63"/>
      <w:bookmarkEnd w:id="64"/>
    </w:p>
    <w:p w:rsidR="00867290" w:rsidRPr="00BB2924" w:rsidRDefault="00867290" w:rsidP="00A27369">
      <w:pPr>
        <w:pStyle w:val="HStandard"/>
        <w:rPr>
          <w:highlight w:val="yellow"/>
        </w:rPr>
      </w:pPr>
      <w:r>
        <w:rPr>
          <w:highlight w:val="yellow"/>
        </w:rPr>
        <w:t xml:space="preserve">Zajednički sustav za praćenje i evaluaciju (ZSPE) utvrđuje zajedničke elemente evaluacije koje bi trebalo upotrebljavati u evaluaciji programa ruralnog razvoja, uključujući NRM-ove. Zajedničke elemente oblikovala je Europska komisija u suradnji s dionicima u državama članicama kako bi osigurala bitne informacije koje se mogu zbrojiti na razini EU-a i koje su usporedive među PRR-ovima. Elementi ZSPE-a nadopunjavaju se elementima za pojedine programe u rješavanju posebnosti programskog područja, uključujući aspekte koji se odnose na NRM-ove. Elementi za NRM-ove za pojedine programe oblikuju UT-ovi programa ili ih se oblikuje u suradnji s dionicima NRM-a kako bi se zabilježili pojedini aspekti NRM-ova. </w:t>
      </w:r>
    </w:p>
    <w:p w:rsidR="00867290" w:rsidRPr="00BB2924" w:rsidRDefault="00867290" w:rsidP="00A27369">
      <w:pPr>
        <w:pStyle w:val="HStandard"/>
        <w:rPr>
          <w:highlight w:val="yellow"/>
        </w:rPr>
      </w:pPr>
      <w:r>
        <w:rPr>
          <w:highlight w:val="yellow"/>
        </w:rPr>
        <w:t xml:space="preserve">Elementi evaluacije za NRM-ove uključuju: </w:t>
      </w:r>
    </w:p>
    <w:p w:rsidR="00867290" w:rsidRPr="00BB2924" w:rsidRDefault="00867290" w:rsidP="00A27369">
      <w:pPr>
        <w:pStyle w:val="Hlistbullet"/>
        <w:rPr>
          <w:highlight w:val="yellow"/>
        </w:rPr>
      </w:pPr>
      <w:r>
        <w:rPr>
          <w:b/>
          <w:highlight w:val="yellow"/>
        </w:rPr>
        <w:t>intervencijsku logiku</w:t>
      </w:r>
      <w:r>
        <w:rPr>
          <w:highlight w:val="yellow"/>
        </w:rPr>
        <w:t xml:space="preserve"> koja opisuje poveznice između ciljeva NRM-a i mjera akcijskog plana NRM-a te ostvarenja, rezultata i učinaka NRM-a. Kontekstualni parametri upotrebljavaju se za opis i analizu konkretnog konteksta u kojem djeluju mreže;</w:t>
      </w:r>
    </w:p>
    <w:p w:rsidR="00867290" w:rsidRPr="00BB2924" w:rsidRDefault="00867290" w:rsidP="00A27369">
      <w:pPr>
        <w:pStyle w:val="Hlistbullet"/>
        <w:rPr>
          <w:highlight w:val="yellow"/>
        </w:rPr>
      </w:pPr>
      <w:r>
        <w:rPr>
          <w:b/>
          <w:highlight w:val="yellow"/>
        </w:rPr>
        <w:lastRenderedPageBreak/>
        <w:t>Evaluacijska pitanja</w:t>
      </w:r>
      <w:r>
        <w:rPr>
          <w:highlight w:val="yellow"/>
        </w:rPr>
        <w:t xml:space="preserve"> koja definiraju fokus evaluacije NRM-ova u odnosu prema zajedničkim ciljevima i ciljevima za pojedine programe za NRM-ove kako bi se pokazao napredak i ostvarenja te kako bi se poduprla procjena rezultata, učinaka, učinkovitosti, djelotvornosti i relevantnosti intervencija politike ruralnog razvoja</w:t>
      </w:r>
      <w:r>
        <w:rPr>
          <w:rFonts w:ascii="ZWAdobeF" w:hAnsi="ZWAdobeF"/>
          <w:color w:val="auto"/>
          <w:sz w:val="2"/>
          <w:highlight w:val="yellow"/>
        </w:rPr>
        <w:t>36F</w:t>
      </w:r>
      <w:r>
        <w:rPr>
          <w:rStyle w:val="FootnoteReference"/>
          <w:highlight w:val="yellow"/>
        </w:rPr>
        <w:footnoteReference w:id="37"/>
      </w:r>
      <w:r>
        <w:rPr>
          <w:highlight w:val="yellow"/>
        </w:rPr>
        <w:t>.</w:t>
      </w:r>
    </w:p>
    <w:p w:rsidR="00867290" w:rsidRPr="00BB2924" w:rsidRDefault="00867290" w:rsidP="00A27369">
      <w:pPr>
        <w:pStyle w:val="Hlistbullet2"/>
        <w:rPr>
          <w:highlight w:val="yellow"/>
        </w:rPr>
      </w:pPr>
      <w:r>
        <w:rPr>
          <w:b/>
          <w:highlight w:val="yellow"/>
        </w:rPr>
        <w:t>pokazatelji</w:t>
      </w:r>
      <w:r>
        <w:rPr>
          <w:highlight w:val="yellow"/>
        </w:rPr>
        <w:t xml:space="preserve"> za NRM-ove, korišteni za procjenu rezultata i učinaka NRM-a, kao i učinkovitosti, djelotvornosti, ostvarenjima i relevantnosti intervencija mreže.</w:t>
      </w:r>
    </w:p>
    <w:p w:rsidR="00867290" w:rsidRPr="00BB2924" w:rsidRDefault="00867290" w:rsidP="00A27369">
      <w:pPr>
        <w:pStyle w:val="HHeading5"/>
        <w:rPr>
          <w:highlight w:val="yellow"/>
        </w:rPr>
      </w:pPr>
      <w:r>
        <w:rPr>
          <w:highlight w:val="yellow"/>
        </w:rPr>
        <w:t>Zajednički elementi evaluacije</w:t>
      </w:r>
    </w:p>
    <w:p w:rsidR="00867290" w:rsidRPr="00BB2924" w:rsidRDefault="00867290" w:rsidP="00A27369">
      <w:pPr>
        <w:pStyle w:val="HStandard"/>
        <w:rPr>
          <w:highlight w:val="yellow"/>
        </w:rPr>
      </w:pPr>
      <w:r>
        <w:rPr>
          <w:highlight w:val="yellow"/>
        </w:rPr>
        <w:t>Zajedničke elemente evaluacije utvrđuje ZSPE i temelj su okvira za praćenju i evaluaciju NRM-a:</w:t>
      </w:r>
    </w:p>
    <w:p w:rsidR="00867290" w:rsidRPr="00BB2924" w:rsidRDefault="00867290" w:rsidP="00892664">
      <w:pPr>
        <w:pStyle w:val="HStandard"/>
        <w:numPr>
          <w:ilvl w:val="0"/>
          <w:numId w:val="15"/>
        </w:numPr>
        <w:rPr>
          <w:highlight w:val="yellow"/>
        </w:rPr>
      </w:pPr>
      <w:r>
        <w:rPr>
          <w:highlight w:val="yellow"/>
        </w:rPr>
        <w:t xml:space="preserve">četiri </w:t>
      </w:r>
      <w:r>
        <w:rPr>
          <w:b/>
          <w:highlight w:val="yellow"/>
        </w:rPr>
        <w:t>zajednička cilja NRM-a</w:t>
      </w:r>
      <w:r>
        <w:rPr>
          <w:highlight w:val="yellow"/>
        </w:rPr>
        <w:t xml:space="preserve"> i sedam zajedničkih skupina mjera za NRM-ove koje su navedene u uredbi EU-a o ruralnom razvoju</w:t>
      </w:r>
      <w:r>
        <w:rPr>
          <w:rFonts w:ascii="ZWAdobeF" w:hAnsi="ZWAdobeF"/>
          <w:color w:val="auto"/>
          <w:sz w:val="2"/>
          <w:highlight w:val="yellow"/>
        </w:rPr>
        <w:t>37F</w:t>
      </w:r>
      <w:r>
        <w:rPr>
          <w:rStyle w:val="FootnoteReference"/>
          <w:highlight w:val="yellow"/>
        </w:rPr>
        <w:footnoteReference w:id="38"/>
      </w:r>
      <w:r>
        <w:rPr>
          <w:highlight w:val="yellow"/>
        </w:rPr>
        <w:t xml:space="preserve"> formiraju temelj intervencijske logike NRM-a (Vidi Sliku 8.); </w:t>
      </w:r>
    </w:p>
    <w:p w:rsidR="00867290" w:rsidRPr="00BB2924" w:rsidRDefault="00867290" w:rsidP="00892664">
      <w:pPr>
        <w:pStyle w:val="HStandard"/>
        <w:numPr>
          <w:ilvl w:val="0"/>
          <w:numId w:val="15"/>
        </w:numPr>
        <w:rPr>
          <w:highlight w:val="yellow"/>
        </w:rPr>
      </w:pPr>
      <w:r>
        <w:rPr>
          <w:b/>
          <w:highlight w:val="yellow"/>
        </w:rPr>
        <w:t>Zajednička evaluacijska pitanja</w:t>
      </w:r>
      <w:r>
        <w:rPr>
          <w:highlight w:val="yellow"/>
        </w:rPr>
        <w:t xml:space="preserve"> (ZEP) za NRM-ove</w:t>
      </w:r>
      <w:r>
        <w:rPr>
          <w:rFonts w:ascii="ZWAdobeF" w:hAnsi="ZWAdobeF"/>
          <w:color w:val="auto"/>
          <w:sz w:val="2"/>
          <w:highlight w:val="yellow"/>
        </w:rPr>
        <w:t>38F</w:t>
      </w:r>
      <w:r>
        <w:rPr>
          <w:rStyle w:val="FootnoteReference"/>
          <w:highlight w:val="yellow"/>
        </w:rPr>
        <w:footnoteReference w:id="39"/>
      </w:r>
      <w:r>
        <w:rPr>
          <w:highlight w:val="yellow"/>
        </w:rPr>
        <w:t xml:space="preserve"> (vidi Tablicu 1.) uključena u ZSPE i povezana sa sva četiri zajednička cilja NRM-a</w:t>
      </w:r>
      <w:r>
        <w:rPr>
          <w:rFonts w:ascii="ZWAdobeF" w:hAnsi="ZWAdobeF"/>
          <w:color w:val="auto"/>
          <w:sz w:val="2"/>
          <w:highlight w:val="yellow"/>
        </w:rPr>
        <w:t>39F</w:t>
      </w:r>
      <w:r>
        <w:rPr>
          <w:rStyle w:val="FootnoteReference"/>
          <w:highlight w:val="yellow"/>
        </w:rPr>
        <w:footnoteReference w:id="40"/>
      </w:r>
      <w:r>
        <w:rPr>
          <w:highlight w:val="yellow"/>
        </w:rPr>
        <w:t xml:space="preserve">, koja usmjeravaju evaluaciju učinaka NRM-a prema politici ruralnog razvoja EU-a; </w:t>
      </w:r>
    </w:p>
    <w:p w:rsidR="00867290" w:rsidRPr="00BB2924" w:rsidRDefault="00867290" w:rsidP="00892664">
      <w:pPr>
        <w:pStyle w:val="HStandard"/>
        <w:numPr>
          <w:ilvl w:val="0"/>
          <w:numId w:val="15"/>
        </w:numPr>
        <w:rPr>
          <w:highlight w:val="yellow"/>
        </w:rPr>
      </w:pPr>
      <w:r>
        <w:rPr>
          <w:highlight w:val="yellow"/>
        </w:rPr>
        <w:t xml:space="preserve">tri </w:t>
      </w:r>
      <w:r>
        <w:rPr>
          <w:b/>
          <w:highlight w:val="yellow"/>
        </w:rPr>
        <w:t>zajednička pokazatelja</w:t>
      </w:r>
      <w:r>
        <w:rPr>
          <w:highlight w:val="yellow"/>
        </w:rPr>
        <w:t xml:space="preserve"> ostvarenja definirana su na razini EU-a</w:t>
      </w:r>
      <w:r>
        <w:rPr>
          <w:rFonts w:ascii="ZWAdobeF" w:hAnsi="ZWAdobeF"/>
          <w:color w:val="auto"/>
          <w:sz w:val="2"/>
          <w:highlight w:val="yellow"/>
        </w:rPr>
        <w:t>40F</w:t>
      </w:r>
      <w:r>
        <w:rPr>
          <w:rStyle w:val="FootnoteReference"/>
          <w:highlight w:val="yellow"/>
        </w:rPr>
        <w:footnoteReference w:id="41"/>
      </w:r>
      <w:r>
        <w:rPr>
          <w:highlight w:val="yellow"/>
        </w:rPr>
        <w:t xml:space="preserve"> (vidi Sliku 9. i Tablicu 1.).</w:t>
      </w:r>
    </w:p>
    <w:p w:rsidR="00867290" w:rsidRPr="00BB2924" w:rsidRDefault="00867290" w:rsidP="00A27369">
      <w:pPr>
        <w:pStyle w:val="HHeading5"/>
        <w:rPr>
          <w:highlight w:val="yellow"/>
        </w:rPr>
      </w:pPr>
      <w:r>
        <w:rPr>
          <w:highlight w:val="yellow"/>
        </w:rPr>
        <w:t xml:space="preserve">Dodatni pokazatelji </w:t>
      </w:r>
    </w:p>
    <w:p w:rsidR="00867290" w:rsidRPr="00BB2924" w:rsidRDefault="00867290" w:rsidP="00A966FB">
      <w:pPr>
        <w:pStyle w:val="HStandard"/>
        <w:rPr>
          <w:highlight w:val="yellow"/>
        </w:rPr>
      </w:pPr>
      <w:r>
        <w:rPr>
          <w:highlight w:val="yellow"/>
        </w:rPr>
        <w:t>S obzirom na to da zajednički pokazatelji ostvarenja nisu dovoljni za odgovaranje na zajedničko pitanje o evaluaciji vezano za NRM, dionici u državama članicama trebali bi razviti dodatne pokazatelje – ostvarenje, rezultat i učinak. Dodatni pokazatelji mogu se razviti s pomoću lanca ostvarenje – rezultat – učinak, koji se može naći u Dijelu III. smjernica, 5. poglavlje. Dodatne informacije predložene u radnom dokumentu „Zajednička evaluacijska pitanja za programe ruralnog razvoja 2014. – 2020.</w:t>
      </w:r>
      <w:r>
        <w:rPr>
          <w:rFonts w:ascii="ZWAdobeF" w:hAnsi="ZWAdobeF"/>
          <w:color w:val="auto"/>
          <w:sz w:val="2"/>
          <w:highlight w:val="yellow"/>
        </w:rPr>
        <w:t>41F</w:t>
      </w:r>
      <w:r>
        <w:rPr>
          <w:rStyle w:val="FootnoteReference"/>
          <w:highlight w:val="yellow"/>
        </w:rPr>
        <w:footnoteReference w:id="42"/>
      </w:r>
      <w:r>
        <w:rPr>
          <w:highlight w:val="yellow"/>
        </w:rPr>
        <w:t xml:space="preserve">” mogu se također upotrebljavati kao nadahnuće za razvijanje dodatnih pokazatelja. </w:t>
      </w:r>
    </w:p>
    <w:p w:rsidR="00867290" w:rsidRPr="00BB2924" w:rsidRDefault="00867290" w:rsidP="00A27369">
      <w:pPr>
        <w:pStyle w:val="HHeading5"/>
        <w:rPr>
          <w:highlight w:val="yellow"/>
        </w:rPr>
      </w:pPr>
      <w:r>
        <w:rPr>
          <w:highlight w:val="yellow"/>
        </w:rPr>
        <w:t xml:space="preserve">Elementi evaluacije za pojedine programe povezani s NRM-om </w:t>
      </w:r>
    </w:p>
    <w:p w:rsidR="00867290" w:rsidRPr="00BB2924" w:rsidRDefault="00867290" w:rsidP="00A27369">
      <w:pPr>
        <w:pStyle w:val="HStandard"/>
        <w:rPr>
          <w:highlight w:val="yellow"/>
        </w:rPr>
      </w:pPr>
      <w:r>
        <w:rPr>
          <w:highlight w:val="yellow"/>
        </w:rPr>
        <w:t xml:space="preserve">Elemente evaluacije za pojedine programe povezane s NRM-om formulira UT programa ili UT u suradnji s dionicima u državama članicama (JPM, NRM, evaluatori). Oni nadopunjuju zajedničke elemente evaluacije na razini PRR-a/PNRM-a tijekom finalizacije intervencijske logike NRM-a i oblikovanja sustava za praćenje i evaluaciju koji se odnosi na NRM. U tom pogledu: </w:t>
      </w:r>
    </w:p>
    <w:p w:rsidR="00867290" w:rsidRPr="00BB2924" w:rsidRDefault="00867290" w:rsidP="00A27369">
      <w:pPr>
        <w:pStyle w:val="Hlistbullet"/>
        <w:rPr>
          <w:highlight w:val="yellow"/>
        </w:rPr>
      </w:pPr>
      <w:r>
        <w:rPr>
          <w:b/>
          <w:highlight w:val="yellow"/>
        </w:rPr>
        <w:t>ciljevi za pojedine programe</w:t>
      </w:r>
      <w:r>
        <w:rPr>
          <w:highlight w:val="yellow"/>
        </w:rPr>
        <w:t xml:space="preserve"> povezani s NRM-om formuliraju se ako zajednički ciljevi NRM-a</w:t>
      </w:r>
      <w:r>
        <w:rPr>
          <w:rFonts w:ascii="ZWAdobeF" w:hAnsi="ZWAdobeF"/>
          <w:color w:val="auto"/>
          <w:sz w:val="2"/>
          <w:highlight w:val="yellow"/>
        </w:rPr>
        <w:t xml:space="preserve"> 42F</w:t>
      </w:r>
      <w:r>
        <w:rPr>
          <w:rStyle w:val="FootnoteReference"/>
          <w:highlight w:val="yellow"/>
        </w:rPr>
        <w:footnoteReference w:id="43"/>
      </w:r>
      <w:r>
        <w:rPr>
          <w:highlight w:val="yellow"/>
        </w:rPr>
        <w:t xml:space="preserve"> nisu dovoljni za uspostavu intervencijske logike NRM-a; </w:t>
      </w:r>
    </w:p>
    <w:p w:rsidR="00867290" w:rsidRPr="00BB2924" w:rsidRDefault="00867290" w:rsidP="00A27369">
      <w:pPr>
        <w:pStyle w:val="Hlistbullet"/>
        <w:rPr>
          <w:highlight w:val="yellow"/>
        </w:rPr>
      </w:pPr>
      <w:r>
        <w:rPr>
          <w:b/>
          <w:highlight w:val="yellow"/>
        </w:rPr>
        <w:t>evaluacijska pitanja za pojedine programe</w:t>
      </w:r>
      <w:r>
        <w:rPr>
          <w:highlight w:val="yellow"/>
        </w:rPr>
        <w:t xml:space="preserve"> (EPPP) razvijaju se ako se ostvarenje zajedničkih ciljeva politike ne može potpuno procijeniti s pomoću ZEP-a ili ako intervencijska logika NRM-a sadržava ciljeve za pojedine programe koji se odnose na NRM-ove. EPPP se može razvijati i ako bi pojedine teme evaluacije vezane za nacionalne ruralne mreže trebalo dalje razvijati (npr. ostvarivanje mreže itd.).EPPP se formulira za vrijeme oblikovanja programa / akcijskog plana NRM-a ili poslije tijekom evaluacije NRM-a. EPPP-ove bi trebalo precizirati uz kriterije za prosuđivanje uspjeha intervencije NRM-a (kriterije prosudbe). Na primjer, ako je EPPP „U kojoj je mjeri NRM pridonio širem umrežavanju u ruralnom području”, trebalo bi precizirati što je uspjeh u širem umrežavanju: npr. više tipova dionika uključenih u mrežu;</w:t>
      </w:r>
    </w:p>
    <w:p w:rsidR="00867290" w:rsidRPr="00BB2924" w:rsidRDefault="00867290" w:rsidP="00A27369">
      <w:pPr>
        <w:pStyle w:val="Hlistbullet2"/>
        <w:rPr>
          <w:highlight w:val="yellow"/>
        </w:rPr>
      </w:pPr>
      <w:r>
        <w:rPr>
          <w:b/>
          <w:highlight w:val="yellow"/>
        </w:rPr>
        <w:t>pokazatelji</w:t>
      </w:r>
      <w:r>
        <w:rPr>
          <w:highlight w:val="yellow"/>
        </w:rPr>
        <w:t xml:space="preserve"> za NRM-ove za pojedine programe povezani su s pojedinim ostvarenjima, rezultatima i učincima NRM-a. Pokazatelji za pojedine programe oblikuju se tako da odgovore na evaluacijska pitanja za pojedine programe. </w:t>
      </w:r>
    </w:p>
    <w:p w:rsidR="00867290" w:rsidRPr="00BB2924" w:rsidRDefault="00867290" w:rsidP="00A27369">
      <w:pPr>
        <w:pStyle w:val="HStandard"/>
        <w:rPr>
          <w:highlight w:val="yellow"/>
        </w:rPr>
      </w:pPr>
      <w:r>
        <w:rPr>
          <w:highlight w:val="yellow"/>
        </w:rPr>
        <w:lastRenderedPageBreak/>
        <w:t>Uspostava okvira praćenja i evaluacije NRM-a počinje povezivanjem zajedničkih evaluacijskih pitanja i pokazatelja s intervencijskom logikom NRM-a, sastavljenom od zajedničkih ciljeva i ciljeva za pojedine programe s jedne strane i očekivanih ostvarenja, rezultata i učinaka s druge strane, nadopunjenih pitanjima i pokazateljima koji se odnose na NRM-ove za pojedine programe. Sljedeća slika sažima zajednička evaluacijska pitanja NRM-a i pokazuje gdje bi dionici u državama članicama trebali razvijati elemente NRM-a za pojedine programe.</w:t>
      </w:r>
    </w:p>
    <w:p w:rsidR="00867290" w:rsidRPr="00BB2924" w:rsidRDefault="00867290" w:rsidP="00057273">
      <w:pPr>
        <w:pStyle w:val="HHeadingfigures"/>
        <w:numPr>
          <w:ilvl w:val="0"/>
          <w:numId w:val="0"/>
        </w:numPr>
        <w:rPr>
          <w:highlight w:val="yellow"/>
        </w:rPr>
      </w:pPr>
      <w:bookmarkStart w:id="65" w:name="_Toc445465124"/>
      <w:bookmarkStart w:id="66" w:name="_Toc451781928"/>
      <w:bookmarkStart w:id="67" w:name="_Ref451784441"/>
      <w:bookmarkStart w:id="68" w:name="_Ref451784713"/>
      <w:bookmarkStart w:id="69" w:name="_Toc461713655"/>
      <w:r>
        <w:rPr>
          <w:highlight w:val="yellow"/>
        </w:rPr>
        <w:t>Slika 9. Pregled elemenata ZSPE-a za NRM koje treba nadopuniti elementima NRM-a za pojedine programe</w:t>
      </w:r>
      <w:bookmarkEnd w:id="65"/>
      <w:bookmarkEnd w:id="66"/>
      <w:bookmarkEnd w:id="67"/>
      <w:bookmarkEnd w:id="68"/>
      <w:bookmarkEnd w:id="69"/>
      <w:r>
        <w:rPr>
          <w:highlight w:val="yellow"/>
        </w:rPr>
        <w:t xml:space="preserve"> </w:t>
      </w:r>
    </w:p>
    <w:p w:rsidR="00867290" w:rsidRPr="00BB2924" w:rsidRDefault="00867290" w:rsidP="00BD4B16">
      <w:pPr>
        <w:pStyle w:val="HStandard"/>
        <w:jc w:val="center"/>
        <w:rPr>
          <w:highlight w:val="yellow"/>
        </w:rPr>
      </w:pPr>
      <w:r>
        <w:rPr>
          <w:noProof/>
          <w:highlight w:val="yellow"/>
          <w:lang w:val="en-GB" w:eastAsia="en-GB" w:bidi="ar-SA"/>
        </w:rPr>
        <w:drawing>
          <wp:inline distT="0" distB="0" distL="0" distR="0" wp14:anchorId="0EF10654" wp14:editId="4F8C6BED">
            <wp:extent cx="5839073" cy="3324225"/>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798" cy="3329192"/>
                    </a:xfrm>
                    <a:prstGeom prst="rect">
                      <a:avLst/>
                    </a:prstGeom>
                    <a:noFill/>
                  </pic:spPr>
                </pic:pic>
              </a:graphicData>
            </a:graphic>
          </wp:inline>
        </w:drawing>
      </w:r>
    </w:p>
    <w:p w:rsidR="00867290" w:rsidRPr="00BB2924" w:rsidRDefault="00867290" w:rsidP="004615A0">
      <w:pPr>
        <w:pStyle w:val="HSource"/>
        <w:rPr>
          <w:highlight w:val="yellow"/>
        </w:rPr>
      </w:pPr>
      <w:r>
        <w:rPr>
          <w:highlight w:val="yellow"/>
        </w:rPr>
        <w:t>Izvor: Europski centar za pomoć pri evaluaciji za ruralni razvoj, 2016.</w:t>
      </w:r>
    </w:p>
    <w:p w:rsidR="00867290" w:rsidRPr="00BB2924" w:rsidRDefault="00867290" w:rsidP="00923616">
      <w:pPr>
        <w:pStyle w:val="HStandard"/>
        <w:rPr>
          <w:highlight w:val="yellow"/>
        </w:rPr>
        <w:sectPr w:rsidR="00867290" w:rsidRPr="00BB2924" w:rsidSect="007C19BE">
          <w:pgSz w:w="11906" w:h="16838" w:code="9"/>
          <w:pgMar w:top="1440" w:right="1440" w:bottom="1440" w:left="1440" w:header="1134" w:footer="1021" w:gutter="0"/>
          <w:cols w:space="708"/>
          <w:titlePg/>
          <w:docGrid w:linePitch="360"/>
        </w:sectPr>
      </w:pPr>
    </w:p>
    <w:p w:rsidR="00867290" w:rsidRPr="00BB2924" w:rsidRDefault="00867290" w:rsidP="00057273">
      <w:pPr>
        <w:pStyle w:val="HHeadingtables"/>
        <w:numPr>
          <w:ilvl w:val="0"/>
          <w:numId w:val="0"/>
        </w:numPr>
        <w:rPr>
          <w:highlight w:val="yellow"/>
        </w:rPr>
      </w:pPr>
      <w:bookmarkStart w:id="70" w:name="_Toc436383142"/>
      <w:bookmarkStart w:id="71" w:name="_Toc451781905"/>
      <w:bookmarkStart w:id="72" w:name="_Ref451784860"/>
      <w:bookmarkStart w:id="73" w:name="_Ref451784868"/>
      <w:bookmarkStart w:id="74" w:name="_Toc461713637"/>
      <w:r>
        <w:rPr>
          <w:highlight w:val="yellow"/>
        </w:rPr>
        <w:lastRenderedPageBreak/>
        <w:t xml:space="preserve">Tablica 1. Zajednički okvir </w:t>
      </w:r>
      <w:bookmarkEnd w:id="70"/>
      <w:r>
        <w:rPr>
          <w:highlight w:val="yellow"/>
        </w:rPr>
        <w:t>evaluacije za NRM</w:t>
      </w:r>
      <w:bookmarkEnd w:id="71"/>
      <w:bookmarkEnd w:id="72"/>
      <w:bookmarkEnd w:id="73"/>
      <w:bookmarkEnd w:id="74"/>
    </w:p>
    <w:tbl>
      <w:tblPr>
        <w:tblW w:w="14323" w:type="dxa"/>
        <w:jc w:val="center"/>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70" w:type="dxa"/>
          <w:right w:w="70" w:type="dxa"/>
        </w:tblCellMar>
        <w:tblLook w:val="04A0" w:firstRow="1" w:lastRow="0" w:firstColumn="1" w:lastColumn="0" w:noHBand="0" w:noVBand="1"/>
      </w:tblPr>
      <w:tblGrid>
        <w:gridCol w:w="3087"/>
        <w:gridCol w:w="2931"/>
        <w:gridCol w:w="2969"/>
        <w:gridCol w:w="2378"/>
        <w:gridCol w:w="2958"/>
      </w:tblGrid>
      <w:tr w:rsidR="00867290" w:rsidRPr="00BB2924" w:rsidTr="00DC0897">
        <w:trPr>
          <w:trHeight w:val="406"/>
          <w:tblHeader/>
          <w:jc w:val="center"/>
        </w:trPr>
        <w:tc>
          <w:tcPr>
            <w:tcW w:w="3087" w:type="dxa"/>
            <w:shd w:val="clear" w:color="auto" w:fill="E7E6E6" w:themeFill="background2"/>
            <w:vAlign w:val="center"/>
          </w:tcPr>
          <w:p w:rsidR="00867290" w:rsidRPr="00BB2924" w:rsidRDefault="00867290" w:rsidP="004615A0">
            <w:pPr>
              <w:pStyle w:val="Htableleftbolt"/>
              <w:jc w:val="center"/>
              <w:rPr>
                <w:color w:val="5B9BD5" w:themeColor="accent1"/>
                <w:highlight w:val="yellow"/>
              </w:rPr>
            </w:pPr>
            <w:r>
              <w:rPr>
                <w:color w:val="5B9BD5" w:themeColor="accent1"/>
                <w:highlight w:val="yellow"/>
              </w:rPr>
              <w:t>CILJ POLITIKE</w:t>
            </w:r>
          </w:p>
        </w:tc>
        <w:tc>
          <w:tcPr>
            <w:tcW w:w="2931" w:type="dxa"/>
            <w:shd w:val="clear" w:color="auto" w:fill="E7E6E6" w:themeFill="background2"/>
            <w:vAlign w:val="center"/>
          </w:tcPr>
          <w:p w:rsidR="00867290" w:rsidRPr="00BB2924" w:rsidRDefault="00867290" w:rsidP="00DC0897">
            <w:pPr>
              <w:pStyle w:val="Htableleftbolt"/>
              <w:jc w:val="center"/>
              <w:rPr>
                <w:color w:val="5B9BD5" w:themeColor="accent1"/>
                <w:highlight w:val="yellow"/>
              </w:rPr>
            </w:pPr>
            <w:r>
              <w:rPr>
                <w:color w:val="5B9BD5" w:themeColor="accent1"/>
                <w:highlight w:val="yellow"/>
              </w:rPr>
              <w:t>ZAJEDNIČKO EVALUACIJSKO PITANJE KOJE SE ODNOSI NA NRM</w:t>
            </w:r>
            <w:r>
              <w:rPr>
                <w:rFonts w:ascii="ZWAdobeF" w:hAnsi="ZWAdobeF"/>
                <w:b w:val="0"/>
                <w:color w:val="auto"/>
                <w:sz w:val="2"/>
                <w:highlight w:val="yellow"/>
              </w:rPr>
              <w:t>43F</w:t>
            </w:r>
            <w:r>
              <w:rPr>
                <w:rStyle w:val="FootnoteReference"/>
                <w:color w:val="5B9BD5" w:themeColor="accent1"/>
                <w:highlight w:val="yellow"/>
              </w:rPr>
              <w:footnoteReference w:id="44"/>
            </w:r>
          </w:p>
        </w:tc>
        <w:tc>
          <w:tcPr>
            <w:tcW w:w="2969" w:type="dxa"/>
            <w:shd w:val="clear" w:color="auto" w:fill="E7E6E6" w:themeFill="background2"/>
            <w:vAlign w:val="center"/>
          </w:tcPr>
          <w:p w:rsidR="00867290" w:rsidRPr="00BB2924" w:rsidRDefault="00867290" w:rsidP="004615A0">
            <w:pPr>
              <w:pStyle w:val="Htableleftbolt"/>
              <w:jc w:val="center"/>
              <w:rPr>
                <w:color w:val="5B9BD5" w:themeColor="accent1"/>
                <w:highlight w:val="yellow"/>
              </w:rPr>
            </w:pPr>
            <w:r>
              <w:rPr>
                <w:color w:val="5B9BD5" w:themeColor="accent1"/>
                <w:highlight w:val="yellow"/>
              </w:rPr>
              <w:t xml:space="preserve">KRITERIJI PROSUDBE </w:t>
            </w:r>
            <w:r>
              <w:rPr>
                <w:rFonts w:ascii="ZWAdobeF" w:hAnsi="ZWAdobeF"/>
                <w:b w:val="0"/>
                <w:color w:val="auto"/>
                <w:sz w:val="2"/>
                <w:highlight w:val="yellow"/>
              </w:rPr>
              <w:t>44F</w:t>
            </w:r>
            <w:r>
              <w:rPr>
                <w:rStyle w:val="FootnoteReference"/>
                <w:color w:val="5B9BD5" w:themeColor="accent1"/>
                <w:highlight w:val="yellow"/>
              </w:rPr>
              <w:footnoteReference w:id="45"/>
            </w:r>
          </w:p>
        </w:tc>
        <w:tc>
          <w:tcPr>
            <w:tcW w:w="2378" w:type="dxa"/>
            <w:shd w:val="clear" w:color="auto" w:fill="E7E6E6" w:themeFill="background2"/>
            <w:vAlign w:val="center"/>
          </w:tcPr>
          <w:p w:rsidR="00867290" w:rsidRPr="00BB2924" w:rsidRDefault="00867290" w:rsidP="00DC0897">
            <w:pPr>
              <w:pStyle w:val="Htableleftbolt"/>
              <w:jc w:val="center"/>
              <w:rPr>
                <w:color w:val="5B9BD5" w:themeColor="accent1"/>
                <w:highlight w:val="yellow"/>
              </w:rPr>
            </w:pPr>
            <w:r>
              <w:rPr>
                <w:color w:val="5B9BD5" w:themeColor="accent1"/>
                <w:highlight w:val="yellow"/>
              </w:rPr>
              <w:t>ZAJEDNIČKI POKAZATELJI</w:t>
            </w:r>
            <w:r>
              <w:rPr>
                <w:rFonts w:ascii="ZWAdobeF" w:hAnsi="ZWAdobeF"/>
                <w:b w:val="0"/>
                <w:color w:val="auto"/>
                <w:sz w:val="2"/>
                <w:highlight w:val="yellow"/>
              </w:rPr>
              <w:t>45F</w:t>
            </w:r>
            <w:r>
              <w:rPr>
                <w:rStyle w:val="FootnoteReference"/>
                <w:color w:val="5B9BD5" w:themeColor="accent1"/>
                <w:highlight w:val="yellow"/>
              </w:rPr>
              <w:footnoteReference w:id="46"/>
            </w:r>
          </w:p>
        </w:tc>
        <w:tc>
          <w:tcPr>
            <w:tcW w:w="2958" w:type="dxa"/>
            <w:shd w:val="clear" w:color="auto" w:fill="E7E6E6" w:themeFill="background2"/>
            <w:vAlign w:val="center"/>
          </w:tcPr>
          <w:p w:rsidR="00867290" w:rsidRPr="00BB2924" w:rsidRDefault="00867290" w:rsidP="004615A0">
            <w:pPr>
              <w:pStyle w:val="Htableleftbolt"/>
              <w:jc w:val="center"/>
              <w:rPr>
                <w:color w:val="5B9BD5" w:themeColor="accent1"/>
                <w:highlight w:val="yellow"/>
              </w:rPr>
            </w:pPr>
            <w:r>
              <w:rPr>
                <w:color w:val="5B9BD5" w:themeColor="accent1"/>
                <w:highlight w:val="yellow"/>
              </w:rPr>
              <w:t xml:space="preserve">DODATNE INFORMACIJE </w:t>
            </w:r>
            <w:r>
              <w:rPr>
                <w:rFonts w:ascii="ZWAdobeF" w:hAnsi="ZWAdobeF"/>
                <w:b w:val="0"/>
                <w:color w:val="auto"/>
                <w:sz w:val="2"/>
                <w:highlight w:val="yellow"/>
              </w:rPr>
              <w:t>46F</w:t>
            </w:r>
            <w:r>
              <w:rPr>
                <w:rStyle w:val="FootnoteReference"/>
                <w:color w:val="5B9BD5" w:themeColor="accent1"/>
                <w:highlight w:val="yellow"/>
              </w:rPr>
              <w:footnoteReference w:id="47"/>
            </w:r>
          </w:p>
        </w:tc>
      </w:tr>
      <w:tr w:rsidR="00867290" w:rsidRPr="00BB2924" w:rsidTr="00DC0897">
        <w:trPr>
          <w:trHeight w:val="129"/>
          <w:jc w:val="center"/>
        </w:trPr>
        <w:tc>
          <w:tcPr>
            <w:tcW w:w="3087" w:type="dxa"/>
            <w:shd w:val="clear" w:color="auto" w:fill="auto"/>
            <w:vAlign w:val="center"/>
          </w:tcPr>
          <w:p w:rsidR="00867290" w:rsidRPr="00BB2924" w:rsidRDefault="00867290" w:rsidP="00CA57FC">
            <w:pPr>
              <w:pStyle w:val="Htableleft"/>
              <w:rPr>
                <w:color w:val="576C88" w:themeColor="text2" w:themeTint="D9"/>
                <w:highlight w:val="yellow"/>
              </w:rPr>
            </w:pPr>
            <w:r>
              <w:rPr>
                <w:color w:val="576C88" w:themeColor="text2" w:themeTint="D9"/>
                <w:highlight w:val="yellow"/>
              </w:rPr>
              <w:t>Uredba (EU) br. 1305/2013, čl. 54. st. 2.:</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povećati sudjelovanje dionika u provedbi ruralnog razvoja;</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poboljšati kvalitetu provedbe programa ruralnog razvoja;</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obavještavati širu javnost i potencijalne korisnike o politici ruralnog razvoja i mogućnostima financiranja;</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poticati inovacije u poljoprivredi, proizvodnji hrane, šumarstvu i ruralnim područjima.</w:t>
            </w:r>
          </w:p>
        </w:tc>
        <w:tc>
          <w:tcPr>
            <w:tcW w:w="2931" w:type="dxa"/>
            <w:shd w:val="clear" w:color="auto" w:fill="auto"/>
            <w:vAlign w:val="center"/>
          </w:tcPr>
          <w:p w:rsidR="00867290" w:rsidRPr="00BB2924" w:rsidRDefault="00867290" w:rsidP="00075793">
            <w:pPr>
              <w:pStyle w:val="Htableleft"/>
              <w:rPr>
                <w:color w:val="576C88" w:themeColor="text2" w:themeTint="D9"/>
                <w:highlight w:val="yellow"/>
              </w:rPr>
            </w:pPr>
            <w:r>
              <w:rPr>
                <w:color w:val="576C88" w:themeColor="text2" w:themeTint="D9"/>
                <w:highlight w:val="yellow"/>
              </w:rPr>
              <w:t>U kojoj je mjeri nacionalna ruralna mreža pridonijela ostvarenju ciljeva iz Uredbe (EU) br. 1305/2013, čl. 54. st. 2.?</w:t>
            </w:r>
          </w:p>
        </w:tc>
        <w:tc>
          <w:tcPr>
            <w:tcW w:w="2969" w:type="dxa"/>
            <w:shd w:val="clear" w:color="auto" w:fill="auto"/>
            <w:vAlign w:val="center"/>
          </w:tcPr>
          <w:p w:rsidR="00867290" w:rsidRPr="00BB2924" w:rsidRDefault="00867290" w:rsidP="00CA57FC">
            <w:pPr>
              <w:pStyle w:val="Htablebullet"/>
              <w:rPr>
                <w:color w:val="576C88" w:themeColor="text2" w:themeTint="D9"/>
                <w:highlight w:val="yellow"/>
              </w:rPr>
            </w:pPr>
            <w:r>
              <w:rPr>
                <w:color w:val="576C88" w:themeColor="text2" w:themeTint="D9"/>
                <w:highlight w:val="yellow"/>
              </w:rPr>
              <w:t>povećanje broja i tipova dionika uključenih u provedbu PRR-a zbog aktivnosti NRM-ova;</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kvaliteta provedbe PRR-a poboljšana je aktivnostima NRM-a, npr.</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 xml:space="preserve">povećan kapacitet korisnika PRR-a, </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poboljšana svijest o evaluaciji,</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pouke iz evaluacija uzimaju se u obzir pri provedbi programa;</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šira javnost i potencijalni korisnici svjesni su politike ruralnog razvoja i mogućnosti financiranja zbog aktivnosti NRM-a;</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NRM je potaknuo inovacije u poljoprivredi, proizvodnji hrane, šumarstvu i ruralnim područjima.</w:t>
            </w:r>
          </w:p>
        </w:tc>
        <w:tc>
          <w:tcPr>
            <w:tcW w:w="2378" w:type="dxa"/>
            <w:shd w:val="clear" w:color="auto" w:fill="auto"/>
            <w:vAlign w:val="center"/>
          </w:tcPr>
          <w:p w:rsidR="00867290" w:rsidRPr="00BB2924" w:rsidRDefault="00867290" w:rsidP="00CA57FC">
            <w:pPr>
              <w:pStyle w:val="Htablebullet"/>
              <w:rPr>
                <w:color w:val="576C88" w:themeColor="text2" w:themeTint="D9"/>
                <w:highlight w:val="yellow"/>
              </w:rPr>
            </w:pPr>
            <w:r>
              <w:rPr>
                <w:color w:val="576C88" w:themeColor="text2" w:themeTint="D9"/>
                <w:highlight w:val="yellow"/>
              </w:rPr>
              <w:t>broj tematskih i analitičkih razmjena utvrđenih potporom nacionalnih ruralnih mreža (NRM);</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broj komunikacijskih alata nacionalnih ruralnih mreža (NRM);</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broj EMRR-ovih aktivnosti u kojima su NRM-ovi sudjelovali.</w:t>
            </w:r>
          </w:p>
        </w:tc>
        <w:tc>
          <w:tcPr>
            <w:tcW w:w="2958" w:type="dxa"/>
            <w:shd w:val="clear" w:color="auto" w:fill="auto"/>
          </w:tcPr>
          <w:p w:rsidR="00867290" w:rsidRPr="00BB2924" w:rsidRDefault="00867290" w:rsidP="00CA57FC">
            <w:pPr>
              <w:pStyle w:val="Htablebullet"/>
              <w:rPr>
                <w:color w:val="576C88" w:themeColor="text2" w:themeTint="D9"/>
                <w:highlight w:val="yellow"/>
              </w:rPr>
            </w:pPr>
            <w:r>
              <w:rPr>
                <w:color w:val="576C88" w:themeColor="text2" w:themeTint="D9"/>
                <w:highlight w:val="yellow"/>
              </w:rPr>
              <w:t>broj dionika (prema tipu) koji sudjeluju u provedbi PRR-a zbog aktivnosti NRM-a (i putem LAG-ova);</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broj modifikacija PRR-a utemeljenih na nalazima evaluacije i preporukama tematskih radnih skupina koje je organizirao NRM;</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postotak projekata koje je proveo PRR potaknutih aktivnostima (P)NRM-a;</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broj osoba obaviještenih o politici ruralnog razvoja i prilikama za financiranje komunikacijskim alatima NRM-a;</w:t>
            </w:r>
          </w:p>
          <w:p w:rsidR="00867290" w:rsidRPr="00BB2924" w:rsidRDefault="00867290" w:rsidP="00CA57FC">
            <w:pPr>
              <w:pStyle w:val="Htablebullet"/>
              <w:rPr>
                <w:color w:val="576C88" w:themeColor="text2" w:themeTint="D9"/>
                <w:highlight w:val="yellow"/>
              </w:rPr>
            </w:pPr>
            <w:r>
              <w:rPr>
                <w:color w:val="576C88" w:themeColor="text2" w:themeTint="D9"/>
                <w:highlight w:val="yellow"/>
              </w:rPr>
              <w:t xml:space="preserve">postotak inovativnih projekata koje je potaknuo NRM od ukupnog broja inovativnih projekata koje su poduprli PRR-ovi. </w:t>
            </w:r>
          </w:p>
        </w:tc>
      </w:tr>
    </w:tbl>
    <w:p w:rsidR="00867290" w:rsidRPr="00BB2924" w:rsidRDefault="00867290" w:rsidP="00923616">
      <w:pPr>
        <w:pStyle w:val="HStandard"/>
        <w:rPr>
          <w:highlight w:val="yellow"/>
        </w:rPr>
        <w:sectPr w:rsidR="00867290" w:rsidRPr="00BB2924" w:rsidSect="00DD4A55">
          <w:headerReference w:type="default" r:id="rId27"/>
          <w:footerReference w:type="default" r:id="rId28"/>
          <w:headerReference w:type="first" r:id="rId29"/>
          <w:footerReference w:type="first" r:id="rId30"/>
          <w:pgSz w:w="16838" w:h="11906" w:orient="landscape" w:code="9"/>
          <w:pgMar w:top="2098" w:right="2495" w:bottom="2098" w:left="2381" w:header="907" w:footer="1021" w:gutter="0"/>
          <w:cols w:space="708"/>
          <w:titlePg/>
          <w:docGrid w:linePitch="360"/>
        </w:sectPr>
      </w:pPr>
    </w:p>
    <w:p w:rsidR="00867290" w:rsidRPr="00BB2924" w:rsidRDefault="00867290" w:rsidP="00CE1BD8">
      <w:pPr>
        <w:pStyle w:val="HHeading1"/>
        <w:numPr>
          <w:ilvl w:val="0"/>
          <w:numId w:val="0"/>
        </w:numPr>
        <w:ind w:left="510" w:hanging="510"/>
        <w:rPr>
          <w:rFonts w:cs="Arial"/>
          <w:highlight w:val="yellow"/>
        </w:rPr>
      </w:pPr>
      <w:bookmarkStart w:id="75" w:name="_Toc453079753"/>
      <w:bookmarkStart w:id="76" w:name="_Toc461713627"/>
      <w:r>
        <w:rPr>
          <w:caps w:val="0"/>
          <w:highlight w:val="yellow"/>
        </w:rPr>
        <w:lastRenderedPageBreak/>
        <w:t xml:space="preserve">2. </w:t>
      </w:r>
      <w:r>
        <w:rPr>
          <w:caps w:val="0"/>
          <w:highlight w:val="yellow"/>
        </w:rPr>
        <w:tab/>
        <w:t>DIO I. – UPRAVLJANJE EVALUACIJOM NRM-a</w:t>
      </w:r>
      <w:bookmarkEnd w:id="75"/>
      <w:bookmarkEnd w:id="76"/>
    </w:p>
    <w:p w:rsidR="00867290" w:rsidRPr="00BB2924" w:rsidRDefault="00867290" w:rsidP="00BF5E8F">
      <w:pPr>
        <w:pStyle w:val="HHeading5"/>
        <w:rPr>
          <w:color w:val="A5A5A5" w:themeColor="accent3"/>
          <w:highlight w:val="yellow"/>
        </w:rPr>
      </w:pPr>
      <w:bookmarkStart w:id="77" w:name="_Toc391484185"/>
      <w:r>
        <w:rPr>
          <w:color w:val="A5A5A5" w:themeColor="accent3"/>
          <w:highlight w:val="yellow"/>
        </w:rPr>
        <w:t>Tko bi trebao pročitati DIO I.?</w:t>
      </w:r>
    </w:p>
    <w:p w:rsidR="00867290" w:rsidRPr="00BB2924" w:rsidRDefault="00867290" w:rsidP="00461BF0">
      <w:pPr>
        <w:pStyle w:val="HStandard"/>
        <w:spacing w:after="0"/>
        <w:rPr>
          <w:highlight w:val="yellow"/>
        </w:rPr>
      </w:pPr>
      <w:r>
        <w:rPr>
          <w:b/>
          <w:color w:val="E7E6E6" w:themeColor="background2"/>
          <w:highlight w:val="yellow"/>
        </w:rPr>
        <w:t>DIO I.</w:t>
      </w:r>
      <w:r>
        <w:rPr>
          <w:color w:val="E7E6E6" w:themeColor="background2"/>
          <w:highlight w:val="yellow"/>
        </w:rPr>
        <w:t xml:space="preserve"> </w:t>
      </w:r>
      <w:r>
        <w:rPr>
          <w:highlight w:val="yellow"/>
        </w:rPr>
        <w:t>bavi se uglavnom upravljačkim tijelima i JPM-om kao naručiteljem evaluacije NRM-a, ali i drugim dionicima zainteresiranima za planiranje i pripremu evaluacije NRM-a. Može biti zanimljiv i službenicima i stručnjacima uključenima u sastavljanje Opisa poslova (OP) za evaluaciju, ali i ljudima uključenima u upravljanje NRM-om.</w:t>
      </w:r>
    </w:p>
    <w:p w:rsidR="00867290" w:rsidRPr="00BB2924" w:rsidRDefault="00867290" w:rsidP="00BF5E8F">
      <w:pPr>
        <w:pStyle w:val="HHeading5"/>
        <w:rPr>
          <w:color w:val="A5A5A5" w:themeColor="accent3"/>
          <w:highlight w:val="yellow"/>
        </w:rPr>
      </w:pPr>
      <w:r>
        <w:rPr>
          <w:color w:val="A5A5A5" w:themeColor="accent3"/>
          <w:highlight w:val="yellow"/>
        </w:rPr>
        <w:t>Kako je organiziran DIO I.?</w:t>
      </w:r>
    </w:p>
    <w:p w:rsidR="00867290" w:rsidRPr="00BB2924" w:rsidRDefault="00867290" w:rsidP="00470DEA">
      <w:pPr>
        <w:pStyle w:val="HStandard"/>
        <w:spacing w:after="0"/>
        <w:rPr>
          <w:highlight w:val="yellow"/>
        </w:rPr>
      </w:pPr>
      <w:r>
        <w:rPr>
          <w:b/>
          <w:color w:val="E7E6E6" w:themeColor="background2"/>
          <w:highlight w:val="yellow"/>
        </w:rPr>
        <w:t>DIO I.</w:t>
      </w:r>
      <w:r>
        <w:rPr>
          <w:highlight w:val="yellow"/>
        </w:rPr>
        <w:t xml:space="preserve"> objašnjava uloge i odgovornosti svih dionika koji su ili bi mogli biti uključeni u evaluaciju NRM-a.  U njemu se navode i ključni koraci u evaluaciji NRM-a, kao što su planiranje, priprema i provedba evaluacije NRM-a te širenje, komuniciranje i praćenje rezultata evaluacije NRM-a.</w:t>
      </w:r>
    </w:p>
    <w:p w:rsidR="00867290" w:rsidRPr="00BB2924" w:rsidRDefault="00867290" w:rsidP="00CA5E80">
      <w:pPr>
        <w:pStyle w:val="HHeading2"/>
        <w:numPr>
          <w:ilvl w:val="0"/>
          <w:numId w:val="0"/>
        </w:numPr>
        <w:rPr>
          <w:highlight w:val="yellow"/>
        </w:rPr>
      </w:pPr>
      <w:bookmarkStart w:id="78" w:name="_Toc453079754"/>
      <w:bookmarkStart w:id="79" w:name="_Toc461713628"/>
      <w:r>
        <w:rPr>
          <w:highlight w:val="yellow"/>
        </w:rPr>
        <w:t>2.1. Tko je uključen u evaluaciju NRM-a i u kojoj ulozi?</w:t>
      </w:r>
      <w:bookmarkEnd w:id="77"/>
      <w:bookmarkEnd w:id="78"/>
      <w:bookmarkEnd w:id="79"/>
    </w:p>
    <w:p w:rsidR="00867290" w:rsidRPr="00BB2924" w:rsidRDefault="00867290" w:rsidP="00DC0897">
      <w:pPr>
        <w:pStyle w:val="HStandard"/>
        <w:rPr>
          <w:highlight w:val="yellow"/>
        </w:rPr>
      </w:pPr>
      <w:r>
        <w:rPr>
          <w:highlight w:val="yellow"/>
        </w:rPr>
        <w:t xml:space="preserve">Mnogo je sudionika u interakciji unutar različitih sastava NRM-ova u državama članicama. Tu je i velika raznolikost u kategorijama sudionika koji mogu u načelu biti uključeni u evaluaciju NRM-a, a to su sudionici koji upravljaju mrežom, sudjeluju u mreži i evaluiraju mrežu. </w:t>
      </w:r>
    </w:p>
    <w:p w:rsidR="00867290" w:rsidRPr="00BB2924" w:rsidRDefault="00867290" w:rsidP="007134D0">
      <w:pPr>
        <w:pStyle w:val="HStandard"/>
        <w:rPr>
          <w:highlight w:val="yellow"/>
        </w:rPr>
      </w:pPr>
      <w:r>
        <w:rPr>
          <w:highlight w:val="yellow"/>
        </w:rPr>
        <w:t xml:space="preserve">Važno je spomenuti da neki sudionici u mreži mogu imati višestruke uloge, na primjer predstavnik socijalnog partnera može biti i član LAG-a. Slično tome, odboru za praćenje povjereno je praćenje PRR-a, uključujući NRM. On je u isto vrijeme član NRM-a. </w:t>
      </w:r>
    </w:p>
    <w:p w:rsidR="00867290" w:rsidRPr="00BB2924" w:rsidRDefault="00867290" w:rsidP="007134D0">
      <w:pPr>
        <w:pStyle w:val="HStandard"/>
        <w:rPr>
          <w:highlight w:val="yellow"/>
        </w:rPr>
      </w:pPr>
      <w:r>
        <w:rPr>
          <w:highlight w:val="yellow"/>
        </w:rPr>
        <w:t>Osim toga, uloge sudionika ovise i o tome je li u pitanju evaluacija u kojoj je NRM evaluiran kao dio PRR-a ili je riječ o samostalnoj evaluaciji. Kako se samostalne evaluacije više usredotočuju na NRM, sudionici koji upravljaju mrežom i sudjeluju u njoj imat će veću ulogu i odgovornost nego ako se NRM evaluira kao dio PRR-a. Usto, uloge UT-a i JPM-a su različite, ovisno o tome tko naručuje evaluaciju (UT ili JPM). To onda određuje tko je odgovoran za evaluaciju NRM-a i tko ima proračun za evaluaciju NRM-a. Može biti i da JPM ima malen evaluacijski proračun, koji dopušta manje evaluacije, ali sveobuhvatna se evaluacija NRM-a plaća iz evaluacijskog proračuna UT-a.</w:t>
      </w:r>
    </w:p>
    <w:p w:rsidR="00867290" w:rsidRPr="00BB2924" w:rsidRDefault="00867290" w:rsidP="00CA5E80">
      <w:pPr>
        <w:pStyle w:val="HHeading3"/>
        <w:numPr>
          <w:ilvl w:val="0"/>
          <w:numId w:val="0"/>
        </w:numPr>
        <w:rPr>
          <w:highlight w:val="yellow"/>
        </w:rPr>
      </w:pPr>
      <w:bookmarkStart w:id="80" w:name="_Toc453079755"/>
      <w:bookmarkStart w:id="81" w:name="_Toc461713629"/>
      <w:r>
        <w:rPr>
          <w:highlight w:val="yellow"/>
        </w:rPr>
        <w:t>2.1.1. Sudionici uključeni u djelovanje mreže</w:t>
      </w:r>
      <w:bookmarkEnd w:id="80"/>
      <w:bookmarkEnd w:id="81"/>
    </w:p>
    <w:p w:rsidR="00867290" w:rsidRPr="00BB2924" w:rsidRDefault="00867290" w:rsidP="00B35926">
      <w:pPr>
        <w:pStyle w:val="HHeading5"/>
        <w:rPr>
          <w:highlight w:val="yellow"/>
        </w:rPr>
      </w:pPr>
      <w:r>
        <w:rPr>
          <w:highlight w:val="yellow"/>
        </w:rPr>
        <w:t>Upravljačko tijelo</w:t>
      </w:r>
      <w:r>
        <w:rPr>
          <w:rFonts w:ascii="ZWAdobeF" w:hAnsi="ZWAdobeF"/>
          <w:color w:val="auto"/>
          <w:sz w:val="2"/>
          <w:highlight w:val="yellow"/>
        </w:rPr>
        <w:t>47F</w:t>
      </w:r>
      <w:r>
        <w:rPr>
          <w:rStyle w:val="FootnoteReference"/>
          <w:highlight w:val="yellow"/>
        </w:rPr>
        <w:footnoteReference w:id="48"/>
      </w:r>
    </w:p>
    <w:p w:rsidR="00867290" w:rsidRPr="00BB2924" w:rsidRDefault="00867290" w:rsidP="007134D0">
      <w:pPr>
        <w:pStyle w:val="HStandard"/>
        <w:rPr>
          <w:highlight w:val="yellow"/>
        </w:rPr>
      </w:pPr>
      <w:r>
        <w:rPr>
          <w:highlight w:val="yellow"/>
        </w:rPr>
        <w:t xml:space="preserve">PRR i Upravljačko tijelo PNRM-a (UT) snosi odgovornost za pripremu, resurse, upravljanje i provedbu plana evaluacije. Plan evaluacije NRM-a uključuje sredstva za procjenu NRM-a. Upravljačko tijelo odgovorno je za kvalitetu, točnost i priopćavanje rezultata evaluacije NRM-a (kao dijela PRR-a ili samostalne evaluacije) i za praćenje uspješnosti mreže. Kad se NRM evaluira kao dio PRR-a ili kad UT naručuje samostalnu evaluaciju NRM-a ili PNRM-a, UT je naručitelj evaluacije i snosi odgovornost za planiranje, pripremu i kontrolu kvalitete evaluacije. </w:t>
      </w:r>
    </w:p>
    <w:p w:rsidR="00867290" w:rsidRPr="00BB2924" w:rsidRDefault="00867290" w:rsidP="007134D0">
      <w:pPr>
        <w:pStyle w:val="HStandard"/>
        <w:rPr>
          <w:highlight w:val="yellow"/>
        </w:rPr>
      </w:pPr>
      <w:r>
        <w:rPr>
          <w:highlight w:val="yellow"/>
        </w:rPr>
        <w:t>U nekim državama članicama ministarstvo odgovorno za PRR može imati službe koje nisu UT, a koje mogu preuzeti neke zadatke u evaluaciji NRM-a. Na primjer, služba za evaluaciju može pripremati, naručivati i kontrolirati kvalitetu evaluacije NRM-a te upravljati njome. Služba za komunikaciju, ako postoji, može surađivati s NRM-om u širenju rezultata evaluacije NRM-a.</w:t>
      </w:r>
    </w:p>
    <w:p w:rsidR="00867290" w:rsidRPr="00BB2924" w:rsidRDefault="00867290" w:rsidP="00B35926">
      <w:pPr>
        <w:pStyle w:val="HHeading5"/>
        <w:rPr>
          <w:highlight w:val="yellow"/>
        </w:rPr>
      </w:pPr>
      <w:r>
        <w:rPr>
          <w:highlight w:val="yellow"/>
        </w:rPr>
        <w:lastRenderedPageBreak/>
        <w:t>Jedinica za potporu mreže (JPM)</w:t>
      </w:r>
      <w:r>
        <w:rPr>
          <w:rFonts w:ascii="ZWAdobeF" w:hAnsi="ZWAdobeF"/>
          <w:b w:val="0"/>
          <w:color w:val="auto"/>
          <w:sz w:val="2"/>
          <w:highlight w:val="yellow"/>
        </w:rPr>
        <w:t>48F</w:t>
      </w:r>
      <w:r>
        <w:rPr>
          <w:rStyle w:val="FootnoteReference"/>
          <w:highlight w:val="yellow"/>
        </w:rPr>
        <w:footnoteReference w:id="49"/>
      </w:r>
    </w:p>
    <w:p w:rsidR="00867290" w:rsidRPr="00BB2924" w:rsidRDefault="00867290" w:rsidP="007134D0">
      <w:pPr>
        <w:pStyle w:val="HStandard"/>
        <w:rPr>
          <w:highlight w:val="yellow"/>
        </w:rPr>
      </w:pPr>
      <w:r>
        <w:rPr>
          <w:highlight w:val="yellow"/>
        </w:rPr>
        <w:t>U nekim državama članicama JPM se nalazi u sklopu UT-a; druge su eksternalizirale funkcije JPM-a raznim tipovima izvođača (javnim institucijama</w:t>
      </w:r>
      <w:r>
        <w:rPr>
          <w:rFonts w:ascii="ZWAdobeF" w:hAnsi="ZWAdobeF"/>
          <w:color w:val="auto"/>
          <w:sz w:val="2"/>
          <w:highlight w:val="yellow"/>
        </w:rPr>
        <w:t>49F</w:t>
      </w:r>
      <w:r>
        <w:rPr>
          <w:rStyle w:val="FootnoteReference"/>
          <w:highlight w:val="yellow"/>
        </w:rPr>
        <w:footnoteReference w:id="50"/>
      </w:r>
      <w:r>
        <w:rPr>
          <w:highlight w:val="yellow"/>
        </w:rPr>
        <w:t>, privatnim konzultantskim tvrtkama</w:t>
      </w:r>
      <w:r>
        <w:rPr>
          <w:rFonts w:ascii="ZWAdobeF" w:hAnsi="ZWAdobeF"/>
          <w:color w:val="auto"/>
          <w:sz w:val="2"/>
          <w:highlight w:val="yellow"/>
        </w:rPr>
        <w:t>50F</w:t>
      </w:r>
      <w:r>
        <w:rPr>
          <w:rStyle w:val="FootnoteReference"/>
          <w:highlight w:val="yellow"/>
        </w:rPr>
        <w:footnoteReference w:id="51"/>
      </w:r>
      <w:r>
        <w:rPr>
          <w:highlight w:val="yellow"/>
        </w:rPr>
        <w:t xml:space="preserve"> itd.). U zemljama gdje je NRM regionaliziran JPM je važan za vođenje mreže na regionalnoj razini. JPM igra temeljnu ulogu u poticanju i vođenju same mreže i uključivanju dionika. Međutim, pukim pokretanjem JPM-a mreža se ne osniva sama po sebi niti se automatski osigurava umrežavanje</w:t>
      </w:r>
      <w:r>
        <w:rPr>
          <w:rFonts w:ascii="ZWAdobeF" w:hAnsi="ZWAdobeF"/>
          <w:color w:val="auto"/>
          <w:sz w:val="2"/>
          <w:highlight w:val="yellow"/>
        </w:rPr>
        <w:t>51F</w:t>
      </w:r>
      <w:r>
        <w:rPr>
          <w:rStyle w:val="FootnoteReference"/>
          <w:highlight w:val="yellow"/>
        </w:rPr>
        <w:footnoteReference w:id="52"/>
      </w:r>
      <w:r>
        <w:rPr>
          <w:highlight w:val="yellow"/>
        </w:rPr>
        <w:t xml:space="preserve">. </w:t>
      </w:r>
    </w:p>
    <w:p w:rsidR="00867290" w:rsidRPr="00BB2924" w:rsidRDefault="00867290" w:rsidP="007134D0">
      <w:pPr>
        <w:pStyle w:val="HStandard"/>
        <w:rPr>
          <w:highlight w:val="yellow"/>
        </w:rPr>
      </w:pPr>
      <w:r>
        <w:rPr>
          <w:highlight w:val="yellow"/>
        </w:rPr>
        <w:t xml:space="preserve">JPM isto tako može odlučiti pripremiti i provesti opcionalno samoocjenjivanje NRM-a kako bi se poboljšala provedba aktivnosti i uspješnost NRM-a. JPM može također naručiti samostalne evaluacije NRM-a, u kojem slučaju snosi odgovornost za planiranje i pripremu evaluacije. Da bi JPM naručivao evaluacije, mora imati dovoljan kapacitet i proračun za pripremu, upravljanje i kontrolu kvalitete vlastite samostalne evaluacije. Ako je UT naručitelj evaluacije, JPM je glavni dionik i podupire UT u planiranju i pripremi evaluacije. JPM je važan pružatelj podataka za sve evaluacije P(NRM)-a. </w:t>
      </w:r>
    </w:p>
    <w:p w:rsidR="00867290" w:rsidRPr="00BB2924" w:rsidRDefault="00867290" w:rsidP="00B35926">
      <w:pPr>
        <w:pStyle w:val="HHeading5"/>
        <w:rPr>
          <w:highlight w:val="yellow"/>
        </w:rPr>
      </w:pPr>
      <w:r>
        <w:rPr>
          <w:highlight w:val="yellow"/>
        </w:rPr>
        <w:t>Agencija za plaćanja</w:t>
      </w:r>
      <w:r>
        <w:rPr>
          <w:rFonts w:ascii="ZWAdobeF" w:hAnsi="ZWAdobeF"/>
          <w:color w:val="auto"/>
          <w:sz w:val="2"/>
          <w:highlight w:val="yellow"/>
        </w:rPr>
        <w:t>52</w:t>
      </w:r>
      <w:r>
        <w:rPr>
          <w:rStyle w:val="FootnoteReference"/>
          <w:highlight w:val="yellow"/>
        </w:rPr>
        <w:footnoteReference w:id="53"/>
      </w:r>
    </w:p>
    <w:p w:rsidR="00867290" w:rsidRPr="00BB2924" w:rsidRDefault="00867290" w:rsidP="007134D0">
      <w:pPr>
        <w:pStyle w:val="HStandard"/>
        <w:rPr>
          <w:highlight w:val="yellow"/>
        </w:rPr>
      </w:pPr>
      <w:r>
        <w:rPr>
          <w:highlight w:val="yellow"/>
        </w:rPr>
        <w:t>Agencija za plaćanja (AP) važan je izvor podataka u evaluaciji NRM-a jer obično ima informacije o provedbi programa (plaćanja, korisnici, praćenje podataka, kontrole), uključujući informacije o NRM-u. Ovisno o državi članici, postoji jedna agencija za plaćanje ili više njih.</w:t>
      </w:r>
    </w:p>
    <w:p w:rsidR="00867290" w:rsidRPr="00BB2924" w:rsidRDefault="00867290" w:rsidP="00B35926">
      <w:pPr>
        <w:pStyle w:val="HHeading5"/>
        <w:rPr>
          <w:highlight w:val="yellow"/>
        </w:rPr>
      </w:pPr>
      <w:r>
        <w:rPr>
          <w:highlight w:val="yellow"/>
        </w:rPr>
        <w:t>Odbor za praćenje</w:t>
      </w:r>
      <w:r>
        <w:rPr>
          <w:rFonts w:ascii="ZWAdobeF" w:hAnsi="ZWAdobeF"/>
          <w:b w:val="0"/>
          <w:color w:val="auto"/>
          <w:sz w:val="2"/>
          <w:highlight w:val="yellow"/>
        </w:rPr>
        <w:t>53F</w:t>
      </w:r>
      <w:r>
        <w:rPr>
          <w:rStyle w:val="FootnoteReference"/>
          <w:highlight w:val="yellow"/>
        </w:rPr>
        <w:footnoteReference w:id="54"/>
      </w:r>
    </w:p>
    <w:p w:rsidR="00867290" w:rsidRPr="00BB2924" w:rsidRDefault="00867290" w:rsidP="007134D0">
      <w:pPr>
        <w:pStyle w:val="HStandard"/>
        <w:rPr>
          <w:highlight w:val="yellow"/>
        </w:rPr>
      </w:pPr>
      <w:r>
        <w:rPr>
          <w:highlight w:val="yellow"/>
        </w:rPr>
        <w:t>Odbor za praćenje odgovoran je za praćenje uspješnosti programa</w:t>
      </w:r>
      <w:r>
        <w:rPr>
          <w:rFonts w:ascii="ZWAdobeF" w:hAnsi="ZWAdobeF"/>
          <w:color w:val="auto"/>
          <w:sz w:val="2"/>
          <w:highlight w:val="yellow"/>
        </w:rPr>
        <w:t>54F</w:t>
      </w:r>
      <w:r>
        <w:rPr>
          <w:rStyle w:val="FootnoteReference"/>
          <w:highlight w:val="yellow"/>
        </w:rPr>
        <w:footnoteReference w:id="55"/>
      </w:r>
      <w:r>
        <w:rPr>
          <w:highlight w:val="yellow"/>
        </w:rPr>
        <w:t xml:space="preserve"> te za kvalitetu i učinkovitost provedbe programa. PNRM ima vlastiti Odbor za praćenje. U slučajevima gdje je NRM dio PRR-a, programski Odbor za praćenje pokriva i praćenje NRM-a. </w:t>
      </w:r>
    </w:p>
    <w:p w:rsidR="00867290" w:rsidRPr="00BB2924" w:rsidRDefault="00867290" w:rsidP="007134D0">
      <w:pPr>
        <w:pStyle w:val="HStandard"/>
        <w:rPr>
          <w:highlight w:val="yellow"/>
        </w:rPr>
      </w:pPr>
      <w:r>
        <w:rPr>
          <w:highlight w:val="yellow"/>
        </w:rPr>
        <w:t>Osim toga, Odbor za praćenje mora ispitati aktivnosti i ostvarenja povezane s napretkom provedbe plana evaluacije, uključujući aktivnosti za evaluaciju NRM-a. S druge strane, članovi Odbora za praćenje često sudjeluju u NRM-u kako bi razmjenjivali informacije o provedbi programa</w:t>
      </w:r>
      <w:r>
        <w:rPr>
          <w:rFonts w:ascii="ZWAdobeF" w:hAnsi="ZWAdobeF"/>
          <w:color w:val="auto"/>
          <w:sz w:val="2"/>
          <w:highlight w:val="yellow"/>
        </w:rPr>
        <w:t>55F</w:t>
      </w:r>
      <w:r>
        <w:rPr>
          <w:rStyle w:val="FootnoteReference"/>
          <w:highlight w:val="yellow"/>
        </w:rPr>
        <w:footnoteReference w:id="56"/>
      </w:r>
      <w:r>
        <w:rPr>
          <w:highlight w:val="yellow"/>
        </w:rPr>
        <w:t>, uključujući aktivnosti NRM-a.</w:t>
      </w:r>
    </w:p>
    <w:p w:rsidR="00867290" w:rsidRPr="00BB2924" w:rsidRDefault="00867290" w:rsidP="00B35926">
      <w:pPr>
        <w:pStyle w:val="HHeading5"/>
        <w:rPr>
          <w:highlight w:val="yellow"/>
        </w:rPr>
      </w:pPr>
      <w:r>
        <w:rPr>
          <w:highlight w:val="yellow"/>
        </w:rPr>
        <w:t>Koordinacijsko tijelo NRM-a</w:t>
      </w:r>
      <w:r>
        <w:rPr>
          <w:rFonts w:ascii="ZWAdobeF" w:hAnsi="ZWAdobeF"/>
          <w:b w:val="0"/>
          <w:color w:val="auto"/>
          <w:sz w:val="2"/>
          <w:highlight w:val="yellow"/>
        </w:rPr>
        <w:t>56F</w:t>
      </w:r>
      <w:r>
        <w:rPr>
          <w:rStyle w:val="FootnoteReference"/>
          <w:highlight w:val="yellow"/>
        </w:rPr>
        <w:footnoteReference w:id="57"/>
      </w:r>
    </w:p>
    <w:p w:rsidR="00867290" w:rsidRPr="00BB2924" w:rsidRDefault="00867290" w:rsidP="007134D0">
      <w:pPr>
        <w:pStyle w:val="HStandard"/>
        <w:rPr>
          <w:highlight w:val="yellow"/>
        </w:rPr>
      </w:pPr>
      <w:r>
        <w:rPr>
          <w:highlight w:val="yellow"/>
        </w:rPr>
        <w:t>Neki NRM-ovi osnovali su koordinacijsko tijelo NRM-a, sastavljeno od odabranih članova NRM-a. U takvim slučajevima koordinacijsko tijelo NRM-a uključeno je u aktivnosti NRM-a i upravlja njegovim akcijskim planom. Koordinacijsko tijelo NRM-a može odlučiti provesti samoocjenjivanje NRM-a i poduprijeti evaluaciju NRM-a pružanjem informacija. Važan zadatak za koordinacijsko tijelo NRM-a je osigurati da se rezultati samooocjenjivanja i evaluacije uzmu u obzir kako bi se poboljšala provedba akcijskog plana.</w:t>
      </w:r>
    </w:p>
    <w:p w:rsidR="00867290" w:rsidRPr="00BB2924" w:rsidRDefault="00867290" w:rsidP="00E8789F">
      <w:pPr>
        <w:pStyle w:val="HHeadingboxes"/>
        <w:numPr>
          <w:ilvl w:val="0"/>
          <w:numId w:val="0"/>
        </w:numPr>
        <w:rPr>
          <w:highlight w:val="yellow"/>
        </w:rPr>
      </w:pPr>
      <w:bookmarkStart w:id="82" w:name="_Toc451781951"/>
      <w:bookmarkStart w:id="83" w:name="_Toc461713663"/>
      <w:r>
        <w:rPr>
          <w:highlight w:val="yellow"/>
        </w:rPr>
        <w:t>Polje 1. Evaluacijska upravljačka skupina kao alat upravljanja procesom evaluacije</w:t>
      </w:r>
      <w:bookmarkEnd w:id="82"/>
      <w:bookmarkEnd w:id="83"/>
    </w:p>
    <w:p w:rsidR="00867290" w:rsidRPr="00BB2924" w:rsidRDefault="0086729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 xml:space="preserve">Evaluacijska upravljačka skupina (US) smatra se dobrom praksom, kako bi se olakšalo i koordiniralo konzultiranje dionika i upravljalo evaluacijskim procesom. Evaluacijski US pomaže UT-u pri usmjeravanju evaluacije i pri redovitom provjeravanju njezina napretka i kvalitete. Članovi evaluacijskog </w:t>
      </w:r>
      <w:r>
        <w:rPr>
          <w:color w:val="576C88" w:themeColor="text2" w:themeTint="D9"/>
          <w:highlight w:val="yellow"/>
        </w:rPr>
        <w:lastRenderedPageBreak/>
        <w:t xml:space="preserve">US-a mogu pridonijeti svojim specijaliziranim vještinama i stručnošću i pomoći osigurati dostupnost podataka, informacija i relevantnih kontakata evaluatoru. </w:t>
      </w:r>
    </w:p>
    <w:p w:rsidR="00867290" w:rsidRPr="00BB2924" w:rsidRDefault="0086729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867290" w:rsidRPr="00BB2924" w:rsidRDefault="0086729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Evaluacijski US obično saziva i njime predsjeda UT, koji navodi i postupke za njegovo djelovanje. Trebalo bi ga formirati u ranoj fazi jer može proteći neko vrijeme da se uspostavi. Sastav evaluacijskog US-a ovisi o posebnostima NRM-a i zadacima dodijeljenima skupini. U najmanju ruku, evaluacijski US trebao bi uključivati predstavnike iz UT-a (koji predstavljaju relevantne odjele / službe) i druge koji su uključeni u djelovanje NRM-a, predstavnike AP-a i, ako je primjenjivo, članove službe za evaluaciju. Nema idealne veličine za evaluacijski US. Trebao bi biti dovoljno velik da ima nužne vještine i znanje, no i dovoljno malen da bude učinkovit.</w:t>
      </w:r>
    </w:p>
    <w:p w:rsidR="00867290" w:rsidRPr="00BB2924" w:rsidRDefault="0086729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p>
    <w:p w:rsidR="00867290" w:rsidRPr="00BB2924" w:rsidRDefault="00867290" w:rsidP="00C71F5E">
      <w:pPr>
        <w:pStyle w:val="HBox"/>
        <w:pBdr>
          <w:top w:val="single" w:sz="4" w:space="0" w:color="E7E6E6" w:themeColor="background2"/>
          <w:left w:val="single" w:sz="4" w:space="4" w:color="E7E6E6" w:themeColor="background2"/>
          <w:bottom w:val="single" w:sz="4" w:space="4" w:color="E7E6E6" w:themeColor="background2"/>
          <w:right w:val="single" w:sz="4" w:space="4" w:color="E7E6E6" w:themeColor="background2"/>
        </w:pBdr>
        <w:shd w:val="clear" w:color="auto" w:fill="FAF9F9" w:themeFill="background2" w:themeFillTint="33"/>
        <w:rPr>
          <w:rFonts w:cs="Arial"/>
          <w:color w:val="576C88" w:themeColor="text2" w:themeTint="D9"/>
          <w:highlight w:val="yellow"/>
        </w:rPr>
      </w:pPr>
      <w:r>
        <w:rPr>
          <w:color w:val="576C88" w:themeColor="text2" w:themeTint="D9"/>
          <w:highlight w:val="yellow"/>
        </w:rPr>
        <w:t>Evaluacijski US nije obvezujuć i ne provodi preporuke evaluacije. Ta je ovlast u rukama UT-a, JPM-a ili upravljačkih tijela NRM-a.</w:t>
      </w:r>
    </w:p>
    <w:p w:rsidR="00867290" w:rsidRPr="00BB2924" w:rsidRDefault="00867290" w:rsidP="00CA5E80">
      <w:pPr>
        <w:pStyle w:val="HHeading3"/>
        <w:numPr>
          <w:ilvl w:val="0"/>
          <w:numId w:val="0"/>
        </w:numPr>
        <w:rPr>
          <w:highlight w:val="yellow"/>
        </w:rPr>
      </w:pPr>
      <w:bookmarkStart w:id="84" w:name="_Toc453079756"/>
      <w:bookmarkStart w:id="85" w:name="_Toc461713630"/>
      <w:r>
        <w:rPr>
          <w:highlight w:val="yellow"/>
        </w:rPr>
        <w:t>2.1.2. Članovi mreže</w:t>
      </w:r>
      <w:bookmarkEnd w:id="84"/>
      <w:bookmarkEnd w:id="85"/>
    </w:p>
    <w:p w:rsidR="00867290" w:rsidRPr="00BB2924" w:rsidRDefault="00867290" w:rsidP="007134D0">
      <w:pPr>
        <w:pStyle w:val="HStandard"/>
        <w:rPr>
          <w:highlight w:val="yellow"/>
        </w:rPr>
      </w:pPr>
      <w:r>
        <w:rPr>
          <w:highlight w:val="yellow"/>
        </w:rPr>
        <w:t>Članstvo u NRM-u varira među državama članicama, ovisno o nacionalnim pravilima i praksama (npr. otvoreno/ograničeno članstvo u NRM-u). Članovi NRM-a važni su za evaluaciju jer su oni korisnici NRM-a i mogu sudjelovati u anketama, fokusnim skupinama i evaluacijskim radionicama vezanima za NRM i njegovo djelovanje. Mnogi su članovi mreže i korisnici PRR-a. Nadalje, članovi mreže mogu preuzimati aktivne uloge u vođenju aktivnosti NRM-a, osobito u državama članicama u kojima aktivnosti NRM-a nisu ograničene na one koje organizira JPM. Članovi mreže mogu predložiti da se provede samooocjenjivanje NRM-a i aktivno sudjelovati u tome. Slijedi nepotpuni popis članova obično uključenih u NRM-ove.</w:t>
      </w:r>
    </w:p>
    <w:p w:rsidR="00867290" w:rsidRPr="00BB2924" w:rsidRDefault="00867290" w:rsidP="00B35926">
      <w:pPr>
        <w:pStyle w:val="HHeading5"/>
        <w:rPr>
          <w:highlight w:val="yellow"/>
        </w:rPr>
      </w:pPr>
      <w:r>
        <w:rPr>
          <w:highlight w:val="yellow"/>
        </w:rPr>
        <w:t>Lokalne akcijske skupine (LAG-ovi)</w:t>
      </w:r>
    </w:p>
    <w:p w:rsidR="00867290" w:rsidRPr="00BB2924" w:rsidRDefault="00867290" w:rsidP="007134D0">
      <w:pPr>
        <w:pStyle w:val="HStandard"/>
        <w:rPr>
          <w:highlight w:val="yellow"/>
        </w:rPr>
      </w:pPr>
      <w:r>
        <w:rPr>
          <w:highlight w:val="yellow"/>
        </w:rPr>
        <w:t>LAG-ovi su važan dio NRM-a. I oni su korisnici obuka i akcija umrežavanja</w:t>
      </w:r>
      <w:r>
        <w:rPr>
          <w:rFonts w:ascii="ZWAdobeF" w:hAnsi="ZWAdobeF"/>
          <w:color w:val="auto"/>
          <w:sz w:val="2"/>
          <w:highlight w:val="yellow"/>
        </w:rPr>
        <w:t>57F</w:t>
      </w:r>
      <w:r>
        <w:rPr>
          <w:rStyle w:val="FootnoteReference"/>
          <w:highlight w:val="yellow"/>
        </w:rPr>
        <w:footnoteReference w:id="58"/>
      </w:r>
      <w:r>
        <w:rPr>
          <w:highlight w:val="yellow"/>
        </w:rPr>
        <w:t xml:space="preserve"> te su kao takvi važni informatori za evaluaciju NRM-a. LAG-ovi mogu donijeti vrijedno lokalno znanje i kontakte za evaluaciju NRM-a. Nadalje, LAG-ovi mogu provoditi samoocjenjivanje, koje se bavi pitanjima umrežavanja i može pridonijeti evaluaciji NRM-a. </w:t>
      </w:r>
    </w:p>
    <w:p w:rsidR="00867290" w:rsidRPr="00BB2924" w:rsidRDefault="00867290" w:rsidP="00B35926">
      <w:pPr>
        <w:pStyle w:val="HHeading5"/>
        <w:rPr>
          <w:highlight w:val="yellow"/>
        </w:rPr>
      </w:pPr>
      <w:r>
        <w:rPr>
          <w:highlight w:val="yellow"/>
        </w:rPr>
        <w:t xml:space="preserve">Upravljačka tijela regionalnih PRR-ova u slučaju PNRM-ova </w:t>
      </w:r>
    </w:p>
    <w:p w:rsidR="00867290" w:rsidRPr="00BB2924" w:rsidRDefault="00867290" w:rsidP="007134D0">
      <w:pPr>
        <w:pStyle w:val="HStandard"/>
        <w:rPr>
          <w:highlight w:val="yellow"/>
        </w:rPr>
      </w:pPr>
      <w:r>
        <w:rPr>
          <w:highlight w:val="yellow"/>
        </w:rPr>
        <w:t xml:space="preserve">PNRM-ovi u višeregionalnim državama članicama osiguravaju mogućnost umrežavanja upravljačkim tijelima svih PRR-ova u zemlji. Sva upravljačka tijela mogu ponuditi važno regionalno znanje i kontakte koji pomažu procijeniti učinke (P)NRM-a na razne regionalne PRR-ove. Regionalni UT-ovi isto su tako važni čvorovi u mreži. </w:t>
      </w:r>
    </w:p>
    <w:p w:rsidR="00867290" w:rsidRPr="00BB2924" w:rsidRDefault="00867290" w:rsidP="00B35926">
      <w:pPr>
        <w:pStyle w:val="HHeading5"/>
        <w:rPr>
          <w:highlight w:val="yellow"/>
        </w:rPr>
      </w:pPr>
      <w:r>
        <w:rPr>
          <w:highlight w:val="yellow"/>
        </w:rPr>
        <w:t>Ostali članovi mreže</w:t>
      </w:r>
    </w:p>
    <w:p w:rsidR="00867290" w:rsidRPr="00BB2924" w:rsidRDefault="00867290" w:rsidP="007134D0">
      <w:pPr>
        <w:pStyle w:val="HStandard"/>
        <w:rPr>
          <w:highlight w:val="yellow"/>
        </w:rPr>
      </w:pPr>
      <w:r>
        <w:rPr>
          <w:highlight w:val="yellow"/>
        </w:rPr>
        <w:t>Ostali članovi mreže obično uključuju lokalne vlasti, društvene i gospodarske partnere (uključujući organizacije koje predstavljaju korisnike), tijela koja predstavljaju civilno društvo, NVO-e, obrazovne i istraživačke institucije, predstavnike drugih ESI fondova, druge mreže bitne za ruralna područja, lokalne udruge te inicijative prema načelu „odozdo prema gore”. U nekim državama članicama postoji i mogućnost da NRM-ovi za članove imaju pojedince. Ti članovi važni su kao ispitanici/dionici u žarišnim skupinama za procjenu uspješnosti i učinaka NRM-a.</w:t>
      </w:r>
    </w:p>
    <w:p w:rsidR="00867290" w:rsidRPr="00BB2924" w:rsidRDefault="00867290" w:rsidP="00CA5E80">
      <w:pPr>
        <w:pStyle w:val="HHeading3"/>
        <w:numPr>
          <w:ilvl w:val="0"/>
          <w:numId w:val="0"/>
        </w:numPr>
        <w:rPr>
          <w:highlight w:val="yellow"/>
        </w:rPr>
      </w:pPr>
      <w:bookmarkStart w:id="86" w:name="_Toc453079757"/>
      <w:bookmarkStart w:id="87" w:name="_Toc461713631"/>
      <w:r>
        <w:rPr>
          <w:highlight w:val="yellow"/>
        </w:rPr>
        <w:lastRenderedPageBreak/>
        <w:t>2.1.3. Sudionici koji evaluiraju mrežu</w:t>
      </w:r>
      <w:bookmarkEnd w:id="86"/>
      <w:bookmarkEnd w:id="87"/>
    </w:p>
    <w:p w:rsidR="00867290" w:rsidRPr="00BB2924" w:rsidRDefault="00867290" w:rsidP="00B35926">
      <w:pPr>
        <w:pStyle w:val="HHeading5"/>
        <w:rPr>
          <w:highlight w:val="yellow"/>
        </w:rPr>
      </w:pPr>
      <w:r>
        <w:rPr>
          <w:highlight w:val="yellow"/>
        </w:rPr>
        <w:t>Evaluator</w:t>
      </w:r>
    </w:p>
    <w:p w:rsidR="00867290" w:rsidRPr="00BB2924" w:rsidRDefault="00867290" w:rsidP="007134D0">
      <w:pPr>
        <w:pStyle w:val="HStandard"/>
        <w:rPr>
          <w:highlight w:val="yellow"/>
        </w:rPr>
      </w:pPr>
      <w:r>
        <w:rPr>
          <w:highlight w:val="yellow"/>
        </w:rPr>
        <w:t>Evaluacije PRR-a mora provoditi evaluator funkcionalno neovisan o tijelima nadležnima za provedbu programa</w:t>
      </w:r>
      <w:r>
        <w:rPr>
          <w:rFonts w:ascii="ZWAdobeF" w:hAnsi="ZWAdobeF"/>
          <w:color w:val="auto"/>
          <w:sz w:val="2"/>
          <w:highlight w:val="yellow"/>
        </w:rPr>
        <w:t>58F</w:t>
      </w:r>
      <w:r>
        <w:rPr>
          <w:rStyle w:val="FootnoteReference"/>
          <w:highlight w:val="yellow"/>
        </w:rPr>
        <w:footnoteReference w:id="59"/>
      </w:r>
      <w:r>
        <w:rPr>
          <w:highlight w:val="yellow"/>
        </w:rPr>
        <w:t>. To uključuje i evaluaciju NRM-a kao dio PRR-a ili kao samostalnu evaluaciju (P)NRM-a. Evaluator je obično vanjski nacionalni i međunarodni</w:t>
      </w:r>
      <w:r>
        <w:rPr>
          <w:rFonts w:ascii="ZWAdobeF" w:hAnsi="ZWAdobeF"/>
          <w:color w:val="auto"/>
          <w:sz w:val="2"/>
          <w:highlight w:val="yellow"/>
        </w:rPr>
        <w:t>59F</w:t>
      </w:r>
      <w:r>
        <w:rPr>
          <w:rStyle w:val="FootnoteReference"/>
          <w:highlight w:val="yellow"/>
        </w:rPr>
        <w:footnoteReference w:id="60"/>
      </w:r>
      <w:r>
        <w:rPr>
          <w:highlight w:val="yellow"/>
        </w:rPr>
        <w:t xml:space="preserve"> stručnjak (npr. jedna tvrtka ili istraživačka institucija, ili konzorcij nekoliko tvrtki i/ili istraživačkih institucija), odabran natječajnim postupkom za samostalni zadatak evaluacije (npr. evaluacijski dio GIP-a podnesen 2017. ili 2019.) ili kao trajni evaluator za cijelo programsko razdoblje. No evaluator može biti i javna agencija ili funkcionalno nezavisan odjel unutar istog tijela kao i UT.</w:t>
      </w:r>
    </w:p>
    <w:p w:rsidR="00867290" w:rsidRPr="00BB2924" w:rsidRDefault="00867290" w:rsidP="00CA5E80">
      <w:pPr>
        <w:pStyle w:val="HHeading2"/>
        <w:numPr>
          <w:ilvl w:val="0"/>
          <w:numId w:val="0"/>
        </w:numPr>
        <w:rPr>
          <w:highlight w:val="yellow"/>
        </w:rPr>
      </w:pPr>
      <w:bookmarkStart w:id="88" w:name="_Toc382312193"/>
      <w:bookmarkStart w:id="89" w:name="_Toc382409613"/>
      <w:bookmarkStart w:id="90" w:name="_Toc453079758"/>
      <w:bookmarkStart w:id="91" w:name="_Toc461713632"/>
      <w:r>
        <w:rPr>
          <w:highlight w:val="yellow"/>
        </w:rPr>
        <w:t>2.2. Ključni koraci</w:t>
      </w:r>
      <w:bookmarkEnd w:id="88"/>
      <w:bookmarkEnd w:id="89"/>
      <w:r>
        <w:rPr>
          <w:highlight w:val="yellow"/>
        </w:rPr>
        <w:t xml:space="preserve"> pri evaluaciji NRM-a</w:t>
      </w:r>
      <w:bookmarkEnd w:id="90"/>
      <w:bookmarkEnd w:id="91"/>
    </w:p>
    <w:p w:rsidR="00867290" w:rsidRPr="00BB2924" w:rsidRDefault="00867290" w:rsidP="007134D0">
      <w:pPr>
        <w:pStyle w:val="HStandard"/>
        <w:rPr>
          <w:highlight w:val="yellow"/>
        </w:rPr>
      </w:pPr>
      <w:r>
        <w:rPr>
          <w:highlight w:val="yellow"/>
        </w:rPr>
        <w:t xml:space="preserve">Evaluacija NRM-a trajan je proces koji se mora uzeti u obzir za vrijeme cijelog programskog razdoblja. Mora se planirati i pripremiti za cijelo razdoblje. Što se temeljitije napravi, lakše će biti naručiti i provesti evaluaciju NRM-a. Planiranje i priprema evaluacije za cijelo programsko razdoblje relativno su slični planiranju i pripremi jedne evaluacije. </w:t>
      </w:r>
    </w:p>
    <w:p w:rsidR="00867290" w:rsidRPr="00BB2924" w:rsidRDefault="00867290" w:rsidP="007134D0">
      <w:pPr>
        <w:pStyle w:val="HStandard"/>
        <w:rPr>
          <w:highlight w:val="yellow"/>
        </w:rPr>
      </w:pPr>
      <w:r>
        <w:rPr>
          <w:highlight w:val="yellow"/>
        </w:rPr>
        <w:t>Plan evaluacije podnesen kao dio PRR-a/PNRM-a mora sadržavati popis okvirnih tema evaluacije. Ako je NRM programiran kao dio PRR-a, plan evaluacije mora sadržavati NRM kao temu evaluacije.</w:t>
      </w:r>
      <w:r>
        <w:rPr>
          <w:rFonts w:ascii="ZWAdobeF" w:hAnsi="ZWAdobeF"/>
          <w:color w:val="auto"/>
          <w:sz w:val="2"/>
          <w:highlight w:val="yellow"/>
        </w:rPr>
        <w:t>60F</w:t>
      </w:r>
      <w:r>
        <w:rPr>
          <w:rStyle w:val="FootnoteReference"/>
          <w:highlight w:val="yellow"/>
        </w:rPr>
        <w:footnoteReference w:id="61"/>
      </w:r>
      <w:r>
        <w:rPr>
          <w:highlight w:val="yellow"/>
        </w:rPr>
        <w:t xml:space="preserve"> Neke države članice nadopunile su plan evaluacije internim, detaljnijim dokumentom, koji sadržava sveobuhvatan plan evaluacija, njihovo vrijeme i predviđene resurse. Ti dokumenti trebali bi pružiti općenit pregled evaluacija koje se odnose na NRM (samostalne evaluacije (P)NRM-a i evaluacije NRM-a kao dijela PRR-a) i njihov vremenski raspored. Interni planski dokument može sadržavati i zahtjev da NRM provede samoocjenjivanje pored planiranih resursa i uključivanja u evaluacije PRR-a. Osim toga, u akcijski plan NRM-a trebale bi biti uključene i detaljnije aktivnosti o evaluaciji NRM-a, samoocjenjivanju te uz evaluaciju vezanim događajima i aktivnostima izgradnje kapaciteta povezanima sa širenjem nalaza evaluacije. </w:t>
      </w:r>
    </w:p>
    <w:p w:rsidR="00867290" w:rsidRPr="00BB2924" w:rsidRDefault="00867290" w:rsidP="007134D0">
      <w:pPr>
        <w:pStyle w:val="HStandard"/>
        <w:rPr>
          <w:highlight w:val="yellow"/>
        </w:rPr>
      </w:pPr>
      <w:r>
        <w:rPr>
          <w:highlight w:val="yellow"/>
        </w:rPr>
        <w:t xml:space="preserve">Pri pripremi evaluacije (P)NRM-a, za vrijeme cijelog programskog razdoblja, relevantni dionici (UT, JPM ili drugi odgovorni dionici NRM-a) moraju osigurati da je utvrđena određena intervencijska logika NRM-a (ciljevi i očekivana ostvarenja, rezultati i učinci NRM-a). Potom, kako bi se nadopunilo zajednička evaluacijska pitanja i pokazatelje ostvarenja, trebalo bi razviti evaluacijska pitanja i pokazatelje za pojedine programe (rezultat i učinak). Nadalje, trebalo bi razmisliti o izvorima podataka za pokazatelje i složiti se oko odgovornosti i metoda prikupljanja podataka. U ovoj je fazi važno i konkretizirati komunikaciju, provjeru kvalitete i planove izgradnje kapaciteta za cijelo programsko razdoblje. </w:t>
      </w:r>
    </w:p>
    <w:p w:rsidR="00867290" w:rsidRPr="00BB2924" w:rsidRDefault="00867290" w:rsidP="007134D0">
      <w:pPr>
        <w:pStyle w:val="HStandard"/>
        <w:rPr>
          <w:highlight w:val="yellow"/>
        </w:rPr>
      </w:pPr>
      <w:r>
        <w:rPr>
          <w:highlight w:val="yellow"/>
        </w:rPr>
        <w:t xml:space="preserve">Najbolje je pripremiti evaluaciju NRM-a u ranoj fazi planiranja ili provedbe aktivnosti NRM-a kako bi se osiguralo da se podaci prikupljaju od početka i da prikupljanje podataka teži željenim informacijama. </w:t>
      </w:r>
    </w:p>
    <w:p w:rsidR="00867290" w:rsidRPr="00BB2924" w:rsidRDefault="00867290" w:rsidP="007134D0">
      <w:pPr>
        <w:pStyle w:val="HStandard"/>
        <w:rPr>
          <w:highlight w:val="yellow"/>
        </w:rPr>
      </w:pPr>
      <w:r>
        <w:rPr>
          <w:highlight w:val="yellow"/>
        </w:rPr>
        <w:t xml:space="preserve">Plan evaluacije, akcijski plan NRM-a i drugi općeniti dokumenti za planiranje pružaju pregled evaluacija i tema koje se odnose na NRM za cijelo programsko razdoblje. Osim toga, svaka se evaluacija mora planirati kao zaseban projekt, kako </w:t>
      </w:r>
      <w:r>
        <w:rPr>
          <w:highlight w:val="yellow"/>
        </w:rPr>
        <w:fldChar w:fldCharType="begin" w:fldLock="1"/>
      </w:r>
      <w:r>
        <w:rPr>
          <w:highlight w:val="yellow"/>
        </w:rPr>
        <w:instrText xml:space="preserve"> REF _Ref435790626 \r \h  \* MERGEFORMAT </w:instrText>
      </w:r>
      <w:r>
        <w:rPr>
          <w:highlight w:val="yellow"/>
        </w:rPr>
      </w:r>
      <w:r>
        <w:rPr>
          <w:highlight w:val="yellow"/>
        </w:rPr>
        <w:fldChar w:fldCharType="separate"/>
      </w:r>
      <w:r>
        <w:rPr>
          <w:highlight w:val="yellow"/>
        </w:rPr>
        <w:t>Figure 10</w:t>
      </w:r>
      <w:r>
        <w:rPr>
          <w:highlight w:val="yellow"/>
        </w:rPr>
        <w:fldChar w:fldCharType="end"/>
      </w:r>
      <w:r>
        <w:rPr>
          <w:highlight w:val="yellow"/>
        </w:rPr>
        <w:t xml:space="preserve"> se pokazuje u nastavku. Evaluacija se može podijeliti u odvojene korake sa zadacima koji se nižu. Glavni su koraci evaluacije planiranje, priprema, strukturiranje, provedba i širenje informacija. Svaki korak ima nekoliko zadataka, o kojima će se raspravljati u nastavku, zajedno s odgovornostima glavnih uključenih sudionika. </w:t>
      </w:r>
    </w:p>
    <w:p w:rsidR="00867290" w:rsidRPr="00BB2924" w:rsidRDefault="00867290" w:rsidP="006F6D66">
      <w:pPr>
        <w:pStyle w:val="HHeadingfigures"/>
        <w:numPr>
          <w:ilvl w:val="0"/>
          <w:numId w:val="0"/>
        </w:numPr>
        <w:rPr>
          <w:highlight w:val="yellow"/>
        </w:rPr>
      </w:pPr>
      <w:bookmarkStart w:id="92" w:name="_Ref435790626"/>
      <w:bookmarkStart w:id="93" w:name="_Toc445465126"/>
      <w:bookmarkStart w:id="94" w:name="_Toc451781929"/>
      <w:bookmarkStart w:id="95" w:name="_Toc461713656"/>
      <w:r>
        <w:rPr>
          <w:highlight w:val="yellow"/>
        </w:rPr>
        <w:t>Slika 10. Koraci u evaluaciji NRM-a</w:t>
      </w:r>
      <w:bookmarkEnd w:id="92"/>
      <w:bookmarkEnd w:id="93"/>
      <w:bookmarkEnd w:id="94"/>
      <w:bookmarkEnd w:id="95"/>
    </w:p>
    <w:p w:rsidR="00867290" w:rsidRPr="00BB2924" w:rsidRDefault="00867290" w:rsidP="00C71F5E">
      <w:pPr>
        <w:pStyle w:val="HStandard"/>
        <w:jc w:val="center"/>
        <w:rPr>
          <w:highlight w:val="yellow"/>
        </w:rPr>
      </w:pPr>
      <w:r>
        <w:rPr>
          <w:noProof/>
          <w:highlight w:val="yellow"/>
          <w:lang w:val="en-GB" w:eastAsia="en-GB" w:bidi="ar-SA"/>
        </w:rPr>
        <w:lastRenderedPageBreak/>
        <w:drawing>
          <wp:inline distT="0" distB="0" distL="0" distR="0" wp14:anchorId="591551C4" wp14:editId="21EEB0E9">
            <wp:extent cx="5076825" cy="2184915"/>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92831" cy="2191804"/>
                    </a:xfrm>
                    <a:prstGeom prst="rect">
                      <a:avLst/>
                    </a:prstGeom>
                    <a:noFill/>
                  </pic:spPr>
                </pic:pic>
              </a:graphicData>
            </a:graphic>
          </wp:inline>
        </w:drawing>
      </w:r>
    </w:p>
    <w:p w:rsidR="00867290" w:rsidRPr="00BB2924" w:rsidRDefault="00867290" w:rsidP="004615A0">
      <w:pPr>
        <w:pStyle w:val="HSource"/>
        <w:rPr>
          <w:highlight w:val="yellow"/>
        </w:rPr>
      </w:pPr>
      <w:r>
        <w:rPr>
          <w:highlight w:val="yellow"/>
        </w:rPr>
        <w:t>Izvor: Europski centar za pomoć pri evaluaciji za ruralni razvoj, 2016.</w:t>
      </w:r>
    </w:p>
    <w:p w:rsidR="00867290" w:rsidRPr="00BB2924" w:rsidRDefault="00867290" w:rsidP="00CA5E80">
      <w:pPr>
        <w:pStyle w:val="HHeading3"/>
        <w:numPr>
          <w:ilvl w:val="0"/>
          <w:numId w:val="0"/>
        </w:numPr>
        <w:rPr>
          <w:highlight w:val="yellow"/>
        </w:rPr>
      </w:pPr>
      <w:bookmarkStart w:id="96" w:name="_Toc453079759"/>
      <w:bookmarkStart w:id="97" w:name="_Toc461713633"/>
      <w:r>
        <w:rPr>
          <w:highlight w:val="yellow"/>
        </w:rPr>
        <w:t>2.2.1. Planiranje evaluacije NRM-a</w:t>
      </w:r>
      <w:bookmarkEnd w:id="96"/>
      <w:bookmarkEnd w:id="97"/>
      <w:r>
        <w:rPr>
          <w:highlight w:val="yellow"/>
        </w:rPr>
        <w:t xml:space="preserve"> </w:t>
      </w:r>
    </w:p>
    <w:p w:rsidR="00867290" w:rsidRPr="00BB2924" w:rsidRDefault="00867290" w:rsidP="00B62FBF">
      <w:pPr>
        <w:pStyle w:val="HStandard"/>
        <w:rPr>
          <w:highlight w:val="yellow"/>
        </w:rPr>
      </w:pPr>
      <w:r>
        <w:rPr>
          <w:highlight w:val="yellow"/>
        </w:rPr>
        <w:t xml:space="preserve">Kad je NRM dio PRR-a, aktivnosti NRM-a obično se planiraju kako bi ih se evaluiralo kao dio evaluacija PRR-a (2017., 2019. i </w:t>
      </w:r>
      <w:r w:rsidRPr="00DF00C2">
        <w:rPr>
          <w:i/>
          <w:highlight w:val="yellow"/>
        </w:rPr>
        <w:t>ex post</w:t>
      </w:r>
      <w:r>
        <w:rPr>
          <w:highlight w:val="yellow"/>
        </w:rPr>
        <w:t>), a u pojedinačnim slučajevima i u kontekstu samostalne evaluacije. PNRM-ove se mora evaluirati samostalnom evaluacijom. Kad god je UT naručitelj evaluacije NRM-a (kao dijela PRR-a ili kao samostalna evaluacija NRM-a), odgovoran je za planiranje i pripremu procesa i rasporeda evaluacije (P)NRM-a. To se može učiniti u vezi s JPM-om ili drugim dionicima evaluacije (npr. službom za evaluaciju, agencijom za plaćanje itd.)</w:t>
      </w:r>
      <w:r>
        <w:rPr>
          <w:rFonts w:ascii="ZWAdobeF" w:hAnsi="ZWAdobeF"/>
          <w:color w:val="auto"/>
          <w:sz w:val="2"/>
          <w:highlight w:val="yellow"/>
        </w:rPr>
        <w:t>61F</w:t>
      </w:r>
      <w:r>
        <w:rPr>
          <w:rStyle w:val="FootnoteReference"/>
          <w:highlight w:val="yellow"/>
        </w:rPr>
        <w:footnoteReference w:id="62"/>
      </w:r>
      <w:r>
        <w:rPr>
          <w:highlight w:val="yellow"/>
        </w:rPr>
        <w:t xml:space="preserve">. Ove se evaluacije obično financiraju iz Tehničke pomoći, a proces općenito vodi UT uz doprinos JPM-a i drugih dionika. JPM može biti odgovoran i za planiranje i pripremu samostalne evaluacije ako je naručitelj. </w:t>
      </w:r>
    </w:p>
    <w:p w:rsidR="00867290" w:rsidRPr="00BB2924" w:rsidRDefault="00867290" w:rsidP="00B62FBF">
      <w:pPr>
        <w:pStyle w:val="HStandard"/>
        <w:rPr>
          <w:highlight w:val="yellow"/>
        </w:rPr>
      </w:pPr>
      <w:r>
        <w:rPr>
          <w:highlight w:val="yellow"/>
        </w:rPr>
        <w:t>Koraci u planiranju evaluacije sljedeći su:</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7290" w:rsidRPr="00BB2924" w:rsidTr="00FC0A30">
        <w:trPr>
          <w:trHeight w:val="405"/>
        </w:trPr>
        <w:tc>
          <w:tcPr>
            <w:tcW w:w="988" w:type="dxa"/>
            <w:shd w:val="clear" w:color="auto" w:fill="E7E6E6" w:themeFill="background2"/>
          </w:tcPr>
          <w:p w:rsidR="00867290" w:rsidRPr="00BB2924" w:rsidRDefault="00867290" w:rsidP="00FC0A30">
            <w:pPr>
              <w:pStyle w:val="HStandard"/>
              <w:jc w:val="center"/>
              <w:rPr>
                <w:b/>
                <w:color w:val="5B9BD5" w:themeColor="accent1"/>
                <w:sz w:val="18"/>
                <w:szCs w:val="18"/>
                <w:highlight w:val="yellow"/>
              </w:rPr>
            </w:pPr>
            <w:r>
              <w:rPr>
                <w:b/>
                <w:color w:val="5B9BD5" w:themeColor="accent1"/>
                <w:sz w:val="18"/>
                <w:highlight w:val="yellow"/>
              </w:rPr>
              <w:t>1.</w:t>
            </w:r>
          </w:p>
        </w:tc>
        <w:tc>
          <w:tcPr>
            <w:tcW w:w="8028" w:type="dxa"/>
          </w:tcPr>
          <w:p w:rsidR="00867290" w:rsidRPr="00BB2924" w:rsidRDefault="00867290" w:rsidP="00937568">
            <w:pPr>
              <w:pStyle w:val="HStandard"/>
              <w:rPr>
                <w:sz w:val="18"/>
                <w:szCs w:val="18"/>
                <w:highlight w:val="yellow"/>
              </w:rPr>
            </w:pPr>
            <w:r>
              <w:rPr>
                <w:sz w:val="18"/>
                <w:highlight w:val="yellow"/>
              </w:rPr>
              <w:t xml:space="preserve">Utvrđivanje potreba evaluacije i potrebnih informacija iz evaluacije </w:t>
            </w:r>
          </w:p>
        </w:tc>
      </w:tr>
      <w:tr w:rsidR="00867290" w:rsidRPr="00BB2924" w:rsidTr="00FC0A30">
        <w:tc>
          <w:tcPr>
            <w:tcW w:w="988" w:type="dxa"/>
            <w:shd w:val="clear" w:color="auto" w:fill="E7E6E6" w:themeFill="background2"/>
          </w:tcPr>
          <w:p w:rsidR="00867290" w:rsidRPr="00BB2924" w:rsidRDefault="00867290" w:rsidP="00FC0A30">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867290" w:rsidRPr="00BB2924" w:rsidRDefault="00867290" w:rsidP="0017693D">
            <w:pPr>
              <w:pStyle w:val="HStandard"/>
              <w:rPr>
                <w:sz w:val="18"/>
                <w:szCs w:val="18"/>
                <w:highlight w:val="yellow"/>
              </w:rPr>
            </w:pPr>
            <w:r>
              <w:rPr>
                <w:sz w:val="18"/>
                <w:highlight w:val="yellow"/>
              </w:rPr>
              <w:t>Odlučivanje o obliku evaluacije</w:t>
            </w:r>
          </w:p>
        </w:tc>
      </w:tr>
      <w:tr w:rsidR="00867290" w:rsidRPr="00BB2924" w:rsidTr="00FC0A30">
        <w:tc>
          <w:tcPr>
            <w:tcW w:w="988" w:type="dxa"/>
            <w:shd w:val="clear" w:color="auto" w:fill="E7E6E6" w:themeFill="background2"/>
          </w:tcPr>
          <w:p w:rsidR="00867290" w:rsidRPr="00BB2924" w:rsidRDefault="00867290" w:rsidP="00FC0A30">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867290" w:rsidRPr="00BB2924" w:rsidRDefault="00867290" w:rsidP="00D549E5">
            <w:pPr>
              <w:pStyle w:val="HStandard"/>
              <w:rPr>
                <w:sz w:val="18"/>
                <w:szCs w:val="18"/>
                <w:highlight w:val="yellow"/>
              </w:rPr>
            </w:pPr>
            <w:r>
              <w:rPr>
                <w:sz w:val="18"/>
                <w:highlight w:val="yellow"/>
              </w:rPr>
              <w:t xml:space="preserve">Planiranje procesa i rasporeda evaluacije </w:t>
            </w:r>
          </w:p>
        </w:tc>
      </w:tr>
      <w:tr w:rsidR="00867290" w:rsidRPr="00BB2924" w:rsidTr="00FC0A30">
        <w:tc>
          <w:tcPr>
            <w:tcW w:w="988" w:type="dxa"/>
            <w:shd w:val="clear" w:color="auto" w:fill="E7E6E6" w:themeFill="background2"/>
          </w:tcPr>
          <w:p w:rsidR="00867290" w:rsidRPr="00BB2924" w:rsidRDefault="00867290" w:rsidP="00FC0A30">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867290" w:rsidRPr="00BB2924" w:rsidRDefault="00867290" w:rsidP="00B62FBF">
            <w:pPr>
              <w:pStyle w:val="HStandard"/>
              <w:rPr>
                <w:sz w:val="18"/>
                <w:szCs w:val="18"/>
                <w:highlight w:val="yellow"/>
              </w:rPr>
            </w:pPr>
            <w:r>
              <w:rPr>
                <w:sz w:val="18"/>
                <w:highlight w:val="yellow"/>
              </w:rPr>
              <w:t>Sastavljanje nacrta komunikacije i planovi izgradnje kapaciteta:</w:t>
            </w:r>
          </w:p>
        </w:tc>
      </w:tr>
    </w:tbl>
    <w:p w:rsidR="00867290" w:rsidRPr="00BB2924" w:rsidRDefault="00867290" w:rsidP="0079494B">
      <w:pPr>
        <w:pStyle w:val="HHeading5"/>
        <w:rPr>
          <w:highlight w:val="yellow"/>
        </w:rPr>
      </w:pPr>
      <w:r>
        <w:rPr>
          <w:highlight w:val="yellow"/>
        </w:rPr>
        <w:t xml:space="preserve">Korak 1. – Identifikacija potreba evaluacije (što bi trebalo evaluirati) i potrebnih informacija iz evaluacije </w:t>
      </w:r>
    </w:p>
    <w:p w:rsidR="00867290" w:rsidRPr="00BB2924" w:rsidRDefault="00867290" w:rsidP="003E2220">
      <w:pPr>
        <w:pStyle w:val="HStandard"/>
        <w:rPr>
          <w:highlight w:val="yellow"/>
        </w:rPr>
      </w:pPr>
      <w:r>
        <w:rPr>
          <w:highlight w:val="yellow"/>
        </w:rPr>
        <w:t>Naručitelj (UT ili JPM) može napisati konceptnu bilješku kako bi se izoštrio fokus evaluacije i kao pripremu za Opis poslova. Uobičajeni popis sadržaja za konceptnu bilješku uključuje pozadinu politike, teme evaluacije, vremenski raspored, opseg, svrhu i opravdanje te uloge dionika u evaluaciji i reference na izvore informacija i prijašnje evaluacije. Konceptna bilješka može se napisati tijekom procesa, tj. može se započeti u fazi planiranja i ažurirati poslije, u fazi pripreme, kad su pitanja razjašnjena.</w:t>
      </w:r>
    </w:p>
    <w:p w:rsidR="00867290" w:rsidRPr="00BB2924" w:rsidRDefault="00867290" w:rsidP="0079494B">
      <w:pPr>
        <w:pStyle w:val="HHeading5"/>
        <w:rPr>
          <w:highlight w:val="yellow"/>
        </w:rPr>
      </w:pPr>
      <w:r>
        <w:rPr>
          <w:highlight w:val="yellow"/>
        </w:rPr>
        <w:t>Korak 2. – Odlučivanje o obliku evaluacije</w:t>
      </w:r>
    </w:p>
    <w:p w:rsidR="00867290" w:rsidRPr="00BB2924" w:rsidRDefault="00867290" w:rsidP="003E2220">
      <w:pPr>
        <w:pStyle w:val="HStandard"/>
        <w:rPr>
          <w:b/>
          <w:highlight w:val="yellow"/>
        </w:rPr>
      </w:pPr>
      <w:r>
        <w:rPr>
          <w:highlight w:val="yellow"/>
        </w:rPr>
        <w:t xml:space="preserve">Evaluacija NRM-a može imati različite oblike, u skladu s dubinom do koje se želi procijeniti NRM. </w:t>
      </w:r>
    </w:p>
    <w:p w:rsidR="00867290" w:rsidRPr="00BB2924" w:rsidRDefault="00867290" w:rsidP="00E36BC6">
      <w:pPr>
        <w:pStyle w:val="HHeading5"/>
        <w:rPr>
          <w:color w:val="auto"/>
          <w:highlight w:val="yellow"/>
        </w:rPr>
      </w:pPr>
      <w:r>
        <w:rPr>
          <w:color w:val="auto"/>
          <w:highlight w:val="yellow"/>
        </w:rPr>
        <w:t>Evaluacija NRM-a kao dio evaluacije PRR-a</w:t>
      </w:r>
    </w:p>
    <w:p w:rsidR="00867290" w:rsidRPr="00BB2924" w:rsidRDefault="00867290" w:rsidP="00E36BC6">
      <w:pPr>
        <w:pStyle w:val="HStandard"/>
        <w:rPr>
          <w:highlight w:val="yellow"/>
        </w:rPr>
      </w:pPr>
      <w:r>
        <w:rPr>
          <w:highlight w:val="yellow"/>
        </w:rPr>
        <w:t>Oni NRM-ovi koji su dio PRR-a moraju biti uključeni u program evaluacije kao vlastita tema evaluacije. Time se upućuje na to da su evaluacije koje se odnose na NRM već opisane u planu evaluacije PRR-</w:t>
      </w:r>
      <w:r>
        <w:rPr>
          <w:highlight w:val="yellow"/>
        </w:rPr>
        <w:lastRenderedPageBreak/>
        <w:t xml:space="preserve">a i dalje precizirane u OP-u za odabir vanjskog evaluatora. O evaluacijama koje se odnose na NRM izvještava se u 2. dijelu standardnog Godišnjeg izvješća o provedbi (GIP-a). O evaluacijama pojedinog NRM-a izvještava se zatim u nadopunjenom GIP-u 2017. i 2019., i one su poslije tema </w:t>
      </w:r>
      <w:r w:rsidRPr="00DF00C2">
        <w:rPr>
          <w:i/>
          <w:highlight w:val="yellow"/>
        </w:rPr>
        <w:t>ex post</w:t>
      </w:r>
      <w:r>
        <w:rPr>
          <w:highlight w:val="yellow"/>
        </w:rPr>
        <w:t xml:space="preserve"> evaluacije. U ovom se kontekstu mora odgovoriti na zajednička evaluacijska pitanja koja se odnose na NRM i moraju se upotrebljavati zajednički pokazatelji za NRM.</w:t>
      </w:r>
      <w:r>
        <w:rPr>
          <w:rFonts w:ascii="ZWAdobeF" w:hAnsi="ZWAdobeF"/>
          <w:color w:val="auto"/>
          <w:sz w:val="2"/>
          <w:highlight w:val="yellow"/>
        </w:rPr>
        <w:t>62F</w:t>
      </w:r>
      <w:r>
        <w:rPr>
          <w:rStyle w:val="FootnoteReference"/>
          <w:highlight w:val="yellow"/>
        </w:rPr>
        <w:footnoteReference w:id="63"/>
      </w:r>
    </w:p>
    <w:p w:rsidR="00867290" w:rsidRPr="00BB2924" w:rsidRDefault="00867290" w:rsidP="00E36BC6">
      <w:pPr>
        <w:pStyle w:val="HStandard"/>
        <w:rPr>
          <w:highlight w:val="yellow"/>
        </w:rPr>
      </w:pPr>
      <w:r>
        <w:rPr>
          <w:highlight w:val="yellow"/>
        </w:rPr>
        <w:t>Kad je NRM uključen u evaluaciju PRR-a, obično se u pojedinim evaluacijama izvještava i daje samo općenit, dosta širok pregled djelovanja, postignuća i rezultata NRM-a. Evaluacija NRM-a kao dio PRR-a obično daje preporuke bitne za kreatore politike, a ne toliko za JPM o tome kako praktično poboljšati procese, aktivnosti i ciljeve NRM-a. Korištene metodologije također ne moraju uzimati u obzir posebnosti mreže i njezina djelovanja. No ta je vrsta evaluacije korisna u odnosu na to koliko je NRM uspješan unutar sustava PRR-a. Može također biti poticaj da se samostalnom evaluacijom NRM-a ili samoocjenjivanjem ispitaju sljedeća, usmjerenija evaluacijska pitanja.</w:t>
      </w:r>
    </w:p>
    <w:p w:rsidR="00867290" w:rsidRPr="00BB2924" w:rsidRDefault="00867290" w:rsidP="00E36BC6">
      <w:pPr>
        <w:pStyle w:val="HHeading5"/>
        <w:rPr>
          <w:color w:val="auto"/>
          <w:highlight w:val="yellow"/>
        </w:rPr>
      </w:pPr>
      <w:r>
        <w:rPr>
          <w:color w:val="auto"/>
          <w:highlight w:val="yellow"/>
        </w:rPr>
        <w:t xml:space="preserve">Samostalne evaluacije (P)NRM-a </w:t>
      </w:r>
    </w:p>
    <w:p w:rsidR="00867290" w:rsidRPr="00BB2924" w:rsidRDefault="00867290" w:rsidP="00E36BC6">
      <w:pPr>
        <w:pStyle w:val="HStandard"/>
        <w:rPr>
          <w:highlight w:val="yellow"/>
        </w:rPr>
      </w:pPr>
      <w:r>
        <w:rPr>
          <w:highlight w:val="yellow"/>
        </w:rPr>
        <w:t>Kako su (P)NRM-ovi zasebni programi, mora ih se evaluirati kao bilo koji drugi program ESI fondova</w:t>
      </w:r>
      <w:r>
        <w:rPr>
          <w:rFonts w:ascii="ZWAdobeF" w:hAnsi="ZWAdobeF"/>
          <w:color w:val="auto"/>
          <w:sz w:val="2"/>
          <w:highlight w:val="yellow"/>
        </w:rPr>
        <w:t>63F</w:t>
      </w:r>
      <w:r>
        <w:rPr>
          <w:rStyle w:val="FootnoteReference"/>
          <w:highlight w:val="yellow"/>
        </w:rPr>
        <w:footnoteReference w:id="64"/>
      </w:r>
      <w:r>
        <w:rPr>
          <w:highlight w:val="yellow"/>
        </w:rPr>
        <w:t>. No čak i države članice s NRM-ovima integriranima u PRR mogu odabrati provesti samostalnu evaluaciju NRM-a jer ona daje dublje uvide u postignuća, rezultate, učinke, dodanu vrijednost, učinkovitost i djelotvornost. Može dati i još praktičnih preporuka kako poboljšati djelovanje NRM-a. Samostalna evaluacija NRM-a može odgovoriti na usmjerenija evaluacijska pitanja ili se usredotočiti na pojedine probleme. Može pridonijeti i oblikovati evaluaciju NRM-a provedenu kao evaluaciju PRR-a.</w:t>
      </w:r>
    </w:p>
    <w:p w:rsidR="00867290" w:rsidRPr="00BB2924" w:rsidRDefault="00867290" w:rsidP="00E36BC6">
      <w:pPr>
        <w:pStyle w:val="HStandard"/>
        <w:rPr>
          <w:highlight w:val="yellow"/>
        </w:rPr>
      </w:pPr>
      <w:r>
        <w:rPr>
          <w:highlight w:val="yellow"/>
        </w:rPr>
        <w:t>Fokus samostalnih evaluacija (P)NRM-a trebao bi biti:</w:t>
      </w:r>
    </w:p>
    <w:p w:rsidR="00867290" w:rsidRPr="00BB2924" w:rsidRDefault="00867290" w:rsidP="00E36BC6">
      <w:pPr>
        <w:pStyle w:val="Hlistbullet"/>
        <w:rPr>
          <w:highlight w:val="yellow"/>
        </w:rPr>
      </w:pPr>
      <w:r>
        <w:rPr>
          <w:highlight w:val="yellow"/>
        </w:rPr>
        <w:t>relevantnost, djelotvornost, učinkovitost, ostvarenja, rezultati, učinci te čimbenici uspjeha i neuspjeha (tj. sveobuhvatna evaluacija NRM-a);</w:t>
      </w:r>
    </w:p>
    <w:p w:rsidR="00867290" w:rsidRPr="00BB2924" w:rsidRDefault="00867290" w:rsidP="00E36BC6">
      <w:pPr>
        <w:pStyle w:val="Hlistbullet"/>
        <w:rPr>
          <w:highlight w:val="yellow"/>
        </w:rPr>
      </w:pPr>
      <w:r>
        <w:rPr>
          <w:highlight w:val="yellow"/>
        </w:rPr>
        <w:t>intervencijska logika;</w:t>
      </w:r>
    </w:p>
    <w:p w:rsidR="00867290" w:rsidRPr="00BB2924" w:rsidRDefault="00867290" w:rsidP="00E36BC6">
      <w:pPr>
        <w:pStyle w:val="Hlistbullet"/>
        <w:rPr>
          <w:highlight w:val="yellow"/>
        </w:rPr>
      </w:pPr>
      <w:r>
        <w:rPr>
          <w:highlight w:val="yellow"/>
        </w:rPr>
        <w:t xml:space="preserve">Akcijski plan i aktivnosti; </w:t>
      </w:r>
    </w:p>
    <w:p w:rsidR="00867290" w:rsidRPr="00BB2924" w:rsidRDefault="00867290" w:rsidP="00E36BC6">
      <w:pPr>
        <w:pStyle w:val="Hlistbullet"/>
        <w:rPr>
          <w:highlight w:val="yellow"/>
        </w:rPr>
      </w:pPr>
      <w:r>
        <w:rPr>
          <w:highlight w:val="yellow"/>
        </w:rPr>
        <w:t>regionalne mreže;</w:t>
      </w:r>
    </w:p>
    <w:p w:rsidR="00867290" w:rsidRPr="00BB2924" w:rsidRDefault="00867290" w:rsidP="00E36BC6">
      <w:pPr>
        <w:pStyle w:val="Hlistbullet2"/>
        <w:rPr>
          <w:highlight w:val="yellow"/>
        </w:rPr>
      </w:pPr>
      <w:r>
        <w:rPr>
          <w:highlight w:val="yellow"/>
        </w:rPr>
        <w:t>struktura mreže.</w:t>
      </w:r>
    </w:p>
    <w:p w:rsidR="00867290" w:rsidRPr="00BB2924" w:rsidRDefault="00867290" w:rsidP="00E36BC6">
      <w:pPr>
        <w:pStyle w:val="HStandard"/>
        <w:rPr>
          <w:highlight w:val="yellow"/>
        </w:rPr>
      </w:pPr>
      <w:r>
        <w:rPr>
          <w:highlight w:val="yellow"/>
        </w:rPr>
        <w:t>Samostalna evaluacija (P)NRM-a zahtijeva potpun plan evaluacije i proces provedbe, uključujući korake kao što su pregled intervencijske logike NRM-a (ako intervencijska logika već postoji) ili razvoj intervencijske logike (ako nije prije oblikovana) te razvoj evaluacijskih pitanja i pokazatelja za pojedine programe. Kad god je (P)NRM jedini predmet evaluacije, ona bi trebala obuhvaćati JPM, članove NRM-a i aktivnosti NRM-a.</w:t>
      </w:r>
    </w:p>
    <w:p w:rsidR="00867290" w:rsidRPr="00BB2924" w:rsidRDefault="00867290" w:rsidP="0079494B">
      <w:pPr>
        <w:pStyle w:val="HHeading5"/>
        <w:rPr>
          <w:highlight w:val="yellow"/>
        </w:rPr>
      </w:pPr>
      <w:r>
        <w:rPr>
          <w:highlight w:val="yellow"/>
        </w:rPr>
        <w:t xml:space="preserve">3. korak – Planiranje procesa i vremenskog rasporeda evaluacije </w:t>
      </w:r>
    </w:p>
    <w:p w:rsidR="00867290" w:rsidRPr="00BB2924" w:rsidRDefault="00867290" w:rsidP="00E36BC6">
      <w:pPr>
        <w:pStyle w:val="HStandard"/>
        <w:rPr>
          <w:highlight w:val="yellow"/>
        </w:rPr>
      </w:pPr>
      <w:r>
        <w:rPr>
          <w:highlight w:val="yellow"/>
        </w:rPr>
        <w:t xml:space="preserve">To uključuje raspored različitih evaluacija povezanih s fazama evaluacije (priprema, strukturiranje, promatranje, analiza, prosudba, širenje informacija i koraci koji proizlaze iz rezultata evaluacije) i različite uključene sudionike te obuhvaća čitavo trajanje evaluacije. </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FC0A30">
        <w:trPr>
          <w:jc w:val="center"/>
        </w:trPr>
        <w:tc>
          <w:tcPr>
            <w:tcW w:w="9016" w:type="dxa"/>
            <w:shd w:val="clear" w:color="auto" w:fill="F5F4F4" w:themeFill="background2" w:themeFillTint="66"/>
          </w:tcPr>
          <w:p w:rsidR="00867290" w:rsidRPr="00BB2924" w:rsidRDefault="00867290" w:rsidP="00BE7FA8">
            <w:pPr>
              <w:pStyle w:val="HStandard"/>
              <w:rPr>
                <w:highlight w:val="yellow"/>
              </w:rPr>
            </w:pPr>
            <w:r>
              <w:rPr>
                <w:highlight w:val="yellow"/>
              </w:rPr>
              <w:t xml:space="preserve">Pri tom zadatku mogu pomoći sljedeća pitanja: </w:t>
            </w:r>
          </w:p>
          <w:p w:rsidR="00867290" w:rsidRPr="00BB2924" w:rsidRDefault="00867290" w:rsidP="00867290">
            <w:pPr>
              <w:pStyle w:val="Hlistbullet"/>
              <w:rPr>
                <w:highlight w:val="yellow"/>
              </w:rPr>
            </w:pPr>
            <w:r>
              <w:rPr>
                <w:highlight w:val="yellow"/>
              </w:rPr>
              <w:t>Što želimo znati (koje su teme evaluacije, npr. ispunjavanje ciljeva mreže, provedba aktivnosti (P)NRM-a, učinkovitost i djelotvornost (P)NRM-a, struktura mreže, učinak (P)NRM-a na provedbu programa, rezultati (P)NRM-a)?</w:t>
            </w:r>
          </w:p>
          <w:p w:rsidR="00867290" w:rsidRPr="00BB2924" w:rsidRDefault="00867290" w:rsidP="00867290">
            <w:pPr>
              <w:pStyle w:val="Hlistbullet"/>
              <w:rPr>
                <w:highlight w:val="yellow"/>
              </w:rPr>
            </w:pPr>
            <w:r>
              <w:rPr>
                <w:highlight w:val="yellow"/>
              </w:rPr>
              <w:t>Zašto je važno evaluirati te teme?</w:t>
            </w:r>
          </w:p>
          <w:p w:rsidR="00867290" w:rsidRPr="00BB2924" w:rsidRDefault="00867290" w:rsidP="00867290">
            <w:pPr>
              <w:pStyle w:val="Hlistbullet"/>
              <w:rPr>
                <w:highlight w:val="yellow"/>
              </w:rPr>
            </w:pPr>
            <w:r>
              <w:rPr>
                <w:highlight w:val="yellow"/>
              </w:rPr>
              <w:t xml:space="preserve">Koji se pravni propisi odnose na sadržaj evaluacije i odabrane teme? </w:t>
            </w:r>
          </w:p>
          <w:p w:rsidR="00867290" w:rsidRPr="00BB2924" w:rsidRDefault="00867290" w:rsidP="00867290">
            <w:pPr>
              <w:pStyle w:val="Hlistbullet"/>
              <w:rPr>
                <w:highlight w:val="yellow"/>
              </w:rPr>
            </w:pPr>
            <w:r>
              <w:rPr>
                <w:highlight w:val="yellow"/>
              </w:rPr>
              <w:lastRenderedPageBreak/>
              <w:t xml:space="preserve">Ima li prijašnjih evaluacija, procjena ili studija koje se odnose na odabrane teme? </w:t>
            </w:r>
          </w:p>
          <w:p w:rsidR="00867290" w:rsidRPr="00BB2924" w:rsidRDefault="00867290" w:rsidP="00867290">
            <w:pPr>
              <w:pStyle w:val="Hlistbullet2"/>
              <w:rPr>
                <w:highlight w:val="yellow"/>
              </w:rPr>
            </w:pPr>
            <w:r>
              <w:rPr>
                <w:highlight w:val="yellow"/>
              </w:rPr>
              <w:t xml:space="preserve">Koje su najveće praznine u znanju koje se odnose na (P)NRM i odabrane teme? </w:t>
            </w:r>
          </w:p>
        </w:tc>
      </w:tr>
    </w:tbl>
    <w:p w:rsidR="00867290" w:rsidRPr="00BB2924" w:rsidRDefault="00867290" w:rsidP="00FC0A30">
      <w:pPr>
        <w:pStyle w:val="HHeading5"/>
        <w:rPr>
          <w:highlight w:val="yellow"/>
        </w:rPr>
      </w:pPr>
      <w:r>
        <w:rPr>
          <w:highlight w:val="yellow"/>
        </w:rPr>
        <w:lastRenderedPageBreak/>
        <w:t>4. korak – Sastavljanje planova komunikacije i izgradnje kapaciteta</w:t>
      </w:r>
    </w:p>
    <w:p w:rsidR="00867290" w:rsidRPr="00BB2924" w:rsidRDefault="00867290" w:rsidP="003E2220">
      <w:pPr>
        <w:pStyle w:val="HStandard"/>
        <w:rPr>
          <w:b/>
          <w:highlight w:val="yellow"/>
        </w:rPr>
      </w:pPr>
      <w:r>
        <w:rPr>
          <w:b/>
          <w:highlight w:val="yellow"/>
        </w:rPr>
        <w:t>Komunikacijski plan</w:t>
      </w:r>
    </w:p>
    <w:p w:rsidR="00867290" w:rsidRPr="00BB2924" w:rsidRDefault="00867290" w:rsidP="003E2220">
      <w:pPr>
        <w:pStyle w:val="HStandard"/>
        <w:rPr>
          <w:highlight w:val="yellow"/>
        </w:rPr>
      </w:pPr>
      <w:r>
        <w:rPr>
          <w:highlight w:val="yellow"/>
        </w:rPr>
        <w:t>Komunikacija je ključni dio evaluacije. Kao takvu bi je trebalo oblikovati već u ranoj fazi evaluacije. Jedan od glavnih razloga za evaluaciju je odgovornost prema dionicima i široj javnosti. Stoga bi rezultate evaluacije trebalo prenijeti ciljnim skupinama. U tu bi svrhu svaka evaluacija trebala biti popraćena komunikacijskim planom, oblikovanim na početku procesa evaluacije, a čija provedba počinje odmah nakon dovršenja evaluacije. Naručitelj evaluacije odgovoran je za razvijanje i provedbu komunikacijskog plana za zaključke evaluacije. Sudionik (služba u Ministarstvu ili UT-u, JPM, izvođač itd.) koji se bavi općom komunikacijom u PRR-u obično je dobro opremljen za priopćavanje nalaza evaluacije široj javnosti. JPM, članovi mreže i evaluacijske upravljačke skupine mogu pomagati UT-u pri priopćavanju nalaza evaluacije dionicima PRR-a. Priopćavanje nalaza evaluacije trebalo bi uključiti u komunikacijski plan (P)NRM-a, što se traži u akcijskom planu za mreže.</w:t>
      </w:r>
    </w:p>
    <w:tbl>
      <w:tblPr>
        <w:tblStyle w:val="TableGrid"/>
        <w:tblW w:w="0" w:type="auto"/>
        <w:jc w:val="center"/>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FC0A30">
        <w:trPr>
          <w:jc w:val="center"/>
        </w:trPr>
        <w:tc>
          <w:tcPr>
            <w:tcW w:w="9016" w:type="dxa"/>
            <w:shd w:val="clear" w:color="auto" w:fill="F5F4F4" w:themeFill="background2" w:themeFillTint="66"/>
          </w:tcPr>
          <w:p w:rsidR="00867290" w:rsidRPr="00BB2924" w:rsidRDefault="00867290" w:rsidP="00F26F45">
            <w:pPr>
              <w:pStyle w:val="HStandard"/>
              <w:rPr>
                <w:highlight w:val="yellow"/>
              </w:rPr>
            </w:pPr>
            <w:r>
              <w:rPr>
                <w:highlight w:val="yellow"/>
              </w:rPr>
              <w:t xml:space="preserve">Glavna pitanja na koja treba odgovoriti pri određivanju komunikacijskog pristupa: </w:t>
            </w:r>
          </w:p>
          <w:p w:rsidR="00867290" w:rsidRPr="00BB2924" w:rsidRDefault="00867290" w:rsidP="00867290">
            <w:pPr>
              <w:pStyle w:val="Hlistbullet"/>
              <w:rPr>
                <w:highlight w:val="yellow"/>
              </w:rPr>
            </w:pPr>
            <w:r>
              <w:rPr>
                <w:highlight w:val="yellow"/>
              </w:rPr>
              <w:t>Tko su ciljne skupine? Koga zanima evaluacija NRM-a?</w:t>
            </w:r>
          </w:p>
          <w:p w:rsidR="00867290" w:rsidRPr="00BB2924" w:rsidRDefault="00867290" w:rsidP="00867290">
            <w:pPr>
              <w:pStyle w:val="Hlistbullet"/>
              <w:rPr>
                <w:highlight w:val="yellow"/>
              </w:rPr>
            </w:pPr>
            <w:r>
              <w:rPr>
                <w:highlight w:val="yellow"/>
              </w:rPr>
              <w:t>Što ih konkretno zanima?</w:t>
            </w:r>
          </w:p>
          <w:p w:rsidR="00867290" w:rsidRPr="00BB2924" w:rsidRDefault="00867290" w:rsidP="00867290">
            <w:pPr>
              <w:pStyle w:val="Hlistbullet"/>
              <w:rPr>
                <w:highlight w:val="yellow"/>
              </w:rPr>
            </w:pPr>
            <w:r>
              <w:rPr>
                <w:highlight w:val="yellow"/>
              </w:rPr>
              <w:t>Kojim je komunikacijskim kanalima najbolje dosegnuti različite ciljne skupine?</w:t>
            </w:r>
          </w:p>
          <w:p w:rsidR="00867290" w:rsidRPr="00BB2924" w:rsidRDefault="00867290" w:rsidP="00867290">
            <w:pPr>
              <w:pStyle w:val="Hlistbullet"/>
              <w:rPr>
                <w:highlight w:val="yellow"/>
              </w:rPr>
            </w:pPr>
            <w:r>
              <w:rPr>
                <w:highlight w:val="yellow"/>
              </w:rPr>
              <w:t>Koji se komunikacijski stilovi traže za svaku od ciljanih skupina?</w:t>
            </w:r>
          </w:p>
          <w:p w:rsidR="00867290" w:rsidRPr="00BB2924" w:rsidRDefault="00867290" w:rsidP="00867290">
            <w:pPr>
              <w:pStyle w:val="Hlistbullet"/>
              <w:rPr>
                <w:highlight w:val="yellow"/>
              </w:rPr>
            </w:pPr>
            <w:r>
              <w:rPr>
                <w:highlight w:val="yellow"/>
              </w:rPr>
              <w:t>Kad bi se komunikacija trebala dogoditi?</w:t>
            </w:r>
          </w:p>
          <w:p w:rsidR="00867290" w:rsidRPr="00BB2924" w:rsidRDefault="00867290" w:rsidP="00867290">
            <w:pPr>
              <w:pStyle w:val="Hlistbullet2"/>
              <w:rPr>
                <w:highlight w:val="yellow"/>
              </w:rPr>
            </w:pPr>
            <w:r>
              <w:rPr>
                <w:highlight w:val="yellow"/>
              </w:rPr>
              <w:t>Tko je odgovoran za priopćavanje čega različitim ciljnim skupinama?</w:t>
            </w:r>
          </w:p>
        </w:tc>
      </w:tr>
    </w:tbl>
    <w:p w:rsidR="00867290" w:rsidRPr="00BB2924" w:rsidRDefault="00867290" w:rsidP="000C5FAA">
      <w:pPr>
        <w:pStyle w:val="HStandard"/>
        <w:rPr>
          <w:highlight w:val="yellow"/>
        </w:rPr>
      </w:pPr>
      <w:r>
        <w:rPr>
          <w:highlight w:val="yellow"/>
        </w:rPr>
        <w:t>Komunikacijski plan može se sažeti u formatu tablice (</w:t>
      </w:r>
      <w:r>
        <w:rPr>
          <w:highlight w:val="yellow"/>
        </w:rPr>
        <w:fldChar w:fldCharType="begin" w:fldLock="1"/>
      </w:r>
      <w:r>
        <w:rPr>
          <w:highlight w:val="yellow"/>
        </w:rPr>
        <w:instrText xml:space="preserve"> REF _Ref435790833 \r \h  \* MERGEFORMAT </w:instrText>
      </w:r>
      <w:r>
        <w:rPr>
          <w:highlight w:val="yellow"/>
        </w:rPr>
      </w:r>
      <w:r>
        <w:rPr>
          <w:highlight w:val="yellow"/>
        </w:rPr>
        <w:fldChar w:fldCharType="separate"/>
      </w:r>
      <w:r>
        <w:rPr>
          <w:highlight w:val="yellow"/>
        </w:rPr>
        <w:t>Table 2</w:t>
      </w:r>
      <w:r>
        <w:rPr>
          <w:highlight w:val="yellow"/>
        </w:rPr>
        <w:fldChar w:fldCharType="end"/>
      </w:r>
      <w:r>
        <w:rPr>
          <w:highlight w:val="yellow"/>
        </w:rPr>
        <w:t>). Više informacije o razvoju komunikacijskog plana može se naći u Vodiču za NRM-ove</w:t>
      </w:r>
      <w:r>
        <w:rPr>
          <w:rFonts w:ascii="ZWAdobeF" w:hAnsi="ZWAdobeF"/>
          <w:color w:val="auto"/>
          <w:sz w:val="2"/>
          <w:highlight w:val="yellow"/>
        </w:rPr>
        <w:t>64F</w:t>
      </w:r>
      <w:r>
        <w:rPr>
          <w:rStyle w:val="FootnoteReference"/>
          <w:highlight w:val="yellow"/>
        </w:rPr>
        <w:footnoteReference w:id="65"/>
      </w:r>
      <w:r>
        <w:rPr>
          <w:highlight w:val="yellow"/>
        </w:rPr>
        <w:t xml:space="preserve">. </w:t>
      </w:r>
    </w:p>
    <w:p w:rsidR="00867290" w:rsidRPr="00BB2924" w:rsidRDefault="00867290" w:rsidP="006F6D66">
      <w:pPr>
        <w:pStyle w:val="HHeadingtables"/>
        <w:numPr>
          <w:ilvl w:val="0"/>
          <w:numId w:val="0"/>
        </w:numPr>
        <w:rPr>
          <w:highlight w:val="yellow"/>
        </w:rPr>
      </w:pPr>
      <w:bookmarkStart w:id="98" w:name="_Ref435790833"/>
      <w:bookmarkStart w:id="99" w:name="_Toc436383143"/>
      <w:bookmarkStart w:id="100" w:name="_Toc451781906"/>
      <w:bookmarkStart w:id="101" w:name="_Toc461713638"/>
      <w:r>
        <w:rPr>
          <w:highlight w:val="yellow"/>
        </w:rPr>
        <w:t>Tablica 2. Komunikacijski plan za evaluaciju</w:t>
      </w:r>
      <w:bookmarkEnd w:id="98"/>
      <w:bookmarkEnd w:id="99"/>
      <w:bookmarkEnd w:id="100"/>
      <w:bookmarkEnd w:id="101"/>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54"/>
        <w:gridCol w:w="1683"/>
        <w:gridCol w:w="1683"/>
        <w:gridCol w:w="1683"/>
        <w:gridCol w:w="1683"/>
      </w:tblGrid>
      <w:tr w:rsidR="00867290" w:rsidRPr="00BB2924" w:rsidTr="00387681">
        <w:trPr>
          <w:trHeight w:val="372"/>
          <w:jc w:val="center"/>
        </w:trPr>
        <w:tc>
          <w:tcPr>
            <w:tcW w:w="2254"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Tko?</w:t>
            </w:r>
          </w:p>
        </w:tc>
        <w:tc>
          <w:tcPr>
            <w:tcW w:w="1683"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Što?</w:t>
            </w:r>
          </w:p>
        </w:tc>
        <w:tc>
          <w:tcPr>
            <w:tcW w:w="1683"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Kako?</w:t>
            </w:r>
          </w:p>
        </w:tc>
        <w:tc>
          <w:tcPr>
            <w:tcW w:w="1683"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Kada?</w:t>
            </w:r>
          </w:p>
        </w:tc>
        <w:tc>
          <w:tcPr>
            <w:tcW w:w="1683"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Tko to radi?</w:t>
            </w:r>
          </w:p>
        </w:tc>
      </w:tr>
      <w:tr w:rsidR="00867290" w:rsidRPr="00BB2924" w:rsidTr="00387681">
        <w:trPr>
          <w:trHeight w:val="1233"/>
          <w:jc w:val="center"/>
        </w:trPr>
        <w:tc>
          <w:tcPr>
            <w:tcW w:w="2254" w:type="dxa"/>
            <w:shd w:val="clear" w:color="auto" w:fill="auto"/>
          </w:tcPr>
          <w:p w:rsidR="00867290" w:rsidRPr="00BB2924" w:rsidRDefault="00867290" w:rsidP="00B62FBF">
            <w:pPr>
              <w:pStyle w:val="Htableleft"/>
              <w:rPr>
                <w:rFonts w:cs="Arial"/>
                <w:color w:val="576C88" w:themeColor="text2" w:themeTint="D9"/>
                <w:highlight w:val="yellow"/>
              </w:rPr>
            </w:pPr>
            <w:r>
              <w:rPr>
                <w:color w:val="576C88" w:themeColor="text2" w:themeTint="D9"/>
                <w:highlight w:val="yellow"/>
              </w:rPr>
              <w:t xml:space="preserve">Ciljna skupina (npr. kreatori politika, dionici, javnost) </w:t>
            </w:r>
          </w:p>
        </w:tc>
        <w:tc>
          <w:tcPr>
            <w:tcW w:w="1683" w:type="dxa"/>
            <w:shd w:val="clear" w:color="auto" w:fill="auto"/>
          </w:tcPr>
          <w:p w:rsidR="00867290" w:rsidRPr="00BB2924" w:rsidRDefault="00867290" w:rsidP="00B62FBF">
            <w:pPr>
              <w:pStyle w:val="Htableleft"/>
              <w:rPr>
                <w:rFonts w:cs="Arial"/>
                <w:color w:val="576C88" w:themeColor="text2" w:themeTint="D9"/>
                <w:highlight w:val="yellow"/>
              </w:rPr>
            </w:pPr>
            <w:r>
              <w:rPr>
                <w:color w:val="576C88" w:themeColor="text2" w:themeTint="D9"/>
                <w:highlight w:val="yellow"/>
              </w:rPr>
              <w:t>Teme zanimljive ciljnoj skupini</w:t>
            </w:r>
          </w:p>
        </w:tc>
        <w:tc>
          <w:tcPr>
            <w:tcW w:w="1683" w:type="dxa"/>
            <w:shd w:val="clear" w:color="auto" w:fill="auto"/>
          </w:tcPr>
          <w:p w:rsidR="00867290" w:rsidRPr="00BB2924" w:rsidRDefault="00867290" w:rsidP="00B62FBF">
            <w:pPr>
              <w:pStyle w:val="Htableleft"/>
              <w:rPr>
                <w:rFonts w:cs="Arial"/>
                <w:color w:val="576C88" w:themeColor="text2" w:themeTint="D9"/>
                <w:highlight w:val="yellow"/>
              </w:rPr>
            </w:pPr>
            <w:r>
              <w:rPr>
                <w:color w:val="576C88" w:themeColor="text2" w:themeTint="D9"/>
                <w:highlight w:val="yellow"/>
              </w:rPr>
              <w:t>Komunikacijski kanali</w:t>
            </w:r>
          </w:p>
        </w:tc>
        <w:tc>
          <w:tcPr>
            <w:tcW w:w="1683" w:type="dxa"/>
            <w:shd w:val="clear" w:color="auto" w:fill="auto"/>
          </w:tcPr>
          <w:p w:rsidR="00867290" w:rsidRPr="00BB2924" w:rsidRDefault="00867290" w:rsidP="00B62FBF">
            <w:pPr>
              <w:pStyle w:val="Htableleft"/>
              <w:rPr>
                <w:rFonts w:cs="Arial"/>
                <w:color w:val="576C88" w:themeColor="text2" w:themeTint="D9"/>
                <w:highlight w:val="yellow"/>
              </w:rPr>
            </w:pPr>
            <w:r>
              <w:rPr>
                <w:color w:val="576C88" w:themeColor="text2" w:themeTint="D9"/>
                <w:highlight w:val="yellow"/>
              </w:rPr>
              <w:t>Vremenski raspored i učestalost komunikacije</w:t>
            </w:r>
          </w:p>
        </w:tc>
        <w:tc>
          <w:tcPr>
            <w:tcW w:w="1683" w:type="dxa"/>
            <w:shd w:val="clear" w:color="auto" w:fill="auto"/>
          </w:tcPr>
          <w:p w:rsidR="00867290" w:rsidRPr="00BB2924" w:rsidRDefault="00867290" w:rsidP="00B62FBF">
            <w:pPr>
              <w:pStyle w:val="Htableleft"/>
              <w:rPr>
                <w:rFonts w:cs="Arial"/>
                <w:color w:val="576C88" w:themeColor="text2" w:themeTint="D9"/>
                <w:highlight w:val="yellow"/>
              </w:rPr>
            </w:pPr>
            <w:r>
              <w:rPr>
                <w:color w:val="576C88" w:themeColor="text2" w:themeTint="D9"/>
                <w:highlight w:val="yellow"/>
              </w:rPr>
              <w:t xml:space="preserve">Odgovornost za komunikaciju </w:t>
            </w:r>
          </w:p>
        </w:tc>
      </w:tr>
    </w:tbl>
    <w:p w:rsidR="00867290" w:rsidRPr="00BB2924" w:rsidRDefault="00867290" w:rsidP="008768CB">
      <w:pPr>
        <w:pStyle w:val="HStandard"/>
        <w:rPr>
          <w:b/>
          <w:highlight w:val="yellow"/>
        </w:rPr>
      </w:pPr>
      <w:r>
        <w:rPr>
          <w:b/>
          <w:highlight w:val="yellow"/>
        </w:rPr>
        <w:t>Plan izgradnje kapaciteta</w:t>
      </w:r>
    </w:p>
    <w:p w:rsidR="00867290" w:rsidRPr="00BB2924" w:rsidRDefault="00867290" w:rsidP="008768CB">
      <w:pPr>
        <w:pStyle w:val="HStandard"/>
        <w:rPr>
          <w:highlight w:val="yellow"/>
        </w:rPr>
      </w:pPr>
      <w:r>
        <w:rPr>
          <w:highlight w:val="yellow"/>
        </w:rPr>
        <w:t>Izgradnja kapaciteta obično se definira kao jačanje i razvijanje ljudskih i institucionalnih resursa. Izgradnja kapaciteta evaluacije tako kombinira poboljšanje evaluacijskoga znanja i vještina pojedinaca s jačanjem organizacijskih kapaciteta koji se odnose na evaluaciju, a to su utvrđeni sustavi i procesi.</w:t>
      </w:r>
    </w:p>
    <w:p w:rsidR="00867290" w:rsidRPr="00BB2924" w:rsidRDefault="00867290" w:rsidP="008768CB">
      <w:pPr>
        <w:pStyle w:val="HStandard"/>
        <w:rPr>
          <w:highlight w:val="yellow"/>
        </w:rPr>
      </w:pPr>
      <w:r>
        <w:rPr>
          <w:highlight w:val="yellow"/>
        </w:rPr>
        <w:t>Izgradnja kapaciteta evaluacije koja se odnosi na ljudske resurse počinje identifikacijom ciljne skupine (npr. UT, AP, kreatori politika, JPM, LAG-ovi i drugi članovi NRM-a) i procjenom njihovih evaluacijskih vještina i razine potrebe za informacijama te razina znanja (</w:t>
      </w:r>
      <w:r>
        <w:rPr>
          <w:highlight w:val="yellow"/>
        </w:rPr>
        <w:fldChar w:fldCharType="begin" w:fldLock="1"/>
      </w:r>
      <w:r>
        <w:rPr>
          <w:highlight w:val="yellow"/>
        </w:rPr>
        <w:instrText xml:space="preserve"> REF _Ref451784915 \r \h  \* MERGEFORMAT </w:instrText>
      </w:r>
      <w:r>
        <w:rPr>
          <w:highlight w:val="yellow"/>
        </w:rPr>
      </w:r>
      <w:r>
        <w:rPr>
          <w:highlight w:val="yellow"/>
        </w:rPr>
        <w:fldChar w:fldCharType="separate"/>
      </w:r>
      <w:r>
        <w:rPr>
          <w:highlight w:val="yellow"/>
        </w:rPr>
        <w:t>Table 4</w:t>
      </w:r>
      <w:r>
        <w:rPr>
          <w:highlight w:val="yellow"/>
        </w:rPr>
        <w:fldChar w:fldCharType="end"/>
      </w:r>
      <w:r>
        <w:rPr>
          <w:highlight w:val="yellow"/>
        </w:rPr>
        <w:t>). U nekim je državama članicama zadatak NRM-a ojačati evaluacijske kapacitete LAG-ova. U tim se slučajevima LAG-ovi moraju uzeti u obzir u svakom planu izgradnje kapaciteta.</w:t>
      </w:r>
    </w:p>
    <w:p w:rsidR="00867290" w:rsidRPr="00BB2924" w:rsidRDefault="00867290" w:rsidP="008768CB">
      <w:pPr>
        <w:pStyle w:val="HStandard"/>
        <w:rPr>
          <w:highlight w:val="yellow"/>
        </w:rPr>
      </w:pPr>
      <w:r>
        <w:rPr>
          <w:highlight w:val="yellow"/>
        </w:rPr>
        <w:lastRenderedPageBreak/>
        <w:t xml:space="preserve">Izgradnja kapaciteta evaluacije koja se odnosi na organizacije, s druge strane, znači poboljšavanje organizacijskog učenja i mehanizama potpore koji se odnose na evaluaciju. Organizacijsko učenje znači da organizacija promatra svoje aktivnosti i nastoji se poboljšati u svakom pogledu. Procesi se dokumentiraju kako bi procesi i odgovornosti bili jasni i da znanje ostane u organizaciji čak i ako se osoblje promijeni. Osiguranje kvalitete (vidi poglavlje 2.2.3.) i korištenje nalazima evaluacije (vidi poglavlje 2.2.4.) integralni su dijelovi organizacijskog učenja. </w:t>
      </w:r>
    </w:p>
    <w:p w:rsidR="00867290" w:rsidRPr="00BB2924" w:rsidRDefault="00867290" w:rsidP="008768CB">
      <w:pPr>
        <w:pStyle w:val="HStandard"/>
        <w:rPr>
          <w:highlight w:val="yellow"/>
        </w:rPr>
      </w:pPr>
      <w:r>
        <w:rPr>
          <w:highlight w:val="yellow"/>
        </w:rPr>
        <w:t xml:space="preserve">Kad bude jasno koje su glavne potrebe izgradnje kapaciteta koje se odnose na evaluaciju, bit će moguće oblikovati aktivnosti izgradnje kapaciteta, njihov vremenski raspored i tko je za njih odgovoran. Plan izgradnje kapaciteta evaluacije trebao bi napisati naručitelj (UT ili JPM). </w:t>
      </w:r>
    </w:p>
    <w:tbl>
      <w:tblPr>
        <w:tblStyle w:val="TableGrid"/>
        <w:tblW w:w="0" w:type="auto"/>
        <w:tblInd w:w="-5" w:type="dxa"/>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21"/>
      </w:tblGrid>
      <w:tr w:rsidR="00867290" w:rsidRPr="00BB2924" w:rsidTr="00FC0A30">
        <w:tc>
          <w:tcPr>
            <w:tcW w:w="9021" w:type="dxa"/>
            <w:shd w:val="clear" w:color="auto" w:fill="F5F4F4" w:themeFill="background2" w:themeFillTint="66"/>
          </w:tcPr>
          <w:p w:rsidR="00867290" w:rsidRPr="00BB2924" w:rsidRDefault="00867290" w:rsidP="00F26F45">
            <w:pPr>
              <w:pStyle w:val="HStandard"/>
              <w:rPr>
                <w:highlight w:val="yellow"/>
              </w:rPr>
            </w:pPr>
            <w:r>
              <w:rPr>
                <w:highlight w:val="yellow"/>
              </w:rPr>
              <w:t xml:space="preserve">Pitanja koja vode evaluaciju jačanja kapaciteta u odnosu na </w:t>
            </w:r>
          </w:p>
          <w:p w:rsidR="00867290" w:rsidRPr="00BB2924" w:rsidRDefault="00867290" w:rsidP="00F26F45">
            <w:pPr>
              <w:pStyle w:val="HStandard"/>
              <w:rPr>
                <w:highlight w:val="yellow"/>
              </w:rPr>
            </w:pPr>
            <w:r>
              <w:rPr>
                <w:highlight w:val="yellow"/>
              </w:rPr>
              <w:t>pojedince:</w:t>
            </w:r>
          </w:p>
          <w:p w:rsidR="00867290" w:rsidRPr="00BB2924" w:rsidRDefault="00867290" w:rsidP="00867290">
            <w:pPr>
              <w:pStyle w:val="Hlistbullet"/>
              <w:rPr>
                <w:highlight w:val="yellow"/>
              </w:rPr>
            </w:pPr>
            <w:r>
              <w:rPr>
                <w:highlight w:val="yellow"/>
              </w:rPr>
              <w:t>Tko su glavni sudionici vezani za evaluaciju NRM-a?</w:t>
            </w:r>
          </w:p>
          <w:p w:rsidR="00867290" w:rsidRPr="00BB2924" w:rsidRDefault="00867290" w:rsidP="00867290">
            <w:pPr>
              <w:pStyle w:val="Hlistbullet"/>
              <w:rPr>
                <w:highlight w:val="yellow"/>
              </w:rPr>
            </w:pPr>
            <w:r>
              <w:rPr>
                <w:highlight w:val="yellow"/>
              </w:rPr>
              <w:t>Što trebaju znati o evaluaciji?</w:t>
            </w:r>
          </w:p>
          <w:p w:rsidR="00867290" w:rsidRPr="00BB2924" w:rsidRDefault="00867290" w:rsidP="00867290">
            <w:pPr>
              <w:pStyle w:val="Hlistbullet"/>
              <w:rPr>
                <w:highlight w:val="yellow"/>
              </w:rPr>
            </w:pPr>
            <w:r>
              <w:rPr>
                <w:highlight w:val="yellow"/>
              </w:rPr>
              <w:t>Koja je trenutačna razina njihova znanja o evaluaciji?</w:t>
            </w:r>
          </w:p>
          <w:p w:rsidR="00867290" w:rsidRPr="00BB2924" w:rsidRDefault="00867290" w:rsidP="00867290">
            <w:pPr>
              <w:pStyle w:val="Hlistbullet"/>
              <w:rPr>
                <w:highlight w:val="yellow"/>
              </w:rPr>
            </w:pPr>
            <w:r>
              <w:rPr>
                <w:highlight w:val="yellow"/>
              </w:rPr>
              <w:t>Koja je vrsta znanja još potrebna? Koje su najkritičnije potrebe izgradnje kapaciteta?</w:t>
            </w:r>
          </w:p>
          <w:p w:rsidR="00867290" w:rsidRPr="00BB2924" w:rsidRDefault="00867290" w:rsidP="00867290">
            <w:pPr>
              <w:pStyle w:val="Hlistbullet"/>
              <w:rPr>
                <w:highlight w:val="yellow"/>
              </w:rPr>
            </w:pPr>
            <w:r>
              <w:rPr>
                <w:highlight w:val="yellow"/>
              </w:rPr>
              <w:t>Koji formati izgradnje kapaciteta najbolje odgovaraju utvrđenim potrebama?</w:t>
            </w:r>
          </w:p>
          <w:p w:rsidR="00867290" w:rsidRPr="00BB2924" w:rsidRDefault="00867290" w:rsidP="00867290">
            <w:pPr>
              <w:pStyle w:val="Hlistbullet"/>
              <w:rPr>
                <w:highlight w:val="yellow"/>
              </w:rPr>
            </w:pPr>
            <w:r>
              <w:rPr>
                <w:highlight w:val="yellow"/>
              </w:rPr>
              <w:t>Kad bi se trebale dogoditi aktivnosti izgradnje kapaciteta?</w:t>
            </w:r>
          </w:p>
          <w:p w:rsidR="00867290" w:rsidRPr="00BB2924" w:rsidRDefault="00867290" w:rsidP="00867290">
            <w:pPr>
              <w:pStyle w:val="Hlistbullet"/>
              <w:rPr>
                <w:highlight w:val="yellow"/>
              </w:rPr>
            </w:pPr>
            <w:r>
              <w:rPr>
                <w:highlight w:val="yellow"/>
              </w:rPr>
              <w:t>Tko je odgovoran za aktivnosti izgradnje kapaciteta? Tko ih vodi? Jesu li potrebni vanjski obučavatelji?</w:t>
            </w:r>
          </w:p>
          <w:p w:rsidR="00867290" w:rsidRPr="00BB2924" w:rsidRDefault="00867290" w:rsidP="00F26F45">
            <w:pPr>
              <w:pStyle w:val="HStandard"/>
              <w:rPr>
                <w:highlight w:val="yellow"/>
              </w:rPr>
            </w:pPr>
            <w:r>
              <w:rPr>
                <w:highlight w:val="yellow"/>
              </w:rPr>
              <w:t xml:space="preserve">organizacije: </w:t>
            </w:r>
          </w:p>
          <w:p w:rsidR="00867290" w:rsidRPr="00BB2924" w:rsidRDefault="00867290" w:rsidP="00867290">
            <w:pPr>
              <w:pStyle w:val="Hlistbullet"/>
              <w:rPr>
                <w:highlight w:val="yellow"/>
              </w:rPr>
            </w:pPr>
            <w:r>
              <w:rPr>
                <w:highlight w:val="yellow"/>
              </w:rPr>
              <w:t xml:space="preserve">Kako možemo upotrijebiti evaluaciju za poboljšanje politike? </w:t>
            </w:r>
          </w:p>
          <w:p w:rsidR="00867290" w:rsidRPr="00BB2924" w:rsidRDefault="00867290" w:rsidP="00867290">
            <w:pPr>
              <w:pStyle w:val="Hlistbullet"/>
              <w:rPr>
                <w:highlight w:val="yellow"/>
              </w:rPr>
            </w:pPr>
            <w:r>
              <w:rPr>
                <w:highlight w:val="yellow"/>
              </w:rPr>
              <w:t>Kako možemo evaluaciju učiniti integralnim dijelom našega godišnjeg planiranja?</w:t>
            </w:r>
          </w:p>
          <w:p w:rsidR="00867290" w:rsidRPr="00BB2924" w:rsidRDefault="00867290" w:rsidP="00867290">
            <w:pPr>
              <w:pStyle w:val="Hlistbullet"/>
              <w:rPr>
                <w:highlight w:val="yellow"/>
              </w:rPr>
            </w:pPr>
            <w:r>
              <w:rPr>
                <w:highlight w:val="yellow"/>
              </w:rPr>
              <w:t xml:space="preserve">Koji su konkretni koraci za naknadno postupanje sa zaključcima evaluacije? </w:t>
            </w:r>
          </w:p>
          <w:p w:rsidR="00867290" w:rsidRPr="00BB2924" w:rsidRDefault="00867290" w:rsidP="00867290">
            <w:pPr>
              <w:pStyle w:val="Hlistbullet"/>
              <w:rPr>
                <w:highlight w:val="yellow"/>
              </w:rPr>
            </w:pPr>
            <w:r>
              <w:rPr>
                <w:highlight w:val="yellow"/>
              </w:rPr>
              <w:t>Koji su naši glavni procesi koji se odnose na evaluaciju? Kako ih možemo poboljšati?</w:t>
            </w:r>
          </w:p>
          <w:p w:rsidR="00867290" w:rsidRPr="00BB2924" w:rsidRDefault="00867290" w:rsidP="00867290">
            <w:pPr>
              <w:pStyle w:val="Hlistbullet2"/>
              <w:rPr>
                <w:highlight w:val="yellow"/>
              </w:rPr>
            </w:pPr>
            <w:r>
              <w:rPr>
                <w:highlight w:val="yellow"/>
              </w:rPr>
              <w:t>Kako možemo osigurati procese evaluacije dobre kvalitete? Koji su alati i zadaci potrebni?</w:t>
            </w:r>
          </w:p>
        </w:tc>
      </w:tr>
    </w:tbl>
    <w:p w:rsidR="00867290" w:rsidRPr="00BB2924" w:rsidRDefault="00867290" w:rsidP="006F6D66">
      <w:pPr>
        <w:pStyle w:val="HHeadingtables"/>
        <w:numPr>
          <w:ilvl w:val="0"/>
          <w:numId w:val="0"/>
        </w:numPr>
        <w:rPr>
          <w:highlight w:val="yellow"/>
        </w:rPr>
      </w:pPr>
      <w:bookmarkStart w:id="102" w:name="_Toc436383144"/>
      <w:bookmarkStart w:id="103" w:name="_Toc451781907"/>
      <w:bookmarkStart w:id="104" w:name="_Toc461713639"/>
      <w:r>
        <w:rPr>
          <w:highlight w:val="yellow"/>
        </w:rPr>
        <w:t>Tablica 3. Izgradnja kapaciteta evaluacije: ljudski resursi</w:t>
      </w:r>
      <w:bookmarkEnd w:id="102"/>
      <w:bookmarkEnd w:id="103"/>
      <w:bookmarkEnd w:id="104"/>
    </w:p>
    <w:tbl>
      <w:tblPr>
        <w:tblStyle w:val="TableGrid"/>
        <w:tblW w:w="90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511"/>
        <w:gridCol w:w="1511"/>
        <w:gridCol w:w="1511"/>
        <w:gridCol w:w="1511"/>
        <w:gridCol w:w="1511"/>
        <w:gridCol w:w="1512"/>
      </w:tblGrid>
      <w:tr w:rsidR="00867290" w:rsidRPr="00BB2924" w:rsidTr="008768CB">
        <w:trPr>
          <w:trHeight w:val="372"/>
          <w:jc w:val="center"/>
        </w:trPr>
        <w:tc>
          <w:tcPr>
            <w:tcW w:w="1511"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Tko?</w:t>
            </w:r>
          </w:p>
        </w:tc>
        <w:tc>
          <w:tcPr>
            <w:tcW w:w="1511"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Što trebaju znati o evaluaciji?</w:t>
            </w:r>
          </w:p>
        </w:tc>
        <w:tc>
          <w:tcPr>
            <w:tcW w:w="1511"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Koja je trenutačna razina njihova znanja o evaluaciji?</w:t>
            </w:r>
          </w:p>
        </w:tc>
        <w:tc>
          <w:tcPr>
            <w:tcW w:w="1511"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Kako?</w:t>
            </w:r>
          </w:p>
        </w:tc>
        <w:tc>
          <w:tcPr>
            <w:tcW w:w="1511"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Kada?</w:t>
            </w:r>
          </w:p>
        </w:tc>
        <w:tc>
          <w:tcPr>
            <w:tcW w:w="1512" w:type="dxa"/>
            <w:shd w:val="clear" w:color="auto" w:fill="E7E6E6" w:themeFill="background2"/>
          </w:tcPr>
          <w:p w:rsidR="00867290" w:rsidRPr="00BB2924" w:rsidRDefault="00867290" w:rsidP="006A75AC">
            <w:pPr>
              <w:pStyle w:val="Htableleftbolt"/>
              <w:rPr>
                <w:rFonts w:cs="Arial"/>
                <w:color w:val="5B9BD5" w:themeColor="accent1"/>
                <w:highlight w:val="yellow"/>
              </w:rPr>
            </w:pPr>
            <w:r>
              <w:rPr>
                <w:color w:val="5B9BD5" w:themeColor="accent1"/>
                <w:highlight w:val="yellow"/>
              </w:rPr>
              <w:t>Tko to radi?</w:t>
            </w:r>
          </w:p>
        </w:tc>
      </w:tr>
      <w:tr w:rsidR="00867290" w:rsidRPr="00BB2924" w:rsidTr="008768CB">
        <w:trPr>
          <w:trHeight w:val="464"/>
          <w:jc w:val="center"/>
        </w:trPr>
        <w:tc>
          <w:tcPr>
            <w:tcW w:w="1511" w:type="dxa"/>
            <w:shd w:val="clear" w:color="auto" w:fill="auto"/>
          </w:tcPr>
          <w:p w:rsidR="00867290" w:rsidRPr="00BB2924" w:rsidRDefault="00867290" w:rsidP="006A75AC">
            <w:pPr>
              <w:pStyle w:val="Htableleft"/>
              <w:rPr>
                <w:rFonts w:cs="Arial"/>
                <w:color w:val="576C88" w:themeColor="text2" w:themeTint="D9"/>
                <w:highlight w:val="yellow"/>
              </w:rPr>
            </w:pPr>
            <w:r>
              <w:rPr>
                <w:color w:val="576C88" w:themeColor="text2" w:themeTint="D9"/>
                <w:highlight w:val="yellow"/>
              </w:rPr>
              <w:t>Sudionici (npr. UT, AP, JPM, LAG-ovi)</w:t>
            </w:r>
          </w:p>
        </w:tc>
        <w:tc>
          <w:tcPr>
            <w:tcW w:w="1511" w:type="dxa"/>
            <w:shd w:val="clear" w:color="auto" w:fill="auto"/>
          </w:tcPr>
          <w:p w:rsidR="00867290" w:rsidRPr="00BB2924" w:rsidRDefault="00867290" w:rsidP="00B62FBF">
            <w:pPr>
              <w:pStyle w:val="Htableleft"/>
              <w:rPr>
                <w:rFonts w:cs="Arial"/>
                <w:color w:val="576C88" w:themeColor="text2" w:themeTint="D9"/>
                <w:highlight w:val="yellow"/>
              </w:rPr>
            </w:pPr>
            <w:r>
              <w:rPr>
                <w:color w:val="576C88" w:themeColor="text2" w:themeTint="D9"/>
                <w:highlight w:val="yellow"/>
              </w:rPr>
              <w:t>Navesti tehničke i bitne probleme koji se odnose na evaluaciju</w:t>
            </w:r>
          </w:p>
          <w:p w:rsidR="00867290" w:rsidRPr="00BB2924" w:rsidRDefault="00867290" w:rsidP="00B62FBF">
            <w:pPr>
              <w:pStyle w:val="Htableleft"/>
              <w:rPr>
                <w:rFonts w:cs="Arial"/>
                <w:color w:val="576C88" w:themeColor="text2" w:themeTint="D9"/>
                <w:highlight w:val="yellow"/>
              </w:rPr>
            </w:pPr>
            <w:r>
              <w:rPr>
                <w:color w:val="576C88" w:themeColor="text2" w:themeTint="D9"/>
                <w:highlight w:val="yellow"/>
              </w:rPr>
              <w:t>npr. logički okvir, hijerarhija ciljeva, intervencijska logika, praćenje, pokazatelji, postupci natječaja, proces evaluacije</w:t>
            </w:r>
          </w:p>
        </w:tc>
        <w:tc>
          <w:tcPr>
            <w:tcW w:w="1511" w:type="dxa"/>
            <w:shd w:val="clear" w:color="auto" w:fill="auto"/>
          </w:tcPr>
          <w:p w:rsidR="00867290" w:rsidRPr="00BB2924" w:rsidRDefault="00867290" w:rsidP="008768CB">
            <w:pPr>
              <w:pStyle w:val="Htableleft"/>
              <w:rPr>
                <w:rFonts w:cs="Arial"/>
                <w:color w:val="576C88" w:themeColor="text2" w:themeTint="D9"/>
                <w:highlight w:val="yellow"/>
              </w:rPr>
            </w:pPr>
            <w:r>
              <w:rPr>
                <w:color w:val="576C88" w:themeColor="text2" w:themeTint="D9"/>
                <w:highlight w:val="yellow"/>
              </w:rPr>
              <w:t>Procjena znanja o identificiranim tehničkim i bitnim problemima koji se odnose na evaluaciju (i njezine nedostatke) pomoću upitnika ili anketa. Identifikacija kritičnih potreba izgradnje kapaciteta</w:t>
            </w:r>
          </w:p>
        </w:tc>
        <w:tc>
          <w:tcPr>
            <w:tcW w:w="1511" w:type="dxa"/>
            <w:shd w:val="clear" w:color="auto" w:fill="auto"/>
          </w:tcPr>
          <w:p w:rsidR="00867290" w:rsidRPr="00BB2924" w:rsidRDefault="00867290" w:rsidP="006A75AC">
            <w:pPr>
              <w:pStyle w:val="Htableleft"/>
              <w:rPr>
                <w:rFonts w:cs="Arial"/>
                <w:color w:val="576C88" w:themeColor="text2" w:themeTint="D9"/>
                <w:highlight w:val="yellow"/>
              </w:rPr>
            </w:pPr>
            <w:r>
              <w:rPr>
                <w:color w:val="576C88" w:themeColor="text2" w:themeTint="D9"/>
                <w:highlight w:val="yellow"/>
              </w:rPr>
              <w:t>Aktivnosti za izgradnju potrebnih kapaciteta (npr. radionice, seminari, prezentacije, obuke, informativni leci, glasila, e-obuka)</w:t>
            </w:r>
          </w:p>
        </w:tc>
        <w:tc>
          <w:tcPr>
            <w:tcW w:w="1511" w:type="dxa"/>
            <w:shd w:val="clear" w:color="auto" w:fill="auto"/>
          </w:tcPr>
          <w:p w:rsidR="00867290" w:rsidRPr="00BB2924" w:rsidRDefault="00867290" w:rsidP="006A75AC">
            <w:pPr>
              <w:pStyle w:val="Htableleft"/>
              <w:rPr>
                <w:rFonts w:cs="Arial"/>
                <w:color w:val="576C88" w:themeColor="text2" w:themeTint="D9"/>
                <w:highlight w:val="yellow"/>
              </w:rPr>
            </w:pPr>
            <w:r>
              <w:rPr>
                <w:color w:val="576C88" w:themeColor="text2" w:themeTint="D9"/>
                <w:highlight w:val="yellow"/>
              </w:rPr>
              <w:t>Vremenski raspored i učestalost aktivnosti izgradnje kapaciteta</w:t>
            </w:r>
          </w:p>
        </w:tc>
        <w:tc>
          <w:tcPr>
            <w:tcW w:w="1512" w:type="dxa"/>
            <w:shd w:val="clear" w:color="auto" w:fill="auto"/>
          </w:tcPr>
          <w:p w:rsidR="00867290" w:rsidRPr="00BB2924" w:rsidRDefault="00867290" w:rsidP="00B62FBF">
            <w:pPr>
              <w:pStyle w:val="Htableleft"/>
              <w:rPr>
                <w:rFonts w:cs="Arial"/>
                <w:color w:val="576C88" w:themeColor="text2" w:themeTint="D9"/>
                <w:highlight w:val="yellow"/>
              </w:rPr>
            </w:pPr>
            <w:r>
              <w:rPr>
                <w:color w:val="576C88" w:themeColor="text2" w:themeTint="D9"/>
                <w:highlight w:val="yellow"/>
              </w:rPr>
              <w:t>Odgovornost za aktivnosti izgradnje kapaciteta</w:t>
            </w:r>
          </w:p>
          <w:p w:rsidR="00867290" w:rsidRPr="00BB2924" w:rsidRDefault="00867290" w:rsidP="00B62FBF">
            <w:pPr>
              <w:pStyle w:val="Htableleft"/>
              <w:rPr>
                <w:rFonts w:cs="Arial"/>
                <w:color w:val="576C88" w:themeColor="text2" w:themeTint="D9"/>
                <w:highlight w:val="yellow"/>
              </w:rPr>
            </w:pPr>
            <w:r>
              <w:rPr>
                <w:color w:val="576C88" w:themeColor="text2" w:themeTint="D9"/>
                <w:highlight w:val="yellow"/>
              </w:rPr>
              <w:t>(organizacija i provedba)</w:t>
            </w:r>
          </w:p>
        </w:tc>
      </w:tr>
    </w:tbl>
    <w:p w:rsidR="00867290" w:rsidRPr="00BB2924" w:rsidRDefault="00867290" w:rsidP="00923616">
      <w:pPr>
        <w:pStyle w:val="HStandard"/>
        <w:rPr>
          <w:highlight w:val="yellow"/>
        </w:rPr>
      </w:pPr>
      <w:r>
        <w:rPr>
          <w:highlight w:val="yellow"/>
        </w:rPr>
        <w:t xml:space="preserve">Odgovornosti različitih sudionika u planiranju evaluacije NRM-a mogu se sažeti u </w:t>
      </w:r>
      <w:r>
        <w:rPr>
          <w:highlight w:val="yellow"/>
        </w:rPr>
        <w:fldChar w:fldCharType="begin" w:fldLock="1"/>
      </w:r>
      <w:r>
        <w:rPr>
          <w:highlight w:val="yellow"/>
        </w:rPr>
        <w:instrText xml:space="preserve"> REF _Ref451784925 \r \h  \* MERGEFORMAT </w:instrText>
      </w:r>
      <w:r>
        <w:rPr>
          <w:highlight w:val="yellow"/>
        </w:rPr>
      </w:r>
      <w:r>
        <w:rPr>
          <w:highlight w:val="yellow"/>
        </w:rPr>
        <w:fldChar w:fldCharType="separate"/>
      </w:r>
      <w:r>
        <w:rPr>
          <w:highlight w:val="yellow"/>
        </w:rPr>
        <w:t>Table 4</w:t>
      </w:r>
      <w:r>
        <w:rPr>
          <w:highlight w:val="yellow"/>
        </w:rPr>
        <w:fldChar w:fldCharType="end"/>
      </w:r>
      <w:r>
        <w:rPr>
          <w:highlight w:val="yellow"/>
        </w:rPr>
        <w:t xml:space="preserve"> nastavku.</w:t>
      </w:r>
    </w:p>
    <w:p w:rsidR="00867290" w:rsidRPr="00BB2924" w:rsidRDefault="00867290" w:rsidP="006F6D66">
      <w:pPr>
        <w:pStyle w:val="HHeadingtables"/>
        <w:numPr>
          <w:ilvl w:val="0"/>
          <w:numId w:val="0"/>
        </w:numPr>
        <w:rPr>
          <w:highlight w:val="yellow"/>
        </w:rPr>
      </w:pPr>
      <w:bookmarkStart w:id="105" w:name="_Toc451781908"/>
      <w:bookmarkStart w:id="106" w:name="_Ref451784915"/>
      <w:bookmarkStart w:id="107" w:name="_Ref451784925"/>
      <w:bookmarkStart w:id="108" w:name="_Toc461713640"/>
      <w:r>
        <w:rPr>
          <w:highlight w:val="yellow"/>
        </w:rPr>
        <w:t>Tablica 4. Odgovornosti sudionika u planiranju evaluacije NRM-a</w:t>
      </w:r>
      <w:bookmarkEnd w:id="105"/>
      <w:bookmarkEnd w:id="106"/>
      <w:bookmarkEnd w:id="107"/>
      <w:bookmarkEnd w:id="108"/>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644"/>
        <w:gridCol w:w="1894"/>
        <w:gridCol w:w="1573"/>
        <w:gridCol w:w="1883"/>
        <w:gridCol w:w="1568"/>
      </w:tblGrid>
      <w:tr w:rsidR="00867290" w:rsidRPr="00BB2924" w:rsidTr="00FC0A30">
        <w:trPr>
          <w:trHeight w:val="581"/>
        </w:trPr>
        <w:tc>
          <w:tcPr>
            <w:tcW w:w="0" w:type="auto"/>
            <w:tcBorders>
              <w:top w:val="nil"/>
              <w:left w:val="nil"/>
              <w:bottom w:val="single" w:sz="4" w:space="0" w:color="000000" w:themeColor="text1"/>
            </w:tcBorders>
          </w:tcPr>
          <w:p w:rsidR="00867290" w:rsidRPr="00BB2924" w:rsidRDefault="00867290" w:rsidP="008B1515">
            <w:pPr>
              <w:jc w:val="right"/>
              <w:rPr>
                <w:b/>
                <w:color w:val="576C88" w:themeColor="text2" w:themeTint="D9"/>
                <w:szCs w:val="18"/>
                <w:highlight w:val="yellow"/>
              </w:rPr>
            </w:pPr>
          </w:p>
        </w:tc>
        <w:tc>
          <w:tcPr>
            <w:tcW w:w="0" w:type="auto"/>
            <w:shd w:val="clear" w:color="auto" w:fill="E7E6E6" w:themeFill="background2"/>
          </w:tcPr>
          <w:p w:rsidR="00867290" w:rsidRPr="00BB2924" w:rsidRDefault="00867290" w:rsidP="00FC0A30">
            <w:pPr>
              <w:jc w:val="center"/>
              <w:rPr>
                <w:b/>
                <w:color w:val="5B9BD5" w:themeColor="accent1"/>
                <w:szCs w:val="18"/>
                <w:highlight w:val="yellow"/>
              </w:rPr>
            </w:pPr>
            <w:r>
              <w:rPr>
                <w:b/>
                <w:color w:val="5B9BD5" w:themeColor="accent1"/>
                <w:highlight w:val="yellow"/>
              </w:rPr>
              <w:t>Mjere</w:t>
            </w:r>
          </w:p>
        </w:tc>
        <w:tc>
          <w:tcPr>
            <w:tcW w:w="0" w:type="auto"/>
            <w:gridSpan w:val="4"/>
            <w:shd w:val="clear" w:color="auto" w:fill="E7E6E6" w:themeFill="background2"/>
          </w:tcPr>
          <w:p w:rsidR="00867290" w:rsidRPr="00BB2924" w:rsidRDefault="00867290" w:rsidP="00FC0A30">
            <w:pPr>
              <w:jc w:val="center"/>
              <w:rPr>
                <w:b/>
                <w:color w:val="5B9BD5" w:themeColor="accent1"/>
                <w:szCs w:val="18"/>
                <w:highlight w:val="yellow"/>
              </w:rPr>
            </w:pPr>
            <w:r>
              <w:rPr>
                <w:b/>
                <w:color w:val="5B9BD5" w:themeColor="accent1"/>
                <w:highlight w:val="yellow"/>
              </w:rPr>
              <w:t>Sudionici</w:t>
            </w:r>
          </w:p>
        </w:tc>
      </w:tr>
      <w:tr w:rsidR="00867290" w:rsidRPr="00BB2924" w:rsidTr="00937568">
        <w:trPr>
          <w:cantSplit/>
          <w:trHeight w:val="829"/>
        </w:trPr>
        <w:tc>
          <w:tcPr>
            <w:tcW w:w="0" w:type="auto"/>
            <w:shd w:val="clear" w:color="auto" w:fill="E7E6E6" w:themeFill="background2"/>
            <w:textDirection w:val="tbRl"/>
          </w:tcPr>
          <w:p w:rsidR="00867290" w:rsidRPr="00BB2924" w:rsidRDefault="00867290" w:rsidP="00FC0A30">
            <w:pPr>
              <w:ind w:left="113" w:right="113"/>
              <w:jc w:val="center"/>
              <w:rPr>
                <w:b/>
                <w:color w:val="5B9BD5" w:themeColor="accent1"/>
                <w:szCs w:val="18"/>
                <w:highlight w:val="yellow"/>
              </w:rPr>
            </w:pPr>
            <w:r>
              <w:rPr>
                <w:b/>
                <w:color w:val="5B9BD5" w:themeColor="accent1"/>
                <w:highlight w:val="yellow"/>
              </w:rPr>
              <w:t>Faza</w:t>
            </w: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Korak</w:t>
            </w:r>
          </w:p>
        </w:tc>
        <w:tc>
          <w:tcPr>
            <w:tcW w:w="0" w:type="auto"/>
          </w:tcPr>
          <w:p w:rsidR="00867290" w:rsidRPr="00BB2924" w:rsidRDefault="00867290" w:rsidP="008B1515">
            <w:pPr>
              <w:rPr>
                <w:i/>
                <w:color w:val="576C88" w:themeColor="text2" w:themeTint="D9"/>
                <w:szCs w:val="18"/>
                <w:highlight w:val="yellow"/>
              </w:rPr>
            </w:pPr>
            <w:r>
              <w:rPr>
                <w:i/>
                <w:color w:val="576C88" w:themeColor="text2" w:themeTint="D9"/>
                <w:highlight w:val="yellow"/>
              </w:rPr>
              <w:t>UT</w:t>
            </w:r>
          </w:p>
        </w:tc>
        <w:tc>
          <w:tcPr>
            <w:tcW w:w="0" w:type="auto"/>
          </w:tcPr>
          <w:p w:rsidR="00867290" w:rsidRPr="00BB2924" w:rsidRDefault="00867290" w:rsidP="008B1515">
            <w:pPr>
              <w:rPr>
                <w:i/>
                <w:color w:val="576C88" w:themeColor="text2" w:themeTint="D9"/>
                <w:szCs w:val="18"/>
                <w:highlight w:val="yellow"/>
              </w:rPr>
            </w:pPr>
            <w:r>
              <w:rPr>
                <w:i/>
                <w:color w:val="576C88" w:themeColor="text2" w:themeTint="D9"/>
                <w:highlight w:val="yellow"/>
              </w:rPr>
              <w:t>druge jedinice UT-a</w:t>
            </w:r>
          </w:p>
        </w:tc>
        <w:tc>
          <w:tcPr>
            <w:tcW w:w="0" w:type="auto"/>
          </w:tcPr>
          <w:p w:rsidR="00867290" w:rsidRPr="00BB2924" w:rsidRDefault="00867290" w:rsidP="008B1515">
            <w:pPr>
              <w:rPr>
                <w:i/>
                <w:color w:val="576C88" w:themeColor="text2" w:themeTint="D9"/>
                <w:szCs w:val="18"/>
                <w:highlight w:val="yellow"/>
              </w:rPr>
            </w:pPr>
            <w:r>
              <w:rPr>
                <w:i/>
                <w:color w:val="576C88" w:themeColor="text2" w:themeTint="D9"/>
                <w:highlight w:val="yellow"/>
              </w:rPr>
              <w:t>JPM</w:t>
            </w:r>
          </w:p>
        </w:tc>
        <w:tc>
          <w:tcPr>
            <w:tcW w:w="0" w:type="auto"/>
          </w:tcPr>
          <w:p w:rsidR="00867290" w:rsidRPr="00BB2924" w:rsidRDefault="00867290" w:rsidP="008B1515">
            <w:pPr>
              <w:rPr>
                <w:i/>
                <w:color w:val="576C88" w:themeColor="text2" w:themeTint="D9"/>
                <w:szCs w:val="18"/>
                <w:highlight w:val="yellow"/>
              </w:rPr>
            </w:pPr>
            <w:r>
              <w:rPr>
                <w:i/>
                <w:color w:val="576C88" w:themeColor="text2" w:themeTint="D9"/>
                <w:highlight w:val="yellow"/>
              </w:rPr>
              <w:t>Ostali</w:t>
            </w:r>
          </w:p>
        </w:tc>
      </w:tr>
      <w:tr w:rsidR="00867290" w:rsidRPr="00BB2924" w:rsidTr="00FC0A30">
        <w:tc>
          <w:tcPr>
            <w:tcW w:w="0" w:type="auto"/>
            <w:vMerge w:val="restart"/>
            <w:shd w:val="clear" w:color="auto" w:fill="E7E6E6" w:themeFill="background2"/>
            <w:textDirection w:val="tbRl"/>
          </w:tcPr>
          <w:p w:rsidR="00867290" w:rsidRPr="00BB2924" w:rsidRDefault="00867290" w:rsidP="00FC0A30">
            <w:pPr>
              <w:ind w:left="113" w:right="113"/>
              <w:jc w:val="center"/>
              <w:rPr>
                <w:b/>
                <w:color w:val="5B9BD5" w:themeColor="accent1"/>
                <w:szCs w:val="18"/>
                <w:highlight w:val="yellow"/>
              </w:rPr>
            </w:pPr>
            <w:r>
              <w:rPr>
                <w:b/>
                <w:color w:val="5B9BD5" w:themeColor="accent1"/>
                <w:highlight w:val="yellow"/>
              </w:rPr>
              <w:t>Planiranje</w:t>
            </w: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Proces i raspored</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Odgovoran/sudjeluje</w:t>
            </w:r>
          </w:p>
        </w:tc>
        <w:tc>
          <w:tcPr>
            <w:tcW w:w="0" w:type="auto"/>
          </w:tcPr>
          <w:p w:rsidR="00867290" w:rsidRPr="00BB2924" w:rsidRDefault="00867290" w:rsidP="008B1515">
            <w:pPr>
              <w:rPr>
                <w:color w:val="576C88" w:themeColor="text2" w:themeTint="D9"/>
                <w:szCs w:val="18"/>
                <w:highlight w:val="yellow"/>
              </w:rPr>
            </w:pP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Sudjeluje/odgovoran</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Mogući US sudjeluje, AP sudjeluje</w:t>
            </w:r>
          </w:p>
        </w:tc>
      </w:tr>
      <w:tr w:rsidR="00867290" w:rsidRPr="00BB2924" w:rsidTr="00FC0A30">
        <w:tc>
          <w:tcPr>
            <w:tcW w:w="0" w:type="auto"/>
            <w:vMerge/>
            <w:shd w:val="clear" w:color="auto" w:fill="E7E6E6" w:themeFill="background2"/>
            <w:textDirection w:val="tbRl"/>
          </w:tcPr>
          <w:p w:rsidR="00867290" w:rsidRPr="00BB2924" w:rsidRDefault="00867290" w:rsidP="008B1515">
            <w:pPr>
              <w:ind w:left="113" w:right="113"/>
              <w:rPr>
                <w:color w:val="576C88" w:themeColor="text2" w:themeTint="D9"/>
                <w:szCs w:val="18"/>
                <w:highlight w:val="yellow"/>
              </w:rPr>
            </w:pP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Potrebe evaluacije</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Odgovoran/sudjeluje</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Ako je služba za evaluaciju, može sudjelovati</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Sudjeluje/odgovoran</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Koordinacijsko tijelo NRM-a</w:t>
            </w:r>
          </w:p>
        </w:tc>
      </w:tr>
      <w:tr w:rsidR="00867290" w:rsidRPr="00BB2924" w:rsidTr="00FC0A30">
        <w:tc>
          <w:tcPr>
            <w:tcW w:w="0" w:type="auto"/>
            <w:vMerge/>
            <w:shd w:val="clear" w:color="auto" w:fill="E7E6E6" w:themeFill="background2"/>
            <w:textDirection w:val="tbRl"/>
          </w:tcPr>
          <w:p w:rsidR="00867290" w:rsidRPr="00BB2924" w:rsidRDefault="00867290" w:rsidP="008B1515">
            <w:pPr>
              <w:ind w:left="113" w:right="113"/>
              <w:rPr>
                <w:color w:val="576C88" w:themeColor="text2" w:themeTint="D9"/>
                <w:szCs w:val="18"/>
                <w:highlight w:val="yellow"/>
              </w:rPr>
            </w:pP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Komunikacijski plan</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Odgovoran/sudjeluje</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Ako je služba za komunikaciju, može sudjelovati</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Sudjeluje/odgovoran</w:t>
            </w:r>
          </w:p>
        </w:tc>
        <w:tc>
          <w:tcPr>
            <w:tcW w:w="0" w:type="auto"/>
          </w:tcPr>
          <w:p w:rsidR="00867290" w:rsidRPr="00BB2924" w:rsidRDefault="00867290" w:rsidP="008B1515">
            <w:pPr>
              <w:rPr>
                <w:color w:val="576C88" w:themeColor="text2" w:themeTint="D9"/>
                <w:szCs w:val="18"/>
                <w:highlight w:val="yellow"/>
              </w:rPr>
            </w:pPr>
          </w:p>
        </w:tc>
      </w:tr>
      <w:tr w:rsidR="00867290" w:rsidRPr="00BB2924" w:rsidTr="00FC0A30">
        <w:tc>
          <w:tcPr>
            <w:tcW w:w="0" w:type="auto"/>
            <w:vMerge/>
            <w:shd w:val="clear" w:color="auto" w:fill="E7E6E6" w:themeFill="background2"/>
            <w:textDirection w:val="tbRl"/>
          </w:tcPr>
          <w:p w:rsidR="00867290" w:rsidRPr="00BB2924" w:rsidRDefault="00867290" w:rsidP="008B1515">
            <w:pPr>
              <w:ind w:left="113" w:right="113"/>
              <w:rPr>
                <w:color w:val="576C88" w:themeColor="text2" w:themeTint="D9"/>
                <w:szCs w:val="18"/>
                <w:highlight w:val="yellow"/>
              </w:rPr>
            </w:pP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Plan izgradnje kapaciteta</w:t>
            </w: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Odgovoran/sudjeluje</w:t>
            </w:r>
          </w:p>
        </w:tc>
        <w:tc>
          <w:tcPr>
            <w:tcW w:w="0" w:type="auto"/>
          </w:tcPr>
          <w:p w:rsidR="00867290" w:rsidRPr="00BB2924" w:rsidRDefault="00867290" w:rsidP="008B1515">
            <w:pPr>
              <w:rPr>
                <w:color w:val="576C88" w:themeColor="text2" w:themeTint="D9"/>
                <w:szCs w:val="18"/>
                <w:highlight w:val="yellow"/>
              </w:rPr>
            </w:pPr>
          </w:p>
        </w:tc>
        <w:tc>
          <w:tcPr>
            <w:tcW w:w="0" w:type="auto"/>
          </w:tcPr>
          <w:p w:rsidR="00867290" w:rsidRPr="00BB2924" w:rsidRDefault="00867290" w:rsidP="008B1515">
            <w:pPr>
              <w:rPr>
                <w:color w:val="576C88" w:themeColor="text2" w:themeTint="D9"/>
                <w:szCs w:val="18"/>
                <w:highlight w:val="yellow"/>
              </w:rPr>
            </w:pPr>
            <w:r>
              <w:rPr>
                <w:color w:val="576C88" w:themeColor="text2" w:themeTint="D9"/>
                <w:highlight w:val="yellow"/>
              </w:rPr>
              <w:t>Sudjeluje/odgovoran</w:t>
            </w:r>
          </w:p>
        </w:tc>
        <w:tc>
          <w:tcPr>
            <w:tcW w:w="0" w:type="auto"/>
          </w:tcPr>
          <w:p w:rsidR="00867290" w:rsidRPr="00BB2924" w:rsidRDefault="00867290" w:rsidP="008B1515">
            <w:pPr>
              <w:rPr>
                <w:color w:val="576C88" w:themeColor="text2" w:themeTint="D9"/>
                <w:szCs w:val="18"/>
                <w:highlight w:val="yellow"/>
              </w:rPr>
            </w:pPr>
          </w:p>
        </w:tc>
      </w:tr>
    </w:tbl>
    <w:p w:rsidR="00867290" w:rsidRPr="00BB2924" w:rsidRDefault="00867290" w:rsidP="00992336">
      <w:pPr>
        <w:pStyle w:val="HStandard"/>
        <w:rPr>
          <w:highlight w:val="yellow"/>
        </w:rPr>
      </w:pPr>
    </w:p>
    <w:p w:rsidR="00867290" w:rsidRPr="00CA5E80" w:rsidRDefault="00867290" w:rsidP="00CA5E80">
      <w:pPr>
        <w:pStyle w:val="HHeading3"/>
        <w:numPr>
          <w:ilvl w:val="0"/>
          <w:numId w:val="0"/>
        </w:numPr>
        <w:rPr>
          <w:highlight w:val="yellow"/>
        </w:rPr>
      </w:pPr>
      <w:r>
        <w:br w:type="column"/>
      </w:r>
      <w:bookmarkStart w:id="109" w:name="_Toc453079760"/>
      <w:bookmarkStart w:id="110" w:name="_Toc461713634"/>
      <w:r w:rsidRPr="00CA5E80">
        <w:rPr>
          <w:highlight w:val="yellow"/>
        </w:rPr>
        <w:lastRenderedPageBreak/>
        <w:t>2.2.2. Priprema evaluacije NRM-a</w:t>
      </w:r>
      <w:bookmarkEnd w:id="109"/>
      <w:bookmarkEnd w:id="110"/>
    </w:p>
    <w:p w:rsidR="00867290" w:rsidRPr="00BB2924" w:rsidRDefault="00867290" w:rsidP="00FC0A30">
      <w:pPr>
        <w:pStyle w:val="HStandard"/>
        <w:rPr>
          <w:highlight w:val="yellow"/>
        </w:rPr>
      </w:pPr>
      <w:r>
        <w:rPr>
          <w:highlight w:val="yellow"/>
        </w:rPr>
        <w:t xml:space="preserve">U pripremi evaluacije osobito je važno uspostaviti temelj za sve tipove evaluacije NRM-a: intervencijska logika NRM-a i sustav evaluacije, sastavljen od evaluacijskih pitanja i pokazatelja za pojedine programe koji se odnose na NRM. K tome, iznimno je važno definirati koji se dokazi trebaju prikupiti i kako doći do informacija koje dionici traže iz evaluacije. Idealno, intervencijsku logiku i sustav evaluacije NRM-a trebalo bi pripremiti prije provedbe NRM-a za cijelo programsko razdoblje (za sve evaluacije NRM-a) ili prije ikakve zasebne evaluacije NRM-a provedene bilo kada tijekom programskog razdoblja. </w:t>
      </w:r>
    </w:p>
    <w:p w:rsidR="00867290" w:rsidRPr="00BB2924" w:rsidRDefault="00867290" w:rsidP="00FC0A30">
      <w:pPr>
        <w:pStyle w:val="HStandard"/>
        <w:rPr>
          <w:highlight w:val="yellow"/>
        </w:rPr>
      </w:pPr>
      <w:r>
        <w:rPr>
          <w:b/>
          <w:highlight w:val="yellow"/>
        </w:rPr>
        <w:t>Faza pripreme sastoji se od sljedećih važnih koraka:</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867290" w:rsidRPr="00BB2924" w:rsidTr="00406CAA">
        <w:trPr>
          <w:trHeight w:val="488"/>
        </w:trPr>
        <w:tc>
          <w:tcPr>
            <w:tcW w:w="846" w:type="dxa"/>
            <w:shd w:val="clear" w:color="auto" w:fill="E7E6E6" w:themeFill="background2"/>
          </w:tcPr>
          <w:p w:rsidR="00867290" w:rsidRPr="00BB2924" w:rsidRDefault="00867290" w:rsidP="00406CAA">
            <w:pPr>
              <w:pStyle w:val="HStandard"/>
              <w:jc w:val="center"/>
              <w:rPr>
                <w:b/>
                <w:color w:val="5B9BD5" w:themeColor="accent1"/>
                <w:sz w:val="18"/>
                <w:szCs w:val="18"/>
                <w:highlight w:val="yellow"/>
              </w:rPr>
            </w:pPr>
            <w:r>
              <w:rPr>
                <w:b/>
                <w:color w:val="5B9BD5" w:themeColor="accent1"/>
                <w:sz w:val="18"/>
                <w:highlight w:val="yellow"/>
              </w:rPr>
              <w:t>1.</w:t>
            </w:r>
          </w:p>
        </w:tc>
        <w:tc>
          <w:tcPr>
            <w:tcW w:w="8170" w:type="dxa"/>
          </w:tcPr>
          <w:p w:rsidR="00867290" w:rsidRPr="00BB2924" w:rsidRDefault="00867290" w:rsidP="00FC0A30">
            <w:pPr>
              <w:pStyle w:val="HStandard"/>
              <w:rPr>
                <w:sz w:val="18"/>
                <w:szCs w:val="18"/>
                <w:highlight w:val="yellow"/>
              </w:rPr>
            </w:pPr>
            <w:r>
              <w:rPr>
                <w:sz w:val="18"/>
                <w:highlight w:val="yellow"/>
              </w:rPr>
              <w:t>Konstrukcija intervencijske logike NRM-a</w:t>
            </w:r>
          </w:p>
        </w:tc>
      </w:tr>
      <w:tr w:rsidR="00867290" w:rsidRPr="00BB2924" w:rsidTr="00406CAA">
        <w:tc>
          <w:tcPr>
            <w:tcW w:w="846" w:type="dxa"/>
            <w:shd w:val="clear" w:color="auto" w:fill="E7E6E6" w:themeFill="background2"/>
          </w:tcPr>
          <w:p w:rsidR="00867290" w:rsidRPr="00BB2924" w:rsidRDefault="00867290" w:rsidP="00406CAA">
            <w:pPr>
              <w:pStyle w:val="HStandard"/>
              <w:jc w:val="center"/>
              <w:rPr>
                <w:b/>
                <w:color w:val="5B9BD5" w:themeColor="accent1"/>
                <w:sz w:val="18"/>
                <w:szCs w:val="18"/>
                <w:highlight w:val="yellow"/>
              </w:rPr>
            </w:pPr>
            <w:r>
              <w:rPr>
                <w:b/>
                <w:color w:val="5B9BD5" w:themeColor="accent1"/>
                <w:sz w:val="18"/>
                <w:highlight w:val="yellow"/>
              </w:rPr>
              <w:t>2.</w:t>
            </w:r>
          </w:p>
        </w:tc>
        <w:tc>
          <w:tcPr>
            <w:tcW w:w="8170" w:type="dxa"/>
          </w:tcPr>
          <w:p w:rsidR="00867290" w:rsidRPr="00BB2924" w:rsidRDefault="00867290" w:rsidP="005E5B66">
            <w:pPr>
              <w:pStyle w:val="HStandard"/>
              <w:rPr>
                <w:sz w:val="18"/>
                <w:szCs w:val="18"/>
                <w:highlight w:val="yellow"/>
              </w:rPr>
            </w:pPr>
            <w:r>
              <w:rPr>
                <w:sz w:val="18"/>
                <w:highlight w:val="yellow"/>
              </w:rPr>
              <w:t>Ponovno razmatranje/formuliranje evaluacijskih pitanja i pokazatelja koji se odnose na NRM i provjeravanje njihove dosljednosti intervencijskoj logici</w:t>
            </w:r>
          </w:p>
        </w:tc>
      </w:tr>
      <w:tr w:rsidR="00867290" w:rsidRPr="00BB2924" w:rsidTr="00406CAA">
        <w:tc>
          <w:tcPr>
            <w:tcW w:w="846" w:type="dxa"/>
            <w:shd w:val="clear" w:color="auto" w:fill="E7E6E6" w:themeFill="background2"/>
          </w:tcPr>
          <w:p w:rsidR="00867290" w:rsidRPr="00BB2924" w:rsidRDefault="00867290" w:rsidP="00406CAA">
            <w:pPr>
              <w:pStyle w:val="HStandard"/>
              <w:jc w:val="center"/>
              <w:rPr>
                <w:b/>
                <w:color w:val="5B9BD5" w:themeColor="accent1"/>
                <w:sz w:val="18"/>
                <w:szCs w:val="18"/>
                <w:highlight w:val="yellow"/>
              </w:rPr>
            </w:pPr>
            <w:r>
              <w:rPr>
                <w:b/>
                <w:color w:val="5B9BD5" w:themeColor="accent1"/>
                <w:sz w:val="18"/>
                <w:highlight w:val="yellow"/>
              </w:rPr>
              <w:t>3.</w:t>
            </w:r>
          </w:p>
        </w:tc>
        <w:tc>
          <w:tcPr>
            <w:tcW w:w="8170" w:type="dxa"/>
          </w:tcPr>
          <w:p w:rsidR="00867290" w:rsidRPr="00BB2924" w:rsidRDefault="00867290" w:rsidP="00FC0A30">
            <w:pPr>
              <w:pStyle w:val="HStandard"/>
              <w:rPr>
                <w:sz w:val="18"/>
                <w:szCs w:val="18"/>
                <w:highlight w:val="yellow"/>
              </w:rPr>
            </w:pPr>
            <w:r>
              <w:rPr>
                <w:sz w:val="18"/>
                <w:highlight w:val="yellow"/>
              </w:rPr>
              <w:t>Odabir preferiranog pristupa evaluaciji</w:t>
            </w:r>
          </w:p>
        </w:tc>
      </w:tr>
      <w:tr w:rsidR="00867290" w:rsidRPr="00BB2924" w:rsidTr="00406CAA">
        <w:tc>
          <w:tcPr>
            <w:tcW w:w="846" w:type="dxa"/>
            <w:shd w:val="clear" w:color="auto" w:fill="E7E6E6" w:themeFill="background2"/>
          </w:tcPr>
          <w:p w:rsidR="00867290" w:rsidRPr="00BB2924" w:rsidRDefault="00867290" w:rsidP="00406CAA">
            <w:pPr>
              <w:pStyle w:val="HStandard"/>
              <w:jc w:val="center"/>
              <w:rPr>
                <w:b/>
                <w:color w:val="5B9BD5" w:themeColor="accent1"/>
                <w:sz w:val="18"/>
                <w:szCs w:val="18"/>
                <w:highlight w:val="yellow"/>
              </w:rPr>
            </w:pPr>
            <w:r>
              <w:rPr>
                <w:b/>
                <w:color w:val="5B9BD5" w:themeColor="accent1"/>
                <w:sz w:val="18"/>
                <w:highlight w:val="yellow"/>
              </w:rPr>
              <w:t>4.</w:t>
            </w:r>
          </w:p>
        </w:tc>
        <w:tc>
          <w:tcPr>
            <w:tcW w:w="8170" w:type="dxa"/>
          </w:tcPr>
          <w:p w:rsidR="00867290" w:rsidRPr="00BB2924" w:rsidRDefault="00867290" w:rsidP="00FC0A30">
            <w:pPr>
              <w:pStyle w:val="HStandard"/>
              <w:rPr>
                <w:sz w:val="18"/>
                <w:szCs w:val="18"/>
                <w:highlight w:val="yellow"/>
              </w:rPr>
            </w:pPr>
            <w:r>
              <w:rPr>
                <w:sz w:val="18"/>
                <w:highlight w:val="yellow"/>
              </w:rPr>
              <w:t>Provjera potreba za informacijama i podacima te potencijalnim izvorima</w:t>
            </w:r>
          </w:p>
        </w:tc>
      </w:tr>
      <w:tr w:rsidR="00867290" w:rsidRPr="00BB2924" w:rsidTr="00406CAA">
        <w:tc>
          <w:tcPr>
            <w:tcW w:w="846" w:type="dxa"/>
            <w:shd w:val="clear" w:color="auto" w:fill="E7E6E6" w:themeFill="background2"/>
          </w:tcPr>
          <w:p w:rsidR="00867290" w:rsidRPr="00BB2924" w:rsidRDefault="00867290" w:rsidP="00406CAA">
            <w:pPr>
              <w:pStyle w:val="HStandard"/>
              <w:jc w:val="center"/>
              <w:rPr>
                <w:b/>
                <w:color w:val="5B9BD5" w:themeColor="accent1"/>
                <w:sz w:val="18"/>
                <w:szCs w:val="18"/>
                <w:highlight w:val="yellow"/>
              </w:rPr>
            </w:pPr>
            <w:r>
              <w:rPr>
                <w:b/>
                <w:color w:val="5B9BD5" w:themeColor="accent1"/>
                <w:sz w:val="18"/>
                <w:highlight w:val="yellow"/>
              </w:rPr>
              <w:t>5.</w:t>
            </w:r>
          </w:p>
        </w:tc>
        <w:tc>
          <w:tcPr>
            <w:tcW w:w="8170" w:type="dxa"/>
          </w:tcPr>
          <w:p w:rsidR="00867290" w:rsidRPr="00BB2924" w:rsidRDefault="00867290" w:rsidP="00FC0A30">
            <w:pPr>
              <w:pStyle w:val="HStandard"/>
              <w:rPr>
                <w:sz w:val="18"/>
                <w:szCs w:val="18"/>
                <w:highlight w:val="yellow"/>
              </w:rPr>
            </w:pPr>
            <w:r>
              <w:rPr>
                <w:sz w:val="18"/>
                <w:highlight w:val="yellow"/>
              </w:rPr>
              <w:t>Javno nadmetanje i odabir vanjskog evaluatora</w:t>
            </w:r>
          </w:p>
        </w:tc>
      </w:tr>
    </w:tbl>
    <w:p w:rsidR="00867290" w:rsidRPr="00BB2924" w:rsidRDefault="00867290" w:rsidP="00FC0A30">
      <w:pPr>
        <w:pStyle w:val="HHeading5"/>
        <w:rPr>
          <w:highlight w:val="yellow"/>
        </w:rPr>
      </w:pPr>
      <w:r>
        <w:rPr>
          <w:highlight w:val="yellow"/>
        </w:rPr>
        <w:t>Korak 1. – Konstrukcija intervencijske logike NRM-a</w:t>
      </w:r>
    </w:p>
    <w:p w:rsidR="00867290" w:rsidRPr="00BB2924" w:rsidRDefault="00867290" w:rsidP="00FC0A30">
      <w:pPr>
        <w:pStyle w:val="HStandard"/>
        <w:rPr>
          <w:highlight w:val="yellow"/>
        </w:rPr>
      </w:pPr>
      <w:r>
        <w:rPr>
          <w:highlight w:val="yellow"/>
        </w:rPr>
        <w:t>Intervencijska logika NRM-a unutar PRR-a ili zasebnog programa (PNRM) temelj je za njezino djelovanje i njezine procjene. Intervencijska logika metodološki je instrument koji povezuje SWOT, potrebe programskog teritorija koje se odnose na NRM, ciljeve mreže, aktivnosti/proračune NRM-a i očekivane učinke NRM-a uočene kao ostvarenja, rezultati i učinci mreže</w:t>
      </w:r>
      <w:r>
        <w:rPr>
          <w:rFonts w:ascii="ZWAdobeF" w:hAnsi="ZWAdobeF"/>
          <w:color w:val="auto"/>
          <w:sz w:val="2"/>
          <w:highlight w:val="yellow"/>
        </w:rPr>
        <w:t>65F</w:t>
      </w:r>
      <w:r>
        <w:rPr>
          <w:rStyle w:val="FootnoteReference"/>
          <w:highlight w:val="yellow"/>
        </w:rPr>
        <w:footnoteReference w:id="66"/>
      </w:r>
      <w:r>
        <w:rPr>
          <w:highlight w:val="yellow"/>
        </w:rPr>
        <w:t xml:space="preserve">. (Vidi </w:t>
      </w:r>
      <w:r>
        <w:rPr>
          <w:highlight w:val="yellow"/>
        </w:rPr>
        <w:fldChar w:fldCharType="begin" w:fldLock="1"/>
      </w:r>
      <w:r>
        <w:rPr>
          <w:highlight w:val="yellow"/>
        </w:rPr>
        <w:instrText xml:space="preserve"> REF _Ref451784505 \r \h  \* MERGEFORMAT </w:instrText>
      </w:r>
      <w:r>
        <w:rPr>
          <w:highlight w:val="yellow"/>
        </w:rPr>
      </w:r>
      <w:r>
        <w:rPr>
          <w:highlight w:val="yellow"/>
        </w:rPr>
        <w:fldChar w:fldCharType="separate"/>
      </w:r>
      <w:r>
        <w:rPr>
          <w:highlight w:val="yellow"/>
        </w:rPr>
        <w:t>Figure 6</w:t>
      </w:r>
      <w:r>
        <w:rPr>
          <w:highlight w:val="yellow"/>
        </w:rPr>
        <w:fldChar w:fldCharType="end"/>
      </w:r>
      <w:r>
        <w:rPr>
          <w:highlight w:val="yellow"/>
        </w:rPr>
        <w:t xml:space="preserve"> u poglavlju 1.4.2) </w:t>
      </w:r>
      <w:bookmarkStart w:id="111" w:name="_Ref434414555"/>
    </w:p>
    <w:bookmarkEnd w:id="111"/>
    <w:p w:rsidR="00867290" w:rsidRPr="00BB2924" w:rsidRDefault="00867290" w:rsidP="00FC0A30">
      <w:pPr>
        <w:pStyle w:val="HStandard"/>
        <w:rPr>
          <w:highlight w:val="yellow"/>
        </w:rPr>
      </w:pPr>
      <w:r>
        <w:rPr>
          <w:highlight w:val="yellow"/>
        </w:rPr>
        <w:t xml:space="preserve">Intervencijska logika (P)NRM-a trebala bi biti konstruirana u fazi oblikovanja programa, a njezina dosljednost i relevantnost procijenjena u </w:t>
      </w:r>
      <w:r w:rsidRPr="00C75DC2">
        <w:rPr>
          <w:i/>
          <w:highlight w:val="yellow"/>
        </w:rPr>
        <w:t>ex ante</w:t>
      </w:r>
      <w:r>
        <w:rPr>
          <w:highlight w:val="yellow"/>
        </w:rPr>
        <w:t xml:space="preserve"> evaluaciji. U protivnome, intervencijska logika NRM-a unutar PRR-a obično nije potpuno razvijena; PRR često sadržava samo četiri zajednička cilja i zajedničke skupove aktivnosti NRM-a. No intervencijska logika NRM-a je temelj evaluacije NRM-a i trebalo bi je utvrditi/dovršiti prije početka evaluacije.</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406CAA">
        <w:tc>
          <w:tcPr>
            <w:tcW w:w="9016" w:type="dxa"/>
            <w:shd w:val="clear" w:color="auto" w:fill="F5F4F4" w:themeFill="background2" w:themeFillTint="66"/>
          </w:tcPr>
          <w:p w:rsidR="00867290" w:rsidRPr="00BB2924" w:rsidRDefault="00867290" w:rsidP="00FC0A30">
            <w:pPr>
              <w:pStyle w:val="HStandard"/>
              <w:rPr>
                <w:highlight w:val="yellow"/>
              </w:rPr>
            </w:pPr>
            <w:r>
              <w:rPr>
                <w:highlight w:val="yellow"/>
              </w:rPr>
              <w:t xml:space="preserve">Sljedeća pitanja mogu pomoći u konstrukciji intervencijske logike: </w:t>
            </w:r>
          </w:p>
          <w:p w:rsidR="00867290" w:rsidRPr="00BB2924" w:rsidRDefault="00867290" w:rsidP="00867290">
            <w:pPr>
              <w:pStyle w:val="Hlistbullet"/>
              <w:tabs>
                <w:tab w:val="left" w:pos="567"/>
              </w:tabs>
              <w:rPr>
                <w:highlight w:val="yellow"/>
              </w:rPr>
            </w:pPr>
            <w:r>
              <w:rPr>
                <w:highlight w:val="yellow"/>
              </w:rPr>
              <w:t>Koje bi potrebe programskog područja mogao riješiti NRM?</w:t>
            </w:r>
          </w:p>
          <w:p w:rsidR="00867290" w:rsidRPr="00BB2924" w:rsidRDefault="00867290" w:rsidP="00867290">
            <w:pPr>
              <w:pStyle w:val="Hlistbullet"/>
              <w:tabs>
                <w:tab w:val="left" w:pos="567"/>
              </w:tabs>
              <w:rPr>
                <w:highlight w:val="yellow"/>
              </w:rPr>
            </w:pPr>
            <w:r>
              <w:rPr>
                <w:highlight w:val="yellow"/>
              </w:rPr>
              <w:t xml:space="preserve">Koji su ciljevi za pojedine programe koji se odnose na NRM povezani s utvrđenim potrebama? </w:t>
            </w:r>
          </w:p>
          <w:p w:rsidR="00867290" w:rsidRPr="00BB2924" w:rsidRDefault="00867290" w:rsidP="00867290">
            <w:pPr>
              <w:pStyle w:val="Hlistbullet"/>
              <w:tabs>
                <w:tab w:val="left" w:pos="567"/>
              </w:tabs>
              <w:rPr>
                <w:highlight w:val="yellow"/>
              </w:rPr>
            </w:pPr>
            <w:r>
              <w:rPr>
                <w:highlight w:val="yellow"/>
              </w:rPr>
              <w:t xml:space="preserve">Koje su aktivnosti koje treba provesti kako bi se postigli ciljevi za pojedine programe koji se odnose na NRM? </w:t>
            </w:r>
          </w:p>
          <w:p w:rsidR="00867290" w:rsidRPr="00BB2924" w:rsidRDefault="00867290" w:rsidP="00867290">
            <w:pPr>
              <w:pStyle w:val="Hlistbullet"/>
              <w:tabs>
                <w:tab w:val="left" w:pos="567"/>
              </w:tabs>
              <w:rPr>
                <w:highlight w:val="yellow"/>
              </w:rPr>
            </w:pPr>
            <w:r>
              <w:rPr>
                <w:highlight w:val="yellow"/>
              </w:rPr>
              <w:t>Koje pojedine aktivnosti NRM-a treba provesti ako zajedničke nisu dovoljne kako bi se postigli ciljevi za pojedine programe koji se odnose na NRM?</w:t>
            </w:r>
          </w:p>
        </w:tc>
      </w:tr>
    </w:tbl>
    <w:p w:rsidR="00867290" w:rsidRPr="00BB2924" w:rsidRDefault="00867290" w:rsidP="00FC0A30">
      <w:pPr>
        <w:pStyle w:val="HStandard"/>
        <w:rPr>
          <w:highlight w:val="yellow"/>
        </w:rPr>
      </w:pPr>
      <w:r>
        <w:rPr>
          <w:highlight w:val="yellow"/>
        </w:rPr>
        <w:t xml:space="preserve">Konstrukcija intervencijske logike NRM-a trebala bi se napraviti </w:t>
      </w:r>
      <w:r>
        <w:rPr>
          <w:b/>
          <w:highlight w:val="yellow"/>
        </w:rPr>
        <w:t>sljedećim redoslijedom:</w:t>
      </w:r>
      <w:r>
        <w:rPr>
          <w:highlight w:val="yellow"/>
        </w:rPr>
        <w:t xml:space="preserve"> </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7290" w:rsidRPr="00BB2924" w:rsidTr="009A7C06">
        <w:trPr>
          <w:jc w:val="center"/>
        </w:trPr>
        <w:tc>
          <w:tcPr>
            <w:tcW w:w="988" w:type="dxa"/>
            <w:shd w:val="clear" w:color="auto" w:fill="E7E6E6" w:themeFill="background2"/>
          </w:tcPr>
          <w:p w:rsidR="00867290" w:rsidRPr="00BB2924" w:rsidRDefault="00867290" w:rsidP="009A7C06">
            <w:pPr>
              <w:pStyle w:val="HStandard"/>
              <w:jc w:val="center"/>
              <w:rPr>
                <w:b/>
                <w:color w:val="FFFFFF"/>
                <w:sz w:val="18"/>
                <w:szCs w:val="18"/>
                <w:highlight w:val="yellow"/>
              </w:rPr>
            </w:pPr>
            <w:r>
              <w:rPr>
                <w:b/>
                <w:color w:val="FFFFFF"/>
                <w:sz w:val="18"/>
                <w:highlight w:val="yellow"/>
              </w:rPr>
              <w:t>a.</w:t>
            </w:r>
          </w:p>
        </w:tc>
        <w:tc>
          <w:tcPr>
            <w:tcW w:w="8028" w:type="dxa"/>
          </w:tcPr>
          <w:p w:rsidR="00867290" w:rsidRPr="00BB2924" w:rsidRDefault="00867290" w:rsidP="009A7C06">
            <w:pPr>
              <w:pStyle w:val="Hlistbullet"/>
              <w:numPr>
                <w:ilvl w:val="0"/>
                <w:numId w:val="0"/>
              </w:numPr>
              <w:spacing w:before="0" w:line="280" w:lineRule="atLeast"/>
              <w:jc w:val="left"/>
              <w:rPr>
                <w:sz w:val="18"/>
                <w:szCs w:val="18"/>
                <w:highlight w:val="yellow"/>
              </w:rPr>
            </w:pPr>
            <w:r>
              <w:rPr>
                <w:sz w:val="18"/>
                <w:highlight w:val="yellow"/>
              </w:rPr>
              <w:t>Provesti procjenu potreba i kontekstualnu analizu mreže.</w:t>
            </w:r>
          </w:p>
        </w:tc>
      </w:tr>
      <w:tr w:rsidR="00867290" w:rsidRPr="00BB2924" w:rsidTr="009A7C06">
        <w:trPr>
          <w:jc w:val="center"/>
        </w:trPr>
        <w:tc>
          <w:tcPr>
            <w:tcW w:w="988" w:type="dxa"/>
            <w:shd w:val="clear" w:color="auto" w:fill="E7E6E6" w:themeFill="background2"/>
          </w:tcPr>
          <w:p w:rsidR="00867290" w:rsidRPr="00BB2924" w:rsidRDefault="00867290" w:rsidP="009A7C06">
            <w:pPr>
              <w:pStyle w:val="HStandard"/>
              <w:jc w:val="center"/>
              <w:rPr>
                <w:b/>
                <w:color w:val="FFFFFF"/>
                <w:sz w:val="18"/>
                <w:szCs w:val="18"/>
                <w:highlight w:val="yellow"/>
              </w:rPr>
            </w:pPr>
            <w:r>
              <w:rPr>
                <w:b/>
                <w:color w:val="FFFFFF"/>
                <w:sz w:val="18"/>
                <w:highlight w:val="yellow"/>
              </w:rPr>
              <w:t>b.</w:t>
            </w:r>
          </w:p>
        </w:tc>
        <w:tc>
          <w:tcPr>
            <w:tcW w:w="8028" w:type="dxa"/>
          </w:tcPr>
          <w:p w:rsidR="00867290" w:rsidRPr="00BB2924" w:rsidRDefault="00867290" w:rsidP="009A7C06">
            <w:pPr>
              <w:pStyle w:val="HStandard"/>
              <w:jc w:val="left"/>
              <w:rPr>
                <w:b/>
                <w:i/>
                <w:sz w:val="18"/>
                <w:szCs w:val="18"/>
                <w:highlight w:val="yellow"/>
              </w:rPr>
            </w:pPr>
            <w:r>
              <w:rPr>
                <w:sz w:val="18"/>
                <w:highlight w:val="yellow"/>
              </w:rPr>
              <w:t>Preispitati zajedničke ciljeve mreže</w:t>
            </w:r>
            <w:r>
              <w:rPr>
                <w:rFonts w:ascii="ZWAdobeF" w:hAnsi="ZWAdobeF"/>
                <w:color w:val="auto"/>
                <w:sz w:val="2"/>
                <w:highlight w:val="yellow"/>
              </w:rPr>
              <w:t>66F</w:t>
            </w:r>
            <w:r>
              <w:rPr>
                <w:sz w:val="18"/>
                <w:highlight w:val="yellow"/>
                <w:vertAlign w:val="superscript"/>
              </w:rPr>
              <w:footnoteReference w:id="67"/>
            </w:r>
            <w:r>
              <w:rPr>
                <w:sz w:val="18"/>
                <w:highlight w:val="yellow"/>
                <w:vertAlign w:val="superscript"/>
              </w:rPr>
              <w:t xml:space="preserve"> </w:t>
            </w:r>
            <w:r>
              <w:rPr>
                <w:sz w:val="18"/>
                <w:highlight w:val="yellow"/>
              </w:rPr>
              <w:t>i skupove aktivnosti</w:t>
            </w:r>
            <w:r>
              <w:rPr>
                <w:rFonts w:ascii="ZWAdobeF" w:hAnsi="ZWAdobeF"/>
                <w:color w:val="auto"/>
                <w:sz w:val="2"/>
                <w:highlight w:val="yellow"/>
              </w:rPr>
              <w:t>67F</w:t>
            </w:r>
            <w:r>
              <w:rPr>
                <w:sz w:val="18"/>
                <w:highlight w:val="yellow"/>
                <w:vertAlign w:val="superscript"/>
              </w:rPr>
              <w:footnoteReference w:id="68"/>
            </w:r>
            <w:r>
              <w:rPr>
                <w:sz w:val="18"/>
                <w:highlight w:val="yellow"/>
              </w:rPr>
              <w:t xml:space="preserve"> iz perspektive njihove relevantnosti kako bi se riješile potrebe utvrđene u kontekstualnoj i SWOT analizi.</w:t>
            </w:r>
          </w:p>
        </w:tc>
      </w:tr>
      <w:tr w:rsidR="00867290" w:rsidRPr="00BB2924" w:rsidTr="009A7C06">
        <w:trPr>
          <w:jc w:val="center"/>
        </w:trPr>
        <w:tc>
          <w:tcPr>
            <w:tcW w:w="988" w:type="dxa"/>
            <w:shd w:val="clear" w:color="auto" w:fill="E7E6E6" w:themeFill="background2"/>
          </w:tcPr>
          <w:p w:rsidR="00867290" w:rsidRPr="00BB2924" w:rsidRDefault="00867290" w:rsidP="009A7C06">
            <w:pPr>
              <w:pStyle w:val="HStandard"/>
              <w:jc w:val="center"/>
              <w:rPr>
                <w:b/>
                <w:color w:val="FFFFFF"/>
                <w:sz w:val="18"/>
                <w:szCs w:val="18"/>
                <w:highlight w:val="yellow"/>
              </w:rPr>
            </w:pPr>
            <w:r>
              <w:rPr>
                <w:b/>
                <w:color w:val="FFFFFF"/>
                <w:sz w:val="18"/>
                <w:highlight w:val="yellow"/>
              </w:rPr>
              <w:t>c.</w:t>
            </w:r>
          </w:p>
        </w:tc>
        <w:tc>
          <w:tcPr>
            <w:tcW w:w="8028" w:type="dxa"/>
          </w:tcPr>
          <w:p w:rsidR="00867290" w:rsidRPr="00BB2924" w:rsidRDefault="00867290" w:rsidP="009A7C06">
            <w:pPr>
              <w:pStyle w:val="Hlistbullet"/>
              <w:numPr>
                <w:ilvl w:val="0"/>
                <w:numId w:val="0"/>
              </w:numPr>
              <w:spacing w:before="0" w:line="280" w:lineRule="atLeast"/>
              <w:jc w:val="left"/>
              <w:rPr>
                <w:sz w:val="18"/>
                <w:szCs w:val="18"/>
                <w:highlight w:val="yellow"/>
              </w:rPr>
            </w:pPr>
            <w:r>
              <w:rPr>
                <w:sz w:val="18"/>
                <w:highlight w:val="yellow"/>
              </w:rPr>
              <w:t>Definirati i formulirati ciljeve NRM-a za pojedine programe.</w:t>
            </w:r>
          </w:p>
        </w:tc>
      </w:tr>
      <w:tr w:rsidR="00867290" w:rsidRPr="00BB2924" w:rsidTr="009A7C06">
        <w:trPr>
          <w:jc w:val="center"/>
        </w:trPr>
        <w:tc>
          <w:tcPr>
            <w:tcW w:w="988" w:type="dxa"/>
            <w:shd w:val="clear" w:color="auto" w:fill="E7E6E6" w:themeFill="background2"/>
          </w:tcPr>
          <w:p w:rsidR="00867290" w:rsidRPr="00BB2924" w:rsidRDefault="00867290" w:rsidP="009A7C06">
            <w:pPr>
              <w:pStyle w:val="HStandard"/>
              <w:jc w:val="center"/>
              <w:rPr>
                <w:b/>
                <w:color w:val="FFFFFF"/>
                <w:sz w:val="18"/>
                <w:szCs w:val="18"/>
                <w:highlight w:val="yellow"/>
              </w:rPr>
            </w:pPr>
            <w:r>
              <w:rPr>
                <w:b/>
                <w:color w:val="FFFFFF"/>
                <w:sz w:val="18"/>
                <w:highlight w:val="yellow"/>
              </w:rPr>
              <w:lastRenderedPageBreak/>
              <w:t>d.</w:t>
            </w:r>
          </w:p>
        </w:tc>
        <w:tc>
          <w:tcPr>
            <w:tcW w:w="8028" w:type="dxa"/>
          </w:tcPr>
          <w:p w:rsidR="00867290" w:rsidRPr="00BB2924" w:rsidRDefault="00867290" w:rsidP="00EF5995">
            <w:pPr>
              <w:pStyle w:val="Hlistbullet"/>
              <w:numPr>
                <w:ilvl w:val="0"/>
                <w:numId w:val="0"/>
              </w:numPr>
              <w:tabs>
                <w:tab w:val="left" w:pos="317"/>
              </w:tabs>
              <w:spacing w:before="0" w:line="280" w:lineRule="atLeast"/>
              <w:jc w:val="left"/>
              <w:rPr>
                <w:sz w:val="18"/>
                <w:szCs w:val="18"/>
                <w:highlight w:val="yellow"/>
              </w:rPr>
            </w:pPr>
            <w:r>
              <w:rPr>
                <w:sz w:val="18"/>
                <w:highlight w:val="yellow"/>
              </w:rPr>
              <w:t>Definirati očekivana ostvarenja, rezultate i učinke nacionalnih ruralnih mreža u potpori ruralnog razvoja i s obzirom na ruralno područje obuhvaćeno programom, kao i ljudski i društveni kapital.</w:t>
            </w:r>
          </w:p>
        </w:tc>
      </w:tr>
      <w:tr w:rsidR="00867290" w:rsidRPr="00BB2924" w:rsidTr="009A7C06">
        <w:trPr>
          <w:jc w:val="center"/>
        </w:trPr>
        <w:tc>
          <w:tcPr>
            <w:tcW w:w="988" w:type="dxa"/>
            <w:shd w:val="clear" w:color="auto" w:fill="E7E6E6" w:themeFill="background2"/>
          </w:tcPr>
          <w:p w:rsidR="00867290" w:rsidRPr="00BB2924" w:rsidRDefault="00867290" w:rsidP="009A7C06">
            <w:pPr>
              <w:pStyle w:val="HStandard"/>
              <w:jc w:val="center"/>
              <w:rPr>
                <w:b/>
                <w:color w:val="FFFFFF"/>
                <w:sz w:val="18"/>
                <w:szCs w:val="18"/>
                <w:highlight w:val="yellow"/>
              </w:rPr>
            </w:pPr>
            <w:r>
              <w:rPr>
                <w:b/>
                <w:color w:val="FFFFFF"/>
                <w:sz w:val="18"/>
                <w:highlight w:val="yellow"/>
              </w:rPr>
              <w:t>e.</w:t>
            </w:r>
          </w:p>
        </w:tc>
        <w:tc>
          <w:tcPr>
            <w:tcW w:w="8028" w:type="dxa"/>
          </w:tcPr>
          <w:p w:rsidR="00867290" w:rsidRPr="00BB2924" w:rsidRDefault="00867290" w:rsidP="009A7C06">
            <w:pPr>
              <w:pStyle w:val="Hlistbullet"/>
              <w:numPr>
                <w:ilvl w:val="0"/>
                <w:numId w:val="0"/>
              </w:numPr>
              <w:spacing w:before="0" w:line="280" w:lineRule="atLeast"/>
              <w:jc w:val="left"/>
              <w:rPr>
                <w:sz w:val="18"/>
                <w:szCs w:val="18"/>
                <w:highlight w:val="yellow"/>
              </w:rPr>
            </w:pPr>
            <w:r>
              <w:rPr>
                <w:sz w:val="18"/>
                <w:highlight w:val="yellow"/>
              </w:rPr>
              <w:t>Konstruirati intervencijsku logiku nacionalnih ruralnih mreža i provjeriti njezinu vertikalnu i horizontalnu dosljednost.</w:t>
            </w:r>
          </w:p>
        </w:tc>
      </w:tr>
      <w:tr w:rsidR="00867290" w:rsidRPr="00BB2924" w:rsidTr="009A7C06">
        <w:trPr>
          <w:jc w:val="center"/>
        </w:trPr>
        <w:tc>
          <w:tcPr>
            <w:tcW w:w="9016" w:type="dxa"/>
            <w:gridSpan w:val="2"/>
            <w:shd w:val="clear" w:color="auto" w:fill="auto"/>
          </w:tcPr>
          <w:p w:rsidR="00867290" w:rsidRPr="00BB2924" w:rsidRDefault="00867290" w:rsidP="009A7C06">
            <w:pPr>
              <w:pStyle w:val="HStandard"/>
              <w:jc w:val="left"/>
              <w:rPr>
                <w:sz w:val="18"/>
                <w:szCs w:val="18"/>
                <w:highlight w:val="yellow"/>
              </w:rPr>
            </w:pPr>
            <w:r>
              <w:rPr>
                <w:b/>
                <w:sz w:val="18"/>
                <w:highlight w:val="yellow"/>
              </w:rPr>
              <w:t>Očekivani rezultati:</w:t>
            </w:r>
            <w:r>
              <w:rPr>
                <w:sz w:val="18"/>
                <w:highlight w:val="yellow"/>
              </w:rPr>
              <w:t xml:space="preserve"> vertikalno i horizontalno dosljedna intervencijska logika NRM-a</w:t>
            </w:r>
          </w:p>
        </w:tc>
      </w:tr>
    </w:tbl>
    <w:p w:rsidR="00867290" w:rsidRPr="00BB2924" w:rsidRDefault="00867290" w:rsidP="00D7626C">
      <w:pPr>
        <w:pStyle w:val="Heading6"/>
        <w:rPr>
          <w:highlight w:val="yellow"/>
        </w:rPr>
      </w:pPr>
      <w:r>
        <w:rPr>
          <w:highlight w:val="yellow"/>
        </w:rPr>
        <w:t>Provesti procjenu potreba i kontekstualnu analizu mreže</w:t>
      </w:r>
    </w:p>
    <w:p w:rsidR="00867290" w:rsidRPr="00BB2924" w:rsidRDefault="00867290" w:rsidP="00FC0A30">
      <w:pPr>
        <w:pStyle w:val="HStandard"/>
        <w:rPr>
          <w:highlight w:val="yellow"/>
        </w:rPr>
      </w:pPr>
      <w:r>
        <w:rPr>
          <w:highlight w:val="yellow"/>
        </w:rPr>
        <w:t xml:space="preserve">Prije konstruiranja intervencijske logike NRM-a nužno je procijeniti situaciju u programskom području i utvrditi potrebe koje bi se mogle riješiti aktivnostima ruralnih mreža. Potrebe koje se odnose na umrežavanje trebalo bi isto tako u ovoj fazi procijeniti parametrima mreže. Dionici u državama članicama mogu sami odlučiti koji će se kontekstualni parametri mreže upotrebljavati pri procjeni okoline NRM-a, ovisno o pojedinoj situaciji u području PRR-a. Primjeri kontekstualnih parametara slijede u nastavku: </w:t>
      </w:r>
    </w:p>
    <w:p w:rsidR="00867290" w:rsidRPr="00BB2924" w:rsidRDefault="00867290" w:rsidP="005368DC">
      <w:pPr>
        <w:pStyle w:val="Hlistbullet2"/>
        <w:rPr>
          <w:highlight w:val="yellow"/>
        </w:rPr>
      </w:pPr>
      <w:r>
        <w:rPr>
          <w:highlight w:val="yellow"/>
        </w:rPr>
        <w:t>različitost dionika ruralnog razvoja: mapiranje postojećih grupa dionika ruralnog razvoja koje djeluju na lokalnoj, regionalnoj i nacionalnoj razini i/ili potencijalnih članova NRM-a: i. šira ruralna zajednica, ii. korisnici Programa ruralnog razvoja definirani u uredbi i programima, uključujući one koji se odnose na lokalne akcijske skupine (LAG-ove), iii. ostali, npr. razni NVO-i, istraživački i akademski sektor povezan s ruralnim razvojem, uključujući one koji rade u poljima vezanima za inovacije itd.;</w:t>
      </w:r>
    </w:p>
    <w:p w:rsidR="00867290" w:rsidRPr="00BB2924" w:rsidRDefault="00867290" w:rsidP="005368DC">
      <w:pPr>
        <w:pStyle w:val="Hlistbullet2"/>
        <w:rPr>
          <w:highlight w:val="yellow"/>
        </w:rPr>
      </w:pPr>
      <w:r>
        <w:rPr>
          <w:highlight w:val="yellow"/>
        </w:rPr>
        <w:t>poveznice među dionicima: mapiranje postojećih poveznica i veza među dionicima, uključujući već utvrđene i planirane projekte i aktivnosti suradnje među sudionicima postojećih mreža (unutarnje veze) i među mrežama (vanjske mreže);</w:t>
      </w:r>
    </w:p>
    <w:p w:rsidR="00867290" w:rsidRPr="00BB2924" w:rsidRDefault="00867290" w:rsidP="005368DC">
      <w:pPr>
        <w:pStyle w:val="Hlistbullet2"/>
        <w:rPr>
          <w:highlight w:val="yellow"/>
        </w:rPr>
      </w:pPr>
      <w:r>
        <w:rPr>
          <w:highlight w:val="yellow"/>
        </w:rPr>
        <w:t xml:space="preserve">razina decentralizacije operativnih struktura ruralnih mreža: opis i analiza postojećih operativnih i koordinacijskih struktura u kojima funkcioniraju NRM-ovi, uzimajući u obzir nacionalnu i regionalnu razinu i podjelu odgovornosti (decentralizacija); </w:t>
      </w:r>
    </w:p>
    <w:p w:rsidR="00867290" w:rsidRPr="00BB2924" w:rsidRDefault="00867290" w:rsidP="005368DC">
      <w:pPr>
        <w:pStyle w:val="Hlistbullet2"/>
        <w:rPr>
          <w:highlight w:val="yellow"/>
        </w:rPr>
      </w:pPr>
      <w:r>
        <w:rPr>
          <w:highlight w:val="yellow"/>
        </w:rPr>
        <w:t>razina otvorenosti trenutačnog NRM-a: opis i analiza otvorenosti trenutačnog NRM-a sudjelovanju šireg opsega ruralnih dionika (npr. formalnim/neformalnim članstvom, mogućnošću trajnog uključivanja u mrežu itd.) i vezanih pravila koje mreže u tom smislu primjenjuju;</w:t>
      </w:r>
    </w:p>
    <w:p w:rsidR="00867290" w:rsidRPr="00BB2924" w:rsidRDefault="00867290" w:rsidP="005368DC">
      <w:pPr>
        <w:pStyle w:val="Hlistbullet2"/>
        <w:rPr>
          <w:highlight w:val="yellow"/>
        </w:rPr>
      </w:pPr>
      <w:r>
        <w:rPr>
          <w:highlight w:val="yellow"/>
        </w:rPr>
        <w:t>struktura i sadržaj PRR-a u kojem će mreža djelovati: analizirajući mjere i vezane financijske dodjele unutar PRR-a koje će biti povezane s aktivnostima NRM-a</w:t>
      </w:r>
      <w:r>
        <w:rPr>
          <w:rFonts w:ascii="ZWAdobeF" w:hAnsi="ZWAdobeF"/>
          <w:color w:val="auto"/>
          <w:sz w:val="2"/>
          <w:highlight w:val="yellow"/>
        </w:rPr>
        <w:t>68F</w:t>
      </w:r>
      <w:r>
        <w:rPr>
          <w:rStyle w:val="FootnoteReference"/>
          <w:highlight w:val="yellow"/>
        </w:rPr>
        <w:footnoteReference w:id="69"/>
      </w:r>
      <w:r>
        <w:rPr>
          <w:highlight w:val="yellow"/>
        </w:rPr>
        <w:t xml:space="preserve"> i mogu biti komplementarne, u sinergiji ili u sukobu. To će pomoći procijeniti jesu li aktivnosti NRM-a potrebne ili je li cilj postignut mjerama PRR-a;</w:t>
      </w:r>
    </w:p>
    <w:p w:rsidR="00867290" w:rsidRPr="00BB2924" w:rsidRDefault="00867290" w:rsidP="005368DC">
      <w:pPr>
        <w:pStyle w:val="Hlistbullet2"/>
        <w:rPr>
          <w:highlight w:val="yellow"/>
        </w:rPr>
      </w:pPr>
      <w:r>
        <w:rPr>
          <w:highlight w:val="yellow"/>
        </w:rPr>
        <w:t>analiza JPM-a (bilo da je JPM unutar UT-a, delegiran agenciji ministarstva / drugoj javnoj instituciji ili eksternaliziran), koja naglašava snažne i slabe strane postojećeg ustroja, i pouke za budućnost.</w:t>
      </w:r>
    </w:p>
    <w:p w:rsidR="00867290" w:rsidRPr="00BB2924" w:rsidRDefault="00867290" w:rsidP="00C72F66">
      <w:pPr>
        <w:pStyle w:val="Heading6"/>
        <w:rPr>
          <w:highlight w:val="yellow"/>
        </w:rPr>
      </w:pPr>
      <w:r>
        <w:rPr>
          <w:highlight w:val="yellow"/>
        </w:rPr>
        <w:t xml:space="preserve">Preispitivanje zajedničkih ciljeva i skupova aktivnosti mreže </w:t>
      </w:r>
    </w:p>
    <w:p w:rsidR="00867290" w:rsidRPr="00BB2924" w:rsidRDefault="00867290" w:rsidP="00FC0A30">
      <w:pPr>
        <w:pStyle w:val="HStandard"/>
        <w:rPr>
          <w:highlight w:val="yellow"/>
        </w:rPr>
      </w:pPr>
      <w:r>
        <w:rPr>
          <w:highlight w:val="yellow"/>
        </w:rPr>
        <w:t>Pravnim okvirom utvrđuju se zajednički elementi za konstrukciju intervencijske logike NRM-a:</w:t>
      </w:r>
    </w:p>
    <w:p w:rsidR="00867290" w:rsidRPr="00BB2924" w:rsidRDefault="00867290" w:rsidP="00406CAA">
      <w:pPr>
        <w:pStyle w:val="Hlistbullet"/>
        <w:rPr>
          <w:highlight w:val="yellow"/>
        </w:rPr>
      </w:pPr>
      <w:r>
        <w:rPr>
          <w:highlight w:val="yellow"/>
        </w:rPr>
        <w:t>četiri zajednička cilja NRM-a</w:t>
      </w:r>
      <w:r>
        <w:rPr>
          <w:rFonts w:ascii="ZWAdobeF" w:hAnsi="ZWAdobeF"/>
          <w:color w:val="auto"/>
          <w:sz w:val="2"/>
          <w:highlight w:val="yellow"/>
        </w:rPr>
        <w:t>69F</w:t>
      </w:r>
      <w:r>
        <w:rPr>
          <w:rStyle w:val="FootnoteReference"/>
          <w:highlight w:val="yellow"/>
        </w:rPr>
        <w:footnoteReference w:id="70"/>
      </w:r>
      <w:r>
        <w:rPr>
          <w:highlight w:val="yellow"/>
        </w:rPr>
        <w:t xml:space="preserve"> i </w:t>
      </w:r>
    </w:p>
    <w:p w:rsidR="00867290" w:rsidRPr="00BB2924" w:rsidRDefault="00867290" w:rsidP="00406CAA">
      <w:pPr>
        <w:pStyle w:val="Hlistbullet"/>
        <w:rPr>
          <w:highlight w:val="yellow"/>
        </w:rPr>
      </w:pPr>
      <w:r>
        <w:rPr>
          <w:highlight w:val="yellow"/>
        </w:rPr>
        <w:t>sedam zajedničkih skupova aktivnosti</w:t>
      </w:r>
      <w:r>
        <w:rPr>
          <w:rFonts w:ascii="ZWAdobeF" w:hAnsi="ZWAdobeF"/>
          <w:color w:val="auto"/>
          <w:sz w:val="2"/>
          <w:highlight w:val="yellow"/>
        </w:rPr>
        <w:t>70F</w:t>
      </w:r>
      <w:r>
        <w:rPr>
          <w:rStyle w:val="FootnoteReference"/>
          <w:highlight w:val="yellow"/>
        </w:rPr>
        <w:footnoteReference w:id="71"/>
      </w:r>
      <w:r>
        <w:rPr>
          <w:highlight w:val="yellow"/>
        </w:rPr>
        <w:t>.</w:t>
      </w:r>
    </w:p>
    <w:p w:rsidR="00867290" w:rsidRPr="00BB2924" w:rsidRDefault="00867290" w:rsidP="00FC0A30">
      <w:pPr>
        <w:pStyle w:val="HStandard"/>
        <w:rPr>
          <w:highlight w:val="yellow"/>
        </w:rPr>
      </w:pPr>
      <w:r>
        <w:rPr>
          <w:highlight w:val="yellow"/>
        </w:rPr>
        <w:t xml:space="preserve">Pregled smjernica za osnivanje i djelovanje ruralnih mreža predlaže sljedeće poveznice između četiriju zajedničkih ciljeva NRM-a i sedam zajedničkih skupova aktivnosti (vidi </w:t>
      </w:r>
      <w:r>
        <w:rPr>
          <w:highlight w:val="yellow"/>
        </w:rPr>
        <w:fldChar w:fldCharType="begin" w:fldLock="1"/>
      </w:r>
      <w:r>
        <w:rPr>
          <w:highlight w:val="yellow"/>
        </w:rPr>
        <w:instrText xml:space="preserve"> REF _Ref451784531 \r \h  \* MERGEFORMAT </w:instrText>
      </w:r>
      <w:r>
        <w:rPr>
          <w:highlight w:val="yellow"/>
        </w:rPr>
      </w:r>
      <w:r>
        <w:rPr>
          <w:highlight w:val="yellow"/>
        </w:rPr>
        <w:fldChar w:fldCharType="separate"/>
      </w:r>
      <w:r>
        <w:rPr>
          <w:highlight w:val="yellow"/>
        </w:rPr>
        <w:t>Figure 12</w:t>
      </w:r>
      <w:r>
        <w:rPr>
          <w:highlight w:val="yellow"/>
        </w:rPr>
        <w:fldChar w:fldCharType="end"/>
      </w:r>
      <w:r>
        <w:rPr>
          <w:highlight w:val="yellow"/>
        </w:rPr>
        <w:t xml:space="preserve">). Međutim dionici u državama članicama mogu utvrditi vlastite poveznice koje odgovaraju konkretnoj intervencijskoj logici NRM-a. </w:t>
      </w:r>
    </w:p>
    <w:p w:rsidR="00867290" w:rsidRPr="00BB2924" w:rsidRDefault="00867290" w:rsidP="006F6D66">
      <w:pPr>
        <w:pStyle w:val="HHeadingfigures"/>
        <w:numPr>
          <w:ilvl w:val="0"/>
          <w:numId w:val="0"/>
        </w:numPr>
        <w:rPr>
          <w:highlight w:val="yellow"/>
        </w:rPr>
      </w:pPr>
      <w:bookmarkStart w:id="112" w:name="_Toc445465127"/>
      <w:bookmarkStart w:id="113" w:name="_Toc451781930"/>
      <w:bookmarkStart w:id="114" w:name="_Toc461713657"/>
      <w:r>
        <w:rPr>
          <w:highlight w:val="yellow"/>
        </w:rPr>
        <w:t xml:space="preserve">Slika 11. Moguće poveznice između zajedničkih ciljeva NRM-a i skupova </w:t>
      </w:r>
      <w:bookmarkEnd w:id="112"/>
      <w:r>
        <w:rPr>
          <w:highlight w:val="yellow"/>
        </w:rPr>
        <w:t>aktivnosti</w:t>
      </w:r>
      <w:bookmarkEnd w:id="113"/>
      <w:bookmarkEnd w:id="114"/>
    </w:p>
    <w:p w:rsidR="00867290" w:rsidRPr="00BB2924" w:rsidRDefault="00867290" w:rsidP="00DB1A74">
      <w:pPr>
        <w:pStyle w:val="HStandard"/>
        <w:jc w:val="center"/>
        <w:rPr>
          <w:highlight w:val="yellow"/>
        </w:rPr>
      </w:pPr>
      <w:r>
        <w:rPr>
          <w:noProof/>
          <w:highlight w:val="yellow"/>
          <w:lang w:val="en-GB" w:eastAsia="en-GB" w:bidi="ar-SA"/>
        </w:rPr>
        <w:lastRenderedPageBreak/>
        <w:drawing>
          <wp:inline distT="0" distB="0" distL="0" distR="0" wp14:anchorId="5D0592EA" wp14:editId="39E204A8">
            <wp:extent cx="5093970" cy="2129972"/>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07027" cy="2135431"/>
                    </a:xfrm>
                    <a:prstGeom prst="rect">
                      <a:avLst/>
                    </a:prstGeom>
                    <a:noFill/>
                  </pic:spPr>
                </pic:pic>
              </a:graphicData>
            </a:graphic>
          </wp:inline>
        </w:drawing>
      </w:r>
    </w:p>
    <w:p w:rsidR="00867290" w:rsidRPr="00BB2924" w:rsidRDefault="00867290" w:rsidP="00FC0A30">
      <w:pPr>
        <w:pStyle w:val="HSource"/>
        <w:rPr>
          <w:highlight w:val="yellow"/>
        </w:rPr>
      </w:pPr>
      <w:r>
        <w:rPr>
          <w:highlight w:val="yellow"/>
        </w:rPr>
        <w:t>Izvor: Europski centar za pomoć pri evaluaciji za ruralni razvoj, 2016.</w:t>
      </w:r>
    </w:p>
    <w:p w:rsidR="00867290" w:rsidRPr="00BB2924" w:rsidRDefault="00867290" w:rsidP="00406CAA">
      <w:pPr>
        <w:pStyle w:val="HStandard"/>
        <w:rPr>
          <w:highlight w:val="yellow"/>
        </w:rPr>
      </w:pPr>
      <w:r>
        <w:rPr>
          <w:highlight w:val="yellow"/>
        </w:rPr>
        <w:t xml:space="preserve">Navedeni zajednički ciljevi, skupovi aktivnosti NRM-a i poveznice između njih su primarni, ali dovoljni temelji za konstruiranje intervencijske logike NRM-a. Dionici u državama članicama moraju nadopuniti te zajedničke elemente elementima za pojedine programe. </w:t>
      </w:r>
    </w:p>
    <w:p w:rsidR="00867290" w:rsidRPr="00BB2924" w:rsidRDefault="00867290" w:rsidP="00406CAA">
      <w:pPr>
        <w:pStyle w:val="HStandard"/>
        <w:rPr>
          <w:highlight w:val="yellow"/>
        </w:rPr>
      </w:pPr>
      <w:r>
        <w:rPr>
          <w:highlight w:val="yellow"/>
        </w:rPr>
        <w:t xml:space="preserve">Praksa pokazuje da su mnogi NRM-ovi pripremili svoje akcijske planove bez utvrđivanja intervencijske logike NRM-a. Ako je to slučaj, važno je razumjeti koji su skupovi aktivnosti – zajedničkih i za pojedine programe – uključeni u akcijski plan NRM-a, povezati ih s četirima zajedničkim ciljevima, formulirati ciljeve NRM-a za pojedine programe i definirati očekivana ostvarenja, rezultate i učinke. </w:t>
      </w:r>
    </w:p>
    <w:p w:rsidR="00867290" w:rsidRPr="00BB2924" w:rsidRDefault="00867290" w:rsidP="00C72F66">
      <w:pPr>
        <w:pStyle w:val="Heading6"/>
        <w:rPr>
          <w:highlight w:val="yellow"/>
        </w:rPr>
      </w:pPr>
      <w:r>
        <w:rPr>
          <w:highlight w:val="yellow"/>
        </w:rPr>
        <w:t xml:space="preserve">Definirati i formulirati ciljeve NRM-a za pojedine programe </w:t>
      </w:r>
    </w:p>
    <w:p w:rsidR="00867290" w:rsidRPr="00BB2924" w:rsidRDefault="00867290" w:rsidP="00FC0A30">
      <w:pPr>
        <w:pStyle w:val="HStandard"/>
        <w:rPr>
          <w:highlight w:val="yellow"/>
        </w:rPr>
      </w:pPr>
      <w:r>
        <w:rPr>
          <w:highlight w:val="yellow"/>
        </w:rPr>
        <w:t xml:space="preserve">Ciljevi NRM-a za pojedine programe mogu se formulirati na razini sveobuhvatnih ili pojedinih ciljeva. Postoje sljedeće mogućnosti pri formuliranju ciljeva NRM-a za pojedine programe: </w:t>
      </w:r>
    </w:p>
    <w:p w:rsidR="00867290" w:rsidRPr="00BB2924" w:rsidRDefault="00867290" w:rsidP="005368DC">
      <w:pPr>
        <w:pStyle w:val="Hlistbullet2"/>
        <w:rPr>
          <w:highlight w:val="yellow"/>
        </w:rPr>
      </w:pPr>
      <w:r>
        <w:rPr>
          <w:highlight w:val="yellow"/>
        </w:rPr>
        <w:t xml:space="preserve">analiza situacije, SWOT i procjena potreba identificirali su potrebe za pojedine programe koje treba riješiti intervencijama NRM-a i one nisu obuhvaćene četirima zajedničkim ciljevima, tj. izgradnjom kapaciteta kako bi se poboljšalo upravljanje u ruralnim područjima. Identificirane potrebe pretvaraju se u sveobuhvatne ciljeve NRM-a za pojedine programe; </w:t>
      </w:r>
    </w:p>
    <w:p w:rsidR="00867290" w:rsidRPr="00BB2924" w:rsidRDefault="00867290" w:rsidP="005368DC">
      <w:pPr>
        <w:pStyle w:val="Hlistbullet2"/>
        <w:rPr>
          <w:highlight w:val="yellow"/>
        </w:rPr>
      </w:pPr>
      <w:r>
        <w:rPr>
          <w:highlight w:val="yellow"/>
        </w:rPr>
        <w:t>četiri zajednička cilja NRM-a dalje se konkretiziraju pojedinim ciljevima NRM-a. Na primjer, poticanje inovacija može se dogoditi ako se inovativne prakse prenose među dionicima;</w:t>
      </w:r>
    </w:p>
    <w:p w:rsidR="00867290" w:rsidRPr="00BB2924" w:rsidRDefault="00867290" w:rsidP="005368DC">
      <w:pPr>
        <w:pStyle w:val="Hlistbullet2"/>
        <w:rPr>
          <w:highlight w:val="yellow"/>
        </w:rPr>
      </w:pPr>
      <w:r>
        <w:rPr>
          <w:highlight w:val="yellow"/>
        </w:rPr>
        <w:t xml:space="preserve">lanac NRM-a ostvarenje – rezultat – učinak isto tako vodi k formuliranju ciljeva NRM-a za pojedine programe. Očekivani rezultati NRM-a definirani kao očekivani rezultati za pojedine programe temelj su za formuliranje pojedinih ciljeva NRM-a i očekivanih učinaka za definiranje sveobuhvatnih ciljeva NRM-a; </w:t>
      </w:r>
    </w:p>
    <w:p w:rsidR="00867290" w:rsidRPr="00BB2924" w:rsidRDefault="00867290" w:rsidP="005368DC">
      <w:pPr>
        <w:pStyle w:val="Hlistbullet2"/>
        <w:rPr>
          <w:highlight w:val="yellow"/>
        </w:rPr>
      </w:pPr>
      <w:r>
        <w:rPr>
          <w:highlight w:val="yellow"/>
        </w:rPr>
        <w:t>skup aktivnosti NRM-a, zajedničkih i za pojedine programe, kao što je planirano u akcijskom planu NRM-a, služe kao temelj za formuliranje operativnih ciljeva NRM-a, povezanih s ostvarenjima NRM-a.</w:t>
      </w:r>
    </w:p>
    <w:p w:rsidR="00867290" w:rsidRPr="00BB2924" w:rsidRDefault="00867290" w:rsidP="00FC0A30">
      <w:pPr>
        <w:pStyle w:val="HStandard"/>
        <w:rPr>
          <w:highlight w:val="yellow"/>
        </w:rPr>
      </w:pPr>
      <w:r>
        <w:rPr>
          <w:highlight w:val="yellow"/>
        </w:rPr>
        <w:t>Ciljevi NRM-a za pojedine programe trebali bi biti formulirani kao SMART</w:t>
      </w:r>
      <w:r>
        <w:rPr>
          <w:rFonts w:ascii="ZWAdobeF" w:hAnsi="ZWAdobeF"/>
          <w:color w:val="auto"/>
          <w:sz w:val="2"/>
          <w:highlight w:val="yellow"/>
        </w:rPr>
        <w:t>71F</w:t>
      </w:r>
      <w:r>
        <w:rPr>
          <w:rStyle w:val="FootnoteReference"/>
          <w:highlight w:val="yellow"/>
        </w:rPr>
        <w:footnoteReference w:id="72"/>
      </w:r>
      <w:r>
        <w:rPr>
          <w:highlight w:val="yellow"/>
        </w:rPr>
        <w:t xml:space="preserve"> ciljevi i mora se osigurati hijerarhija sveobuhvatnih pojedinih i operativnih ciljeva. </w:t>
      </w:r>
    </w:p>
    <w:p w:rsidR="00867290" w:rsidRPr="00BB2924" w:rsidRDefault="00867290" w:rsidP="00FC0A30">
      <w:pPr>
        <w:pStyle w:val="HStandard"/>
        <w:rPr>
          <w:highlight w:val="yellow"/>
        </w:rPr>
      </w:pPr>
      <w:r>
        <w:rPr>
          <w:highlight w:val="yellow"/>
        </w:rPr>
        <w:t xml:space="preserve">Ciljevi NRM-a za pojedine programe mogu se formulirati u odnosu na ulogu NRM-ova u provedbi politike ruralnog razvoja ili u vezi sa širim aspektima ruralnih mreža na području ljudskog i društvenog kapitala (npr. upravljanje, mijenjanje ponašanja, izgradnja vještina i znanja itd., vidi i </w:t>
      </w:r>
      <w:r>
        <w:rPr>
          <w:highlight w:val="yellow"/>
        </w:rPr>
        <w:fldChar w:fldCharType="begin" w:fldLock="1"/>
      </w:r>
      <w:r>
        <w:rPr>
          <w:highlight w:val="yellow"/>
        </w:rPr>
        <w:instrText xml:space="preserve"> REF _Ref451784562 \r \h  \* MERGEFORMAT </w:instrText>
      </w:r>
      <w:r>
        <w:rPr>
          <w:highlight w:val="yellow"/>
        </w:rPr>
      </w:r>
      <w:r>
        <w:rPr>
          <w:highlight w:val="yellow"/>
        </w:rPr>
        <w:fldChar w:fldCharType="separate"/>
      </w:r>
      <w:r>
        <w:rPr>
          <w:highlight w:val="yellow"/>
        </w:rPr>
        <w:t>Figure 7</w:t>
      </w:r>
      <w:r>
        <w:rPr>
          <w:highlight w:val="yellow"/>
        </w:rPr>
        <w:fldChar w:fldCharType="end"/>
      </w:r>
      <w:r>
        <w:rPr>
          <w:highlight w:val="yellow"/>
        </w:rPr>
        <w:t xml:space="preserve"> u poglavlju 1.4.2.).</w:t>
      </w:r>
    </w:p>
    <w:p w:rsidR="00867290" w:rsidRPr="00BB2924" w:rsidRDefault="00867290" w:rsidP="00FC0A30">
      <w:pPr>
        <w:pStyle w:val="HStandard"/>
        <w:rPr>
          <w:highlight w:val="yellow"/>
        </w:rPr>
      </w:pPr>
      <w:r>
        <w:rPr>
          <w:highlight w:val="yellow"/>
        </w:rPr>
        <w:lastRenderedPageBreak/>
        <w:t>U slučaju (P)NRM-a, ciljevi i aktivnosti za pojedine programe definiraju se tijekom oblikovanja programa. Idealno, ciljeve NRM-a u sklopu PRR-a trebalo bi formulirati na početku djelovanja NRM-a ili poslije, tijekom pripreme za evaluaciju. Međutim može ih se dodatno definirati u pripremi evaluacije ili kad se okolina promijeni i stvori nove potrebe.</w:t>
      </w:r>
    </w:p>
    <w:p w:rsidR="00867290" w:rsidRPr="00BB2924" w:rsidRDefault="00867290" w:rsidP="00C72F66">
      <w:pPr>
        <w:pStyle w:val="Heading6"/>
        <w:rPr>
          <w:highlight w:val="yellow"/>
        </w:rPr>
      </w:pPr>
      <w:r>
        <w:rPr>
          <w:highlight w:val="yellow"/>
        </w:rPr>
        <w:t xml:space="preserve">Definirati očekivana ostvarenja, rezultate i učinke NRM-a </w:t>
      </w:r>
    </w:p>
    <w:p w:rsidR="00867290" w:rsidRPr="00BB2924" w:rsidRDefault="00867290" w:rsidP="00FC0A30">
      <w:pPr>
        <w:pStyle w:val="HStandard"/>
        <w:rPr>
          <w:highlight w:val="yellow"/>
        </w:rPr>
      </w:pPr>
      <w:r>
        <w:rPr>
          <w:highlight w:val="yellow"/>
        </w:rPr>
        <w:t>U skupu aktivnosti NRM-a, zajedničkih i za pojedine programe, od NRM-ova se očekuje da ostvare:</w:t>
      </w:r>
    </w:p>
    <w:p w:rsidR="00867290" w:rsidRPr="00BB2924" w:rsidRDefault="00867290" w:rsidP="00406CAA">
      <w:pPr>
        <w:pStyle w:val="Hlistbullet"/>
        <w:rPr>
          <w:highlight w:val="yellow"/>
        </w:rPr>
      </w:pPr>
      <w:r>
        <w:rPr>
          <w:highlight w:val="yellow"/>
        </w:rPr>
        <w:t xml:space="preserve">ostvarenja (npr. broj obuka, analitičke razmjene, prikupljeni primjeri itd.), </w:t>
      </w:r>
    </w:p>
    <w:p w:rsidR="00867290" w:rsidRPr="00BB2924" w:rsidRDefault="00867290" w:rsidP="00406CAA">
      <w:pPr>
        <w:pStyle w:val="Hlistbullet"/>
        <w:rPr>
          <w:highlight w:val="yellow"/>
        </w:rPr>
      </w:pPr>
      <w:r>
        <w:rPr>
          <w:highlight w:val="yellow"/>
        </w:rPr>
        <w:t xml:space="preserve">rezultate u sklopu skupine članova NRM-a i korisnika programa NRM-a (npr. bolje znanje i vještine u provedbi PRR-a, inovativniji projekti, promijenjeno ponašanje pri donošenju odluka itd.) i </w:t>
      </w:r>
    </w:p>
    <w:p w:rsidR="00867290" w:rsidRPr="00BB2924" w:rsidRDefault="00867290" w:rsidP="00406CAA">
      <w:pPr>
        <w:pStyle w:val="Hlistbullet"/>
        <w:rPr>
          <w:highlight w:val="yellow"/>
        </w:rPr>
      </w:pPr>
      <w:r>
        <w:rPr>
          <w:highlight w:val="yellow"/>
        </w:rPr>
        <w:t xml:space="preserve">učinke u programskom području (npr. bolje upravljanje programom, snažnije umrežavanje itd.). </w:t>
      </w:r>
    </w:p>
    <w:p w:rsidR="00867290" w:rsidRPr="00BB2924" w:rsidRDefault="00867290" w:rsidP="00FC0A30">
      <w:pPr>
        <w:pStyle w:val="HStandard"/>
        <w:rPr>
          <w:highlight w:val="yellow"/>
        </w:rPr>
      </w:pPr>
      <w:r>
        <w:rPr>
          <w:highlight w:val="yellow"/>
        </w:rPr>
        <w:t>Pri konstruiranju intervencijske logike NRM-a mogu se formulirati očekivana ostvarenja, rezultati i učinci:</w:t>
      </w:r>
    </w:p>
    <w:p w:rsidR="00867290" w:rsidRPr="00BB2924" w:rsidRDefault="00867290" w:rsidP="00406CAA">
      <w:pPr>
        <w:pStyle w:val="Hlistbullet"/>
        <w:rPr>
          <w:highlight w:val="yellow"/>
        </w:rPr>
      </w:pPr>
      <w:r>
        <w:rPr>
          <w:highlight w:val="yellow"/>
        </w:rPr>
        <w:t>u horizontalnoj dosljednosti sa zajedničkim ciljevima i ciljevima za pojedine programe NRM-a. Na primjer, očekivani učinci trebali bi voditi do ostvarivanja sveobuhvatnih ciljeva NRM-a. Očekivani rezultati trebali bi biti u skladu s pojedinim ciljevima NRM-a, a očekivana ostvarenja NRM-a ostvaruju se kako bi se ispunili operativni ciljevi;</w:t>
      </w:r>
    </w:p>
    <w:p w:rsidR="00867290" w:rsidRPr="00BB2924" w:rsidRDefault="00867290" w:rsidP="00406CAA">
      <w:pPr>
        <w:pStyle w:val="Hlistbullet"/>
        <w:rPr>
          <w:highlight w:val="yellow"/>
        </w:rPr>
      </w:pPr>
      <w:r>
        <w:rPr>
          <w:highlight w:val="yellow"/>
        </w:rPr>
        <w:t>kod vertikalne dosljednosti, počevši od skupova aktivnosti i napredujući lancem ostvarenje – rezultat – učinak NRM-a. Na primjer, obuke za savjetnike (ostvarenja) pomoći će širenju inovativne prakse među poljoprivrednicima (rezultati) i poticanju inovacija u podnesenim projektima PRR-a (učinci).</w:t>
      </w:r>
    </w:p>
    <w:p w:rsidR="00867290" w:rsidRPr="00BB2924" w:rsidRDefault="00867290" w:rsidP="00C72F66">
      <w:pPr>
        <w:pStyle w:val="Heading6"/>
        <w:rPr>
          <w:highlight w:val="yellow"/>
        </w:rPr>
      </w:pPr>
      <w:r>
        <w:rPr>
          <w:highlight w:val="yellow"/>
        </w:rPr>
        <w:t>Konstruirati intervencijsku logiku NRM-a i provjeriti njezinu vertikalnu i horizontalnu dosljednost</w:t>
      </w:r>
    </w:p>
    <w:p w:rsidR="00867290" w:rsidRPr="00BB2924" w:rsidRDefault="00867290" w:rsidP="00FC0A30">
      <w:pPr>
        <w:pStyle w:val="HStandard"/>
        <w:rPr>
          <w:highlight w:val="yellow"/>
        </w:rPr>
      </w:pPr>
      <w:r>
        <w:rPr>
          <w:highlight w:val="yellow"/>
        </w:rPr>
        <w:t xml:space="preserve">Kako je već rečeno, zajednički ciljevi (koji pretpostavljaju i očekivane učinke), aktivnosti i ostvarenja nadopunjavaju se ciljevima i aktivnostima NRM-a za pojedine programe te očekivanim ostvarenjima, rezultatima i učincima. </w:t>
      </w:r>
    </w:p>
    <w:p w:rsidR="00867290" w:rsidRPr="00BB2924" w:rsidRDefault="00867290" w:rsidP="00FC0A30">
      <w:pPr>
        <w:pStyle w:val="HStandard"/>
        <w:rPr>
          <w:highlight w:val="yellow"/>
        </w:rPr>
      </w:pPr>
      <w:r>
        <w:rPr>
          <w:highlight w:val="yellow"/>
        </w:rPr>
        <w:t xml:space="preserve">Sljedeća slika može pomoći u konstruiranju intervencijske logike NRM-a. Na toj su slici zajednički ciljevi na lijevoj strani, zajedničke aktivnosti u sredini, a očekivana ostvarenja i učinci na desnoj strani. Sa slike je jasno da četiri zajednička cilja nisu dovoljna da izraze sve moguće intervencije NRM-ova, zajednička ostvarenja ne obuhvaćaju sve zajedničke aktivnosti, a zajednički rezultati i učinci nisu definirani. Prema tome, na slici je uvijek ostavljen prostor za ciljeve, aktivnosti, ostvarenja, rezultate i učinke NRM-a za pojedine programe. Na dionicima u državama članicama je da definiraju elemente koji nedostaju u intervencijskoj logici NRM-a i povežu ih u </w:t>
      </w:r>
      <w:r>
        <w:rPr>
          <w:b/>
          <w:highlight w:val="yellow"/>
        </w:rPr>
        <w:t>vertikalnoj</w:t>
      </w:r>
      <w:r>
        <w:rPr>
          <w:highlight w:val="yellow"/>
        </w:rPr>
        <w:t xml:space="preserve"> (između ciljeva i između ostvarenja, rezultata i učinaka) i </w:t>
      </w:r>
      <w:r>
        <w:rPr>
          <w:b/>
          <w:highlight w:val="yellow"/>
        </w:rPr>
        <w:t xml:space="preserve">horizontalnoj </w:t>
      </w:r>
      <w:r>
        <w:rPr>
          <w:highlight w:val="yellow"/>
        </w:rPr>
        <w:t>dosljednosti (između ciljeva i učinaka na svakoj razini hijerarhije intervencijske logike).</w:t>
      </w:r>
    </w:p>
    <w:p w:rsidR="00867290" w:rsidRPr="00BB2924" w:rsidRDefault="00867290">
      <w:pPr>
        <w:spacing w:after="0" w:line="240" w:lineRule="auto"/>
        <w:rPr>
          <w:rFonts w:cs="Arial"/>
          <w:b/>
          <w:color w:val="576C88" w:themeColor="text2" w:themeTint="D9"/>
          <w:sz w:val="16"/>
          <w:szCs w:val="20"/>
          <w:highlight w:val="yellow"/>
        </w:rPr>
      </w:pPr>
      <w:bookmarkStart w:id="115" w:name="_Toc445465128"/>
      <w:bookmarkStart w:id="116" w:name="_Ref435791996"/>
      <w:r>
        <w:br w:type="page"/>
      </w:r>
    </w:p>
    <w:p w:rsidR="00867290" w:rsidRPr="00BB2924" w:rsidRDefault="00867290" w:rsidP="006F6D66">
      <w:pPr>
        <w:pStyle w:val="HHeadingfigures"/>
        <w:numPr>
          <w:ilvl w:val="0"/>
          <w:numId w:val="0"/>
        </w:numPr>
        <w:rPr>
          <w:highlight w:val="yellow"/>
        </w:rPr>
      </w:pPr>
      <w:bookmarkStart w:id="117" w:name="_Toc451781931"/>
      <w:bookmarkStart w:id="118" w:name="_Ref451784531"/>
      <w:bookmarkStart w:id="119" w:name="_Ref451784607"/>
      <w:bookmarkStart w:id="120" w:name="_Toc461713658"/>
      <w:r>
        <w:rPr>
          <w:highlight w:val="yellow"/>
        </w:rPr>
        <w:lastRenderedPageBreak/>
        <w:t>Slika 12. Povezivanje zajedničkih ciljeva i ciljeva NRM-a za pojedine programe, skupove aktivnosti te očekivana ostvarenja, rezultate i učinke NRM-a</w:t>
      </w:r>
      <w:bookmarkEnd w:id="115"/>
      <w:bookmarkEnd w:id="117"/>
      <w:bookmarkEnd w:id="118"/>
      <w:bookmarkEnd w:id="119"/>
      <w:bookmarkEnd w:id="120"/>
    </w:p>
    <w:bookmarkEnd w:id="116"/>
    <w:p w:rsidR="00867290" w:rsidRPr="00BB2924" w:rsidRDefault="00867290" w:rsidP="00FC0A30">
      <w:pPr>
        <w:pStyle w:val="HStandard"/>
        <w:rPr>
          <w:highlight w:val="yellow"/>
        </w:rPr>
      </w:pPr>
      <w:r>
        <w:rPr>
          <w:noProof/>
          <w:highlight w:val="yellow"/>
          <w:lang w:val="en-GB" w:eastAsia="en-GB" w:bidi="ar-SA"/>
        </w:rPr>
        <w:drawing>
          <wp:inline distT="0" distB="0" distL="0" distR="0" wp14:anchorId="2ED97F38" wp14:editId="68F2472E">
            <wp:extent cx="5678261" cy="32861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83906" cy="3289392"/>
                    </a:xfrm>
                    <a:prstGeom prst="rect">
                      <a:avLst/>
                    </a:prstGeom>
                    <a:noFill/>
                  </pic:spPr>
                </pic:pic>
              </a:graphicData>
            </a:graphic>
          </wp:inline>
        </w:drawing>
      </w:r>
    </w:p>
    <w:p w:rsidR="00867290" w:rsidRPr="00BB2924" w:rsidRDefault="00867290" w:rsidP="00FC0A30">
      <w:pPr>
        <w:pStyle w:val="HSource"/>
        <w:rPr>
          <w:highlight w:val="yellow"/>
        </w:rPr>
      </w:pPr>
      <w:r>
        <w:rPr>
          <w:highlight w:val="yellow"/>
        </w:rPr>
        <w:t>Izvor: Europski centar za pomoć pri evaluaciji za ruralni razvoj, 2016.</w:t>
      </w:r>
    </w:p>
    <w:p w:rsidR="00867290" w:rsidRPr="00BB2924" w:rsidRDefault="00867290" w:rsidP="00FC0A30">
      <w:pPr>
        <w:pStyle w:val="HStandard"/>
        <w:rPr>
          <w:highlight w:val="yellow"/>
        </w:rPr>
      </w:pPr>
      <w:r>
        <w:rPr>
          <w:highlight w:val="yellow"/>
        </w:rPr>
        <w:t xml:space="preserve">Drugi koristan alat koji se može upotrebljavati pri izgradnji intervencijske logike jest format tablice (vidi </w:t>
      </w:r>
      <w:r>
        <w:rPr>
          <w:highlight w:val="yellow"/>
        </w:rPr>
        <w:fldChar w:fldCharType="begin" w:fldLock="1"/>
      </w:r>
      <w:r>
        <w:rPr>
          <w:highlight w:val="yellow"/>
        </w:rPr>
        <w:instrText xml:space="preserve"> REF _Ref451784947 \r \h  \* MERGEFORMAT </w:instrText>
      </w:r>
      <w:r>
        <w:rPr>
          <w:highlight w:val="yellow"/>
        </w:rPr>
      </w:r>
      <w:r>
        <w:rPr>
          <w:highlight w:val="yellow"/>
        </w:rPr>
        <w:fldChar w:fldCharType="separate"/>
      </w:r>
      <w:r>
        <w:rPr>
          <w:highlight w:val="yellow"/>
        </w:rPr>
        <w:t>Table 5</w:t>
      </w:r>
      <w:r>
        <w:rPr>
          <w:highlight w:val="yellow"/>
        </w:rPr>
        <w:fldChar w:fldCharType="end"/>
      </w:r>
      <w:r>
        <w:rPr>
          <w:highlight w:val="yellow"/>
        </w:rPr>
        <w:t>), što omogućava kreiranje hijerarhije ciljeva i očekivanih učinaka u vertikalnoj i horizontalnoj dosljednosti. On pomaže izoštriti logiku i pronaći praznine u utvrđivanju ciljeva. U ovom su primjeru sveobuhvatni i pojedini ciljevi NRM-a konstruirani iz općih ciljeva i ciljeva za pojedine programe. Kombinacija ovisi o kontekstu i potrebama pojedinog područja koje je u pitanju.</w:t>
      </w:r>
    </w:p>
    <w:p w:rsidR="00867290" w:rsidRPr="00BB2924" w:rsidRDefault="00867290" w:rsidP="006F6D66">
      <w:pPr>
        <w:pStyle w:val="HHeadingtables"/>
        <w:numPr>
          <w:ilvl w:val="0"/>
          <w:numId w:val="0"/>
        </w:numPr>
        <w:rPr>
          <w:highlight w:val="yellow"/>
        </w:rPr>
      </w:pPr>
      <w:bookmarkStart w:id="121" w:name="_Toc436383147"/>
      <w:bookmarkStart w:id="122" w:name="_Toc451781909"/>
      <w:bookmarkStart w:id="123" w:name="_Ref451784947"/>
      <w:bookmarkStart w:id="124" w:name="_Toc461713641"/>
      <w:r>
        <w:rPr>
          <w:highlight w:val="yellow"/>
        </w:rPr>
        <w:t>Tablica 5. Hijerarhija ciljeva</w:t>
      </w:r>
      <w:bookmarkEnd w:id="121"/>
      <w:r>
        <w:rPr>
          <w:highlight w:val="yellow"/>
        </w:rPr>
        <w:t xml:space="preserve"> i očekivanih učinaka NRM-a</w:t>
      </w:r>
      <w:bookmarkEnd w:id="122"/>
      <w:bookmarkEnd w:id="123"/>
      <w:bookmarkEnd w:id="124"/>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6516"/>
        <w:gridCol w:w="2500"/>
      </w:tblGrid>
      <w:tr w:rsidR="00867290" w:rsidRPr="00BB2924" w:rsidTr="00D322AA">
        <w:tc>
          <w:tcPr>
            <w:tcW w:w="6516" w:type="dxa"/>
            <w:shd w:val="clear" w:color="auto" w:fill="F5F4F4" w:themeFill="background2" w:themeFillTint="66"/>
          </w:tcPr>
          <w:p w:rsidR="00867290" w:rsidRPr="00BB2924" w:rsidRDefault="00867290" w:rsidP="00FC0A30">
            <w:pPr>
              <w:pStyle w:val="Htableleft"/>
              <w:spacing w:before="20" w:after="20"/>
              <w:rPr>
                <w:b/>
                <w:color w:val="576C88" w:themeColor="text2" w:themeTint="D9"/>
                <w:highlight w:val="yellow"/>
              </w:rPr>
            </w:pPr>
            <w:r>
              <w:rPr>
                <w:b/>
                <w:color w:val="576C88" w:themeColor="text2" w:themeTint="D9"/>
                <w:highlight w:val="yellow"/>
              </w:rPr>
              <w:t>Sveobuhvatni ciljevi NRM-a</w:t>
            </w: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t>iz članka 54. Uredbe (EU) br. 1305/2015:</w:t>
            </w:r>
          </w:p>
          <w:p w:rsidR="00867290" w:rsidRPr="00BB2924" w:rsidRDefault="00867290" w:rsidP="00867290">
            <w:pPr>
              <w:pStyle w:val="Htablebullet"/>
              <w:spacing w:before="20" w:after="20"/>
              <w:rPr>
                <w:color w:val="576C88" w:themeColor="text2" w:themeTint="D9"/>
                <w:highlight w:val="yellow"/>
              </w:rPr>
            </w:pPr>
            <w:r>
              <w:rPr>
                <w:color w:val="576C88" w:themeColor="text2" w:themeTint="D9"/>
                <w:highlight w:val="yellow"/>
              </w:rPr>
              <w:t>povećati sudjelovanje dionika u provedbi ruralnog razvoja;</w:t>
            </w:r>
          </w:p>
          <w:p w:rsidR="00867290" w:rsidRPr="00BB2924" w:rsidRDefault="00867290" w:rsidP="00867290">
            <w:pPr>
              <w:pStyle w:val="Htablebullet"/>
              <w:spacing w:before="20" w:after="20"/>
              <w:rPr>
                <w:color w:val="576C88" w:themeColor="text2" w:themeTint="D9"/>
                <w:highlight w:val="yellow"/>
              </w:rPr>
            </w:pPr>
            <w:r>
              <w:rPr>
                <w:color w:val="576C88" w:themeColor="text2" w:themeTint="D9"/>
                <w:highlight w:val="yellow"/>
              </w:rPr>
              <w:t>poboljšati kvalitetu provedbe programa ruralnog razvoja;</w:t>
            </w:r>
          </w:p>
          <w:p w:rsidR="00867290" w:rsidRPr="00BB2924" w:rsidRDefault="00867290" w:rsidP="00867290">
            <w:pPr>
              <w:pStyle w:val="Htablebullet"/>
              <w:spacing w:before="20" w:after="20"/>
              <w:rPr>
                <w:color w:val="576C88" w:themeColor="text2" w:themeTint="D9"/>
                <w:highlight w:val="yellow"/>
              </w:rPr>
            </w:pPr>
            <w:r>
              <w:rPr>
                <w:color w:val="576C88" w:themeColor="text2" w:themeTint="D9"/>
                <w:highlight w:val="yellow"/>
              </w:rPr>
              <w:t>obavještavati širu javnost i potencijalne korisnike o politici ruralnog razvoja i mogućnostima financiranja;</w:t>
            </w:r>
          </w:p>
          <w:p w:rsidR="00867290" w:rsidRPr="00BB2924" w:rsidRDefault="00867290" w:rsidP="00867290">
            <w:pPr>
              <w:pStyle w:val="Htablebullet"/>
              <w:spacing w:before="20" w:after="20"/>
              <w:rPr>
                <w:color w:val="576C88" w:themeColor="text2" w:themeTint="D9"/>
                <w:highlight w:val="yellow"/>
              </w:rPr>
            </w:pPr>
            <w:r>
              <w:rPr>
                <w:color w:val="576C88" w:themeColor="text2" w:themeTint="D9"/>
                <w:highlight w:val="yellow"/>
              </w:rPr>
              <w:t>poticati inovacije u poljoprivredi, proizvodnji hrane i šumarstvu u ruralnim područjima.</w:t>
            </w:r>
          </w:p>
          <w:p w:rsidR="00867290" w:rsidRPr="00BB2924" w:rsidRDefault="00867290" w:rsidP="00FC0A30">
            <w:pPr>
              <w:pStyle w:val="Htableleft"/>
              <w:spacing w:before="20" w:after="20"/>
              <w:rPr>
                <w:color w:val="576C88" w:themeColor="text2" w:themeTint="D9"/>
                <w:highlight w:val="yellow"/>
              </w:rPr>
            </w:pPr>
          </w:p>
          <w:p w:rsidR="00867290" w:rsidRPr="00BB2924" w:rsidRDefault="00867290" w:rsidP="00CD2BC2">
            <w:pPr>
              <w:pStyle w:val="Htableleft"/>
              <w:spacing w:before="20" w:after="20"/>
              <w:rPr>
                <w:color w:val="576C88" w:themeColor="text2" w:themeTint="D9"/>
                <w:highlight w:val="yellow"/>
              </w:rPr>
            </w:pPr>
            <w:r>
              <w:rPr>
                <w:color w:val="576C88" w:themeColor="text2" w:themeTint="D9"/>
                <w:highlight w:val="yellow"/>
              </w:rPr>
              <w:t>mogu uključivati sveobuhvatne ciljeve NRM-a za pojedine programe, izražavajući promjene prouzročene aktivnostima NRM-a na razini područja PRR-a (npr. sveobuhvatno umrežavanje u ruralnim područjima, izgradnja društvenog kapitala)</w:t>
            </w:r>
          </w:p>
        </w:tc>
        <w:tc>
          <w:tcPr>
            <w:tcW w:w="2500" w:type="dxa"/>
            <w:shd w:val="clear" w:color="auto" w:fill="F5F4F4" w:themeFill="background2" w:themeFillTint="66"/>
          </w:tcPr>
          <w:p w:rsidR="00867290" w:rsidRPr="00BB2924" w:rsidRDefault="00867290" w:rsidP="00FC0A30">
            <w:pPr>
              <w:pStyle w:val="Htableleft"/>
              <w:spacing w:before="20" w:after="20"/>
              <w:rPr>
                <w:b/>
                <w:color w:val="576C88" w:themeColor="text2" w:themeTint="D9"/>
                <w:highlight w:val="yellow"/>
              </w:rPr>
            </w:pPr>
            <w:r>
              <w:rPr>
                <w:b/>
                <w:color w:val="576C88" w:themeColor="text2" w:themeTint="D9"/>
                <w:highlight w:val="yellow"/>
              </w:rPr>
              <w:t>Očekivani učinci</w:t>
            </w: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t xml:space="preserve">koji se odnose na sveobuhvatne (zajedničke i za pojedine programe) ciljeve koji se odnose na NRM; </w:t>
            </w:r>
          </w:p>
          <w:p w:rsidR="00867290" w:rsidRPr="00BB2924" w:rsidRDefault="00867290" w:rsidP="00FC0A30">
            <w:pPr>
              <w:pStyle w:val="Htableleft"/>
              <w:spacing w:before="20" w:after="20"/>
              <w:rPr>
                <w:color w:val="576C88" w:themeColor="text2" w:themeTint="D9"/>
                <w:highlight w:val="yellow"/>
              </w:rPr>
            </w:pPr>
          </w:p>
        </w:tc>
      </w:tr>
      <w:tr w:rsidR="00867290" w:rsidRPr="00BB2924" w:rsidTr="00D322AA">
        <w:tc>
          <w:tcPr>
            <w:tcW w:w="6516" w:type="dxa"/>
            <w:shd w:val="clear" w:color="auto" w:fill="F5F4F4" w:themeFill="background2" w:themeFillTint="66"/>
          </w:tcPr>
          <w:p w:rsidR="00867290" w:rsidRPr="00BB2924" w:rsidRDefault="00867290" w:rsidP="00FC0A30">
            <w:pPr>
              <w:pStyle w:val="Htableleft"/>
              <w:spacing w:before="20" w:after="20"/>
              <w:rPr>
                <w:b/>
                <w:color w:val="576C88" w:themeColor="text2" w:themeTint="D9"/>
                <w:highlight w:val="yellow"/>
              </w:rPr>
            </w:pPr>
            <w:r>
              <w:rPr>
                <w:b/>
                <w:color w:val="576C88" w:themeColor="text2" w:themeTint="D9"/>
                <w:highlight w:val="yellow"/>
              </w:rPr>
              <w:t>Pojedini ciljevi NRM-a</w:t>
            </w: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t>mogu uključivati ciljeve NRM-a za pojedine programe, izražavajući promjene unutar skupine korisnika NRM-a (npr. ojačati umrežavanje među korisnicima);</w:t>
            </w:r>
          </w:p>
          <w:p w:rsidR="00867290" w:rsidRPr="00BB2924" w:rsidRDefault="00867290" w:rsidP="00FC0A30">
            <w:pPr>
              <w:pStyle w:val="Htableleft"/>
              <w:spacing w:before="20" w:after="20"/>
              <w:rPr>
                <w:color w:val="576C88" w:themeColor="text2" w:themeTint="D9"/>
                <w:highlight w:val="yellow"/>
              </w:rPr>
            </w:pP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t>mogu uključivati i raščlanjene ciljeve kako je navedeno u članku 54. Uredbe (EU) br. 1305/2015.</w:t>
            </w:r>
          </w:p>
        </w:tc>
        <w:tc>
          <w:tcPr>
            <w:tcW w:w="2500" w:type="dxa"/>
            <w:shd w:val="clear" w:color="auto" w:fill="F5F4F4" w:themeFill="background2" w:themeFillTint="66"/>
          </w:tcPr>
          <w:p w:rsidR="00867290" w:rsidRPr="00BB2924" w:rsidRDefault="00867290" w:rsidP="00FC0A30">
            <w:pPr>
              <w:pStyle w:val="Htableleft"/>
              <w:spacing w:before="20" w:after="20"/>
              <w:rPr>
                <w:b/>
                <w:color w:val="576C88" w:themeColor="text2" w:themeTint="D9"/>
                <w:highlight w:val="yellow"/>
              </w:rPr>
            </w:pPr>
            <w:r>
              <w:rPr>
                <w:b/>
                <w:color w:val="576C88" w:themeColor="text2" w:themeTint="D9"/>
                <w:highlight w:val="yellow"/>
              </w:rPr>
              <w:t xml:space="preserve">Očekivani rezultati </w:t>
            </w: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t xml:space="preserve">koji se odnose na pojedine (zajedničke i za pojedine programe) ciljeve koji se odnose na NRM. </w:t>
            </w:r>
          </w:p>
          <w:p w:rsidR="00867290" w:rsidRPr="00BB2924" w:rsidRDefault="00867290" w:rsidP="00FC0A30">
            <w:pPr>
              <w:pStyle w:val="Htableleft"/>
              <w:spacing w:before="20" w:after="20"/>
              <w:rPr>
                <w:color w:val="576C88" w:themeColor="text2" w:themeTint="D9"/>
                <w:highlight w:val="yellow"/>
              </w:rPr>
            </w:pPr>
          </w:p>
        </w:tc>
      </w:tr>
      <w:tr w:rsidR="00867290" w:rsidRPr="00BB2924" w:rsidTr="00D322AA">
        <w:tc>
          <w:tcPr>
            <w:tcW w:w="6516" w:type="dxa"/>
            <w:shd w:val="clear" w:color="auto" w:fill="F5F4F4" w:themeFill="background2" w:themeFillTint="66"/>
          </w:tcPr>
          <w:p w:rsidR="00867290" w:rsidRPr="00BB2924" w:rsidRDefault="00867290" w:rsidP="00FC0A30">
            <w:pPr>
              <w:pStyle w:val="Htableleft"/>
              <w:spacing w:before="20" w:after="20"/>
              <w:rPr>
                <w:b/>
                <w:color w:val="576C88" w:themeColor="text2" w:themeTint="D9"/>
                <w:highlight w:val="yellow"/>
              </w:rPr>
            </w:pPr>
            <w:r>
              <w:rPr>
                <w:b/>
                <w:color w:val="576C88" w:themeColor="text2" w:themeTint="D9"/>
                <w:highlight w:val="yellow"/>
              </w:rPr>
              <w:t>Operativni ciljevi</w:t>
            </w:r>
          </w:p>
          <w:p w:rsidR="00867290" w:rsidRPr="00BB2924" w:rsidRDefault="00867290" w:rsidP="00C72F66">
            <w:pPr>
              <w:pStyle w:val="Htableleft"/>
              <w:spacing w:before="20" w:after="20"/>
              <w:rPr>
                <w:color w:val="576C88" w:themeColor="text2" w:themeTint="D9"/>
                <w:highlight w:val="yellow"/>
              </w:rPr>
            </w:pPr>
            <w:r>
              <w:rPr>
                <w:color w:val="576C88" w:themeColor="text2" w:themeTint="D9"/>
                <w:highlight w:val="yellow"/>
              </w:rPr>
              <w:t>povezani s aktivnostima planiranima u Akcijskom planu</w:t>
            </w:r>
          </w:p>
        </w:tc>
        <w:tc>
          <w:tcPr>
            <w:tcW w:w="2500" w:type="dxa"/>
            <w:shd w:val="clear" w:color="auto" w:fill="F5F4F4" w:themeFill="background2" w:themeFillTint="66"/>
          </w:tcPr>
          <w:p w:rsidR="00867290" w:rsidRPr="00BB2924" w:rsidRDefault="00867290" w:rsidP="00FC0A30">
            <w:pPr>
              <w:pStyle w:val="Htableleft"/>
              <w:spacing w:before="20" w:after="20"/>
              <w:rPr>
                <w:b/>
                <w:color w:val="576C88" w:themeColor="text2" w:themeTint="D9"/>
                <w:highlight w:val="yellow"/>
              </w:rPr>
            </w:pPr>
            <w:r>
              <w:rPr>
                <w:b/>
                <w:color w:val="576C88" w:themeColor="text2" w:themeTint="D9"/>
                <w:highlight w:val="yellow"/>
              </w:rPr>
              <w:t>Očekivana ostvarenja</w:t>
            </w: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t xml:space="preserve">zajednička, kao što je navedeno u Prilogu IV. Provedbenoj uredbi Komisije br. 808/2014, </w:t>
            </w: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lastRenderedPageBreak/>
              <w:t>broj tematskih i analitičkih razmjena utvrđenih s pomoću NRM-a (O.24)</w:t>
            </w: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t>broj komunikacijskih alata nacionalnih ruralnih mreža (O.25)</w:t>
            </w: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t xml:space="preserve">broj EMRR-ovih aktivnosti u kojima je nacionalna ruralna mreža sudjelovala (O.26) </w:t>
            </w:r>
          </w:p>
          <w:p w:rsidR="00867290" w:rsidRPr="00BB2924" w:rsidRDefault="00867290" w:rsidP="00FC0A30">
            <w:pPr>
              <w:pStyle w:val="Htableleft"/>
              <w:spacing w:before="20" w:after="20"/>
              <w:rPr>
                <w:color w:val="576C88" w:themeColor="text2" w:themeTint="D9"/>
                <w:highlight w:val="yellow"/>
              </w:rPr>
            </w:pPr>
          </w:p>
          <w:p w:rsidR="00867290" w:rsidRPr="00BB2924" w:rsidRDefault="00867290" w:rsidP="00FC0A30">
            <w:pPr>
              <w:pStyle w:val="Htableleft"/>
              <w:spacing w:before="20" w:after="20"/>
              <w:rPr>
                <w:color w:val="576C88" w:themeColor="text2" w:themeTint="D9"/>
                <w:highlight w:val="yellow"/>
              </w:rPr>
            </w:pPr>
            <w:r>
              <w:rPr>
                <w:color w:val="576C88" w:themeColor="text2" w:themeTint="D9"/>
                <w:highlight w:val="yellow"/>
              </w:rPr>
              <w:t xml:space="preserve">posebna za pojedini program, odnosi se na aktivnosti NRM-a za pojedine programe </w:t>
            </w:r>
          </w:p>
        </w:tc>
      </w:tr>
    </w:tbl>
    <w:p w:rsidR="00867290" w:rsidRPr="00BB2924" w:rsidRDefault="00867290" w:rsidP="00FC0A30">
      <w:pPr>
        <w:pStyle w:val="HStandard"/>
        <w:rPr>
          <w:highlight w:val="yellow"/>
        </w:rPr>
      </w:pPr>
      <w:r>
        <w:rPr>
          <w:highlight w:val="yellow"/>
        </w:rPr>
        <w:lastRenderedPageBreak/>
        <w:t xml:space="preserve">Nakon što je konstruirana intervencijska logika NRM-a, važno je provjeriti njezinu unutarnju (vertikalnu i horizontalnu) dosljednost. </w:t>
      </w:r>
    </w:p>
    <w:p w:rsidR="00867290" w:rsidRPr="00BB2924" w:rsidRDefault="00867290" w:rsidP="00FC0A30">
      <w:pPr>
        <w:pStyle w:val="HStandard"/>
        <w:rPr>
          <w:highlight w:val="yellow"/>
        </w:rPr>
      </w:pPr>
      <w:r>
        <w:rPr>
          <w:b/>
          <w:highlight w:val="yellow"/>
        </w:rPr>
        <w:t>Provjera horizontalne dosljednosti</w:t>
      </w:r>
      <w:r>
        <w:rPr>
          <w:highlight w:val="yellow"/>
        </w:rPr>
        <w:t xml:space="preserve"> provodi se analizirajući odgovaraju li očekivani učinci na svakoj razini (ostvarenja, rezultati, učinci) ciljevima postavljenima na odgovarajućim razinama (operativni, pojedini, sveobuhvatni ciljevi) i ima li proturječja ili nepoklapanja između ciljeva i očekivanih učinaka postavljenih na svakoj razini. U slučaju PNRM-a rizik od proturječnih ciljeva bit će prilično ograničen. Kao i za NRM-ove unutar PRR-a, ciljevi bi trebali biti usklađeni s onima PRR-a kao cjeline. Proturječja se mogu ponekad pojaviti, ali evaluatori će češće naći nedosljednosti poput udvostručenja ili praznina u odnosu na druge mjere, osobito za prioritet 1.</w:t>
      </w:r>
    </w:p>
    <w:p w:rsidR="00867290" w:rsidRPr="00BB2924" w:rsidRDefault="00867290" w:rsidP="00FC0A30">
      <w:pPr>
        <w:pStyle w:val="HStandard"/>
        <w:rPr>
          <w:highlight w:val="yellow"/>
        </w:rPr>
      </w:pPr>
      <w:r>
        <w:rPr>
          <w:b/>
          <w:highlight w:val="yellow"/>
        </w:rPr>
        <w:t>Vertikalna provjera dosljednosti</w:t>
      </w:r>
      <w:r>
        <w:rPr>
          <w:highlight w:val="yellow"/>
        </w:rPr>
        <w:t xml:space="preserve"> provodi se analizirajući hijerarhiju ciljeva / očekivanih učinaka NRM-a, </w:t>
      </w:r>
    </w:p>
    <w:p w:rsidR="00867290" w:rsidRPr="00BB2924" w:rsidRDefault="00867290" w:rsidP="00C72F66">
      <w:pPr>
        <w:pStyle w:val="Hlistbullet"/>
        <w:rPr>
          <w:highlight w:val="yellow"/>
        </w:rPr>
      </w:pPr>
      <w:r>
        <w:rPr>
          <w:highlight w:val="yellow"/>
        </w:rPr>
        <w:t>prvo, pitajući jesu li pretpostavke koje upravljaju ovim logičkim okvirom plauzibilne (npr. „zašto ili na osnovi koje bi pretpostavke obuka dionika trebala dovesti do promjena u njihovoj praksi?”);</w:t>
      </w:r>
    </w:p>
    <w:p w:rsidR="00867290" w:rsidRPr="00BB2924" w:rsidRDefault="00867290" w:rsidP="000610EA">
      <w:pPr>
        <w:pStyle w:val="Hlistbullet"/>
        <w:rPr>
          <w:b/>
          <w:highlight w:val="yellow"/>
        </w:rPr>
      </w:pPr>
      <w:r>
        <w:rPr>
          <w:highlight w:val="yellow"/>
        </w:rPr>
        <w:t xml:space="preserve">drugo, ispitujući hoće li odabrane aktivnosti i proračunska davanja za svaki skup aktivnosti imati očekivane učinke. </w:t>
      </w:r>
    </w:p>
    <w:p w:rsidR="00867290" w:rsidRPr="00BB2924" w:rsidRDefault="00867290" w:rsidP="00C72F66">
      <w:pPr>
        <w:pStyle w:val="Heading6"/>
        <w:rPr>
          <w:highlight w:val="yellow"/>
        </w:rPr>
      </w:pPr>
      <w:r>
        <w:rPr>
          <w:highlight w:val="yellow"/>
        </w:rPr>
        <w:t>Posebnosti osmišljavanja intervencijske logike NRM-a i PNRM-a</w:t>
      </w:r>
    </w:p>
    <w:p w:rsidR="00867290" w:rsidRPr="00BB2924" w:rsidRDefault="00867290" w:rsidP="00FC0A30">
      <w:pPr>
        <w:pStyle w:val="HStandard"/>
        <w:rPr>
          <w:highlight w:val="yellow"/>
        </w:rPr>
      </w:pPr>
      <w:r>
        <w:rPr>
          <w:highlight w:val="yellow"/>
        </w:rPr>
        <w:t>Postoje razlike u konstruiranju intervencijske logike između PNRM-a i NRM-a unutar PRR-a.</w:t>
      </w:r>
    </w:p>
    <w:p w:rsidR="00867290" w:rsidRPr="00BB2924" w:rsidRDefault="00867290" w:rsidP="00FC0A30">
      <w:pPr>
        <w:pStyle w:val="HStandard"/>
        <w:rPr>
          <w:highlight w:val="yellow"/>
        </w:rPr>
      </w:pPr>
      <w:r>
        <w:rPr>
          <w:highlight w:val="yellow"/>
        </w:rPr>
        <w:t xml:space="preserve">NRM planiran unutar PRR-a podupire samo jedan program povezan s određenim teritorijem (obično jednom državom članicom ili, u slučaju UK-a, jednom regijom) i njezinim potrebama, uključujući one koje se mogu rješavati NRM-om. No PNRM se obično oblikuje i provodi u višeregionalnim državama članicama i podupire nekoliko regionalnih PRR-ova. Regionalni PRR-ovi mogu sadržavati ciljeve za pojedine programe, koji se mogu međusobno razlikovati. U tom se slučaju od PNRM-a može očekivati da ostvaruje širi razmjer rezultata i učinaka. Tako bi sveobuhvatni i pojedini ciljevi PNRM-a trebali biti širi. </w:t>
      </w:r>
    </w:p>
    <w:p w:rsidR="00867290" w:rsidRPr="00BB2924" w:rsidRDefault="00867290" w:rsidP="00C72F66">
      <w:pPr>
        <w:pStyle w:val="Heading6"/>
        <w:rPr>
          <w:highlight w:val="yellow"/>
        </w:rPr>
      </w:pPr>
      <w:r>
        <w:rPr>
          <w:highlight w:val="yellow"/>
        </w:rPr>
        <w:t xml:space="preserve">Kako konstruirati intervencijsku logiku NRM-a ako je u PRR-u samo akcijski plan NRM-a? </w:t>
      </w:r>
    </w:p>
    <w:p w:rsidR="00867290" w:rsidRPr="00BB2924" w:rsidRDefault="00867290" w:rsidP="00FC0A30">
      <w:pPr>
        <w:pStyle w:val="HStandard"/>
        <w:rPr>
          <w:highlight w:val="yellow"/>
        </w:rPr>
      </w:pPr>
      <w:r>
        <w:rPr>
          <w:highlight w:val="yellow"/>
        </w:rPr>
        <w:t>Kako je već spomenuto, intervencijska logika NRM-a često se ne utvrđuje prije početka njegove provedbe. Umjesto toga postoji samo akcijski plan NRM-a. U takvom su slučaju akcijski plan i četiri zajednička cilja početna točka u konstrukciji intervencijske logike NRM-a. Intervencijska logika može se konstruirati sljedećim koracima:</w:t>
      </w:r>
    </w:p>
    <w:p w:rsidR="00867290" w:rsidRPr="00BB2924" w:rsidRDefault="00867290" w:rsidP="00C72F66">
      <w:pPr>
        <w:pStyle w:val="Hlistbullet"/>
        <w:rPr>
          <w:highlight w:val="yellow"/>
        </w:rPr>
      </w:pPr>
      <w:r>
        <w:rPr>
          <w:highlight w:val="yellow"/>
        </w:rPr>
        <w:t xml:space="preserve">identificirati </w:t>
      </w:r>
      <w:r>
        <w:rPr>
          <w:b/>
          <w:highlight w:val="yellow"/>
        </w:rPr>
        <w:t>sve skupove aktivnosti</w:t>
      </w:r>
      <w:r>
        <w:rPr>
          <w:highlight w:val="yellow"/>
        </w:rPr>
        <w:t xml:space="preserve"> (zajedničke i za pojedine programe) uključene u akcijski plan NRM-a; </w:t>
      </w:r>
    </w:p>
    <w:p w:rsidR="00867290" w:rsidRPr="00BB2924" w:rsidRDefault="00867290" w:rsidP="00C72F66">
      <w:pPr>
        <w:pStyle w:val="Hlistbullet"/>
        <w:rPr>
          <w:highlight w:val="yellow"/>
        </w:rPr>
      </w:pPr>
      <w:r>
        <w:rPr>
          <w:highlight w:val="yellow"/>
        </w:rPr>
        <w:t xml:space="preserve">definirati sve moguća </w:t>
      </w:r>
      <w:r>
        <w:rPr>
          <w:b/>
          <w:highlight w:val="yellow"/>
        </w:rPr>
        <w:t>očekivana ostvarenja</w:t>
      </w:r>
      <w:r>
        <w:rPr>
          <w:highlight w:val="yellow"/>
        </w:rPr>
        <w:t xml:space="preserve"> aktivnosti u svakom skupu aktivnosti i formulirati </w:t>
      </w:r>
      <w:r>
        <w:rPr>
          <w:b/>
          <w:highlight w:val="yellow"/>
        </w:rPr>
        <w:t>operativne ciljeve NRM-a</w:t>
      </w:r>
      <w:r>
        <w:rPr>
          <w:highlight w:val="yellow"/>
        </w:rPr>
        <w:t>, povezane s očekivanim ostvarenjima;</w:t>
      </w:r>
    </w:p>
    <w:p w:rsidR="00867290" w:rsidRPr="00BB2924" w:rsidRDefault="00867290" w:rsidP="00C72F66">
      <w:pPr>
        <w:pStyle w:val="Hlistbullet"/>
        <w:rPr>
          <w:highlight w:val="yellow"/>
        </w:rPr>
      </w:pPr>
      <w:r>
        <w:rPr>
          <w:highlight w:val="yellow"/>
        </w:rPr>
        <w:lastRenderedPageBreak/>
        <w:t xml:space="preserve">definirati </w:t>
      </w:r>
      <w:r>
        <w:rPr>
          <w:b/>
          <w:highlight w:val="yellow"/>
        </w:rPr>
        <w:t>očekivane rezultate i učinke</w:t>
      </w:r>
      <w:r>
        <w:rPr>
          <w:highlight w:val="yellow"/>
        </w:rPr>
        <w:t xml:space="preserve">, čija se ostvarenja mogu proizvesti u lancu ostvarenje – rezultat – učinak (vidi i primjere lanca ostvarenje – rezultat – učinak za zajedničke skupove aktivnosti u </w:t>
      </w:r>
      <w:r>
        <w:rPr>
          <w:b/>
          <w:color w:val="E7E6E6" w:themeColor="background2"/>
          <w:highlight w:val="yellow"/>
        </w:rPr>
        <w:t>DIJELU III.</w:t>
      </w:r>
      <w:r>
        <w:rPr>
          <w:highlight w:val="yellow"/>
        </w:rPr>
        <w:t xml:space="preserve"> smjernica); </w:t>
      </w:r>
    </w:p>
    <w:p w:rsidR="00867290" w:rsidRPr="00BB2924" w:rsidRDefault="00867290" w:rsidP="00C72F66">
      <w:pPr>
        <w:pStyle w:val="Hlistbullet"/>
        <w:rPr>
          <w:highlight w:val="yellow"/>
        </w:rPr>
      </w:pPr>
      <w:r>
        <w:rPr>
          <w:highlight w:val="yellow"/>
        </w:rPr>
        <w:t xml:space="preserve">formulirati pojedine ciljeve </w:t>
      </w:r>
      <w:r>
        <w:rPr>
          <w:b/>
          <w:highlight w:val="yellow"/>
        </w:rPr>
        <w:t>NRM-a za pojedine programe</w:t>
      </w:r>
      <w:r>
        <w:rPr>
          <w:highlight w:val="yellow"/>
        </w:rPr>
        <w:t xml:space="preserve"> povezane s očekivanim rezultatima; </w:t>
      </w:r>
    </w:p>
    <w:p w:rsidR="00867290" w:rsidRPr="00BB2924" w:rsidRDefault="00867290" w:rsidP="00C72F66">
      <w:pPr>
        <w:pStyle w:val="Hlistbullet"/>
        <w:rPr>
          <w:highlight w:val="yellow"/>
        </w:rPr>
      </w:pPr>
      <w:r>
        <w:rPr>
          <w:highlight w:val="yellow"/>
        </w:rPr>
        <w:t xml:space="preserve">povezati očekivane </w:t>
      </w:r>
      <w:r>
        <w:rPr>
          <w:b/>
          <w:highlight w:val="yellow"/>
        </w:rPr>
        <w:t>učinke s četirima zajedničkim ciljevima</w:t>
      </w:r>
      <w:r>
        <w:rPr>
          <w:highlight w:val="yellow"/>
        </w:rPr>
        <w:t xml:space="preserve"> i formulirati </w:t>
      </w:r>
      <w:r>
        <w:rPr>
          <w:b/>
          <w:highlight w:val="yellow"/>
        </w:rPr>
        <w:t>sveobuhvatne ciljeve NRM-a za pojedine programe</w:t>
      </w:r>
      <w:r>
        <w:rPr>
          <w:highlight w:val="yellow"/>
        </w:rPr>
        <w:t xml:space="preserve"> ako se očekivani učinci ne mogu povezati ni s jednim od četiriju zajedničkih ciljeva; </w:t>
      </w:r>
    </w:p>
    <w:p w:rsidR="00867290" w:rsidRPr="00BB2924" w:rsidRDefault="00867290" w:rsidP="00C72F66">
      <w:pPr>
        <w:pStyle w:val="Hlistbullet"/>
        <w:rPr>
          <w:highlight w:val="yellow"/>
        </w:rPr>
      </w:pPr>
      <w:r>
        <w:rPr>
          <w:b/>
          <w:highlight w:val="yellow"/>
        </w:rPr>
        <w:t>provjeriti horizontalnu i vertikalnu dosljednost</w:t>
      </w:r>
      <w:r>
        <w:rPr>
          <w:highlight w:val="yellow"/>
        </w:rPr>
        <w:t xml:space="preserve"> između aktivnosti NRM-a, očekivanih ostvarenja, rezultata, učinaka i ciljeva (vidi </w:t>
      </w:r>
      <w:r>
        <w:rPr>
          <w:highlight w:val="yellow"/>
        </w:rPr>
        <w:fldChar w:fldCharType="begin" w:fldLock="1"/>
      </w:r>
      <w:r>
        <w:rPr>
          <w:highlight w:val="yellow"/>
        </w:rPr>
        <w:instrText xml:space="preserve"> REF _Ref451784593 \r \h  \* MERGEFORMAT </w:instrText>
      </w:r>
      <w:r>
        <w:rPr>
          <w:highlight w:val="yellow"/>
        </w:rPr>
      </w:r>
      <w:r>
        <w:rPr>
          <w:highlight w:val="yellow"/>
        </w:rPr>
        <w:fldChar w:fldCharType="separate"/>
      </w:r>
      <w:r>
        <w:rPr>
          <w:highlight w:val="yellow"/>
        </w:rPr>
        <w:t>Figure 6</w:t>
      </w:r>
      <w:r>
        <w:rPr>
          <w:highlight w:val="yellow"/>
        </w:rPr>
        <w:fldChar w:fldCharType="end"/>
      </w:r>
      <w:r>
        <w:rPr>
          <w:highlight w:val="yellow"/>
        </w:rPr>
        <w:t>).</w:t>
      </w:r>
    </w:p>
    <w:p w:rsidR="00867290" w:rsidRPr="00BB2924" w:rsidRDefault="00867290" w:rsidP="00FC0A30">
      <w:pPr>
        <w:pStyle w:val="HStandard"/>
        <w:rPr>
          <w:highlight w:val="yellow"/>
        </w:rPr>
      </w:pPr>
      <w:r>
        <w:rPr>
          <w:highlight w:val="yellow"/>
        </w:rPr>
        <w:fldChar w:fldCharType="begin" w:fldLock="1"/>
      </w:r>
      <w:r>
        <w:rPr>
          <w:highlight w:val="yellow"/>
        </w:rPr>
        <w:instrText xml:space="preserve"> REF _Ref451784607 \r \h  \* MERGEFORMAT </w:instrText>
      </w:r>
      <w:r>
        <w:rPr>
          <w:highlight w:val="yellow"/>
        </w:rPr>
      </w:r>
      <w:r>
        <w:rPr>
          <w:highlight w:val="yellow"/>
        </w:rPr>
        <w:fldChar w:fldCharType="separate"/>
      </w:r>
      <w:r>
        <w:rPr>
          <w:highlight w:val="yellow"/>
        </w:rPr>
        <w:t>Figure 12</w:t>
      </w:r>
      <w:r>
        <w:rPr>
          <w:highlight w:val="yellow"/>
        </w:rPr>
        <w:fldChar w:fldCharType="end"/>
      </w:r>
      <w:r>
        <w:rPr>
          <w:highlight w:val="yellow"/>
        </w:rPr>
        <w:t xml:space="preserve"> iznad također može ilustrirati razvoj intervencijske logike utemeljene na Akcijskom planu NRM-a. </w:t>
      </w:r>
    </w:p>
    <w:p w:rsidR="00867290" w:rsidRPr="00BB2924" w:rsidRDefault="00867290" w:rsidP="00FC0A30">
      <w:pPr>
        <w:pStyle w:val="HHeading5"/>
        <w:rPr>
          <w:highlight w:val="yellow"/>
        </w:rPr>
      </w:pPr>
      <w:r>
        <w:rPr>
          <w:highlight w:val="yellow"/>
        </w:rPr>
        <w:t xml:space="preserve">Korak 2. – Ponovno razmatranje/formuliranje evaluacijskih pitanja i pokazatelja koji se odnose na NRM i provjeravanje njihove dosljednosti intervencijskoj logici </w:t>
      </w:r>
    </w:p>
    <w:p w:rsidR="00867290" w:rsidRPr="00BB2924" w:rsidRDefault="00867290" w:rsidP="00FC0A30">
      <w:pPr>
        <w:pStyle w:val="HStandard"/>
        <w:rPr>
          <w:highlight w:val="yellow"/>
        </w:rPr>
      </w:pPr>
      <w:r>
        <w:rPr>
          <w:highlight w:val="yellow"/>
        </w:rPr>
        <w:t xml:space="preserve">Ovaj korak sadržava ponovno razmatranje postojećih evaluacijskih elemenata koji se odnose na NRM i onih za pojedine programe (evaluacijskih pitanja i pokazatelja) i razvoja novih evaluacijskih elemenata.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D322AA">
        <w:tc>
          <w:tcPr>
            <w:tcW w:w="9016" w:type="dxa"/>
            <w:shd w:val="clear" w:color="auto" w:fill="F5F4F4" w:themeFill="background2" w:themeFillTint="66"/>
          </w:tcPr>
          <w:p w:rsidR="00867290" w:rsidRPr="00BB2924" w:rsidRDefault="00867290" w:rsidP="00FC0A30">
            <w:pPr>
              <w:pStyle w:val="HStandard"/>
              <w:rPr>
                <w:highlight w:val="yellow"/>
              </w:rPr>
            </w:pPr>
            <w:r>
              <w:rPr>
                <w:highlight w:val="yellow"/>
              </w:rPr>
              <w:t>Pri ponovnom razmatranju ili formuliranju evaluacijskih pitanja i pokazatelja trebalo bi se raspravljati o sljedećim pitanjima za usmjeravanje:</w:t>
            </w:r>
          </w:p>
          <w:p w:rsidR="00867290" w:rsidRPr="00BB2924" w:rsidRDefault="00867290" w:rsidP="00867290">
            <w:pPr>
              <w:pStyle w:val="Hlistbullet"/>
              <w:tabs>
                <w:tab w:val="left" w:pos="567"/>
              </w:tabs>
              <w:rPr>
                <w:highlight w:val="yellow"/>
              </w:rPr>
            </w:pPr>
            <w:r>
              <w:rPr>
                <w:highlight w:val="yellow"/>
              </w:rPr>
              <w:t>Koja su pitanja kojima se može evaluirati uspjeh NRM-a?</w:t>
            </w:r>
          </w:p>
          <w:p w:rsidR="00867290" w:rsidRPr="00BB2924" w:rsidRDefault="00867290" w:rsidP="00867290">
            <w:pPr>
              <w:pStyle w:val="Hlistbullet"/>
              <w:tabs>
                <w:tab w:val="left" w:pos="567"/>
              </w:tabs>
              <w:rPr>
                <w:highlight w:val="yellow"/>
              </w:rPr>
            </w:pPr>
            <w:r>
              <w:rPr>
                <w:highlight w:val="yellow"/>
              </w:rPr>
              <w:t>Na osnovi kojih se kriterija donose prosudbe?</w:t>
            </w:r>
          </w:p>
          <w:p w:rsidR="00867290" w:rsidRPr="00BB2924" w:rsidRDefault="00867290" w:rsidP="00867290">
            <w:pPr>
              <w:pStyle w:val="Hlistbullet2"/>
              <w:tabs>
                <w:tab w:val="left" w:pos="567"/>
              </w:tabs>
              <w:rPr>
                <w:highlight w:val="yellow"/>
              </w:rPr>
            </w:pPr>
            <w:r>
              <w:rPr>
                <w:highlight w:val="yellow"/>
              </w:rPr>
              <w:t>Koje bi pokazatelje trebalo upotrebljavati za odgovaranje na evaluacijska pitanja? Jesu li dovoljni za prikupljanje dobrih dokaza?</w:t>
            </w:r>
          </w:p>
        </w:tc>
      </w:tr>
    </w:tbl>
    <w:p w:rsidR="00867290" w:rsidRPr="00BB2924" w:rsidRDefault="00867290" w:rsidP="00FC0A30">
      <w:pPr>
        <w:pStyle w:val="HStandard"/>
        <w:rPr>
          <w:highlight w:val="yellow"/>
        </w:rPr>
      </w:pPr>
      <w:r>
        <w:rPr>
          <w:highlight w:val="yellow"/>
        </w:rPr>
        <w:t xml:space="preserve">Ovaj se korak provodi </w:t>
      </w:r>
      <w:r>
        <w:rPr>
          <w:b/>
          <w:highlight w:val="yellow"/>
        </w:rPr>
        <w:t>sljedećim redoslijedom</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a.</w:t>
            </w:r>
          </w:p>
        </w:tc>
        <w:tc>
          <w:tcPr>
            <w:tcW w:w="8028" w:type="dxa"/>
          </w:tcPr>
          <w:p w:rsidR="00867290" w:rsidRPr="00BB2924" w:rsidRDefault="00867290" w:rsidP="00BE6F49">
            <w:pPr>
              <w:pStyle w:val="Hlistbullet"/>
              <w:numPr>
                <w:ilvl w:val="0"/>
                <w:numId w:val="0"/>
              </w:numPr>
              <w:spacing w:before="0" w:line="280" w:lineRule="atLeast"/>
              <w:jc w:val="left"/>
              <w:rPr>
                <w:sz w:val="18"/>
                <w:szCs w:val="18"/>
                <w:highlight w:val="yellow"/>
              </w:rPr>
            </w:pPr>
            <w:r>
              <w:rPr>
                <w:sz w:val="18"/>
                <w:highlight w:val="yellow"/>
              </w:rPr>
              <w:t>Vraćanje na postojeća evaluacijska pitanja i razvijanje evaluacijskih pitanja NRM-a za pojedine programe.</w:t>
            </w:r>
          </w:p>
        </w:tc>
      </w:tr>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b.</w:t>
            </w:r>
          </w:p>
        </w:tc>
        <w:tc>
          <w:tcPr>
            <w:tcW w:w="8028" w:type="dxa"/>
          </w:tcPr>
          <w:p w:rsidR="00867290" w:rsidRPr="00BB2924" w:rsidRDefault="00867290" w:rsidP="00BE6F49">
            <w:pPr>
              <w:pStyle w:val="HStandard"/>
              <w:rPr>
                <w:sz w:val="18"/>
                <w:szCs w:val="18"/>
                <w:highlight w:val="yellow"/>
              </w:rPr>
            </w:pPr>
            <w:r>
              <w:rPr>
                <w:sz w:val="18"/>
                <w:highlight w:val="yellow"/>
              </w:rPr>
              <w:t>Formuliranje kriterija prosudbe koji preciziraju uspjeh intervencije NRM-a i usredotočuju odgovaranje na evaluacijska pitanja.</w:t>
            </w:r>
          </w:p>
        </w:tc>
      </w:tr>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c.</w:t>
            </w:r>
          </w:p>
        </w:tc>
        <w:tc>
          <w:tcPr>
            <w:tcW w:w="8028" w:type="dxa"/>
          </w:tcPr>
          <w:p w:rsidR="00867290" w:rsidRPr="00BB2924" w:rsidRDefault="00867290" w:rsidP="00BE6F49">
            <w:pPr>
              <w:pStyle w:val="Hlistbullet"/>
              <w:numPr>
                <w:ilvl w:val="0"/>
                <w:numId w:val="0"/>
              </w:numPr>
              <w:spacing w:before="0" w:line="280" w:lineRule="atLeast"/>
              <w:jc w:val="left"/>
              <w:rPr>
                <w:sz w:val="18"/>
                <w:szCs w:val="18"/>
                <w:highlight w:val="yellow"/>
              </w:rPr>
            </w:pPr>
            <w:r>
              <w:rPr>
                <w:sz w:val="18"/>
                <w:highlight w:val="yellow"/>
              </w:rPr>
              <w:t>Formuliranje pokazatelja rezultata i učinaka koji se odnose na NRM za pojedine programe.</w:t>
            </w:r>
          </w:p>
        </w:tc>
      </w:tr>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d.</w:t>
            </w:r>
          </w:p>
        </w:tc>
        <w:tc>
          <w:tcPr>
            <w:tcW w:w="8028" w:type="dxa"/>
          </w:tcPr>
          <w:p w:rsidR="00867290" w:rsidRPr="00BB2924" w:rsidRDefault="00867290" w:rsidP="00BE6F49">
            <w:pPr>
              <w:pStyle w:val="Hlistbullet"/>
              <w:numPr>
                <w:ilvl w:val="0"/>
                <w:numId w:val="0"/>
              </w:numPr>
              <w:tabs>
                <w:tab w:val="left" w:pos="317"/>
              </w:tabs>
              <w:spacing w:before="0" w:line="280" w:lineRule="atLeast"/>
              <w:jc w:val="left"/>
              <w:rPr>
                <w:sz w:val="18"/>
                <w:szCs w:val="18"/>
                <w:highlight w:val="yellow"/>
              </w:rPr>
            </w:pPr>
            <w:r>
              <w:rPr>
                <w:sz w:val="18"/>
                <w:highlight w:val="yellow"/>
              </w:rPr>
              <w:t>Provjera dosljednosti elemenata evaluacije NRM-a intervencijskoj logici NRM-a</w:t>
            </w:r>
          </w:p>
        </w:tc>
      </w:tr>
      <w:tr w:rsidR="00867290" w:rsidRPr="00BB2924" w:rsidTr="00BE6F49">
        <w:tc>
          <w:tcPr>
            <w:tcW w:w="9016" w:type="dxa"/>
            <w:gridSpan w:val="2"/>
            <w:shd w:val="clear" w:color="auto" w:fill="auto"/>
          </w:tcPr>
          <w:p w:rsidR="00867290" w:rsidRPr="00BB2924" w:rsidRDefault="00867290" w:rsidP="00BE6F49">
            <w:pPr>
              <w:pStyle w:val="HStandard"/>
              <w:jc w:val="left"/>
              <w:rPr>
                <w:sz w:val="18"/>
                <w:szCs w:val="18"/>
                <w:highlight w:val="yellow"/>
              </w:rPr>
            </w:pPr>
            <w:r>
              <w:rPr>
                <w:b/>
                <w:sz w:val="18"/>
                <w:highlight w:val="yellow"/>
              </w:rPr>
              <w:t>Očekivani rezultati:</w:t>
            </w:r>
            <w:r>
              <w:rPr>
                <w:sz w:val="18"/>
                <w:highlight w:val="yellow"/>
              </w:rPr>
              <w:t xml:space="preserve"> dosljedan okvir praćenja i evaluacije vezan za NRM</w:t>
            </w:r>
          </w:p>
        </w:tc>
      </w:tr>
    </w:tbl>
    <w:p w:rsidR="00867290" w:rsidRPr="00BB2924" w:rsidRDefault="00867290" w:rsidP="00D322AA">
      <w:pPr>
        <w:pStyle w:val="Heading6"/>
        <w:rPr>
          <w:highlight w:val="yellow"/>
        </w:rPr>
      </w:pPr>
      <w:r>
        <w:rPr>
          <w:highlight w:val="yellow"/>
        </w:rPr>
        <w:t xml:space="preserve">Zajednička evaluacijska pitanja i zajednička pitanja za pojedine programe koja se odnose na NRM </w:t>
      </w:r>
    </w:p>
    <w:p w:rsidR="00867290" w:rsidRPr="00BB2924" w:rsidRDefault="00867290" w:rsidP="00FC0A30">
      <w:pPr>
        <w:pStyle w:val="HStandard"/>
        <w:rPr>
          <w:highlight w:val="yellow"/>
        </w:rPr>
      </w:pPr>
      <w:r>
        <w:rPr>
          <w:highlight w:val="yellow"/>
        </w:rPr>
        <w:t>Kada se odluči o potrebama i temama evaluacije, naručitelj (UT ili JPM), u suradnji s drugim sudionicima (službom za evaluaciju NRM-a pri ministarstvu i, moguće, s upravljačkom skupinom), trebao bi razmotriti ciljeve i očekivane učinke NRM-a i razmisliti kako se mogu dobiti informacije o ostvarenjima i učincima NRM-a. To se čini postavljanjem prikladnih evaluacijskih pitanja (EP)</w:t>
      </w:r>
      <w:r>
        <w:rPr>
          <w:rFonts w:ascii="ZWAdobeF" w:hAnsi="ZWAdobeF"/>
          <w:color w:val="auto"/>
          <w:sz w:val="2"/>
          <w:highlight w:val="yellow"/>
        </w:rPr>
        <w:t>72F</w:t>
      </w:r>
      <w:r>
        <w:rPr>
          <w:rStyle w:val="FootnoteReference"/>
          <w:highlight w:val="yellow"/>
        </w:rPr>
        <w:footnoteReference w:id="73"/>
      </w:r>
      <w:r>
        <w:rPr>
          <w:highlight w:val="yellow"/>
        </w:rPr>
        <w:t xml:space="preserve"> koja su povezana sa zajedničkim ciljevima ili ciljevima za pojedine programe NRM-a. EP definira fokus evaluacije i tako usmjerava rad evaluatora. </w:t>
      </w:r>
    </w:p>
    <w:p w:rsidR="00867290" w:rsidRPr="00BB2924" w:rsidRDefault="00867290" w:rsidP="00FC0A30">
      <w:pPr>
        <w:pStyle w:val="HStandard"/>
        <w:rPr>
          <w:highlight w:val="yellow"/>
        </w:rPr>
      </w:pPr>
      <w:r>
        <w:rPr>
          <w:highlight w:val="yellow"/>
        </w:rPr>
        <w:t>Na razini EU-a samo je jedno zajedničko evaluacijsko pitanje za evaluaciju NRM-a i PNRM-a</w:t>
      </w:r>
      <w:r>
        <w:rPr>
          <w:rFonts w:ascii="ZWAdobeF" w:hAnsi="ZWAdobeF"/>
          <w:color w:val="auto"/>
          <w:sz w:val="2"/>
          <w:highlight w:val="yellow"/>
        </w:rPr>
        <w:t>73F</w:t>
      </w:r>
      <w:r>
        <w:rPr>
          <w:rStyle w:val="FootnoteReference"/>
          <w:highlight w:val="yellow"/>
        </w:rPr>
        <w:footnoteReference w:id="74"/>
      </w:r>
      <w:r>
        <w:rPr>
          <w:highlight w:val="yellow"/>
        </w:rPr>
        <w:t>:</w:t>
      </w:r>
    </w:p>
    <w:p w:rsidR="00867290" w:rsidRPr="00BB2924" w:rsidRDefault="00867290" w:rsidP="00FC0A30">
      <w:pPr>
        <w:pStyle w:val="HStandard"/>
        <w:rPr>
          <w:highlight w:val="yellow"/>
        </w:rPr>
      </w:pPr>
      <w:r>
        <w:rPr>
          <w:highlight w:val="yellow"/>
        </w:rPr>
        <w:t>„U kojoj je mjeri nacionalna ruralna mreža pridonijela ostvarenju ciljeva iz članka 59. Uredbe (EU) br. 1303/2013 i članka 51. stavka 2. Uredbe (EU) br. 1305/2013?”</w:t>
      </w:r>
    </w:p>
    <w:p w:rsidR="00867290" w:rsidRPr="00BB2924" w:rsidRDefault="00867290" w:rsidP="00FC0A30">
      <w:pPr>
        <w:pStyle w:val="HStandard"/>
        <w:rPr>
          <w:highlight w:val="yellow"/>
        </w:rPr>
      </w:pPr>
      <w:r>
        <w:rPr>
          <w:highlight w:val="yellow"/>
        </w:rPr>
        <w:lastRenderedPageBreak/>
        <w:t xml:space="preserve">Prethodno zajedničko evaluacijsko pitanje povezano je sa svima četirima zajedničkim ciljevima politike koji se odnose na NRM i služi da se zajednički gleda na koristi NRM-a u cijelom EU-u, kao i da omogući usporedbu ostvarenja NRM-ova među državama članicama EU-a. Može se dalje dijeliti na četiri evaluacijska pitanja, od kojih će svako pitati u kojoj su mjeri ostvareni zajednički ciljevi. </w:t>
      </w:r>
    </w:p>
    <w:p w:rsidR="00867290" w:rsidRPr="00BB2924" w:rsidRDefault="00867290" w:rsidP="00FC0A30">
      <w:pPr>
        <w:pStyle w:val="HStandard"/>
        <w:rPr>
          <w:highlight w:val="yellow"/>
        </w:rPr>
      </w:pPr>
      <w:r>
        <w:rPr>
          <w:highlight w:val="yellow"/>
        </w:rPr>
        <w:t xml:space="preserve">Imajući na umu da bi (P)NRM trebao poboljšati kvalitetu provedbe programa ruralnog razvoja, evaluacija (P)NRM-ova trebala bi pitati i u kojoj su mjeri NRM-ovi pridonijeli ostvarivanju ciljeva PRR-a, na primjer poticanju prenošenja znanja, inovacijama u poljoprivredi, šumarstvu i ruralnim područjima ili povezivanju poljoprivrede, obrade hrane, šumarstva te istraživanja i inovacija. </w:t>
      </w:r>
    </w:p>
    <w:p w:rsidR="00867290" w:rsidRPr="00BB2924" w:rsidRDefault="00867290" w:rsidP="00FC0A30">
      <w:pPr>
        <w:pStyle w:val="HStandard"/>
        <w:rPr>
          <w:highlight w:val="yellow"/>
        </w:rPr>
      </w:pPr>
      <w:r>
        <w:rPr>
          <w:highlight w:val="yellow"/>
        </w:rPr>
        <w:t>Uz zajedničko evaluacijsko pitanje za NRM-ove, UT-ove i JPM-ove/NRM-ove potiče se na oblikovanje evaluacijskih pitanja za pojedine programe koja odražavaju posebnosti pojedinog (P)NRM-a i pojedine očekivane učinke NRM-a. Razvoj evaluacijskih pitanja za pojedine programe trebao bi se uskladiti s ciljevima koji se odnose na NRM za pojedine programe, uključenima u intervencijsku logiku NRM-a.</w:t>
      </w:r>
    </w:p>
    <w:p w:rsidR="00867290" w:rsidRPr="00BB2924" w:rsidRDefault="00867290" w:rsidP="00FC0A30">
      <w:pPr>
        <w:pStyle w:val="HStandard"/>
        <w:rPr>
          <w:highlight w:val="yellow"/>
        </w:rPr>
      </w:pPr>
      <w:r>
        <w:rPr>
          <w:highlight w:val="yellow"/>
        </w:rPr>
        <w:t>Kako bi bila dosljedna ciljevima NRM-a, evaluacijska pitanja koja se odnose na NRM za pojedine programe trebalo bi formulirati dosljedno terminologiji koja odražava sadržaj cilja. Na primjer:</w:t>
      </w:r>
    </w:p>
    <w:p w:rsidR="00867290" w:rsidRPr="00BB2924" w:rsidRDefault="00867290" w:rsidP="00975D9B">
      <w:pPr>
        <w:pStyle w:val="Hlistbullet2"/>
        <w:rPr>
          <w:highlight w:val="yellow"/>
        </w:rPr>
      </w:pPr>
      <w:r>
        <w:rPr>
          <w:highlight w:val="yellow"/>
        </w:rPr>
        <w:t>Na razini ostvarenja, evaluacijska pitanja za pojedine programe trebala bi odražavati skupove aktivnosti i očekivana ostvarenja iz intervencija NRM-a kako bi se postigli operativni ciljevi. Evaluacijsko pitanje za pojedini program u tom bi smislu bilo „koliko je neposrednih ostvarenja (kao što su tematske razmjene iz prethodnog primjera) dobiveno aktivnostima NRM-a?”</w:t>
      </w:r>
    </w:p>
    <w:p w:rsidR="00867290" w:rsidRPr="00BB2924" w:rsidRDefault="00867290" w:rsidP="00975D9B">
      <w:pPr>
        <w:pStyle w:val="Hlistbullet2"/>
        <w:rPr>
          <w:highlight w:val="yellow"/>
        </w:rPr>
      </w:pPr>
      <w:r>
        <w:rPr>
          <w:highlight w:val="yellow"/>
        </w:rPr>
        <w:t>Na razini rezultata, evaluacijska pitanja za pojedine programe trebala bi odražavati ostvarenje ciljeva za pojedini NRM. Trebala bi izražavati učinke NRM-a na očekivanu promjenu za korisnike, na primjer „u kojoj se mjeri promjena (povećana suradnja u prethodnom primjeru) dogodila zbog aktivnosti NRM-a?”</w:t>
      </w:r>
    </w:p>
    <w:p w:rsidR="00867290" w:rsidRPr="00BB2924" w:rsidRDefault="00867290" w:rsidP="00975D9B">
      <w:pPr>
        <w:pStyle w:val="Hlistbullet2"/>
        <w:rPr>
          <w:highlight w:val="yellow"/>
        </w:rPr>
      </w:pPr>
      <w:r>
        <w:rPr>
          <w:highlight w:val="yellow"/>
        </w:rPr>
        <w:t>Na razini učinaka, evaluacijska pitanja za pojedine programe trebala bi odražavati ostvarenje sveobuhvatnih ciljeva i promjena u programskom području. Trebala bi omogućavati pripisivanje zamijećenih promjena intervencijama NRM-a. Na primjer, „u kojoj je mjeri NRM pridonio zamijećenoj promjeni ciljne varijable (poticanje inovacija u prethodnom primjeru) u programskom području?”</w:t>
      </w:r>
    </w:p>
    <w:p w:rsidR="00867290" w:rsidRPr="00BB2924" w:rsidRDefault="00867290" w:rsidP="00FC0A30">
      <w:pPr>
        <w:pStyle w:val="HStandard"/>
        <w:rPr>
          <w:highlight w:val="yellow"/>
        </w:rPr>
      </w:pPr>
      <w:r>
        <w:rPr>
          <w:highlight w:val="yellow"/>
        </w:rPr>
        <w:t xml:space="preserve">UT, JPM ili stručnjaci za evaluaciju trebali bi provjeravati dosljednost evaluacijskih pitanja zajedničkim ciljevima ili ciljevima za pojedine programe prije početka evaluacije. To se može učiniti razumijevanjem odnosa između evaluacijskih pitanja za pojedine programe i svaku razinu ciljeva. </w:t>
      </w:r>
    </w:p>
    <w:p w:rsidR="00867290" w:rsidRPr="00BB2924" w:rsidRDefault="00867290" w:rsidP="00FC0A30">
      <w:pPr>
        <w:pStyle w:val="HStandard"/>
        <w:rPr>
          <w:highlight w:val="yellow"/>
        </w:rPr>
      </w:pPr>
      <w:r>
        <w:rPr>
          <w:highlight w:val="yellow"/>
        </w:rPr>
        <w:t>Primjer koji pokazuje dosljednost između ciljeva koji se odnose na NRM za pojedine programe i evaluacijskih pitanja naveden je u sljedećoj tablici. Početna točka jest potreba za inovacijama u ruralnim područjima, koje bi donijele nove proizvode i tržišta. Očekuje se da će NRM riješiti tu potrebu i olakšati promicanje inovacija u cilju ostvarivanja novih proizvoda i tržišta (cilj za pojedini program) i poticati prenošenje znanja i inovacije (zajednički cilj).</w:t>
      </w:r>
    </w:p>
    <w:p w:rsidR="00867290" w:rsidRPr="006F6D66" w:rsidRDefault="00867290" w:rsidP="006F6D66">
      <w:pPr>
        <w:pStyle w:val="HHeadingtables"/>
        <w:numPr>
          <w:ilvl w:val="0"/>
          <w:numId w:val="0"/>
        </w:numPr>
        <w:rPr>
          <w:color w:val="262626"/>
          <w:sz w:val="20"/>
          <w:highlight w:val="yellow"/>
        </w:rPr>
      </w:pPr>
      <w:r>
        <w:br w:type="page"/>
      </w:r>
      <w:bookmarkStart w:id="125" w:name="_Toc436383148"/>
      <w:bookmarkStart w:id="126" w:name="_Toc451781910"/>
      <w:bookmarkStart w:id="127" w:name="_Toc461713642"/>
      <w:r w:rsidRPr="006F6D66">
        <w:rPr>
          <w:highlight w:val="yellow"/>
        </w:rPr>
        <w:lastRenderedPageBreak/>
        <w:t>Tablica 6. Veze između ciljeva i evaluacijskih pitanja (primjer)</w:t>
      </w:r>
      <w:bookmarkEnd w:id="125"/>
      <w:bookmarkEnd w:id="126"/>
      <w:bookmarkEnd w:id="127"/>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54"/>
        <w:gridCol w:w="3454"/>
        <w:gridCol w:w="3708"/>
      </w:tblGrid>
      <w:tr w:rsidR="00867290" w:rsidRPr="00EE03C9" w:rsidTr="00FC0A30">
        <w:tc>
          <w:tcPr>
            <w:tcW w:w="1914" w:type="dxa"/>
            <w:shd w:val="clear" w:color="auto" w:fill="E7E6E6" w:themeFill="background2"/>
          </w:tcPr>
          <w:p w:rsidR="00867290" w:rsidRPr="00BB2924" w:rsidRDefault="00867290" w:rsidP="00D322AA">
            <w:pPr>
              <w:pStyle w:val="Htableleftbolt"/>
              <w:jc w:val="center"/>
              <w:rPr>
                <w:color w:val="5B9BD5" w:themeColor="accent1"/>
                <w:highlight w:val="yellow"/>
              </w:rPr>
            </w:pPr>
            <w:r>
              <w:rPr>
                <w:color w:val="5B9BD5" w:themeColor="accent1"/>
                <w:highlight w:val="yellow"/>
              </w:rPr>
              <w:t>Razina ciljeva u hijerarhiji</w:t>
            </w:r>
          </w:p>
        </w:tc>
        <w:tc>
          <w:tcPr>
            <w:tcW w:w="3685" w:type="dxa"/>
            <w:shd w:val="clear" w:color="auto" w:fill="E7E6E6" w:themeFill="background2"/>
          </w:tcPr>
          <w:p w:rsidR="00867290" w:rsidRPr="00BB2924" w:rsidRDefault="00867290" w:rsidP="00D322AA">
            <w:pPr>
              <w:pStyle w:val="Htableleftbolt"/>
              <w:jc w:val="center"/>
              <w:rPr>
                <w:color w:val="5B9BD5" w:themeColor="accent1"/>
                <w:highlight w:val="yellow"/>
              </w:rPr>
            </w:pPr>
            <w:r>
              <w:rPr>
                <w:color w:val="5B9BD5" w:themeColor="accent1"/>
                <w:highlight w:val="yellow"/>
              </w:rPr>
              <w:t>Formuliranje ciljeva</w:t>
            </w:r>
          </w:p>
          <w:p w:rsidR="00867290" w:rsidRPr="00BB2924" w:rsidRDefault="00867290" w:rsidP="00D322AA">
            <w:pPr>
              <w:pStyle w:val="Htableleftbolt"/>
              <w:jc w:val="center"/>
              <w:rPr>
                <w:color w:val="5B9BD5" w:themeColor="accent1"/>
                <w:highlight w:val="yellow"/>
              </w:rPr>
            </w:pPr>
            <w:r>
              <w:rPr>
                <w:color w:val="5B9BD5" w:themeColor="accent1"/>
                <w:highlight w:val="yellow"/>
              </w:rPr>
              <w:t>(ZC – zajednički cilj</w:t>
            </w:r>
          </w:p>
          <w:p w:rsidR="00867290" w:rsidRPr="00BB2924" w:rsidRDefault="00867290" w:rsidP="00D322AA">
            <w:pPr>
              <w:pStyle w:val="Htableleftbolt"/>
              <w:jc w:val="center"/>
              <w:rPr>
                <w:color w:val="5B9BD5" w:themeColor="accent1"/>
                <w:highlight w:val="yellow"/>
              </w:rPr>
            </w:pPr>
            <w:r>
              <w:rPr>
                <w:color w:val="5B9BD5" w:themeColor="accent1"/>
                <w:highlight w:val="yellow"/>
              </w:rPr>
              <w:t>CPP – Cilj za pojedini program)</w:t>
            </w:r>
          </w:p>
        </w:tc>
        <w:tc>
          <w:tcPr>
            <w:tcW w:w="3963" w:type="dxa"/>
            <w:shd w:val="clear" w:color="auto" w:fill="E7E6E6" w:themeFill="background2"/>
          </w:tcPr>
          <w:p w:rsidR="00867290" w:rsidRPr="00BB2924" w:rsidRDefault="00867290" w:rsidP="00D322AA">
            <w:pPr>
              <w:pStyle w:val="Htableleftbolt"/>
              <w:jc w:val="center"/>
              <w:rPr>
                <w:color w:val="5B9BD5" w:themeColor="accent1"/>
                <w:highlight w:val="yellow"/>
              </w:rPr>
            </w:pPr>
            <w:r>
              <w:rPr>
                <w:color w:val="5B9BD5" w:themeColor="accent1"/>
                <w:highlight w:val="yellow"/>
              </w:rPr>
              <w:t>Evaluacijska pitanja</w:t>
            </w:r>
          </w:p>
          <w:p w:rsidR="00867290" w:rsidRPr="00BB2924" w:rsidRDefault="00867290" w:rsidP="00514B11">
            <w:pPr>
              <w:pStyle w:val="Htableleftbolt"/>
              <w:rPr>
                <w:color w:val="5B9BD5" w:themeColor="accent1"/>
                <w:highlight w:val="yellow"/>
              </w:rPr>
            </w:pPr>
            <w:r>
              <w:rPr>
                <w:color w:val="5B9BD5" w:themeColor="accent1"/>
                <w:highlight w:val="yellow"/>
              </w:rPr>
              <w:t>(ZEP – Zajednička evaluacijska pitanja</w:t>
            </w:r>
          </w:p>
          <w:p w:rsidR="00867290" w:rsidRPr="00BB2924" w:rsidRDefault="00867290" w:rsidP="00514B11">
            <w:pPr>
              <w:pStyle w:val="Htableleftbolt"/>
              <w:jc w:val="center"/>
              <w:rPr>
                <w:color w:val="5B9BD5" w:themeColor="accent1"/>
                <w:highlight w:val="yellow"/>
              </w:rPr>
            </w:pPr>
            <w:r>
              <w:rPr>
                <w:color w:val="5B9BD5" w:themeColor="accent1"/>
                <w:highlight w:val="yellow"/>
              </w:rPr>
              <w:t>EPPP – Evaluacijska pitanja za pojedine programe)</w:t>
            </w:r>
          </w:p>
        </w:tc>
      </w:tr>
      <w:tr w:rsidR="00867290" w:rsidRPr="00BB2924" w:rsidTr="00FC0A30">
        <w:tc>
          <w:tcPr>
            <w:tcW w:w="1914"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Ostvarenja – operativni ciljevi</w:t>
            </w:r>
          </w:p>
        </w:tc>
        <w:tc>
          <w:tcPr>
            <w:tcW w:w="3685"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Olakšati tematske i analitičke razmjene između dionika ruralnog razvoja</w:t>
            </w:r>
          </w:p>
          <w:p w:rsidR="00867290" w:rsidRPr="00BB2924" w:rsidRDefault="00867290" w:rsidP="00FC0A30">
            <w:pPr>
              <w:pStyle w:val="Htableleft"/>
              <w:rPr>
                <w:color w:val="576C88" w:themeColor="text2" w:themeTint="D9"/>
                <w:highlight w:val="yellow"/>
              </w:rPr>
            </w:pPr>
            <w:r>
              <w:rPr>
                <w:color w:val="576C88" w:themeColor="text2" w:themeTint="D9"/>
                <w:highlight w:val="yellow"/>
              </w:rPr>
              <w:t>Osigurati aktivnosti umrežavanja za savjetnike i uspostavu potpore za inovacije</w:t>
            </w:r>
          </w:p>
          <w:p w:rsidR="00867290" w:rsidRPr="00BB2924" w:rsidRDefault="00867290" w:rsidP="00FC0A30">
            <w:pPr>
              <w:pStyle w:val="Htableleft"/>
              <w:rPr>
                <w:color w:val="576C88" w:themeColor="text2" w:themeTint="D9"/>
                <w:highlight w:val="yellow"/>
              </w:rPr>
            </w:pPr>
            <w:r>
              <w:rPr>
                <w:color w:val="576C88" w:themeColor="text2" w:themeTint="D9"/>
                <w:highlight w:val="yellow"/>
              </w:rPr>
              <w:t>Osigurati aktivnosti obuke i umrežavanja za LAG-ove</w:t>
            </w:r>
          </w:p>
          <w:p w:rsidR="00867290" w:rsidRPr="00BB2924" w:rsidRDefault="00867290" w:rsidP="00FC0A30">
            <w:pPr>
              <w:pStyle w:val="Htableleft"/>
              <w:rPr>
                <w:color w:val="576C88" w:themeColor="text2" w:themeTint="D9"/>
                <w:highlight w:val="yellow"/>
              </w:rPr>
            </w:pPr>
            <w:r>
              <w:rPr>
                <w:color w:val="576C88" w:themeColor="text2" w:themeTint="D9"/>
                <w:highlight w:val="yellow"/>
              </w:rPr>
              <w:t>Prikupiti primjere projekata</w:t>
            </w:r>
          </w:p>
        </w:tc>
        <w:tc>
          <w:tcPr>
            <w:tcW w:w="3963"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EPPP: Koliko je tematskih razmjena, baza podataka inovativnih projekata dostupnih javnosti i obuka o inovacijama dobiveno aktivnostima NRM-a?</w:t>
            </w:r>
          </w:p>
        </w:tc>
      </w:tr>
      <w:tr w:rsidR="00867290" w:rsidRPr="00BB2924" w:rsidTr="00FC0A30">
        <w:tc>
          <w:tcPr>
            <w:tcW w:w="1914"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Rezultat – pojedini ciljevi</w:t>
            </w:r>
          </w:p>
        </w:tc>
        <w:tc>
          <w:tcPr>
            <w:tcW w:w="3685"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(CPP) Ojačati suradnju, razmjenu i umrežavanje među inovacijskim projektnim partnerima u ruralnim područjima NRM-om</w:t>
            </w:r>
          </w:p>
          <w:p w:rsidR="00867290" w:rsidRPr="00BB2924" w:rsidRDefault="00867290" w:rsidP="002012FB">
            <w:pPr>
              <w:pStyle w:val="Htableleft"/>
              <w:rPr>
                <w:color w:val="576C88" w:themeColor="text2" w:themeTint="D9"/>
                <w:highlight w:val="yellow"/>
              </w:rPr>
            </w:pPr>
            <w:r>
              <w:rPr>
                <w:color w:val="576C88" w:themeColor="text2" w:themeTint="D9"/>
                <w:highlight w:val="yellow"/>
              </w:rPr>
              <w:t>(CPP) Poboljšati pojavljivanje inovativnih proizvoda i tržišta, procesa i oblika organizacije</w:t>
            </w:r>
          </w:p>
        </w:tc>
        <w:tc>
          <w:tcPr>
            <w:tcW w:w="3963"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EPPP: (CPP) U kojoj su mjeri aktivnosti NRM-a pridonijele povećanoj suradnji, razmjeni i umrežavanju među inovacijskim projektnim partnerima?</w:t>
            </w:r>
          </w:p>
          <w:p w:rsidR="00867290" w:rsidRPr="00BB2924" w:rsidRDefault="00867290" w:rsidP="00FC0A30">
            <w:pPr>
              <w:pStyle w:val="Htableleft"/>
              <w:rPr>
                <w:color w:val="576C88" w:themeColor="text2" w:themeTint="D9"/>
                <w:highlight w:val="yellow"/>
              </w:rPr>
            </w:pPr>
            <w:r>
              <w:rPr>
                <w:color w:val="576C88" w:themeColor="text2" w:themeTint="D9"/>
                <w:highlight w:val="yellow"/>
              </w:rPr>
              <w:t>EPPP: U kojoj su se mjeri zbog aktivnosti NRM-a razvijali i prenosili inovativni proizvodi i tržišta, procesi i oblici organizacije?</w:t>
            </w:r>
          </w:p>
        </w:tc>
      </w:tr>
      <w:tr w:rsidR="00867290" w:rsidRPr="00BB2924" w:rsidTr="00FC0A30">
        <w:tc>
          <w:tcPr>
            <w:tcW w:w="1914"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Učinak – sveobuhvatni ciljevi</w:t>
            </w:r>
          </w:p>
        </w:tc>
        <w:tc>
          <w:tcPr>
            <w:tcW w:w="3685"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(ZC) Poticati inovacije u poljoprivredi, proizvodnji hrane, šumarstvu i ruralnim područjima</w:t>
            </w:r>
          </w:p>
        </w:tc>
        <w:tc>
          <w:tcPr>
            <w:tcW w:w="3963" w:type="dxa"/>
            <w:shd w:val="clear" w:color="auto" w:fill="auto"/>
          </w:tcPr>
          <w:p w:rsidR="00867290" w:rsidRPr="00BB2924" w:rsidRDefault="00867290" w:rsidP="00C62AF9">
            <w:pPr>
              <w:pStyle w:val="Htableleft"/>
              <w:rPr>
                <w:color w:val="576C88" w:themeColor="text2" w:themeTint="D9"/>
                <w:highlight w:val="yellow"/>
              </w:rPr>
            </w:pPr>
            <w:r>
              <w:rPr>
                <w:color w:val="576C88" w:themeColor="text2" w:themeTint="D9"/>
                <w:highlight w:val="yellow"/>
              </w:rPr>
              <w:t>ZEP: U kojoj je mjeri NRM pridonio (cilj politike EU-a) poticanju inovacija u poljoprivredi, proizvodnji hrane, šumarstvu i ruralnim područjima?</w:t>
            </w:r>
          </w:p>
        </w:tc>
      </w:tr>
    </w:tbl>
    <w:p w:rsidR="00867290" w:rsidRPr="00BB2924" w:rsidRDefault="00867290" w:rsidP="00D7626C">
      <w:pPr>
        <w:pStyle w:val="HSource"/>
        <w:jc w:val="left"/>
        <w:rPr>
          <w:highlight w:val="yellow"/>
        </w:rPr>
      </w:pPr>
      <w:r>
        <w:rPr>
          <w:highlight w:val="yellow"/>
        </w:rPr>
        <w:t>Izvor: Europska podrška za evaluaciju ruralnog razvoja, 2015.</w:t>
      </w:r>
    </w:p>
    <w:p w:rsidR="00867290" w:rsidRPr="00BB2924" w:rsidRDefault="00867290" w:rsidP="00FC0A30">
      <w:pPr>
        <w:pStyle w:val="HStandard"/>
        <w:rPr>
          <w:highlight w:val="yellow"/>
        </w:rPr>
      </w:pPr>
      <w:r>
        <w:rPr>
          <w:highlight w:val="yellow"/>
        </w:rPr>
        <w:t>Evaluacijska pitanja primjenjivana u evaluacijama (P)NRM-ova tijekom prethodnog programskog razdoblja, iskustva prikupljena na NRM-ovim radionicama dobre prakse</w:t>
      </w:r>
      <w:r>
        <w:rPr>
          <w:rFonts w:ascii="ZWAdobeF" w:hAnsi="ZWAdobeF"/>
          <w:color w:val="auto"/>
          <w:sz w:val="2"/>
          <w:highlight w:val="yellow"/>
        </w:rPr>
        <w:t>74F</w:t>
      </w:r>
      <w:r>
        <w:rPr>
          <w:rStyle w:val="FootnoteReference"/>
          <w:highlight w:val="yellow"/>
        </w:rPr>
        <w:footnoteReference w:id="75"/>
      </w:r>
      <w:r>
        <w:rPr>
          <w:highlight w:val="yellow"/>
        </w:rPr>
        <w:t xml:space="preserve"> koje je organizirala Podrška za evaluaciju i evaluacija PNRM-ova 2007. – 2013.</w:t>
      </w:r>
      <w:r>
        <w:rPr>
          <w:rFonts w:ascii="ZWAdobeF" w:hAnsi="ZWAdobeF"/>
          <w:color w:val="auto"/>
          <w:sz w:val="2"/>
          <w:highlight w:val="yellow"/>
        </w:rPr>
        <w:t>75F</w:t>
      </w:r>
      <w:r>
        <w:rPr>
          <w:rStyle w:val="FootnoteReference"/>
          <w:highlight w:val="yellow"/>
        </w:rPr>
        <w:footnoteReference w:id="76"/>
      </w:r>
      <w:r>
        <w:rPr>
          <w:highlight w:val="yellow"/>
        </w:rPr>
        <w:t xml:space="preserve"> mogu se iskoristiti kao nadahnuće </w:t>
      </w:r>
      <w:r>
        <w:rPr>
          <w:rFonts w:ascii="ZWAdobeF" w:hAnsi="ZWAdobeF"/>
          <w:color w:val="auto"/>
          <w:sz w:val="2"/>
          <w:highlight w:val="yellow"/>
        </w:rPr>
        <w:t>76F</w:t>
      </w:r>
      <w:r>
        <w:rPr>
          <w:rStyle w:val="FootnoteReference"/>
          <w:highlight w:val="yellow"/>
        </w:rPr>
        <w:footnoteReference w:id="77"/>
      </w:r>
      <w:r>
        <w:rPr>
          <w:highlight w:val="yellow"/>
        </w:rPr>
        <w:t xml:space="preserve"> pri razvijanju evaluacijskih pitanja koja se odnose na NRM-ove za pojedine programe. </w:t>
      </w:r>
    </w:p>
    <w:p w:rsidR="00867290" w:rsidRPr="00BB2924" w:rsidRDefault="00867290" w:rsidP="00D322AA">
      <w:pPr>
        <w:pStyle w:val="Heading6"/>
        <w:rPr>
          <w:highlight w:val="yellow"/>
        </w:rPr>
      </w:pPr>
      <w:r>
        <w:rPr>
          <w:highlight w:val="yellow"/>
        </w:rPr>
        <w:t>Kriteriji prosudbe</w:t>
      </w:r>
    </w:p>
    <w:p w:rsidR="00867290" w:rsidRPr="00BB2924" w:rsidRDefault="00867290" w:rsidP="00FC0A30">
      <w:pPr>
        <w:pStyle w:val="HStandard"/>
        <w:rPr>
          <w:highlight w:val="yellow"/>
        </w:rPr>
      </w:pPr>
      <w:r>
        <w:rPr>
          <w:highlight w:val="yellow"/>
        </w:rPr>
        <w:t>Kriteriji prosudbe definiraju uspjeh intervencije i dalje preciziraju evaluacijska pitanja. Njima se također olakšava formulacija pokazatelja NRM-a i odgovaranje na EP na strukturiran način</w:t>
      </w:r>
      <w:r>
        <w:rPr>
          <w:rFonts w:ascii="ZWAdobeF" w:hAnsi="ZWAdobeF"/>
          <w:color w:val="auto"/>
          <w:sz w:val="2"/>
          <w:highlight w:val="yellow"/>
        </w:rPr>
        <w:t>77F</w:t>
      </w:r>
      <w:r>
        <w:rPr>
          <w:rStyle w:val="FootnoteReference"/>
          <w:highlight w:val="yellow"/>
        </w:rPr>
        <w:footnoteReference w:id="78"/>
      </w:r>
      <w:r>
        <w:rPr>
          <w:highlight w:val="yellow"/>
        </w:rPr>
        <w:t xml:space="preserve">. Kriteriji prosudbe obično se formuliraju zajedno s pitanjima za evaluaciju. Njihova dosljednost pokazateljima temeljni je preduvjet razvijanja odgovora utemeljenih na dokazima na evaluacijska pitanja. Sljedeća slika ilustrira dosljednost između evaluacijskih pitanja, kriterija prosudbe i pokazatelja. </w:t>
      </w:r>
    </w:p>
    <w:p w:rsidR="00867290" w:rsidRPr="00BB2924" w:rsidRDefault="00867290">
      <w:pPr>
        <w:spacing w:after="0" w:line="240" w:lineRule="auto"/>
        <w:rPr>
          <w:rFonts w:cs="Arial"/>
          <w:color w:val="576C88" w:themeColor="text2" w:themeTint="D9"/>
          <w:sz w:val="20"/>
          <w:szCs w:val="20"/>
          <w:highlight w:val="yellow"/>
        </w:rPr>
      </w:pPr>
      <w:r>
        <w:br w:type="page"/>
      </w:r>
    </w:p>
    <w:p w:rsidR="00867290" w:rsidRPr="00BB2924" w:rsidRDefault="00867290" w:rsidP="006F6D66">
      <w:pPr>
        <w:pStyle w:val="HHeadingfigures"/>
        <w:numPr>
          <w:ilvl w:val="0"/>
          <w:numId w:val="0"/>
        </w:numPr>
        <w:rPr>
          <w:highlight w:val="yellow"/>
        </w:rPr>
      </w:pPr>
      <w:bookmarkStart w:id="128" w:name="_Toc445465129"/>
      <w:bookmarkStart w:id="129" w:name="_Toc451781932"/>
      <w:bookmarkStart w:id="130" w:name="_Toc461713659"/>
      <w:r>
        <w:rPr>
          <w:highlight w:val="yellow"/>
        </w:rPr>
        <w:lastRenderedPageBreak/>
        <w:t>Slika 13.  Dosljednost između evaluacijskih pitanja, kriterija prosudbe i pokazatelja</w:t>
      </w:r>
      <w:bookmarkEnd w:id="128"/>
      <w:bookmarkEnd w:id="129"/>
      <w:bookmarkEnd w:id="130"/>
      <w:r>
        <w:rPr>
          <w:highlight w:val="yellow"/>
        </w:rPr>
        <w:t xml:space="preserve"> </w:t>
      </w:r>
    </w:p>
    <w:p w:rsidR="00867290" w:rsidRPr="00BB2924" w:rsidRDefault="00867290" w:rsidP="00FC0A30">
      <w:pPr>
        <w:jc w:val="center"/>
        <w:rPr>
          <w:highlight w:val="yellow"/>
        </w:rPr>
      </w:pPr>
      <w:r>
        <w:rPr>
          <w:noProof/>
          <w:highlight w:val="yellow"/>
          <w:lang w:eastAsia="en-GB"/>
        </w:rPr>
        <w:drawing>
          <wp:inline distT="0" distB="0" distL="0" distR="0" wp14:anchorId="584A7705" wp14:editId="3BC4E943">
            <wp:extent cx="5215890" cy="1383808"/>
            <wp:effectExtent l="0" t="0" r="381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41576" cy="1390623"/>
                    </a:xfrm>
                    <a:prstGeom prst="rect">
                      <a:avLst/>
                    </a:prstGeom>
                    <a:noFill/>
                  </pic:spPr>
                </pic:pic>
              </a:graphicData>
            </a:graphic>
          </wp:inline>
        </w:drawing>
      </w:r>
    </w:p>
    <w:p w:rsidR="00867290" w:rsidRPr="00BB2924" w:rsidRDefault="00867290" w:rsidP="00FC0A30">
      <w:pPr>
        <w:pStyle w:val="HSource"/>
        <w:rPr>
          <w:highlight w:val="yellow"/>
        </w:rPr>
      </w:pPr>
      <w:r>
        <w:rPr>
          <w:highlight w:val="yellow"/>
        </w:rPr>
        <w:t>Izvor: Europski centar za pomoć pri evaluaciji za ruralni razvoj, 2016.</w:t>
      </w:r>
    </w:p>
    <w:p w:rsidR="00867290" w:rsidRPr="00BB2924" w:rsidRDefault="00867290" w:rsidP="00D322AA">
      <w:pPr>
        <w:pStyle w:val="Heading6"/>
        <w:rPr>
          <w:highlight w:val="yellow"/>
        </w:rPr>
      </w:pPr>
      <w:r>
        <w:rPr>
          <w:highlight w:val="yellow"/>
        </w:rPr>
        <w:t>Zajednički pokazatelji i pokazatelji za pojedine programe koji se odnose na NRM</w:t>
      </w:r>
    </w:p>
    <w:p w:rsidR="00867290" w:rsidRPr="00BB2924" w:rsidRDefault="00867290" w:rsidP="00FC0A30">
      <w:pPr>
        <w:pStyle w:val="HStandard"/>
        <w:rPr>
          <w:highlight w:val="yellow"/>
        </w:rPr>
      </w:pPr>
      <w:r>
        <w:rPr>
          <w:highlight w:val="yellow"/>
        </w:rPr>
        <w:t>Trenutačno postoje samo tri zajednička pokazatelja ostvarenja</w:t>
      </w:r>
      <w:r>
        <w:rPr>
          <w:rFonts w:ascii="ZWAdobeF" w:hAnsi="ZWAdobeF"/>
          <w:color w:val="auto"/>
          <w:sz w:val="2"/>
          <w:highlight w:val="yellow"/>
        </w:rPr>
        <w:t>78F</w:t>
      </w:r>
      <w:r>
        <w:rPr>
          <w:rStyle w:val="FootnoteReference"/>
          <w:highlight w:val="yellow"/>
        </w:rPr>
        <w:footnoteReference w:id="79"/>
      </w:r>
      <w:r>
        <w:rPr>
          <w:highlight w:val="yellow"/>
        </w:rPr>
        <w:t xml:space="preserve"> definirana skupovima aktivnosti NRM-ova, kako slijedi: </w:t>
      </w:r>
    </w:p>
    <w:p w:rsidR="00867290" w:rsidRPr="00BB2924" w:rsidRDefault="00867290" w:rsidP="00D322AA">
      <w:pPr>
        <w:pStyle w:val="Hlistbullet"/>
        <w:rPr>
          <w:highlight w:val="yellow"/>
        </w:rPr>
      </w:pPr>
      <w:r>
        <w:rPr>
          <w:highlight w:val="yellow"/>
        </w:rPr>
        <w:t>broj tematskih i analitičkih razmjena utvrđenih potporom nacionalnih ruralnih mreža (NRM);</w:t>
      </w:r>
    </w:p>
    <w:p w:rsidR="00867290" w:rsidRPr="00BB2924" w:rsidRDefault="00867290" w:rsidP="00D322AA">
      <w:pPr>
        <w:pStyle w:val="Hlistbullet"/>
        <w:rPr>
          <w:highlight w:val="yellow"/>
        </w:rPr>
      </w:pPr>
      <w:r>
        <w:rPr>
          <w:highlight w:val="yellow"/>
        </w:rPr>
        <w:t xml:space="preserve">broj komunikacijskih alata nacionalnih ruralnih mreža (NRM); </w:t>
      </w:r>
    </w:p>
    <w:p w:rsidR="00867290" w:rsidRPr="00BB2924" w:rsidRDefault="00867290" w:rsidP="00D322AA">
      <w:pPr>
        <w:pStyle w:val="Hlistbullet"/>
        <w:rPr>
          <w:highlight w:val="yellow"/>
        </w:rPr>
      </w:pPr>
      <w:r>
        <w:rPr>
          <w:highlight w:val="yellow"/>
        </w:rPr>
        <w:t>broj EMRR-ovih aktivnosti u kojima su NRM-ovi sudjelovali.</w:t>
      </w:r>
    </w:p>
    <w:p w:rsidR="00867290" w:rsidRPr="00BB2924" w:rsidRDefault="00867290" w:rsidP="00FC0A30">
      <w:pPr>
        <w:pStyle w:val="HStandard"/>
        <w:rPr>
          <w:highlight w:val="yellow"/>
        </w:rPr>
      </w:pPr>
      <w:r>
        <w:rPr>
          <w:highlight w:val="yellow"/>
        </w:rPr>
        <w:t xml:space="preserve">Zajednički pokazatelji nisu dovoljni za mjerenje svih očekivanih rezultata i učinaka NRM-a i ne mogu dati dovoljno dokaza za odgovaranje na zajednička evaluacijska pitanja i evaluacijska pitanja za pojedine programe. Zato se tijela (P)NRM-ova potiču na definiranje dodatnih pokazatelja rezultata i učinaka za odgovor na zajedničko evaluacijsko pitanje (br. 21.) i pokazatelje rezultata i učinaka koji se odnose na NRM-ove za pojedine programe za odgovor na evaluacijska pitanja za pojedine programe. Pokazatelje bi trebalo formulirati tijekom faze programiranja ili pak tijekom pripreme evaluacije koju provode programska tijela (UT, JPM ili oboje). Očekivani rezultati i učinci objašnjeni u prethodnim dijelovima ovog poglavlja daju temelj za definiranje pokazatelja koji se odnose na NRM za pojedine programe. </w:t>
      </w:r>
    </w:p>
    <w:p w:rsidR="00867290" w:rsidRPr="00BB2924" w:rsidRDefault="00867290" w:rsidP="00FC0A30">
      <w:pPr>
        <w:pStyle w:val="HStandard"/>
        <w:rPr>
          <w:highlight w:val="yellow"/>
        </w:rPr>
      </w:pPr>
      <w:r>
        <w:rPr>
          <w:highlight w:val="yellow"/>
        </w:rPr>
        <w:t>RD: Zajednička evaluacijska pitanja za PRR-ove 2014. – 2020. daju primjere dodatnih informacija koje se prikupljaju za odgovaranje na zajedničko evaluacijsko pitanje koje se odnosi na NRM:</w:t>
      </w:r>
    </w:p>
    <w:p w:rsidR="00867290" w:rsidRPr="00BB2924" w:rsidRDefault="00867290" w:rsidP="00975D9B">
      <w:pPr>
        <w:pStyle w:val="Hlistbullet2"/>
        <w:rPr>
          <w:highlight w:val="yellow"/>
        </w:rPr>
      </w:pPr>
      <w:r>
        <w:rPr>
          <w:highlight w:val="yellow"/>
        </w:rPr>
        <w:t>broj dionika (prema tipu) koji sudjeluju u provedbi PRR-a zbog aktivnosti NRM-a (uključujući i aktivnosti LAG-ova);</w:t>
      </w:r>
    </w:p>
    <w:p w:rsidR="00867290" w:rsidRPr="00BB2924" w:rsidRDefault="00867290" w:rsidP="00975D9B">
      <w:pPr>
        <w:pStyle w:val="Hlistbullet2"/>
        <w:rPr>
          <w:highlight w:val="yellow"/>
        </w:rPr>
      </w:pPr>
      <w:r>
        <w:rPr>
          <w:highlight w:val="yellow"/>
        </w:rPr>
        <w:t>broj modifikacija PRR-a utemeljenih na nalazima evaluacije i preporukama tematskih radnih skupina koje je organizirao NRM;</w:t>
      </w:r>
    </w:p>
    <w:p w:rsidR="00867290" w:rsidRPr="00BB2924" w:rsidRDefault="00867290" w:rsidP="00975D9B">
      <w:pPr>
        <w:pStyle w:val="Hlistbullet2"/>
        <w:rPr>
          <w:highlight w:val="yellow"/>
        </w:rPr>
      </w:pPr>
      <w:r>
        <w:rPr>
          <w:highlight w:val="yellow"/>
        </w:rPr>
        <w:t>postotak projekata koje je proveo PRR potaknutih aktivnostima (P)NRM-a;</w:t>
      </w:r>
    </w:p>
    <w:p w:rsidR="00867290" w:rsidRPr="00BB2924" w:rsidRDefault="00867290" w:rsidP="00975D9B">
      <w:pPr>
        <w:pStyle w:val="Hlistbullet2"/>
        <w:rPr>
          <w:highlight w:val="yellow"/>
        </w:rPr>
      </w:pPr>
      <w:r>
        <w:rPr>
          <w:highlight w:val="yellow"/>
        </w:rPr>
        <w:t>broj osoba obaviještenih o politici ruralnog razvoja i prilikama za financiranje putem komunikacijskih alata NRM-a;</w:t>
      </w:r>
    </w:p>
    <w:p w:rsidR="00867290" w:rsidRPr="00BB2924" w:rsidRDefault="00867290" w:rsidP="00975D9B">
      <w:pPr>
        <w:pStyle w:val="Hlistbullet2"/>
        <w:rPr>
          <w:highlight w:val="yellow"/>
        </w:rPr>
      </w:pPr>
      <w:r>
        <w:rPr>
          <w:highlight w:val="yellow"/>
        </w:rPr>
        <w:t>postotak inovativnih projekata koje je potaknuo NRM od ukupnog broja inovativnih projekata koje su poduprli PRR-ovi.</w:t>
      </w:r>
    </w:p>
    <w:p w:rsidR="00867290" w:rsidRPr="00BB2924" w:rsidRDefault="00867290" w:rsidP="00FC0A30">
      <w:pPr>
        <w:pStyle w:val="HStandard"/>
        <w:rPr>
          <w:highlight w:val="yellow"/>
        </w:rPr>
      </w:pPr>
      <w:r>
        <w:rPr>
          <w:highlight w:val="yellow"/>
        </w:rPr>
        <w:t xml:space="preserve">Ovaj popis može poslužiti kao temelj za formuliranje dodatnih pokazatelja. Popis nije iscrpan i može ga se dopuniti s više dodatnih pokazatelja. Osim toga, ovisno o NRM-u, posebna intervencijska logika i evaluacijska pitanja za pojedine programe mogu zahtijevati razvoj pokazatelja za pojedine programe koji bi se upotrebljavali pri odgovaranju na pitanja. </w:t>
      </w:r>
    </w:p>
    <w:p w:rsidR="00867290" w:rsidRPr="00BB2924" w:rsidRDefault="00867290" w:rsidP="00FC0A30">
      <w:pPr>
        <w:pStyle w:val="HStandard"/>
        <w:rPr>
          <w:highlight w:val="yellow"/>
        </w:rPr>
      </w:pPr>
      <w:r>
        <w:rPr>
          <w:highlight w:val="yellow"/>
        </w:rPr>
        <w:lastRenderedPageBreak/>
        <w:t xml:space="preserve">Praktičan pristup razvijanju pokazatelja NRM-a za pojedine programe jest korištenje tablice u kojoj su navedeni ciljevi i evaluacijska pitanja na svakoj razini hijerarhije (ostvarenje, rezultat, učinak). To je prikazano u </w:t>
      </w:r>
      <w:r>
        <w:rPr>
          <w:highlight w:val="yellow"/>
        </w:rPr>
        <w:fldChar w:fldCharType="begin" w:fldLock="1"/>
      </w:r>
      <w:r>
        <w:rPr>
          <w:highlight w:val="yellow"/>
        </w:rPr>
        <w:instrText xml:space="preserve"> REF _Ref451784970 \r \h  \* MERGEFORMAT </w:instrText>
      </w:r>
      <w:r>
        <w:rPr>
          <w:highlight w:val="yellow"/>
        </w:rPr>
      </w:r>
      <w:r>
        <w:rPr>
          <w:highlight w:val="yellow"/>
        </w:rPr>
        <w:fldChar w:fldCharType="separate"/>
      </w:r>
      <w:r>
        <w:rPr>
          <w:highlight w:val="yellow"/>
        </w:rPr>
        <w:t>Table 7</w:t>
      </w:r>
      <w:r>
        <w:rPr>
          <w:highlight w:val="yellow"/>
        </w:rPr>
        <w:fldChar w:fldCharType="end"/>
      </w:r>
      <w:r>
        <w:rPr>
          <w:highlight w:val="yellow"/>
        </w:rPr>
        <w:t xml:space="preserve"> koristeći se primjerom o inovaciji koji je prethodno upotrijebljen.</w:t>
      </w:r>
    </w:p>
    <w:p w:rsidR="00867290" w:rsidRPr="00BB2924" w:rsidRDefault="00867290">
      <w:pPr>
        <w:spacing w:after="0" w:line="240" w:lineRule="auto"/>
        <w:rPr>
          <w:rFonts w:cs="Arial"/>
          <w:color w:val="576C88" w:themeColor="text2" w:themeTint="D9"/>
          <w:sz w:val="20"/>
          <w:szCs w:val="20"/>
          <w:highlight w:val="yellow"/>
        </w:rPr>
      </w:pPr>
      <w:r>
        <w:br w:type="page"/>
      </w:r>
    </w:p>
    <w:p w:rsidR="00867290" w:rsidRPr="00BB2924" w:rsidRDefault="00867290" w:rsidP="006F6D66">
      <w:pPr>
        <w:pStyle w:val="HHeadingtables"/>
        <w:numPr>
          <w:ilvl w:val="0"/>
          <w:numId w:val="0"/>
        </w:numPr>
        <w:rPr>
          <w:sz w:val="20"/>
          <w:highlight w:val="yellow"/>
        </w:rPr>
      </w:pPr>
      <w:bookmarkStart w:id="131" w:name="_Toc451781911"/>
      <w:bookmarkStart w:id="132" w:name="_Ref451784970"/>
      <w:bookmarkStart w:id="133" w:name="_Toc461713643"/>
      <w:bookmarkStart w:id="134" w:name="_Ref435792426"/>
      <w:bookmarkStart w:id="135" w:name="_Toc436383149"/>
      <w:r>
        <w:rPr>
          <w:highlight w:val="yellow"/>
        </w:rPr>
        <w:lastRenderedPageBreak/>
        <w:t>Tablica 7. Primjer povezivanja ciljeva, evaluacijskih pitanja i pokazatelja koji se odnose na NRM</w:t>
      </w:r>
      <w:bookmarkEnd w:id="131"/>
      <w:bookmarkEnd w:id="132"/>
      <w:bookmarkEnd w:id="133"/>
      <w:r>
        <w:rPr>
          <w:highlight w:val="yellow"/>
        </w:rPr>
        <w:t xml:space="preserve"> </w:t>
      </w:r>
      <w:bookmarkEnd w:id="134"/>
      <w:bookmarkEnd w:id="135"/>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ook w:val="04A0" w:firstRow="1" w:lastRow="0" w:firstColumn="1" w:lastColumn="0" w:noHBand="0" w:noVBand="1"/>
      </w:tblPr>
      <w:tblGrid>
        <w:gridCol w:w="1711"/>
        <w:gridCol w:w="2562"/>
        <w:gridCol w:w="2454"/>
        <w:gridCol w:w="2289"/>
      </w:tblGrid>
      <w:tr w:rsidR="00867290" w:rsidRPr="00BB2924" w:rsidTr="00FC0A30">
        <w:tc>
          <w:tcPr>
            <w:tcW w:w="1711" w:type="dxa"/>
            <w:shd w:val="clear" w:color="auto" w:fill="E7E6E6" w:themeFill="background2"/>
          </w:tcPr>
          <w:p w:rsidR="00867290" w:rsidRPr="00BB2924" w:rsidRDefault="00867290" w:rsidP="00D322AA">
            <w:pPr>
              <w:pStyle w:val="Htableleftbolt"/>
              <w:rPr>
                <w:color w:val="5B9BD5" w:themeColor="accent1"/>
                <w:highlight w:val="yellow"/>
              </w:rPr>
            </w:pPr>
            <w:r>
              <w:rPr>
                <w:color w:val="5B9BD5" w:themeColor="accent1"/>
                <w:highlight w:val="yellow"/>
              </w:rPr>
              <w:t>Razina ciljeva u hijerarhiji intervencijske logike NRM-a</w:t>
            </w:r>
          </w:p>
        </w:tc>
        <w:tc>
          <w:tcPr>
            <w:tcW w:w="2562" w:type="dxa"/>
            <w:shd w:val="clear" w:color="auto" w:fill="E7E6E6" w:themeFill="background2"/>
          </w:tcPr>
          <w:p w:rsidR="00867290" w:rsidRPr="00BB2924" w:rsidRDefault="00867290" w:rsidP="00D322AA">
            <w:pPr>
              <w:pStyle w:val="Htableleftbolt"/>
              <w:rPr>
                <w:color w:val="5B9BD5" w:themeColor="accent1"/>
                <w:highlight w:val="yellow"/>
              </w:rPr>
            </w:pPr>
            <w:r>
              <w:rPr>
                <w:color w:val="5B9BD5" w:themeColor="accent1"/>
                <w:highlight w:val="yellow"/>
              </w:rPr>
              <w:t>Ciljevi NRM-a</w:t>
            </w:r>
          </w:p>
          <w:p w:rsidR="00867290" w:rsidRPr="00BB2924" w:rsidRDefault="00867290" w:rsidP="00D322AA">
            <w:pPr>
              <w:pStyle w:val="Htableleftbolt"/>
              <w:rPr>
                <w:b w:val="0"/>
                <w:color w:val="5B9BD5" w:themeColor="accent1"/>
                <w:highlight w:val="yellow"/>
              </w:rPr>
            </w:pPr>
            <w:r>
              <w:rPr>
                <w:b w:val="0"/>
                <w:color w:val="5B9BD5" w:themeColor="accent1"/>
                <w:highlight w:val="yellow"/>
              </w:rPr>
              <w:t>(ZC – Zajednički ciljevi</w:t>
            </w:r>
          </w:p>
          <w:p w:rsidR="00867290" w:rsidRPr="00BB2924" w:rsidRDefault="00867290" w:rsidP="007E5B15">
            <w:pPr>
              <w:pStyle w:val="Htableleftbolt"/>
              <w:rPr>
                <w:color w:val="5B9BD5" w:themeColor="accent1"/>
                <w:highlight w:val="yellow"/>
              </w:rPr>
            </w:pPr>
            <w:r>
              <w:rPr>
                <w:b w:val="0"/>
                <w:color w:val="5B9BD5" w:themeColor="accent1"/>
                <w:highlight w:val="yellow"/>
              </w:rPr>
              <w:t>CPP – Ciljevi za pojedine programe)</w:t>
            </w:r>
          </w:p>
        </w:tc>
        <w:tc>
          <w:tcPr>
            <w:tcW w:w="2454" w:type="dxa"/>
            <w:shd w:val="clear" w:color="auto" w:fill="E7E6E6" w:themeFill="background2"/>
          </w:tcPr>
          <w:p w:rsidR="00867290" w:rsidRPr="00BB2924" w:rsidRDefault="00867290" w:rsidP="00D322AA">
            <w:pPr>
              <w:pStyle w:val="Htableleftbolt"/>
              <w:rPr>
                <w:color w:val="5B9BD5" w:themeColor="accent1"/>
                <w:highlight w:val="yellow"/>
              </w:rPr>
            </w:pPr>
            <w:r>
              <w:rPr>
                <w:color w:val="5B9BD5" w:themeColor="accent1"/>
                <w:highlight w:val="yellow"/>
              </w:rPr>
              <w:t>Evaluacijska pitanja NRM-a</w:t>
            </w:r>
          </w:p>
          <w:p w:rsidR="00867290" w:rsidRPr="00BB2924" w:rsidRDefault="00867290" w:rsidP="00D322AA">
            <w:pPr>
              <w:pStyle w:val="Htableleftbolt"/>
              <w:rPr>
                <w:b w:val="0"/>
                <w:color w:val="5B9BD5" w:themeColor="accent1"/>
                <w:highlight w:val="yellow"/>
              </w:rPr>
            </w:pPr>
            <w:r>
              <w:rPr>
                <w:b w:val="0"/>
                <w:color w:val="5B9BD5" w:themeColor="accent1"/>
                <w:highlight w:val="yellow"/>
              </w:rPr>
              <w:t>(ZEP – Zajednička evaluacijska pitanja</w:t>
            </w:r>
          </w:p>
          <w:p w:rsidR="00867290" w:rsidRPr="00BB2924" w:rsidRDefault="00867290" w:rsidP="00D322AA">
            <w:pPr>
              <w:pStyle w:val="Htableleftbolt"/>
              <w:rPr>
                <w:color w:val="5B9BD5" w:themeColor="accent1"/>
                <w:highlight w:val="yellow"/>
              </w:rPr>
            </w:pPr>
            <w:r>
              <w:rPr>
                <w:b w:val="0"/>
                <w:color w:val="5B9BD5" w:themeColor="accent1"/>
                <w:highlight w:val="yellow"/>
              </w:rPr>
              <w:t>EPPP – Evaluacijska pitanja za pojedine programe)</w:t>
            </w:r>
          </w:p>
        </w:tc>
        <w:tc>
          <w:tcPr>
            <w:tcW w:w="2289" w:type="dxa"/>
            <w:shd w:val="clear" w:color="auto" w:fill="E7E6E6" w:themeFill="background2"/>
          </w:tcPr>
          <w:p w:rsidR="00867290" w:rsidRPr="00BB2924" w:rsidRDefault="00867290" w:rsidP="00D322AA">
            <w:pPr>
              <w:pStyle w:val="Htableleftbolt"/>
              <w:rPr>
                <w:color w:val="5B9BD5" w:themeColor="accent1"/>
                <w:highlight w:val="yellow"/>
              </w:rPr>
            </w:pPr>
            <w:r>
              <w:rPr>
                <w:color w:val="5B9BD5" w:themeColor="accent1"/>
                <w:highlight w:val="yellow"/>
              </w:rPr>
              <w:t>Pokazatelji NRM-a</w:t>
            </w:r>
          </w:p>
          <w:p w:rsidR="00867290" w:rsidRPr="00BB2924" w:rsidRDefault="00867290" w:rsidP="00D322AA">
            <w:pPr>
              <w:pStyle w:val="Htableleftbolt"/>
              <w:rPr>
                <w:b w:val="0"/>
                <w:color w:val="5B9BD5" w:themeColor="accent1"/>
                <w:szCs w:val="16"/>
                <w:highlight w:val="yellow"/>
              </w:rPr>
            </w:pPr>
            <w:r>
              <w:rPr>
                <w:b w:val="0"/>
                <w:color w:val="5B9BD5" w:themeColor="accent1"/>
                <w:highlight w:val="yellow"/>
              </w:rPr>
              <w:t>(ZO – Zajednička ostvarenja</w:t>
            </w:r>
          </w:p>
          <w:p w:rsidR="00867290" w:rsidRPr="00BB2924" w:rsidRDefault="00867290" w:rsidP="00D322AA">
            <w:pPr>
              <w:pStyle w:val="Htableleftbolt"/>
              <w:rPr>
                <w:b w:val="0"/>
                <w:color w:val="5B9BD5" w:themeColor="accent1"/>
                <w:szCs w:val="16"/>
                <w:highlight w:val="yellow"/>
              </w:rPr>
            </w:pPr>
            <w:r>
              <w:rPr>
                <w:b w:val="0"/>
                <w:color w:val="5B9BD5" w:themeColor="accent1"/>
                <w:highlight w:val="yellow"/>
              </w:rPr>
              <w:t>RPP – rezultati za pojedine programe</w:t>
            </w:r>
          </w:p>
          <w:p w:rsidR="00867290" w:rsidRPr="00BB2924" w:rsidRDefault="00867290" w:rsidP="007E5B15">
            <w:pPr>
              <w:pStyle w:val="Htableleftbolt"/>
              <w:rPr>
                <w:color w:val="5B9BD5" w:themeColor="accent1"/>
                <w:highlight w:val="yellow"/>
              </w:rPr>
            </w:pPr>
            <w:r>
              <w:rPr>
                <w:b w:val="0"/>
                <w:color w:val="5B9BD5" w:themeColor="accent1"/>
                <w:highlight w:val="yellow"/>
              </w:rPr>
              <w:t>UPP – učinci za pojedine programe)</w:t>
            </w:r>
          </w:p>
        </w:tc>
      </w:tr>
      <w:tr w:rsidR="00867290" w:rsidRPr="00BB2924" w:rsidTr="00FC0A30">
        <w:tc>
          <w:tcPr>
            <w:tcW w:w="1711"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Operativni ciljevi (razina aktivnosti i ostvarenja)</w:t>
            </w:r>
          </w:p>
        </w:tc>
        <w:tc>
          <w:tcPr>
            <w:tcW w:w="2562"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CPP: Olakšati tematske i analitičke razmjene između dionika ruralnog razvoja</w:t>
            </w:r>
          </w:p>
          <w:p w:rsidR="00867290" w:rsidRPr="00BB2924" w:rsidRDefault="00867290" w:rsidP="00FC0A30">
            <w:pPr>
              <w:pStyle w:val="Htableleft"/>
              <w:rPr>
                <w:color w:val="576C88" w:themeColor="text2" w:themeTint="D9"/>
                <w:highlight w:val="yellow"/>
              </w:rPr>
            </w:pPr>
            <w:r>
              <w:rPr>
                <w:color w:val="576C88" w:themeColor="text2" w:themeTint="D9"/>
                <w:highlight w:val="yellow"/>
              </w:rPr>
              <w:t>CPP: Osigurati aktivnosti umrežavanja za savjetnike i uspostavu potpore za inovacije</w:t>
            </w:r>
          </w:p>
          <w:p w:rsidR="00867290" w:rsidRPr="00BB2924" w:rsidRDefault="00867290" w:rsidP="00FC0A30">
            <w:pPr>
              <w:pStyle w:val="Htableleft"/>
              <w:rPr>
                <w:color w:val="576C88" w:themeColor="text2" w:themeTint="D9"/>
                <w:highlight w:val="yellow"/>
              </w:rPr>
            </w:pPr>
            <w:r>
              <w:rPr>
                <w:color w:val="576C88" w:themeColor="text2" w:themeTint="D9"/>
                <w:highlight w:val="yellow"/>
              </w:rPr>
              <w:t>CPP: Osigurati aktivnosti obuke i umrežavanja za LAG-ove</w:t>
            </w:r>
          </w:p>
          <w:p w:rsidR="00867290" w:rsidRPr="00BB2924" w:rsidRDefault="00867290" w:rsidP="00FC0A30">
            <w:pPr>
              <w:pStyle w:val="Htableleft"/>
              <w:rPr>
                <w:color w:val="576C88" w:themeColor="text2" w:themeTint="D9"/>
                <w:highlight w:val="yellow"/>
              </w:rPr>
            </w:pPr>
            <w:r>
              <w:rPr>
                <w:color w:val="576C88" w:themeColor="text2" w:themeTint="D9"/>
                <w:highlight w:val="yellow"/>
              </w:rPr>
              <w:t>CPP: Prikupiti primjere projekata</w:t>
            </w:r>
          </w:p>
        </w:tc>
        <w:tc>
          <w:tcPr>
            <w:tcW w:w="2454"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EPPP: Koliko je tematskih razmjena, baza podataka inovativnih projekata dostupnih javnosti i obuka o inovacijama dobiveno aktivnostima NRM-a?</w:t>
            </w:r>
          </w:p>
        </w:tc>
        <w:tc>
          <w:tcPr>
            <w:tcW w:w="2289"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(ZC) Broj tematskih i analitičkih razmjena utvrđenih potporom nacionalnih ruralnih mreža, od kojih, broj obuka o inovacijama</w:t>
            </w:r>
          </w:p>
          <w:p w:rsidR="00867290" w:rsidRPr="00BB2924" w:rsidRDefault="00867290" w:rsidP="00FC0A30">
            <w:pPr>
              <w:pStyle w:val="Htableleft"/>
              <w:rPr>
                <w:color w:val="576C88" w:themeColor="text2" w:themeTint="D9"/>
                <w:highlight w:val="yellow"/>
              </w:rPr>
            </w:pPr>
            <w:r>
              <w:rPr>
                <w:color w:val="576C88" w:themeColor="text2" w:themeTint="D9"/>
                <w:highlight w:val="yellow"/>
              </w:rPr>
              <w:t>(ZC) Broj komunikacijskih alata s konkretnim fokusom na baze podataka o inovativnim projektima, dostupne javnosti</w:t>
            </w:r>
          </w:p>
        </w:tc>
      </w:tr>
      <w:tr w:rsidR="00867290" w:rsidRPr="00BB2924" w:rsidTr="00FC0A30">
        <w:tc>
          <w:tcPr>
            <w:tcW w:w="1711"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Pojedini ciljevi (razina rezultata)</w:t>
            </w:r>
          </w:p>
        </w:tc>
        <w:tc>
          <w:tcPr>
            <w:tcW w:w="2562"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 xml:space="preserve"> (CPP) Ojačati suradnju, razmjenu i umrežavanje među inovacijskim projektnim partnerima u ruralnim područjima NRM-om</w:t>
            </w:r>
          </w:p>
          <w:p w:rsidR="00867290" w:rsidRPr="00BB2924" w:rsidRDefault="00867290" w:rsidP="00FC0A30">
            <w:pPr>
              <w:pStyle w:val="Htableleft"/>
              <w:rPr>
                <w:color w:val="576C88" w:themeColor="text2" w:themeTint="D9"/>
                <w:highlight w:val="yellow"/>
              </w:rPr>
            </w:pPr>
            <w:r>
              <w:rPr>
                <w:color w:val="576C88" w:themeColor="text2" w:themeTint="D9"/>
                <w:highlight w:val="yellow"/>
              </w:rPr>
              <w:t>(CPP) Jačajući pojavljivanje inovativnih proizvoda i tržišta, procesa i oblika organizacije</w:t>
            </w:r>
          </w:p>
          <w:p w:rsidR="00867290" w:rsidRPr="00BB2924" w:rsidRDefault="00867290" w:rsidP="00FC0A30">
            <w:pPr>
              <w:pStyle w:val="Htableleft"/>
              <w:rPr>
                <w:color w:val="576C88" w:themeColor="text2" w:themeTint="D9"/>
                <w:highlight w:val="yellow"/>
              </w:rPr>
            </w:pPr>
          </w:p>
        </w:tc>
        <w:tc>
          <w:tcPr>
            <w:tcW w:w="2454"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EPPP: (CPP) U kojoj su mjeri aktivnosti NRM-a pridonijele povećanoj suradnji, razmjeni i umrežavanju među inovacijskim projektnim partnerima?</w:t>
            </w:r>
          </w:p>
          <w:p w:rsidR="00867290" w:rsidRPr="00BB2924" w:rsidRDefault="00867290" w:rsidP="00FC0A30">
            <w:pPr>
              <w:pStyle w:val="Htableleft"/>
              <w:rPr>
                <w:color w:val="576C88" w:themeColor="text2" w:themeTint="D9"/>
                <w:highlight w:val="yellow"/>
              </w:rPr>
            </w:pPr>
            <w:r>
              <w:rPr>
                <w:color w:val="576C88" w:themeColor="text2" w:themeTint="D9"/>
                <w:highlight w:val="yellow"/>
              </w:rPr>
              <w:t>EPPP: U kojoj su mjeri inovativne projekte razvijali korisnici NRM-a?</w:t>
            </w:r>
          </w:p>
        </w:tc>
        <w:tc>
          <w:tcPr>
            <w:tcW w:w="2289"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(RPP) Broj dodatnih mreža / partnerstava / suradničkih skupina među partnerima u projektima inovacije koje je potaknuo NRM</w:t>
            </w:r>
          </w:p>
          <w:p w:rsidR="00867290" w:rsidRPr="00BB2924" w:rsidRDefault="00867290" w:rsidP="00FC0A30">
            <w:pPr>
              <w:pStyle w:val="Htableleft"/>
              <w:rPr>
                <w:color w:val="576C88" w:themeColor="text2" w:themeTint="D9"/>
                <w:highlight w:val="yellow"/>
              </w:rPr>
            </w:pPr>
            <w:r>
              <w:rPr>
                <w:color w:val="576C88" w:themeColor="text2" w:themeTint="D9"/>
                <w:highlight w:val="yellow"/>
              </w:rPr>
              <w:t xml:space="preserve">(RPP) Broj inovativnih proizvoda i tržišta, procesa i oblika organizacije koje su razvili korisnici NRM-a </w:t>
            </w:r>
          </w:p>
        </w:tc>
      </w:tr>
      <w:tr w:rsidR="00867290" w:rsidRPr="00BB2924" w:rsidTr="00FC0A30">
        <w:tc>
          <w:tcPr>
            <w:tcW w:w="1711"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Sveobuhvatni ciljevi (razina učinka)</w:t>
            </w:r>
          </w:p>
        </w:tc>
        <w:tc>
          <w:tcPr>
            <w:tcW w:w="2562"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(ZC) Poticati inovacije u poljoprivredi, proizvodnji hrane, šumarstvu i ruralnim područjima</w:t>
            </w:r>
          </w:p>
        </w:tc>
        <w:tc>
          <w:tcPr>
            <w:tcW w:w="2454" w:type="dxa"/>
            <w:shd w:val="clear" w:color="auto" w:fill="auto"/>
          </w:tcPr>
          <w:p w:rsidR="00867290" w:rsidRPr="00BB2924" w:rsidRDefault="00867290" w:rsidP="00C62AF9">
            <w:pPr>
              <w:pStyle w:val="Htableleft"/>
              <w:rPr>
                <w:color w:val="576C88" w:themeColor="text2" w:themeTint="D9"/>
                <w:highlight w:val="yellow"/>
              </w:rPr>
            </w:pPr>
            <w:r>
              <w:rPr>
                <w:color w:val="576C88" w:themeColor="text2" w:themeTint="D9"/>
                <w:highlight w:val="yellow"/>
              </w:rPr>
              <w:t xml:space="preserve">ZEP: U kojoj je mjeri NRM pridonio (cilj politike EU-a) poticanju inovacija u poljoprivredi, proizvodnji hrane, šumarstvu i ruralnim područjima? </w:t>
            </w:r>
          </w:p>
        </w:tc>
        <w:tc>
          <w:tcPr>
            <w:tcW w:w="2289" w:type="dxa"/>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(UPP) Postotak inovativnih proizvoda i tržišta, procesa i oblika organizacije u lancu vrijednosti i u ruralnim područjima, razvijenih, prenesenih i potaknutih u ruralnim područjima zbog aktivnosti NRM-a</w:t>
            </w:r>
          </w:p>
          <w:p w:rsidR="00867290" w:rsidRPr="00BB2924" w:rsidRDefault="00867290" w:rsidP="00FC0A30">
            <w:pPr>
              <w:pStyle w:val="Htableleft"/>
              <w:rPr>
                <w:color w:val="576C88" w:themeColor="text2" w:themeTint="D9"/>
                <w:highlight w:val="yellow"/>
              </w:rPr>
            </w:pPr>
            <w:r>
              <w:rPr>
                <w:color w:val="576C88" w:themeColor="text2" w:themeTint="D9"/>
                <w:highlight w:val="yellow"/>
              </w:rPr>
              <w:t>(UPP) Broj patenata, prototipa razvijenih/primijenjenih u poljoprivredi i šumarstvu zbog NRM-a</w:t>
            </w:r>
          </w:p>
        </w:tc>
      </w:tr>
    </w:tbl>
    <w:p w:rsidR="00867290" w:rsidRPr="00BB2924" w:rsidRDefault="00867290" w:rsidP="00FC0A30">
      <w:pPr>
        <w:pStyle w:val="HSource"/>
        <w:rPr>
          <w:highlight w:val="yellow"/>
        </w:rPr>
      </w:pPr>
      <w:r>
        <w:rPr>
          <w:highlight w:val="yellow"/>
        </w:rPr>
        <w:t>Izvor: Europski centar za pomoć pri evaluaciji za ruralni razvoj, 2016.</w:t>
      </w:r>
    </w:p>
    <w:p w:rsidR="00867290" w:rsidRPr="00BB2924" w:rsidRDefault="00867290" w:rsidP="00FC0A30">
      <w:pPr>
        <w:pStyle w:val="HStandard"/>
        <w:rPr>
          <w:highlight w:val="yellow"/>
        </w:rPr>
      </w:pPr>
      <w:r>
        <w:rPr>
          <w:highlight w:val="yellow"/>
        </w:rPr>
        <w:t>Pokazatelji za pojedine programe koji se odnose na NRM razvijaju se u skladu s evaluacijskim pitanjima i ciljevima politike/kriterijima prosudbe koji se odnose na NRM. Kriterijima „RACER” trebalo bi se koristiti u razvoju pokazatelja NRM-a za pojedine programe</w:t>
      </w:r>
      <w:r>
        <w:rPr>
          <w:rFonts w:ascii="ZWAdobeF" w:hAnsi="ZWAdobeF"/>
          <w:color w:val="auto"/>
          <w:sz w:val="2"/>
          <w:highlight w:val="yellow"/>
        </w:rPr>
        <w:t>79F</w:t>
      </w:r>
      <w:r>
        <w:rPr>
          <w:rStyle w:val="FootnoteReference"/>
          <w:highlight w:val="yellow"/>
        </w:rPr>
        <w:footnoteReference w:id="80"/>
      </w:r>
      <w:r>
        <w:rPr>
          <w:highlight w:val="yellow"/>
        </w:rPr>
        <w:t>, prema:</w:t>
      </w:r>
    </w:p>
    <w:p w:rsidR="00867290" w:rsidRPr="00BB2924" w:rsidRDefault="00867290">
      <w:pPr>
        <w:spacing w:after="0" w:line="240" w:lineRule="auto"/>
        <w:rPr>
          <w:rFonts w:cs="Arial"/>
          <w:color w:val="576C88" w:themeColor="text2" w:themeTint="D9"/>
          <w:sz w:val="20"/>
          <w:szCs w:val="20"/>
          <w:highlight w:val="yellow"/>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67"/>
        <w:gridCol w:w="7549"/>
      </w:tblGrid>
      <w:tr w:rsidR="00867290" w:rsidRPr="00BB2924" w:rsidTr="00D322AA">
        <w:trPr>
          <w:trHeight w:val="780"/>
        </w:trPr>
        <w:tc>
          <w:tcPr>
            <w:tcW w:w="1467" w:type="dxa"/>
            <w:shd w:val="clear" w:color="auto" w:fill="E7E6E6" w:themeFill="background2"/>
          </w:tcPr>
          <w:p w:rsidR="00867290" w:rsidRPr="00BB2924" w:rsidRDefault="00867290"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lastRenderedPageBreak/>
              <w:t>Relevantno</w:t>
            </w:r>
          </w:p>
        </w:tc>
        <w:tc>
          <w:tcPr>
            <w:tcW w:w="7549" w:type="dxa"/>
          </w:tcPr>
          <w:p w:rsidR="00867290" w:rsidRPr="00BB2924" w:rsidRDefault="00867290" w:rsidP="002012FB">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 xml:space="preserve">Jesu li pokazatelji blisko povezani s ciljevima koje treba dosegnuti? Jesu li iskazani na pravoj razini – jesu li pokazatelji učinka stvarno pokazatelji učinka i referiraju li pokazatelji rezultata na rezultate? </w:t>
            </w:r>
          </w:p>
        </w:tc>
      </w:tr>
      <w:tr w:rsidR="00867290" w:rsidRPr="00BB2924" w:rsidTr="001249DA">
        <w:trPr>
          <w:trHeight w:val="376"/>
        </w:trPr>
        <w:tc>
          <w:tcPr>
            <w:tcW w:w="1467" w:type="dxa"/>
            <w:shd w:val="clear" w:color="auto" w:fill="E7E6E6" w:themeFill="background2"/>
          </w:tcPr>
          <w:p w:rsidR="00867290" w:rsidRPr="00BB2924" w:rsidRDefault="00867290"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Prihvaćeno</w:t>
            </w:r>
          </w:p>
        </w:tc>
        <w:tc>
          <w:tcPr>
            <w:tcW w:w="7549" w:type="dxa"/>
          </w:tcPr>
          <w:p w:rsidR="00867290" w:rsidRPr="00BB2924" w:rsidRDefault="00867290"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Prihvaćaju li ih dionici?</w:t>
            </w:r>
          </w:p>
        </w:tc>
      </w:tr>
      <w:tr w:rsidR="00867290" w:rsidRPr="00BB2924" w:rsidTr="001249DA">
        <w:trPr>
          <w:trHeight w:val="523"/>
        </w:trPr>
        <w:tc>
          <w:tcPr>
            <w:tcW w:w="1467" w:type="dxa"/>
            <w:shd w:val="clear" w:color="auto" w:fill="E7E6E6" w:themeFill="background2"/>
          </w:tcPr>
          <w:p w:rsidR="00867290" w:rsidRPr="00BB2924" w:rsidRDefault="00867290" w:rsidP="00A80588">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Vjerodostojno</w:t>
            </w:r>
          </w:p>
        </w:tc>
        <w:tc>
          <w:tcPr>
            <w:tcW w:w="7549" w:type="dxa"/>
          </w:tcPr>
          <w:p w:rsidR="00867290" w:rsidRPr="00BB2924" w:rsidRDefault="00867290" w:rsidP="006F6D66">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Jesu li prihvaćeni na vanjskoj razini, nedvosmisleni i nestručnjacima laki za tumačenje?</w:t>
            </w:r>
          </w:p>
        </w:tc>
      </w:tr>
      <w:tr w:rsidR="00867290" w:rsidRPr="00BB2924" w:rsidTr="00D322AA">
        <w:trPr>
          <w:trHeight w:val="525"/>
        </w:trPr>
        <w:tc>
          <w:tcPr>
            <w:tcW w:w="1467" w:type="dxa"/>
            <w:shd w:val="clear" w:color="auto" w:fill="E7E6E6" w:themeFill="background2"/>
          </w:tcPr>
          <w:p w:rsidR="00867290" w:rsidRPr="00BB2924" w:rsidRDefault="00867290"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Lako</w:t>
            </w:r>
          </w:p>
        </w:tc>
        <w:tc>
          <w:tcPr>
            <w:tcW w:w="7549" w:type="dxa"/>
          </w:tcPr>
          <w:p w:rsidR="00867290" w:rsidRPr="00BB2924" w:rsidRDefault="00867290"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Je li ih lako pratiti?</w:t>
            </w:r>
          </w:p>
        </w:tc>
      </w:tr>
      <w:tr w:rsidR="00867290" w:rsidRPr="00BB2924" w:rsidTr="001249DA">
        <w:trPr>
          <w:trHeight w:val="389"/>
        </w:trPr>
        <w:tc>
          <w:tcPr>
            <w:tcW w:w="1467" w:type="dxa"/>
            <w:shd w:val="clear" w:color="auto" w:fill="E7E6E6" w:themeFill="background2"/>
          </w:tcPr>
          <w:p w:rsidR="00867290" w:rsidRPr="00BB2924" w:rsidRDefault="00867290" w:rsidP="00D322AA">
            <w:pPr>
              <w:pStyle w:val="Default"/>
              <w:jc w:val="center"/>
              <w:rPr>
                <w:rFonts w:ascii="Arial" w:hAnsi="Arial" w:cs="Arial"/>
                <w:b/>
                <w:color w:val="5B9BD5" w:themeColor="accent1"/>
                <w:sz w:val="18"/>
                <w:szCs w:val="18"/>
                <w:highlight w:val="yellow"/>
              </w:rPr>
            </w:pPr>
            <w:r>
              <w:rPr>
                <w:rFonts w:ascii="Arial" w:hAnsi="Arial"/>
                <w:b/>
                <w:color w:val="5B9BD5" w:themeColor="accent1"/>
                <w:sz w:val="18"/>
                <w:highlight w:val="yellow"/>
              </w:rPr>
              <w:t>Konzistentno</w:t>
            </w:r>
          </w:p>
        </w:tc>
        <w:tc>
          <w:tcPr>
            <w:tcW w:w="7549" w:type="dxa"/>
          </w:tcPr>
          <w:p w:rsidR="00867290" w:rsidRPr="00BB2924" w:rsidRDefault="00867290" w:rsidP="00FC0A30">
            <w:pPr>
              <w:pStyle w:val="Default"/>
              <w:rPr>
                <w:rFonts w:ascii="Arial" w:hAnsi="Arial" w:cs="Arial"/>
                <w:color w:val="576C88" w:themeColor="text2" w:themeTint="D9"/>
                <w:sz w:val="18"/>
                <w:szCs w:val="18"/>
                <w:highlight w:val="yellow"/>
              </w:rPr>
            </w:pPr>
            <w:r>
              <w:rPr>
                <w:rFonts w:ascii="Arial" w:hAnsi="Arial"/>
                <w:color w:val="576C88" w:themeColor="text2" w:themeTint="D9"/>
                <w:sz w:val="18"/>
                <w:highlight w:val="yellow"/>
              </w:rPr>
              <w:t>Hoće li nastaviti biti korisni i jesu li takvi da se njima ne može lako manipulirati?</w:t>
            </w:r>
          </w:p>
        </w:tc>
      </w:tr>
    </w:tbl>
    <w:p w:rsidR="00867290" w:rsidRPr="00BB2924" w:rsidRDefault="00867290" w:rsidP="00FC0A30">
      <w:pPr>
        <w:pStyle w:val="HStandard"/>
        <w:rPr>
          <w:highlight w:val="yellow"/>
        </w:rPr>
      </w:pPr>
      <w:r>
        <w:rPr>
          <w:highlight w:val="yellow"/>
        </w:rPr>
        <w:t>Ispitivanje pokazatelja s točke gledišta prikupljanja podataka (kriterij lakoće) povezano je s isplativošću evaluacije. Prikupljanje podataka najveći je dio proračuna za evaluaciju. Prema tome, pri razvijanju pokazatelja uzet će se u obzir proporcionalnost. Ako je proračun NRM-a relativno malen, vjerojatno je nerealistično koristiti se pokazateljima koji zahtijevaju opsežno i skupo prikupljanje podataka.</w:t>
      </w:r>
    </w:p>
    <w:p w:rsidR="00867290" w:rsidRPr="00BB2924" w:rsidRDefault="00867290" w:rsidP="00FC0A30">
      <w:pPr>
        <w:pStyle w:val="HStandard"/>
        <w:rPr>
          <w:highlight w:val="yellow"/>
        </w:rPr>
      </w:pPr>
      <w:r>
        <w:rPr>
          <w:highlight w:val="yellow"/>
        </w:rPr>
        <w:t xml:space="preserve">Da sažmemo: sve važne elemente za evaluaciju NRM-a (ciljevi, evaluacijska pitanja, kriteriji i pokazatelji prosudbe) praktično je prikazati u obliku tablice (vidi primjer u </w:t>
      </w:r>
      <w:r>
        <w:rPr>
          <w:highlight w:val="yellow"/>
        </w:rPr>
        <w:fldChar w:fldCharType="begin" w:fldLock="1"/>
      </w:r>
      <w:r>
        <w:rPr>
          <w:highlight w:val="yellow"/>
        </w:rPr>
        <w:instrText xml:space="preserve"> REF _Ref451784980 \r \h  \* MERGEFORMAT </w:instrText>
      </w:r>
      <w:r>
        <w:rPr>
          <w:highlight w:val="yellow"/>
        </w:rPr>
      </w:r>
      <w:r>
        <w:rPr>
          <w:highlight w:val="yellow"/>
        </w:rPr>
        <w:fldChar w:fldCharType="separate"/>
      </w:r>
      <w:r>
        <w:rPr>
          <w:highlight w:val="yellow"/>
        </w:rPr>
        <w:t>Table 8</w:t>
      </w:r>
      <w:r>
        <w:rPr>
          <w:highlight w:val="yellow"/>
        </w:rPr>
        <w:fldChar w:fldCharType="end"/>
      </w:r>
      <w:r>
        <w:rPr>
          <w:highlight w:val="yellow"/>
        </w:rPr>
        <w:t xml:space="preserve">). Kad se informacije sažmu u tablicu, lako je vidjeti praznine i osigurati vezu između cilja, evaluacijskih pitanja i predloženih mjera. </w:t>
      </w:r>
      <w:bookmarkStart w:id="136" w:name="_Toc436383150"/>
    </w:p>
    <w:p w:rsidR="00867290" w:rsidRPr="00BB2924" w:rsidRDefault="00867290" w:rsidP="006F6D66">
      <w:pPr>
        <w:pStyle w:val="HHeadingtables"/>
        <w:numPr>
          <w:ilvl w:val="0"/>
          <w:numId w:val="0"/>
        </w:numPr>
        <w:rPr>
          <w:highlight w:val="yellow"/>
        </w:rPr>
      </w:pPr>
      <w:bookmarkStart w:id="137" w:name="_Toc451781912"/>
      <w:bookmarkStart w:id="138" w:name="_Ref451784980"/>
      <w:bookmarkStart w:id="139" w:name="_Toc461713644"/>
      <w:r>
        <w:rPr>
          <w:highlight w:val="yellow"/>
        </w:rPr>
        <w:t>Tablica 8. Primjer elementa evaluacije NRM-a</w:t>
      </w:r>
      <w:bookmarkEnd w:id="137"/>
      <w:bookmarkEnd w:id="138"/>
      <w:bookmarkEnd w:id="139"/>
    </w:p>
    <w:tbl>
      <w:tblPr>
        <w:tblStyle w:val="TableGrid"/>
        <w:tblW w:w="831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1454"/>
        <w:gridCol w:w="2043"/>
        <w:gridCol w:w="1605"/>
        <w:gridCol w:w="1605"/>
        <w:gridCol w:w="1605"/>
      </w:tblGrid>
      <w:tr w:rsidR="00867290" w:rsidRPr="00BB2924" w:rsidTr="00387681">
        <w:trPr>
          <w:jc w:val="center"/>
        </w:trPr>
        <w:tc>
          <w:tcPr>
            <w:tcW w:w="1454" w:type="dxa"/>
            <w:shd w:val="clear" w:color="auto" w:fill="E7E6E6" w:themeFill="background2"/>
          </w:tcPr>
          <w:p w:rsidR="00867290" w:rsidRPr="00BB2924" w:rsidRDefault="00867290" w:rsidP="00FC0A30">
            <w:pPr>
              <w:pStyle w:val="Htableleftbolt"/>
              <w:rPr>
                <w:color w:val="5B9BD5" w:themeColor="accent1"/>
                <w:highlight w:val="yellow"/>
              </w:rPr>
            </w:pPr>
            <w:r>
              <w:rPr>
                <w:color w:val="5B9BD5" w:themeColor="accent1"/>
                <w:highlight w:val="yellow"/>
              </w:rPr>
              <w:t>Cilj NRM-a (zajednički)</w:t>
            </w:r>
          </w:p>
        </w:tc>
        <w:tc>
          <w:tcPr>
            <w:tcW w:w="2043" w:type="dxa"/>
            <w:shd w:val="clear" w:color="auto" w:fill="E7E6E6" w:themeFill="background2"/>
          </w:tcPr>
          <w:p w:rsidR="00867290" w:rsidRPr="00BB2924" w:rsidRDefault="00867290" w:rsidP="00FC0A30">
            <w:pPr>
              <w:pStyle w:val="Htableleftbolt"/>
              <w:rPr>
                <w:color w:val="5B9BD5" w:themeColor="accent1"/>
                <w:highlight w:val="yellow"/>
              </w:rPr>
            </w:pPr>
            <w:r>
              <w:rPr>
                <w:color w:val="5B9BD5" w:themeColor="accent1"/>
                <w:highlight w:val="yellow"/>
              </w:rPr>
              <w:t xml:space="preserve">Evaluacijsko pitanje za pojedini program </w:t>
            </w:r>
          </w:p>
        </w:tc>
        <w:tc>
          <w:tcPr>
            <w:tcW w:w="1605" w:type="dxa"/>
            <w:shd w:val="clear" w:color="auto" w:fill="E7E6E6" w:themeFill="background2"/>
          </w:tcPr>
          <w:p w:rsidR="00867290" w:rsidRPr="00BB2924" w:rsidRDefault="00867290" w:rsidP="00FC0A30">
            <w:pPr>
              <w:pStyle w:val="Htableleftbolt"/>
              <w:rPr>
                <w:color w:val="5B9BD5" w:themeColor="accent1"/>
                <w:highlight w:val="yellow"/>
              </w:rPr>
            </w:pPr>
            <w:r>
              <w:rPr>
                <w:color w:val="5B9BD5" w:themeColor="accent1"/>
                <w:highlight w:val="yellow"/>
              </w:rPr>
              <w:t>Kriteriji prosudbe</w:t>
            </w:r>
          </w:p>
        </w:tc>
        <w:tc>
          <w:tcPr>
            <w:tcW w:w="1605" w:type="dxa"/>
            <w:shd w:val="clear" w:color="auto" w:fill="E7E6E6" w:themeFill="background2"/>
          </w:tcPr>
          <w:p w:rsidR="00867290" w:rsidRPr="00BB2924" w:rsidRDefault="00867290" w:rsidP="00FC0A30">
            <w:pPr>
              <w:pStyle w:val="Htableleftbolt"/>
              <w:rPr>
                <w:color w:val="5B9BD5" w:themeColor="accent1"/>
                <w:highlight w:val="yellow"/>
              </w:rPr>
            </w:pPr>
            <w:r>
              <w:rPr>
                <w:color w:val="5B9BD5" w:themeColor="accent1"/>
                <w:highlight w:val="yellow"/>
              </w:rPr>
              <w:t>Pokazatelj za pojedini program koji se odnosi na NRM</w:t>
            </w:r>
          </w:p>
        </w:tc>
        <w:tc>
          <w:tcPr>
            <w:tcW w:w="1605" w:type="dxa"/>
            <w:shd w:val="clear" w:color="auto" w:fill="E7E6E6" w:themeFill="background2"/>
          </w:tcPr>
          <w:p w:rsidR="00867290" w:rsidRPr="00BB2924" w:rsidRDefault="00867290" w:rsidP="00FC0A30">
            <w:pPr>
              <w:pStyle w:val="Htableleftbolt"/>
              <w:rPr>
                <w:color w:val="5B9BD5" w:themeColor="accent1"/>
                <w:highlight w:val="yellow"/>
              </w:rPr>
            </w:pPr>
            <w:r>
              <w:rPr>
                <w:color w:val="5B9BD5" w:themeColor="accent1"/>
                <w:highlight w:val="yellow"/>
              </w:rPr>
              <w:t>Izvor podataka</w:t>
            </w:r>
          </w:p>
        </w:tc>
      </w:tr>
      <w:tr w:rsidR="00867290" w:rsidRPr="00EE03C9" w:rsidTr="00387681">
        <w:trPr>
          <w:trHeight w:val="2383"/>
          <w:jc w:val="center"/>
        </w:trPr>
        <w:tc>
          <w:tcPr>
            <w:tcW w:w="1454" w:type="dxa"/>
            <w:tcBorders>
              <w:bottom w:val="single" w:sz="4" w:space="0" w:color="auto"/>
            </w:tcBorders>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Poboljšati kvalitetu provedbe PRR-a</w:t>
            </w:r>
          </w:p>
          <w:p w:rsidR="00867290" w:rsidRPr="00BB2924" w:rsidRDefault="00867290" w:rsidP="00FC0A30">
            <w:pPr>
              <w:pStyle w:val="Htableleft"/>
              <w:rPr>
                <w:color w:val="576C88" w:themeColor="text2" w:themeTint="D9"/>
                <w:highlight w:val="yellow"/>
              </w:rPr>
            </w:pPr>
          </w:p>
          <w:p w:rsidR="00867290" w:rsidRPr="00BB2924" w:rsidRDefault="00867290" w:rsidP="00FC0A30">
            <w:pPr>
              <w:pStyle w:val="Htableleft"/>
              <w:rPr>
                <w:color w:val="576C88" w:themeColor="text2" w:themeTint="D9"/>
                <w:highlight w:val="yellow"/>
              </w:rPr>
            </w:pPr>
          </w:p>
          <w:p w:rsidR="00867290" w:rsidRPr="00BB2924" w:rsidRDefault="00867290" w:rsidP="00FC0A30">
            <w:pPr>
              <w:pStyle w:val="Htableleft"/>
              <w:rPr>
                <w:color w:val="576C88" w:themeColor="text2" w:themeTint="D9"/>
                <w:highlight w:val="yellow"/>
              </w:rPr>
            </w:pPr>
          </w:p>
          <w:p w:rsidR="00867290" w:rsidRPr="00BB2924" w:rsidRDefault="00867290" w:rsidP="00FC0A30">
            <w:pPr>
              <w:pStyle w:val="Htableleft"/>
              <w:rPr>
                <w:color w:val="576C88" w:themeColor="text2" w:themeTint="D9"/>
                <w:highlight w:val="yellow"/>
              </w:rPr>
            </w:pPr>
          </w:p>
          <w:p w:rsidR="00867290" w:rsidRPr="00BB2924" w:rsidRDefault="00867290" w:rsidP="00FC0A30">
            <w:pPr>
              <w:pStyle w:val="Htableleft"/>
              <w:rPr>
                <w:color w:val="576C88" w:themeColor="text2" w:themeTint="D9"/>
                <w:highlight w:val="yellow"/>
              </w:rPr>
            </w:pPr>
          </w:p>
        </w:tc>
        <w:tc>
          <w:tcPr>
            <w:tcW w:w="2043" w:type="dxa"/>
            <w:tcBorders>
              <w:bottom w:val="single" w:sz="4" w:space="0" w:color="auto"/>
            </w:tcBorders>
            <w:shd w:val="clear" w:color="auto" w:fill="auto"/>
          </w:tcPr>
          <w:p w:rsidR="00867290" w:rsidRPr="00BB2924" w:rsidRDefault="00867290" w:rsidP="00C62AF9">
            <w:pPr>
              <w:pStyle w:val="Htableleft"/>
              <w:rPr>
                <w:color w:val="576C88" w:themeColor="text2" w:themeTint="D9"/>
                <w:highlight w:val="yellow"/>
              </w:rPr>
            </w:pPr>
            <w:r>
              <w:rPr>
                <w:color w:val="576C88" w:themeColor="text2" w:themeTint="D9"/>
                <w:highlight w:val="yellow"/>
              </w:rPr>
              <w:t xml:space="preserve">U kojoj su mjeri mjere NRM-a pridonijele poboljšanju kvalitete provedbe PRR-a? </w:t>
            </w:r>
          </w:p>
        </w:tc>
        <w:tc>
          <w:tcPr>
            <w:tcW w:w="1605" w:type="dxa"/>
            <w:tcBorders>
              <w:bottom w:val="single" w:sz="4" w:space="0" w:color="auto"/>
            </w:tcBorders>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 xml:space="preserve">Kvaliteta provedbe PRR-a poboljšala se aktivnostima NRM-a, tj. poboljšanim kapacitetima korisnika PRR-a. </w:t>
            </w:r>
          </w:p>
        </w:tc>
        <w:tc>
          <w:tcPr>
            <w:tcW w:w="1605" w:type="dxa"/>
            <w:tcBorders>
              <w:bottom w:val="single" w:sz="4" w:space="0" w:color="auto"/>
            </w:tcBorders>
            <w:shd w:val="clear" w:color="auto" w:fill="auto"/>
          </w:tcPr>
          <w:p w:rsidR="00867290" w:rsidRPr="00BB2924" w:rsidRDefault="00867290" w:rsidP="00893456">
            <w:pPr>
              <w:pStyle w:val="Htableleft"/>
              <w:rPr>
                <w:color w:val="576C88" w:themeColor="text2" w:themeTint="D9"/>
                <w:highlight w:val="yellow"/>
              </w:rPr>
            </w:pPr>
            <w:r>
              <w:rPr>
                <w:color w:val="576C88" w:themeColor="text2" w:themeTint="D9"/>
                <w:highlight w:val="yellow"/>
              </w:rPr>
              <w:t xml:space="preserve">Broj visokokvalitetnih provedenih projekata PRR-a, potaknutih aktivnostima NRM-a </w:t>
            </w:r>
          </w:p>
        </w:tc>
        <w:tc>
          <w:tcPr>
            <w:tcW w:w="1605" w:type="dxa"/>
            <w:tcBorders>
              <w:bottom w:val="single" w:sz="4" w:space="0" w:color="auto"/>
            </w:tcBorders>
            <w:shd w:val="clear" w:color="auto" w:fill="auto"/>
          </w:tcPr>
          <w:p w:rsidR="00867290" w:rsidRPr="00BB2924" w:rsidRDefault="00867290" w:rsidP="00FC0A30">
            <w:pPr>
              <w:pStyle w:val="Htableleft"/>
              <w:rPr>
                <w:color w:val="576C88" w:themeColor="text2" w:themeTint="D9"/>
                <w:highlight w:val="yellow"/>
              </w:rPr>
            </w:pPr>
            <w:r>
              <w:rPr>
                <w:color w:val="576C88" w:themeColor="text2" w:themeTint="D9"/>
                <w:highlight w:val="yellow"/>
              </w:rPr>
              <w:t>Baza podataka AP</w:t>
            </w:r>
          </w:p>
          <w:p w:rsidR="00867290" w:rsidRPr="00BB2924" w:rsidRDefault="00867290" w:rsidP="00FC0A30">
            <w:pPr>
              <w:pStyle w:val="Htableleft"/>
              <w:rPr>
                <w:color w:val="576C88" w:themeColor="text2" w:themeTint="D9"/>
                <w:highlight w:val="yellow"/>
              </w:rPr>
            </w:pPr>
            <w:r>
              <w:rPr>
                <w:color w:val="576C88" w:themeColor="text2" w:themeTint="D9"/>
                <w:highlight w:val="yellow"/>
              </w:rPr>
              <w:t>Upitnik/Anketa</w:t>
            </w:r>
          </w:p>
          <w:p w:rsidR="00867290" w:rsidRPr="00BB2924" w:rsidRDefault="00867290" w:rsidP="00FC0A30">
            <w:pPr>
              <w:pStyle w:val="Htableleft"/>
              <w:rPr>
                <w:color w:val="576C88" w:themeColor="text2" w:themeTint="D9"/>
                <w:highlight w:val="yellow"/>
              </w:rPr>
            </w:pPr>
            <w:r>
              <w:rPr>
                <w:color w:val="576C88" w:themeColor="text2" w:themeTint="D9"/>
                <w:highlight w:val="yellow"/>
              </w:rPr>
              <w:t>Baza podataka JPM-a</w:t>
            </w:r>
          </w:p>
          <w:p w:rsidR="00867290" w:rsidRPr="00BB2924" w:rsidRDefault="00867290" w:rsidP="00FC0A30">
            <w:pPr>
              <w:pStyle w:val="Htableleft"/>
              <w:rPr>
                <w:color w:val="576C88" w:themeColor="text2" w:themeTint="D9"/>
                <w:highlight w:val="yellow"/>
              </w:rPr>
            </w:pPr>
          </w:p>
        </w:tc>
      </w:tr>
    </w:tbl>
    <w:p w:rsidR="00867290" w:rsidRPr="00BB2924" w:rsidRDefault="00867290" w:rsidP="00FC0A30">
      <w:pPr>
        <w:pStyle w:val="HSource"/>
        <w:rPr>
          <w:highlight w:val="yellow"/>
        </w:rPr>
      </w:pPr>
      <w:r>
        <w:rPr>
          <w:highlight w:val="yellow"/>
        </w:rPr>
        <w:t>Izvor: Europski centar za pomoć pri evaluaciji za ruralni razvoj, 2016.</w:t>
      </w:r>
    </w:p>
    <w:bookmarkEnd w:id="136"/>
    <w:p w:rsidR="00867290" w:rsidRPr="00BB2924" w:rsidRDefault="00867290" w:rsidP="00FC0A30">
      <w:pPr>
        <w:pStyle w:val="HStandard"/>
        <w:rPr>
          <w:highlight w:val="yellow"/>
        </w:rPr>
      </w:pPr>
      <w:r>
        <w:rPr>
          <w:highlight w:val="yellow"/>
        </w:rPr>
        <w:t>Poslije u provedbi evaluacije, u fazi njezina strukturiranja, evaluatori mogu predložiti više evaluacijskih pitanja i pokazatelja ili podijeliti postojeća evaluacijska pitanja na daljnja potpitanja kako bi dobili detaljnije informacije u skladu s kriterijima prosudbe.</w:t>
      </w:r>
    </w:p>
    <w:p w:rsidR="00867290" w:rsidRPr="00BB2924" w:rsidRDefault="00867290" w:rsidP="00D322AA">
      <w:pPr>
        <w:pStyle w:val="Heading6"/>
        <w:rPr>
          <w:highlight w:val="yellow"/>
        </w:rPr>
      </w:pPr>
      <w:r>
        <w:rPr>
          <w:highlight w:val="yellow"/>
        </w:rPr>
        <w:t>Provjera dosljednosti elemenata evaluacije NRM-a intervencijskoj logici NRM-a</w:t>
      </w:r>
    </w:p>
    <w:p w:rsidR="00867290" w:rsidRPr="00BB2924" w:rsidRDefault="00867290" w:rsidP="00FC0A30">
      <w:pPr>
        <w:pStyle w:val="HStandard"/>
        <w:rPr>
          <w:highlight w:val="yellow"/>
        </w:rPr>
      </w:pPr>
      <w:r>
        <w:rPr>
          <w:highlight w:val="yellow"/>
        </w:rPr>
        <w:t>Nakon definiranja svih elemenata evaluacije trebala bi se provjeriti njihova dosljednost logici intervencije NRM-a. To sadržava procjenu:</w:t>
      </w:r>
    </w:p>
    <w:p w:rsidR="00867290" w:rsidRPr="00BB2924" w:rsidRDefault="00867290" w:rsidP="00D322AA">
      <w:pPr>
        <w:pStyle w:val="Hlistbullet"/>
        <w:rPr>
          <w:highlight w:val="yellow"/>
        </w:rPr>
      </w:pPr>
      <w:r>
        <w:rPr>
          <w:highlight w:val="yellow"/>
        </w:rPr>
        <w:t>jesu li evaluacijska pitanja dovoljna za procjenu ostvarenja ciljeva;</w:t>
      </w:r>
    </w:p>
    <w:p w:rsidR="00867290" w:rsidRPr="00BB2924" w:rsidRDefault="00867290" w:rsidP="00D322AA">
      <w:pPr>
        <w:pStyle w:val="Hlistbullet"/>
        <w:rPr>
          <w:highlight w:val="yellow"/>
        </w:rPr>
      </w:pPr>
      <w:r>
        <w:rPr>
          <w:highlight w:val="yellow"/>
        </w:rPr>
        <w:t xml:space="preserve">mogu li se očekivani rezultati i učinci mjeriti predloženim pokazateljima rezultata i učinaka; </w:t>
      </w:r>
    </w:p>
    <w:p w:rsidR="00867290" w:rsidRPr="00BB2924" w:rsidRDefault="00867290" w:rsidP="00D322AA">
      <w:pPr>
        <w:pStyle w:val="Hlistbullet"/>
        <w:rPr>
          <w:highlight w:val="yellow"/>
        </w:rPr>
      </w:pPr>
      <w:r>
        <w:rPr>
          <w:highlight w:val="yellow"/>
        </w:rPr>
        <w:t>slažu li se pokazatelji rezultata i učinaka s kriterijima „RACER” i daju li dovoljno dokaza za odgovore na evaluacijska pitanja.</w:t>
      </w:r>
    </w:p>
    <w:p w:rsidR="00867290" w:rsidRPr="00BB2924" w:rsidRDefault="00867290" w:rsidP="00FC0A30">
      <w:pPr>
        <w:pStyle w:val="HStandard"/>
        <w:rPr>
          <w:highlight w:val="yellow"/>
        </w:rPr>
      </w:pPr>
      <w:r>
        <w:rPr>
          <w:highlight w:val="yellow"/>
        </w:rPr>
        <w:t xml:space="preserve">Dosljednost između intervencijske logike NRM-a i elemenata evaluacije može se ilustrirati </w:t>
      </w:r>
      <w:r>
        <w:rPr>
          <w:highlight w:val="yellow"/>
        </w:rPr>
        <w:fldChar w:fldCharType="begin" w:fldLock="1"/>
      </w:r>
      <w:r>
        <w:rPr>
          <w:highlight w:val="yellow"/>
        </w:rPr>
        <w:instrText xml:space="preserve"> REF _Ref451784635 \r \h  \* MERGEFORMAT </w:instrText>
      </w:r>
      <w:r>
        <w:rPr>
          <w:highlight w:val="yellow"/>
        </w:rPr>
      </w:r>
      <w:r>
        <w:rPr>
          <w:highlight w:val="yellow"/>
        </w:rPr>
        <w:fldChar w:fldCharType="separate"/>
      </w:r>
      <w:r>
        <w:rPr>
          <w:highlight w:val="yellow"/>
        </w:rPr>
        <w:t>Figure 14</w:t>
      </w:r>
      <w:r>
        <w:rPr>
          <w:highlight w:val="yellow"/>
        </w:rPr>
        <w:fldChar w:fldCharType="end"/>
      </w:r>
      <w:r>
        <w:rPr>
          <w:highlight w:val="yellow"/>
        </w:rPr>
        <w:t xml:space="preserve"> u nastavku. </w:t>
      </w:r>
    </w:p>
    <w:p w:rsidR="00867290" w:rsidRPr="00BB2924" w:rsidRDefault="00867290" w:rsidP="00FC0A30">
      <w:pPr>
        <w:pStyle w:val="HStandard"/>
        <w:rPr>
          <w:highlight w:val="yellow"/>
        </w:rPr>
      </w:pPr>
    </w:p>
    <w:p w:rsidR="00867290" w:rsidRPr="00BB2924" w:rsidRDefault="00867290" w:rsidP="006F6D66">
      <w:pPr>
        <w:pStyle w:val="HHeadingfigures"/>
        <w:numPr>
          <w:ilvl w:val="0"/>
          <w:numId w:val="0"/>
        </w:numPr>
        <w:rPr>
          <w:highlight w:val="yellow"/>
        </w:rPr>
      </w:pPr>
      <w:bookmarkStart w:id="140" w:name="_Toc445465130"/>
      <w:bookmarkStart w:id="141" w:name="_Toc451781933"/>
      <w:bookmarkStart w:id="142" w:name="_Ref451784635"/>
      <w:bookmarkStart w:id="143" w:name="_Toc461713660"/>
      <w:r>
        <w:rPr>
          <w:highlight w:val="yellow"/>
        </w:rPr>
        <w:lastRenderedPageBreak/>
        <w:t>Slika 14. Dosljednost između intervencijske logike NRM-a i elemenata evaluacije</w:t>
      </w:r>
      <w:bookmarkEnd w:id="140"/>
      <w:bookmarkEnd w:id="141"/>
      <w:bookmarkEnd w:id="142"/>
      <w:bookmarkEnd w:id="143"/>
    </w:p>
    <w:p w:rsidR="00867290" w:rsidRPr="00BB2924" w:rsidRDefault="00867290" w:rsidP="00FC0A30">
      <w:pPr>
        <w:jc w:val="center"/>
        <w:rPr>
          <w:highlight w:val="yellow"/>
        </w:rPr>
      </w:pPr>
      <w:r w:rsidRPr="00F42237">
        <w:rPr>
          <w:noProof/>
          <w:lang w:eastAsia="en-GB"/>
        </w:rPr>
        <w:drawing>
          <wp:inline distT="0" distB="0" distL="0" distR="0" wp14:anchorId="164F576C" wp14:editId="7CD99562">
            <wp:extent cx="5731510" cy="3226347"/>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3226347"/>
                    </a:xfrm>
                    <a:prstGeom prst="rect">
                      <a:avLst/>
                    </a:prstGeom>
                    <a:noFill/>
                    <a:ln>
                      <a:noFill/>
                    </a:ln>
                  </pic:spPr>
                </pic:pic>
              </a:graphicData>
            </a:graphic>
          </wp:inline>
        </w:drawing>
      </w:r>
    </w:p>
    <w:p w:rsidR="00867290" w:rsidRPr="00BB2924" w:rsidRDefault="00867290" w:rsidP="00FC0A30">
      <w:pPr>
        <w:pStyle w:val="HSource"/>
        <w:rPr>
          <w:highlight w:val="yellow"/>
        </w:rPr>
      </w:pPr>
      <w:r>
        <w:rPr>
          <w:highlight w:val="yellow"/>
        </w:rPr>
        <w:t>Izvor: Europski centar za pomoć pri evaluaciji za ruralni razvoj, 2016.</w:t>
      </w:r>
    </w:p>
    <w:p w:rsidR="00867290" w:rsidRPr="00BB2924" w:rsidRDefault="00867290" w:rsidP="00FC0A30">
      <w:pPr>
        <w:pStyle w:val="HHeading5"/>
        <w:rPr>
          <w:highlight w:val="yellow"/>
        </w:rPr>
      </w:pPr>
      <w:r>
        <w:rPr>
          <w:highlight w:val="yellow"/>
        </w:rPr>
        <w:t>Korak 3. – Odabir preferiranog pristupa evaluaciji</w:t>
      </w:r>
    </w:p>
    <w:p w:rsidR="00867290" w:rsidRPr="00BB2924" w:rsidRDefault="00867290" w:rsidP="00FC0A30">
      <w:pPr>
        <w:pStyle w:val="HStandard"/>
        <w:rPr>
          <w:highlight w:val="yellow"/>
        </w:rPr>
      </w:pPr>
      <w:r>
        <w:rPr>
          <w:highlight w:val="yellow"/>
        </w:rPr>
        <w:t xml:space="preserve">Nakon razvijanja evaluacijskih pitanja, kriterija prosudbe i pokazatelja, važno je da tijela odgovorna za evaluaciju NRM-a (UT, JPM itd.) odluče kako bi trebalo razvijati informacije za odgovore na EP. To obuhvaća odabir pristupa evaluaciji (kvalitativni, kvantitativni i kombinirani).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D322AA">
        <w:tc>
          <w:tcPr>
            <w:tcW w:w="9016" w:type="dxa"/>
            <w:shd w:val="clear" w:color="auto" w:fill="F5F4F4" w:themeFill="background2" w:themeFillTint="66"/>
          </w:tcPr>
          <w:p w:rsidR="00867290" w:rsidRPr="00BB2924" w:rsidRDefault="00867290" w:rsidP="00FC0A30">
            <w:pPr>
              <w:pStyle w:val="HStandard"/>
              <w:rPr>
                <w:highlight w:val="yellow"/>
              </w:rPr>
            </w:pPr>
            <w:r>
              <w:rPr>
                <w:highlight w:val="yellow"/>
              </w:rPr>
              <w:t>Sljedeća pitanja pomažu pri odabiru pristupa evaluaciji:</w:t>
            </w:r>
          </w:p>
          <w:p w:rsidR="00867290" w:rsidRPr="00BB2924" w:rsidRDefault="00867290" w:rsidP="00867290">
            <w:pPr>
              <w:pStyle w:val="Hlistbullet"/>
              <w:tabs>
                <w:tab w:val="left" w:pos="567"/>
              </w:tabs>
              <w:rPr>
                <w:highlight w:val="yellow"/>
              </w:rPr>
            </w:pPr>
            <w:r>
              <w:rPr>
                <w:highlight w:val="yellow"/>
              </w:rPr>
              <w:t>Koji se pristup najbolje slaže s ciljevima evaluacije?</w:t>
            </w:r>
          </w:p>
          <w:p w:rsidR="00867290" w:rsidRPr="00BB2924" w:rsidRDefault="00867290" w:rsidP="00867290">
            <w:pPr>
              <w:pStyle w:val="Hlistbullet2"/>
              <w:tabs>
                <w:tab w:val="left" w:pos="567"/>
              </w:tabs>
              <w:rPr>
                <w:highlight w:val="yellow"/>
              </w:rPr>
            </w:pPr>
            <w:r>
              <w:rPr>
                <w:highlight w:val="yellow"/>
              </w:rPr>
              <w:t>Koji pristup daje najpouzdanije rezultate, uzevši u obzir dostupne informacije?</w:t>
            </w:r>
          </w:p>
        </w:tc>
      </w:tr>
    </w:tbl>
    <w:p w:rsidR="00867290" w:rsidRPr="00BB2924" w:rsidRDefault="00867290" w:rsidP="00FC0A30">
      <w:pPr>
        <w:pStyle w:val="HStandard"/>
        <w:rPr>
          <w:highlight w:val="yellow"/>
        </w:rPr>
      </w:pPr>
      <w:r>
        <w:rPr>
          <w:b/>
          <w:highlight w:val="yellow"/>
        </w:rPr>
        <w:t>Očekivani ishod</w:t>
      </w:r>
      <w:r>
        <w:rPr>
          <w:highlight w:val="yellow"/>
        </w:rPr>
        <w:t xml:space="preserve"> ovog koraka odluka je o pristupu evaluaciji i, ako je moguće, o metodama koje će se upotrebljavati za odgovore na pitanja o evaluaciji. </w:t>
      </w:r>
    </w:p>
    <w:p w:rsidR="00867290" w:rsidRPr="00BB2924" w:rsidRDefault="00867290" w:rsidP="00FC0A30">
      <w:pPr>
        <w:pStyle w:val="HStandard"/>
        <w:rPr>
          <w:highlight w:val="yellow"/>
        </w:rPr>
      </w:pPr>
      <w:r>
        <w:rPr>
          <w:highlight w:val="yellow"/>
        </w:rPr>
        <w:t>Pristup evaluaciji potvrdit će i, ako je potrebno, revidirati evaluatori nakon sporazuma s nadležnim tijelima (UT, JPM itd.) tijekom faze strukturiranja pri provedbi evaluacije. U fazi strukturiranja evaluator će također predložiti i sporazumjeti se s programskim tijelima oko metoda</w:t>
      </w:r>
      <w:r>
        <w:rPr>
          <w:rFonts w:ascii="ZWAdobeF" w:hAnsi="ZWAdobeF"/>
          <w:color w:val="auto"/>
          <w:sz w:val="2"/>
          <w:highlight w:val="yellow"/>
        </w:rPr>
        <w:t>80F</w:t>
      </w:r>
      <w:r>
        <w:rPr>
          <w:rStyle w:val="FootnoteReference"/>
          <w:highlight w:val="yellow"/>
        </w:rPr>
        <w:footnoteReference w:id="81"/>
      </w:r>
      <w:r>
        <w:rPr>
          <w:highlight w:val="yellow"/>
        </w:rPr>
        <w:t xml:space="preserve"> kojima bi se trebalo koristiti pri analizi prikupljenih podataka i informacija, razvijanju prosudbi i nakon toga odgovaranju na evaluacijska pitanja. </w:t>
      </w:r>
      <w:r>
        <w:rPr>
          <w:b/>
          <w:color w:val="E7E6E6" w:themeColor="background2"/>
          <w:highlight w:val="yellow"/>
        </w:rPr>
        <w:t>DIO II.</w:t>
      </w:r>
      <w:r>
        <w:rPr>
          <w:color w:val="E7E6E6" w:themeColor="background2"/>
          <w:highlight w:val="yellow"/>
        </w:rPr>
        <w:t xml:space="preserve"> </w:t>
      </w:r>
      <w:r>
        <w:rPr>
          <w:highlight w:val="yellow"/>
        </w:rPr>
        <w:t>ovih smjernica nudi detaljan opis odabira prikladnog pristupa evaluaciji i metoda evaluacije.</w:t>
      </w:r>
    </w:p>
    <w:p w:rsidR="00867290" w:rsidRPr="00BB2924" w:rsidRDefault="00867290" w:rsidP="00FC0A30">
      <w:pPr>
        <w:pStyle w:val="HStandard"/>
        <w:rPr>
          <w:highlight w:val="yellow"/>
        </w:rPr>
      </w:pPr>
      <w:r>
        <w:rPr>
          <w:highlight w:val="yellow"/>
        </w:rPr>
        <w:t xml:space="preserve">Međutim naručitelj ne treba sada donijeti odluku u pogledu metodologije evaluacije jer će evaluator u svojoj ponudi predložiti metode. Još je važnije da su naručitelj i drugi dionici NRM-a svjesni različitih metoda evaluacije i njihove konzistentnosti u davanju odgovora na evaluacijska pitanja u vezi s potrebama evaluacije, tako da mogu provjeriti kvalitetu rezultata evaluacije. </w:t>
      </w:r>
    </w:p>
    <w:p w:rsidR="00867290" w:rsidRPr="00BB2924" w:rsidRDefault="00867290" w:rsidP="00FC0A30">
      <w:pPr>
        <w:pStyle w:val="HHeading5"/>
        <w:rPr>
          <w:highlight w:val="yellow"/>
        </w:rPr>
      </w:pPr>
      <w:r>
        <w:rPr>
          <w:highlight w:val="yellow"/>
        </w:rPr>
        <w:lastRenderedPageBreak/>
        <w:t xml:space="preserve">Korak 4. – Provjera potreba za informacijama i podacima te potencijalnih izvora </w:t>
      </w:r>
    </w:p>
    <w:p w:rsidR="00867290" w:rsidRPr="00BB2924" w:rsidRDefault="00867290" w:rsidP="00FC0A30">
      <w:pPr>
        <w:pStyle w:val="HStandard"/>
        <w:rPr>
          <w:highlight w:val="yellow"/>
        </w:rPr>
      </w:pPr>
      <w:r>
        <w:rPr>
          <w:highlight w:val="yellow"/>
        </w:rPr>
        <w:t xml:space="preserve">Kako bi se provela dobra evaluacija NRM-a, važno je osigurati dovoljnu količinu podataka i informacija da bi se izračunali pokazatelji koji se odnose na NRM. Na potrebe za podacima utječu i odabrani pristup i metode evaluacije.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D322AA">
        <w:tc>
          <w:tcPr>
            <w:tcW w:w="9016" w:type="dxa"/>
            <w:shd w:val="clear" w:color="auto" w:fill="F5F4F4" w:themeFill="background2" w:themeFillTint="66"/>
          </w:tcPr>
          <w:p w:rsidR="00867290" w:rsidRPr="00BB2924" w:rsidRDefault="00867290" w:rsidP="00FC0A30">
            <w:pPr>
              <w:pStyle w:val="HStandard"/>
              <w:rPr>
                <w:highlight w:val="yellow"/>
              </w:rPr>
            </w:pPr>
            <w:r>
              <w:rPr>
                <w:highlight w:val="yellow"/>
              </w:rPr>
              <w:t xml:space="preserve">Pitanja koja usmjeravaju ovaj korak: </w:t>
            </w:r>
          </w:p>
          <w:p w:rsidR="00867290" w:rsidRPr="00BB2924" w:rsidRDefault="00867290" w:rsidP="00867290">
            <w:pPr>
              <w:pStyle w:val="Hlistbullet"/>
              <w:tabs>
                <w:tab w:val="left" w:pos="567"/>
              </w:tabs>
              <w:rPr>
                <w:highlight w:val="yellow"/>
              </w:rPr>
            </w:pPr>
            <w:r>
              <w:rPr>
                <w:highlight w:val="yellow"/>
              </w:rPr>
              <w:t xml:space="preserve">Koja je vrsta informacija i podataka potrebna za evaluacijska pitanja? </w:t>
            </w:r>
          </w:p>
          <w:p w:rsidR="00867290" w:rsidRPr="00BB2924" w:rsidRDefault="00867290" w:rsidP="00867290">
            <w:pPr>
              <w:pStyle w:val="Hlistbullet"/>
              <w:tabs>
                <w:tab w:val="left" w:pos="567"/>
              </w:tabs>
              <w:rPr>
                <w:highlight w:val="yellow"/>
              </w:rPr>
            </w:pPr>
            <w:r>
              <w:rPr>
                <w:highlight w:val="yellow"/>
              </w:rPr>
              <w:t>Postoji li već ili se treba prikupiti?</w:t>
            </w:r>
          </w:p>
          <w:p w:rsidR="00867290" w:rsidRPr="00BB2924" w:rsidRDefault="00867290" w:rsidP="00867290">
            <w:pPr>
              <w:pStyle w:val="Hlistbullet"/>
              <w:tabs>
                <w:tab w:val="left" w:pos="567"/>
              </w:tabs>
              <w:rPr>
                <w:highlight w:val="yellow"/>
              </w:rPr>
            </w:pPr>
            <w:r>
              <w:rPr>
                <w:highlight w:val="yellow"/>
              </w:rPr>
              <w:t xml:space="preserve">Gdje se mogu dobiti ti podaci? </w:t>
            </w:r>
          </w:p>
          <w:p w:rsidR="00867290" w:rsidRPr="00BB2924" w:rsidRDefault="00867290" w:rsidP="00867290">
            <w:pPr>
              <w:pStyle w:val="Hlistbullet"/>
              <w:tabs>
                <w:tab w:val="left" w:pos="567"/>
              </w:tabs>
              <w:rPr>
                <w:highlight w:val="yellow"/>
              </w:rPr>
            </w:pPr>
            <w:r>
              <w:rPr>
                <w:highlight w:val="yellow"/>
              </w:rPr>
              <w:t>Kako se mogu dobiti?</w:t>
            </w:r>
          </w:p>
          <w:p w:rsidR="00867290" w:rsidRPr="00BB2924" w:rsidRDefault="00867290" w:rsidP="00867290">
            <w:pPr>
              <w:pStyle w:val="Hlistbullet"/>
              <w:tabs>
                <w:tab w:val="left" w:pos="567"/>
              </w:tabs>
              <w:rPr>
                <w:highlight w:val="yellow"/>
              </w:rPr>
            </w:pPr>
            <w:r>
              <w:rPr>
                <w:highlight w:val="yellow"/>
              </w:rPr>
              <w:t xml:space="preserve">Ima li ograničenja u tome tko se i kako smije koristiti podacima? </w:t>
            </w:r>
          </w:p>
          <w:p w:rsidR="00867290" w:rsidRPr="00BB2924" w:rsidRDefault="00867290" w:rsidP="00867290">
            <w:pPr>
              <w:pStyle w:val="Hlistbullet"/>
              <w:tabs>
                <w:tab w:val="left" w:pos="567"/>
              </w:tabs>
              <w:rPr>
                <w:highlight w:val="yellow"/>
              </w:rPr>
            </w:pPr>
            <w:r>
              <w:rPr>
                <w:highlight w:val="yellow"/>
              </w:rPr>
              <w:t xml:space="preserve">Kakvi su problemi s informacijama/podacima? </w:t>
            </w:r>
          </w:p>
          <w:p w:rsidR="00867290" w:rsidRPr="00BB2924" w:rsidRDefault="00867290" w:rsidP="00867290">
            <w:pPr>
              <w:pStyle w:val="Hlistbullet2"/>
              <w:tabs>
                <w:tab w:val="left" w:pos="567"/>
              </w:tabs>
              <w:rPr>
                <w:highlight w:val="yellow"/>
              </w:rPr>
            </w:pPr>
            <w:r>
              <w:rPr>
                <w:highlight w:val="yellow"/>
              </w:rPr>
              <w:t>Kako navedeno utječe na pripremu Opisa poslova za evaluaciju NRM-a?</w:t>
            </w:r>
          </w:p>
        </w:tc>
      </w:tr>
    </w:tbl>
    <w:p w:rsidR="00867290" w:rsidRPr="00BB2924" w:rsidRDefault="00867290" w:rsidP="00FC0A30">
      <w:pPr>
        <w:pStyle w:val="HStandard"/>
        <w:rPr>
          <w:highlight w:val="yellow"/>
        </w:rPr>
      </w:pPr>
      <w:r>
        <w:rPr>
          <w:highlight w:val="yellow"/>
        </w:rPr>
        <w:t xml:space="preserve">Ovaj se korak provodi </w:t>
      </w:r>
      <w:r>
        <w:rPr>
          <w:b/>
          <w:highlight w:val="yellow"/>
        </w:rPr>
        <w:t>sljedećim redoslijedom</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a.</w:t>
            </w:r>
          </w:p>
        </w:tc>
        <w:tc>
          <w:tcPr>
            <w:tcW w:w="8028" w:type="dxa"/>
          </w:tcPr>
          <w:p w:rsidR="00867290" w:rsidRPr="00BB2924" w:rsidRDefault="00867290" w:rsidP="00BE6F49">
            <w:pPr>
              <w:pStyle w:val="Hlistbullet"/>
              <w:numPr>
                <w:ilvl w:val="0"/>
                <w:numId w:val="0"/>
              </w:numPr>
              <w:spacing w:before="0" w:line="280" w:lineRule="atLeast"/>
              <w:jc w:val="left"/>
              <w:rPr>
                <w:sz w:val="18"/>
                <w:szCs w:val="18"/>
                <w:highlight w:val="yellow"/>
              </w:rPr>
            </w:pPr>
            <w:r>
              <w:rPr>
                <w:sz w:val="18"/>
                <w:highlight w:val="yellow"/>
              </w:rPr>
              <w:t>Preispitati potrebe za podacima i informacijama u skladu s pokazateljima koji se odnose na NRM (ostvarenje, rezultat, učinak) i u skladu s odabranim pristupom i metodama evaluacije.</w:t>
            </w:r>
          </w:p>
        </w:tc>
      </w:tr>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b.</w:t>
            </w:r>
          </w:p>
        </w:tc>
        <w:tc>
          <w:tcPr>
            <w:tcW w:w="8028" w:type="dxa"/>
          </w:tcPr>
          <w:p w:rsidR="00867290" w:rsidRPr="00BB2924" w:rsidRDefault="00867290" w:rsidP="00BE6F49">
            <w:pPr>
              <w:pStyle w:val="HStandard"/>
              <w:rPr>
                <w:sz w:val="18"/>
                <w:szCs w:val="18"/>
                <w:highlight w:val="yellow"/>
              </w:rPr>
            </w:pPr>
            <w:r>
              <w:rPr>
                <w:sz w:val="18"/>
                <w:highlight w:val="yellow"/>
              </w:rPr>
              <w:t>Identificirati izvore podataka i informacija te urediti da se osigura njihova dostupnost.</w:t>
            </w:r>
          </w:p>
        </w:tc>
      </w:tr>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c.</w:t>
            </w:r>
          </w:p>
        </w:tc>
        <w:tc>
          <w:tcPr>
            <w:tcW w:w="8028" w:type="dxa"/>
          </w:tcPr>
          <w:p w:rsidR="00867290" w:rsidRPr="00BB2924" w:rsidRDefault="00867290" w:rsidP="00BE6F49">
            <w:pPr>
              <w:pStyle w:val="Hlistbullet"/>
              <w:numPr>
                <w:ilvl w:val="0"/>
                <w:numId w:val="0"/>
              </w:numPr>
              <w:spacing w:before="0" w:line="280" w:lineRule="atLeast"/>
              <w:jc w:val="left"/>
              <w:rPr>
                <w:sz w:val="18"/>
                <w:szCs w:val="18"/>
                <w:highlight w:val="yellow"/>
              </w:rPr>
            </w:pPr>
            <w:r>
              <w:rPr>
                <w:sz w:val="18"/>
                <w:highlight w:val="yellow"/>
              </w:rPr>
              <w:t>Identificirati praznine u podacima i odlučiti kako ih ispuniti (uključujući definiranje odredbi za evaluatore u budućem Opisu poslova).</w:t>
            </w:r>
          </w:p>
        </w:tc>
      </w:tr>
      <w:tr w:rsidR="00867290" w:rsidRPr="00BB2924" w:rsidTr="00BE6F49">
        <w:tc>
          <w:tcPr>
            <w:tcW w:w="9016" w:type="dxa"/>
            <w:gridSpan w:val="2"/>
            <w:shd w:val="clear" w:color="auto" w:fill="auto"/>
          </w:tcPr>
          <w:p w:rsidR="00867290" w:rsidRPr="00BB2924" w:rsidRDefault="00867290" w:rsidP="00BE6F49">
            <w:pPr>
              <w:pStyle w:val="HStandard"/>
              <w:jc w:val="left"/>
              <w:rPr>
                <w:sz w:val="18"/>
                <w:szCs w:val="18"/>
                <w:highlight w:val="yellow"/>
              </w:rPr>
            </w:pPr>
            <w:r>
              <w:rPr>
                <w:b/>
                <w:sz w:val="18"/>
                <w:highlight w:val="yellow"/>
              </w:rPr>
              <w:t>Očekivani rezultati:</w:t>
            </w:r>
            <w:r>
              <w:rPr>
                <w:sz w:val="18"/>
                <w:highlight w:val="yellow"/>
              </w:rPr>
              <w:t xml:space="preserve"> Dostupni postojeći izvori podataka, identifikacija praznina u podacima i odlučivanje kako ih ispuniti. </w:t>
            </w:r>
          </w:p>
        </w:tc>
      </w:tr>
    </w:tbl>
    <w:p w:rsidR="00867290" w:rsidRPr="00BB2924" w:rsidRDefault="00867290" w:rsidP="00FC0A30">
      <w:pPr>
        <w:pStyle w:val="HStandard"/>
        <w:rPr>
          <w:highlight w:val="yellow"/>
        </w:rPr>
      </w:pPr>
      <w:r>
        <w:rPr>
          <w:highlight w:val="yellow"/>
        </w:rPr>
        <w:t>U pripremi evaluaciji NRM-a važno je preispitati kakvi su podaci i informacije potrebni kako bi se ispunili pokazatelji i odgovorilo na evaluacijska pitanja. U praksi su uvijek podatak i informacija koji već postoje i mogu se prikupiti praćenjem PRR-a ili drugim sustavima, na primjer:</w:t>
      </w:r>
    </w:p>
    <w:p w:rsidR="00867290" w:rsidRPr="00BB2924" w:rsidRDefault="00867290" w:rsidP="00D322AA">
      <w:pPr>
        <w:pStyle w:val="Hlistbullet"/>
        <w:rPr>
          <w:highlight w:val="yellow"/>
        </w:rPr>
      </w:pPr>
      <w:r>
        <w:rPr>
          <w:highlight w:val="yellow"/>
        </w:rPr>
        <w:t xml:space="preserve">praćenje podataka (baza podataka operacija) o ulaganjima i ostvarenjima NRM-a; </w:t>
      </w:r>
    </w:p>
    <w:p w:rsidR="00867290" w:rsidRPr="00BB2924" w:rsidRDefault="00867290" w:rsidP="00D322AA">
      <w:pPr>
        <w:pStyle w:val="Hlistbullet"/>
        <w:rPr>
          <w:highlight w:val="yellow"/>
        </w:rPr>
      </w:pPr>
      <w:r>
        <w:rPr>
          <w:highlight w:val="yellow"/>
        </w:rPr>
        <w:t>interna statistika i praćenje uspješnosti JPM-a (godišnja izvješća, povratne informacije s događaja i obuka, informacije koje se odnose na članove NRM-a itd.);</w:t>
      </w:r>
    </w:p>
    <w:p w:rsidR="00867290" w:rsidRPr="00BB2924" w:rsidRDefault="00867290" w:rsidP="00D322AA">
      <w:pPr>
        <w:pStyle w:val="Hlistbullet"/>
        <w:rPr>
          <w:highlight w:val="yellow"/>
        </w:rPr>
      </w:pPr>
      <w:r>
        <w:rPr>
          <w:highlight w:val="yellow"/>
        </w:rPr>
        <w:t xml:space="preserve">informacije iz prije provedenih samoocjenjivanja i evaluacija NRM-a. </w:t>
      </w:r>
    </w:p>
    <w:p w:rsidR="00867290" w:rsidRPr="00BB2924" w:rsidRDefault="00867290" w:rsidP="00FC0A30">
      <w:pPr>
        <w:pStyle w:val="HStandard"/>
        <w:rPr>
          <w:highlight w:val="yellow"/>
        </w:rPr>
      </w:pPr>
      <w:r>
        <w:rPr>
          <w:highlight w:val="yellow"/>
        </w:rPr>
        <w:t>Preispitivanje izvora podataka i informacija te njihove dostupnosti važan je korak u osiguravanju dokaza za evaluaciju NRM-a. Ponekad je nužna posebna organizacija kako bi se pristupilo postojećim podacima i informacijama. To bi trebala učiniti programska tijela ili JPM-ovi, osobito kada je nužno razmotriti pravne aspekte koji se odnose na pojedine probleme kod zaštite podataka (npr. podaci o pojedinim korisnicima ili informacije dobivene od pojedinih ispitanika).</w:t>
      </w:r>
    </w:p>
    <w:p w:rsidR="00867290" w:rsidRPr="00BB2924" w:rsidRDefault="00867290" w:rsidP="00FC0A30">
      <w:pPr>
        <w:pStyle w:val="HStandard"/>
        <w:rPr>
          <w:highlight w:val="yellow"/>
        </w:rPr>
      </w:pPr>
      <w:r>
        <w:rPr>
          <w:highlight w:val="yellow"/>
        </w:rPr>
        <w:t xml:space="preserve">Provjeru postojećih podataka evaluatori mogu ponoviti i u kasnijim fazama provedbe akcijskog plana NRM-a (vidi </w:t>
      </w:r>
      <w:r>
        <w:rPr>
          <w:b/>
          <w:color w:val="E7E6E6" w:themeColor="background2"/>
          <w:highlight w:val="yellow"/>
        </w:rPr>
        <w:t>DIO I.</w:t>
      </w:r>
      <w:r>
        <w:rPr>
          <w:highlight w:val="yellow"/>
        </w:rPr>
        <w:t>, poglavlje 2.2.2. „Priprema evaluacije NRM-a”). U tom je pogledu važno da svi raspoloživi podaci budu dostupni evaluatorima čim evaluacija započne. JPM/UT ima odgovornost osigurati sve dostupne podatke evaluatoru tijekom provedbe evaluacije.</w:t>
      </w:r>
    </w:p>
    <w:p w:rsidR="00867290" w:rsidRPr="00BB2924" w:rsidRDefault="00867290" w:rsidP="00FC0A30">
      <w:pPr>
        <w:pStyle w:val="HStandard"/>
        <w:rPr>
          <w:highlight w:val="yellow"/>
        </w:rPr>
      </w:pPr>
      <w:r>
        <w:rPr>
          <w:highlight w:val="yellow"/>
        </w:rPr>
        <w:t xml:space="preserve">Posebna bi se pozornost trebala obratiti na praznine u podacima i informacijama i tome kako ih premostiti. Naručitelj (UT, JPM) odlučuje koji se podaci i informacije mogu dobiti iz postojećih izvora, npr. specijalnom organizacijom, i koje bi podatke i informacije koji nedostaju evaluatori trebali prikupiti. Znanje UT-a i JPM-a o dostupnosti podataka i informacija, kvaliteti i prazninama utječe na proračun evaluacije i Opis poslova. Osim toga, ovaj proces može dovoljno rano upozoriti UT da izbjegne probleme s podacima koji mogu iskrsnuti tijekom provedbe akcijskog plana NRM-a. </w:t>
      </w:r>
    </w:p>
    <w:p w:rsidR="00867290" w:rsidRPr="00BB2924" w:rsidRDefault="00867290" w:rsidP="00FC0A30">
      <w:pPr>
        <w:pStyle w:val="HHeading5"/>
        <w:rPr>
          <w:highlight w:val="yellow"/>
        </w:rPr>
      </w:pPr>
      <w:r>
        <w:rPr>
          <w:highlight w:val="yellow"/>
        </w:rPr>
        <w:lastRenderedPageBreak/>
        <w:t xml:space="preserve">Korak 5. – Javno nadmetanje i odabir vanjskog evaluatora </w:t>
      </w:r>
    </w:p>
    <w:p w:rsidR="00867290" w:rsidRPr="00BB2924" w:rsidRDefault="00867290" w:rsidP="00FC0A30">
      <w:pPr>
        <w:pStyle w:val="HStandard"/>
        <w:rPr>
          <w:highlight w:val="yellow"/>
        </w:rPr>
      </w:pPr>
      <w:r>
        <w:rPr>
          <w:b/>
          <w:highlight w:val="yellow"/>
        </w:rPr>
        <w:t>Sastavljanje Opisa poslova i postupka javnog nadmetanja</w:t>
      </w:r>
      <w:r>
        <w:rPr>
          <w:highlight w:val="yellow"/>
        </w:rPr>
        <w:t xml:space="preserve"> ključni su postupci pri odabiru i ugovaranju vanjskog evaluatora. Prethodni koraci vezani za planiranje i pripremu evaluacije, prethodno opisani, stvaraju temelj za ono što će pripremiti tijela NRM-a i što bi se trebalo ostaviti evaluatorima i uključiti u Opis poslova.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2730A3">
        <w:tc>
          <w:tcPr>
            <w:tcW w:w="9016" w:type="dxa"/>
            <w:shd w:val="clear" w:color="auto" w:fill="F5F4F4" w:themeFill="background2" w:themeFillTint="66"/>
          </w:tcPr>
          <w:p w:rsidR="00867290" w:rsidRPr="00BB2924" w:rsidRDefault="00867290" w:rsidP="00FC0A30">
            <w:pPr>
              <w:pStyle w:val="HStandard"/>
              <w:rPr>
                <w:highlight w:val="yellow"/>
              </w:rPr>
            </w:pPr>
            <w:r>
              <w:rPr>
                <w:highlight w:val="yellow"/>
              </w:rPr>
              <w:t xml:space="preserve">Pitanja koja usmjeravaju ovaj korak sljedeća su: </w:t>
            </w:r>
          </w:p>
          <w:p w:rsidR="00867290" w:rsidRPr="00BB2924" w:rsidRDefault="00867290" w:rsidP="00867290">
            <w:pPr>
              <w:pStyle w:val="Hlistbullet"/>
              <w:tabs>
                <w:tab w:val="left" w:pos="567"/>
              </w:tabs>
              <w:rPr>
                <w:highlight w:val="yellow"/>
              </w:rPr>
            </w:pPr>
            <w:r>
              <w:rPr>
                <w:highlight w:val="yellow"/>
              </w:rPr>
              <w:t>Kakva je pozadina evaluacije?</w:t>
            </w:r>
          </w:p>
          <w:p w:rsidR="00867290" w:rsidRPr="00BB2924" w:rsidRDefault="00867290" w:rsidP="00867290">
            <w:pPr>
              <w:pStyle w:val="Hlistbullet"/>
              <w:tabs>
                <w:tab w:val="left" w:pos="567"/>
              </w:tabs>
              <w:rPr>
                <w:highlight w:val="yellow"/>
              </w:rPr>
            </w:pPr>
            <w:r>
              <w:rPr>
                <w:highlight w:val="yellow"/>
              </w:rPr>
              <w:t>Što će se evaluirati?</w:t>
            </w:r>
          </w:p>
          <w:p w:rsidR="00867290" w:rsidRPr="00BB2924" w:rsidRDefault="00867290" w:rsidP="00867290">
            <w:pPr>
              <w:pStyle w:val="Hlistbullet"/>
              <w:tabs>
                <w:tab w:val="left" w:pos="567"/>
              </w:tabs>
              <w:rPr>
                <w:highlight w:val="yellow"/>
              </w:rPr>
            </w:pPr>
            <w:r>
              <w:rPr>
                <w:highlight w:val="yellow"/>
              </w:rPr>
              <w:t>Zašto se provodi ova evaluacija?</w:t>
            </w:r>
          </w:p>
          <w:p w:rsidR="00867290" w:rsidRPr="00BB2924" w:rsidRDefault="00867290" w:rsidP="00867290">
            <w:pPr>
              <w:pStyle w:val="Hlistbullet"/>
              <w:tabs>
                <w:tab w:val="left" w:pos="567"/>
              </w:tabs>
              <w:rPr>
                <w:highlight w:val="yellow"/>
              </w:rPr>
            </w:pPr>
            <w:r>
              <w:rPr>
                <w:highlight w:val="yellow"/>
              </w:rPr>
              <w:t>Koja pitanja treba postaviti?</w:t>
            </w:r>
          </w:p>
          <w:p w:rsidR="00867290" w:rsidRPr="00BB2924" w:rsidRDefault="00867290" w:rsidP="00867290">
            <w:pPr>
              <w:pStyle w:val="Hlistbullet"/>
              <w:tabs>
                <w:tab w:val="left" w:pos="567"/>
              </w:tabs>
              <w:rPr>
                <w:highlight w:val="yellow"/>
              </w:rPr>
            </w:pPr>
            <w:r>
              <w:rPr>
                <w:highlight w:val="yellow"/>
              </w:rPr>
              <w:t>Što bi evaluator trebao raditi u praksi?</w:t>
            </w:r>
          </w:p>
          <w:p w:rsidR="00867290" w:rsidRPr="00BB2924" w:rsidRDefault="00867290" w:rsidP="00867290">
            <w:pPr>
              <w:pStyle w:val="Hlistbullet"/>
              <w:tabs>
                <w:tab w:val="left" w:pos="567"/>
              </w:tabs>
              <w:rPr>
                <w:highlight w:val="yellow"/>
              </w:rPr>
            </w:pPr>
            <w:r>
              <w:rPr>
                <w:highlight w:val="yellow"/>
              </w:rPr>
              <w:t>Kakve bi dokumente/izvješća evaluator trebao napraviti i kada?</w:t>
            </w:r>
          </w:p>
          <w:p w:rsidR="00867290" w:rsidRPr="00BB2924" w:rsidRDefault="00867290" w:rsidP="00867290">
            <w:pPr>
              <w:pStyle w:val="Hlistbullet"/>
              <w:tabs>
                <w:tab w:val="left" w:pos="567"/>
              </w:tabs>
              <w:rPr>
                <w:highlight w:val="yellow"/>
              </w:rPr>
            </w:pPr>
            <w:r>
              <w:rPr>
                <w:highlight w:val="yellow"/>
              </w:rPr>
              <w:t xml:space="preserve">Kako bi se evaluacija trebala provoditi? </w:t>
            </w:r>
          </w:p>
          <w:p w:rsidR="00867290" w:rsidRPr="00BB2924" w:rsidRDefault="00867290" w:rsidP="00867290">
            <w:pPr>
              <w:pStyle w:val="Hlistbullet"/>
              <w:tabs>
                <w:tab w:val="left" w:pos="567"/>
              </w:tabs>
              <w:rPr>
                <w:highlight w:val="yellow"/>
              </w:rPr>
            </w:pPr>
            <w:r>
              <w:rPr>
                <w:highlight w:val="yellow"/>
              </w:rPr>
              <w:t>Kakvi podaci i kakve informacije postoje?</w:t>
            </w:r>
          </w:p>
          <w:p w:rsidR="00867290" w:rsidRPr="00BB2924" w:rsidRDefault="00867290" w:rsidP="00867290">
            <w:pPr>
              <w:pStyle w:val="Hlistbullet"/>
              <w:tabs>
                <w:tab w:val="left" w:pos="567"/>
              </w:tabs>
              <w:rPr>
                <w:highlight w:val="yellow"/>
              </w:rPr>
            </w:pPr>
            <w:r>
              <w:rPr>
                <w:highlight w:val="yellow"/>
              </w:rPr>
              <w:t xml:space="preserve">Kakve bi podatke i informacije trebalo dodatno prikupiti? </w:t>
            </w:r>
          </w:p>
          <w:p w:rsidR="00867290" w:rsidRPr="00BB2924" w:rsidRDefault="00867290" w:rsidP="00867290">
            <w:pPr>
              <w:pStyle w:val="Hlistbullet"/>
              <w:tabs>
                <w:tab w:val="left" w:pos="567"/>
              </w:tabs>
              <w:rPr>
                <w:highlight w:val="yellow"/>
              </w:rPr>
            </w:pPr>
            <w:r>
              <w:rPr>
                <w:highlight w:val="yellow"/>
              </w:rPr>
              <w:t>Koji su zahtjevi za evaluatora?</w:t>
            </w:r>
          </w:p>
          <w:p w:rsidR="00867290" w:rsidRPr="00BB2924" w:rsidRDefault="00867290" w:rsidP="00867290">
            <w:pPr>
              <w:pStyle w:val="Hlistbullet2"/>
              <w:tabs>
                <w:tab w:val="left" w:pos="567"/>
              </w:tabs>
              <w:rPr>
                <w:highlight w:val="yellow"/>
              </w:rPr>
            </w:pPr>
            <w:r>
              <w:rPr>
                <w:highlight w:val="yellow"/>
              </w:rPr>
              <w:t>Kako se bira evaluator?</w:t>
            </w:r>
          </w:p>
          <w:p w:rsidR="00867290" w:rsidRPr="00BB2924" w:rsidRDefault="00867290" w:rsidP="00867290">
            <w:pPr>
              <w:pStyle w:val="Hlistbullet"/>
              <w:tabs>
                <w:tab w:val="left" w:pos="567"/>
              </w:tabs>
              <w:rPr>
                <w:highlight w:val="yellow"/>
              </w:rPr>
            </w:pPr>
            <w:r>
              <w:rPr>
                <w:highlight w:val="yellow"/>
              </w:rPr>
              <w:t>Jesu li financijski i ljudski resursi prikladni za provedbu evaluacije koju želimo?</w:t>
            </w:r>
          </w:p>
          <w:p w:rsidR="00867290" w:rsidRPr="00BB2924" w:rsidRDefault="00867290" w:rsidP="00867290">
            <w:pPr>
              <w:pStyle w:val="Hlistbullet"/>
              <w:tabs>
                <w:tab w:val="left" w:pos="567"/>
              </w:tabs>
              <w:rPr>
                <w:highlight w:val="yellow"/>
              </w:rPr>
            </w:pPr>
            <w:r>
              <w:rPr>
                <w:highlight w:val="yellow"/>
              </w:rPr>
              <w:t>Je li vremenski okvir razuman? Je li za svaki korak određeno dovoljno vremena? Je li određeno vrijeme za nepredvidive događaje i probleme?</w:t>
            </w:r>
          </w:p>
          <w:p w:rsidR="00867290" w:rsidRPr="00BB2924" w:rsidRDefault="00867290" w:rsidP="00867290">
            <w:pPr>
              <w:pStyle w:val="Hlistbullet2"/>
              <w:tabs>
                <w:tab w:val="left" w:pos="567"/>
              </w:tabs>
              <w:rPr>
                <w:highlight w:val="yellow"/>
              </w:rPr>
            </w:pPr>
            <w:r>
              <w:rPr>
                <w:highlight w:val="yellow"/>
              </w:rPr>
              <w:t>Koji je najbolji postupak javnog nadmetanja za evaluaciju NRM-a koja je posrijedi?</w:t>
            </w:r>
          </w:p>
        </w:tc>
      </w:tr>
    </w:tbl>
    <w:p w:rsidR="00867290" w:rsidRPr="00BB2924" w:rsidRDefault="00867290" w:rsidP="00FC0A30">
      <w:pPr>
        <w:pStyle w:val="HStandard"/>
        <w:rPr>
          <w:highlight w:val="yellow"/>
        </w:rPr>
      </w:pPr>
      <w:r>
        <w:rPr>
          <w:highlight w:val="yellow"/>
        </w:rPr>
        <w:t xml:space="preserve">Ovaj se korak provodi </w:t>
      </w:r>
      <w:r>
        <w:rPr>
          <w:b/>
          <w:highlight w:val="yellow"/>
        </w:rPr>
        <w:t>sljedećim redoslijedom</w:t>
      </w:r>
      <w:r>
        <w:rPr>
          <w:highlight w:val="yellow"/>
        </w:rPr>
        <w:t xml:space="preserve">: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a.</w:t>
            </w:r>
          </w:p>
        </w:tc>
        <w:tc>
          <w:tcPr>
            <w:tcW w:w="8028" w:type="dxa"/>
          </w:tcPr>
          <w:p w:rsidR="00867290" w:rsidRPr="00BB2924" w:rsidRDefault="00867290" w:rsidP="00BE6F49">
            <w:pPr>
              <w:pStyle w:val="Hlistbullet"/>
              <w:numPr>
                <w:ilvl w:val="0"/>
                <w:numId w:val="0"/>
              </w:numPr>
              <w:spacing w:before="0" w:line="280" w:lineRule="atLeast"/>
              <w:jc w:val="left"/>
              <w:rPr>
                <w:sz w:val="18"/>
                <w:szCs w:val="18"/>
                <w:highlight w:val="yellow"/>
              </w:rPr>
            </w:pPr>
            <w:r>
              <w:rPr>
                <w:sz w:val="18"/>
                <w:highlight w:val="yellow"/>
              </w:rPr>
              <w:t>Sastavljanje Opisa poslova za vanjsku evaluaciju.</w:t>
            </w:r>
          </w:p>
        </w:tc>
      </w:tr>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b.</w:t>
            </w:r>
          </w:p>
        </w:tc>
        <w:tc>
          <w:tcPr>
            <w:tcW w:w="8028" w:type="dxa"/>
          </w:tcPr>
          <w:p w:rsidR="00867290" w:rsidRPr="00BB2924" w:rsidRDefault="00867290" w:rsidP="00BE6F49">
            <w:pPr>
              <w:pStyle w:val="HStandard"/>
              <w:rPr>
                <w:sz w:val="18"/>
                <w:szCs w:val="18"/>
                <w:highlight w:val="yellow"/>
              </w:rPr>
            </w:pPr>
            <w:r>
              <w:rPr>
                <w:sz w:val="18"/>
                <w:highlight w:val="yellow"/>
              </w:rPr>
              <w:t>Dodjela sredstava za vanjsku evaluaciju kao temelj planiranja i pripreme evaluacije.</w:t>
            </w:r>
          </w:p>
        </w:tc>
      </w:tr>
      <w:tr w:rsidR="00867290" w:rsidRPr="00BB2924" w:rsidTr="00BE6F49">
        <w:tc>
          <w:tcPr>
            <w:tcW w:w="988" w:type="dxa"/>
            <w:shd w:val="clear" w:color="auto" w:fill="E7E6E6" w:themeFill="background2"/>
          </w:tcPr>
          <w:p w:rsidR="00867290" w:rsidRPr="00BB2924" w:rsidRDefault="00867290" w:rsidP="00BE6F49">
            <w:pPr>
              <w:pStyle w:val="HStandard"/>
              <w:jc w:val="center"/>
              <w:rPr>
                <w:b/>
                <w:color w:val="FFFFFF"/>
                <w:sz w:val="18"/>
                <w:szCs w:val="18"/>
                <w:highlight w:val="yellow"/>
              </w:rPr>
            </w:pPr>
            <w:r>
              <w:rPr>
                <w:b/>
                <w:color w:val="FFFFFF"/>
                <w:sz w:val="18"/>
                <w:highlight w:val="yellow"/>
              </w:rPr>
              <w:t>c.</w:t>
            </w:r>
          </w:p>
        </w:tc>
        <w:tc>
          <w:tcPr>
            <w:tcW w:w="8028" w:type="dxa"/>
          </w:tcPr>
          <w:p w:rsidR="00867290" w:rsidRPr="00BB2924" w:rsidRDefault="00867290" w:rsidP="00BE6F49">
            <w:pPr>
              <w:pStyle w:val="Hlistbullet"/>
              <w:numPr>
                <w:ilvl w:val="0"/>
                <w:numId w:val="0"/>
              </w:numPr>
              <w:spacing w:before="0" w:line="280" w:lineRule="atLeast"/>
              <w:jc w:val="left"/>
              <w:rPr>
                <w:sz w:val="18"/>
                <w:szCs w:val="18"/>
                <w:highlight w:val="yellow"/>
              </w:rPr>
            </w:pPr>
            <w:r>
              <w:rPr>
                <w:sz w:val="18"/>
                <w:highlight w:val="yellow"/>
              </w:rPr>
              <w:t>Priprema i provedba postupka javnog nadmetanja.</w:t>
            </w:r>
          </w:p>
        </w:tc>
      </w:tr>
      <w:tr w:rsidR="00867290" w:rsidRPr="00BB2924" w:rsidTr="00BE6F49">
        <w:tc>
          <w:tcPr>
            <w:tcW w:w="9016" w:type="dxa"/>
            <w:gridSpan w:val="2"/>
            <w:shd w:val="clear" w:color="auto" w:fill="auto"/>
          </w:tcPr>
          <w:p w:rsidR="00867290" w:rsidRPr="00BB2924" w:rsidRDefault="00867290" w:rsidP="00BE6F49">
            <w:pPr>
              <w:pStyle w:val="HStandard"/>
              <w:jc w:val="left"/>
              <w:rPr>
                <w:sz w:val="18"/>
                <w:szCs w:val="18"/>
                <w:highlight w:val="yellow"/>
              </w:rPr>
            </w:pPr>
            <w:r>
              <w:rPr>
                <w:b/>
                <w:sz w:val="18"/>
                <w:highlight w:val="yellow"/>
              </w:rPr>
              <w:t>Očekivani rezultati:</w:t>
            </w:r>
            <w:r>
              <w:rPr>
                <w:sz w:val="18"/>
                <w:highlight w:val="yellow"/>
              </w:rPr>
              <w:t xml:space="preserve"> odabir vanjskog evaluatora.</w:t>
            </w:r>
          </w:p>
        </w:tc>
      </w:tr>
    </w:tbl>
    <w:p w:rsidR="00867290" w:rsidRPr="00BB2924" w:rsidRDefault="00867290" w:rsidP="00FC0A30">
      <w:pPr>
        <w:pStyle w:val="HStandard"/>
        <w:rPr>
          <w:highlight w:val="yellow"/>
        </w:rPr>
      </w:pPr>
      <w:r>
        <w:rPr>
          <w:highlight w:val="yellow"/>
        </w:rPr>
        <w:t>Naručitelj (UT, JPM) odgovoran je za sastavljanje Opisa poslova i osiguravanje da on odražava NRM koji je posrijedi. Upravljačka skupina za evaluaciju smije poduprijeti naručitelja pri njihovu definiranju i sastavljanju ako UT upravljačkoj skupini dade ovlaštenje za evaluaciju.</w:t>
      </w:r>
    </w:p>
    <w:p w:rsidR="00867290" w:rsidRPr="00BB2924" w:rsidRDefault="00867290" w:rsidP="006F6D66">
      <w:pPr>
        <w:pStyle w:val="HHeadingboxes"/>
        <w:numPr>
          <w:ilvl w:val="0"/>
          <w:numId w:val="0"/>
        </w:numPr>
        <w:rPr>
          <w:highlight w:val="yellow"/>
        </w:rPr>
      </w:pPr>
      <w:bookmarkStart w:id="144" w:name="_Toc390439635"/>
      <w:bookmarkStart w:id="145" w:name="_Toc451781952"/>
      <w:bookmarkStart w:id="146" w:name="_Toc461713664"/>
      <w:r>
        <w:rPr>
          <w:highlight w:val="yellow"/>
        </w:rPr>
        <w:t>Polje 2. Ovlaštenje za evaluaciju</w:t>
      </w:r>
      <w:bookmarkEnd w:id="144"/>
      <w:bookmarkEnd w:id="145"/>
      <w:bookmarkEnd w:id="146"/>
    </w:p>
    <w:p w:rsidR="00867290" w:rsidRPr="00BB2924" w:rsidRDefault="00867290"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 xml:space="preserve">Ako se UT odluči koristiti upravljačkom skupinom za evaluaciju, savjetuje se prije sastavljanja Opisa poslova sastaviti ovlaštenje za evaluaciju. Ovlaštenje za evaluaciju jest dokument u kojem se daje kratak i sveobuhvatan opis evaluacije koja će se provesti. U njemu bi trebali biti precizirani opseg (što će se evaluirati?), kontekst i motivi (koja je pozadina i koji su motivi za evaluaciju?), odgovornosti i vremenski raspored (kako će se organizirati rad i s kakvim rasporedom?) i ciljevi (koja je očekivana korist od evaluacije?). Ovlaštenje za evaluaciju usmjerava pripremu Opisa poslova i program rada upravljačke skupine za evaluaciju. </w:t>
      </w:r>
    </w:p>
    <w:p w:rsidR="00867290" w:rsidRPr="00BB2924" w:rsidRDefault="00867290" w:rsidP="001413F0">
      <w:pPr>
        <w:pStyle w:val="HBox"/>
        <w:pBdr>
          <w:top w:val="single" w:sz="4" w:space="4" w:color="E7E6E6" w:themeColor="background2"/>
          <w:left w:val="single" w:sz="4" w:space="4" w:color="E7E6E6" w:themeColor="background2"/>
          <w:bottom w:val="single" w:sz="4" w:space="4" w:color="E7E6E6" w:themeColor="background2"/>
          <w:right w:val="single" w:sz="4" w:space="4" w:color="E7E6E6" w:themeColor="background2"/>
        </w:pBdr>
        <w:shd w:val="clear" w:color="auto" w:fill="F5F4F4" w:themeFill="background2" w:themeFillTint="66"/>
        <w:rPr>
          <w:highlight w:val="yellow"/>
        </w:rPr>
      </w:pPr>
      <w:r>
        <w:rPr>
          <w:highlight w:val="yellow"/>
        </w:rPr>
        <w:t>Ovlaštenje za evaluaciju obično inicira i odobrava UT, a upravljačka skupina za evaluaciju pomaže UT-u pri procesu sastavljanja.</w:t>
      </w:r>
    </w:p>
    <w:p w:rsidR="00867290" w:rsidRPr="00BB2924" w:rsidRDefault="00867290" w:rsidP="00FC0A30">
      <w:pPr>
        <w:pStyle w:val="HStandard"/>
        <w:rPr>
          <w:highlight w:val="yellow"/>
        </w:rPr>
      </w:pPr>
      <w:r>
        <w:rPr>
          <w:highlight w:val="yellow"/>
        </w:rPr>
        <w:t xml:space="preserve">Opisom poslova trebalo bi objasniti važnost provedbe NRM-a i razmotriti veličinu proračuna za evaluaciju NRM-a. Također bi trebao sadržavati opis podrijetla, opsega i ciljeva evaluacije te jasnu raspodjelu uloga i odgovornosti. Opisom poslova trebalo bi navesti evaluacijska pitanja na koja treba odgovoriti te opisati zadatke i aktivnosti koje trebaju obaviti vanjski evaluatori. Osim toga, njime bi </w:t>
      </w:r>
      <w:r>
        <w:rPr>
          <w:highlight w:val="yellow"/>
        </w:rPr>
        <w:lastRenderedPageBreak/>
        <w:t xml:space="preserve">trebalo navesti već dostupne izvore informacija. Dobar Opis poslova trebao bi sadržavati i kriterije za odabir evaluatora i kriterije za procjenu kvalitete za završno izvješće. </w:t>
      </w:r>
    </w:p>
    <w:p w:rsidR="00867290" w:rsidRPr="00BB2924" w:rsidRDefault="00867290" w:rsidP="00FC0A30">
      <w:pPr>
        <w:pStyle w:val="HStandard"/>
        <w:rPr>
          <w:highlight w:val="yellow"/>
        </w:rPr>
      </w:pPr>
      <w:r>
        <w:rPr>
          <w:highlight w:val="yellow"/>
        </w:rPr>
        <w:t>Nema pravnih zahtjeva za sadržaj Opisa poslova. U nastavku su navedeni preporučeni glavni elementi koji odražavaju zajedničke standarde dobre prakse</w:t>
      </w:r>
      <w:r>
        <w:rPr>
          <w:rFonts w:ascii="ZWAdobeF" w:hAnsi="ZWAdobeF"/>
          <w:color w:val="auto"/>
          <w:sz w:val="2"/>
          <w:highlight w:val="yellow"/>
        </w:rPr>
        <w:t>81F</w:t>
      </w:r>
      <w:r>
        <w:rPr>
          <w:rStyle w:val="FootnoteReference"/>
          <w:highlight w:val="yellow"/>
        </w:rPr>
        <w:footnoteReference w:id="82"/>
      </w:r>
      <w:r>
        <w:rPr>
          <w:highlight w:val="yellow"/>
        </w:rPr>
        <w:t xml:space="preserve">. </w:t>
      </w:r>
    </w:p>
    <w:p w:rsidR="00867290" w:rsidRPr="00BB2924" w:rsidRDefault="00867290" w:rsidP="001413F0">
      <w:pPr>
        <w:pStyle w:val="Hlistbullet"/>
        <w:rPr>
          <w:highlight w:val="yellow"/>
        </w:rPr>
      </w:pPr>
      <w:r>
        <w:rPr>
          <w:highlight w:val="yellow"/>
        </w:rPr>
        <w:t>Kontekst (svrha, ciljevi i opravdanje za evaluaciju);</w:t>
      </w:r>
    </w:p>
    <w:p w:rsidR="00867290" w:rsidRPr="00BB2924" w:rsidRDefault="00867290" w:rsidP="001413F0">
      <w:pPr>
        <w:pStyle w:val="Hlistbullet"/>
        <w:rPr>
          <w:highlight w:val="yellow"/>
        </w:rPr>
      </w:pPr>
      <w:r>
        <w:rPr>
          <w:highlight w:val="yellow"/>
        </w:rPr>
        <w:t>Opseg evaluacije;</w:t>
      </w:r>
    </w:p>
    <w:p w:rsidR="00867290" w:rsidRPr="00BB2924" w:rsidRDefault="00867290" w:rsidP="001413F0">
      <w:pPr>
        <w:pStyle w:val="Hlistbullet"/>
        <w:rPr>
          <w:highlight w:val="yellow"/>
        </w:rPr>
      </w:pPr>
      <w:r>
        <w:rPr>
          <w:highlight w:val="yellow"/>
        </w:rPr>
        <w:t>Ciljevi evaluacije;</w:t>
      </w:r>
    </w:p>
    <w:p w:rsidR="00867290" w:rsidRPr="00BB2924" w:rsidRDefault="00867290" w:rsidP="001413F0">
      <w:pPr>
        <w:pStyle w:val="Hlistbullet"/>
        <w:rPr>
          <w:highlight w:val="yellow"/>
        </w:rPr>
      </w:pPr>
      <w:r>
        <w:rPr>
          <w:highlight w:val="yellow"/>
        </w:rPr>
        <w:t>Evaluacijska pitanja;</w:t>
      </w:r>
    </w:p>
    <w:p w:rsidR="00867290" w:rsidRPr="00BB2924" w:rsidRDefault="00867290" w:rsidP="001413F0">
      <w:pPr>
        <w:pStyle w:val="Hlistbullet"/>
        <w:rPr>
          <w:highlight w:val="yellow"/>
        </w:rPr>
      </w:pPr>
      <w:r>
        <w:rPr>
          <w:highlight w:val="yellow"/>
        </w:rPr>
        <w:t>Zadaci koje treba obaviti;</w:t>
      </w:r>
    </w:p>
    <w:p w:rsidR="00867290" w:rsidRPr="00BB2924" w:rsidRDefault="00867290" w:rsidP="001413F0">
      <w:pPr>
        <w:pStyle w:val="Hlistbullet"/>
        <w:rPr>
          <w:highlight w:val="yellow"/>
        </w:rPr>
      </w:pPr>
      <w:r>
        <w:rPr>
          <w:highlight w:val="yellow"/>
        </w:rPr>
        <w:t>Vremenski raspored i sadržaj dokumenata;</w:t>
      </w:r>
    </w:p>
    <w:p w:rsidR="00867290" w:rsidRPr="00BB2924" w:rsidRDefault="00867290" w:rsidP="001413F0">
      <w:pPr>
        <w:pStyle w:val="Hlistbullet"/>
        <w:rPr>
          <w:highlight w:val="yellow"/>
        </w:rPr>
      </w:pPr>
      <w:r>
        <w:rPr>
          <w:highlight w:val="yellow"/>
        </w:rPr>
        <w:t>Organizacija rada;</w:t>
      </w:r>
    </w:p>
    <w:p w:rsidR="00867290" w:rsidRPr="00BB2924" w:rsidRDefault="00867290" w:rsidP="001413F0">
      <w:pPr>
        <w:pStyle w:val="Hlistbullet"/>
        <w:rPr>
          <w:highlight w:val="yellow"/>
        </w:rPr>
      </w:pPr>
      <w:r>
        <w:rPr>
          <w:highlight w:val="yellow"/>
        </w:rPr>
        <w:t>Izvori i dokumentacija;</w:t>
      </w:r>
    </w:p>
    <w:p w:rsidR="00867290" w:rsidRPr="00BB2924" w:rsidRDefault="00867290" w:rsidP="001413F0">
      <w:pPr>
        <w:pStyle w:val="Hlistbullet"/>
        <w:rPr>
          <w:highlight w:val="yellow"/>
        </w:rPr>
      </w:pPr>
      <w:r>
        <w:rPr>
          <w:highlight w:val="yellow"/>
        </w:rPr>
        <w:t xml:space="preserve">Postupci javnog nadmetanja i ugovorne odredbe. To će uključivati kriterije za odabir evaluatora, kao što su: </w:t>
      </w:r>
    </w:p>
    <w:p w:rsidR="00867290" w:rsidRPr="00BB2924" w:rsidRDefault="00867290" w:rsidP="00892664">
      <w:pPr>
        <w:pStyle w:val="Hlistbullet2"/>
        <w:numPr>
          <w:ilvl w:val="1"/>
          <w:numId w:val="16"/>
        </w:numPr>
        <w:tabs>
          <w:tab w:val="left" w:pos="567"/>
        </w:tabs>
        <w:rPr>
          <w:highlight w:val="yellow"/>
        </w:rPr>
      </w:pPr>
      <w:r>
        <w:rPr>
          <w:highlight w:val="yellow"/>
        </w:rPr>
        <w:t xml:space="preserve">traženi profil evaluatora, uključujući i obrazovanje, postojeće (višegodišnje) iskustvo u evaluaciji i vezane reference i poveznice s postojećim izvješćima; </w:t>
      </w:r>
    </w:p>
    <w:p w:rsidR="00867290" w:rsidRPr="00BB2924" w:rsidRDefault="00867290" w:rsidP="00892664">
      <w:pPr>
        <w:pStyle w:val="Hlistbullet2"/>
        <w:numPr>
          <w:ilvl w:val="1"/>
          <w:numId w:val="16"/>
        </w:numPr>
        <w:tabs>
          <w:tab w:val="left" w:pos="567"/>
        </w:tabs>
        <w:rPr>
          <w:highlight w:val="yellow"/>
        </w:rPr>
      </w:pPr>
      <w:r>
        <w:rPr>
          <w:highlight w:val="yellow"/>
        </w:rPr>
        <w:t xml:space="preserve">predloženi pristup i metode evaluacije; </w:t>
      </w:r>
    </w:p>
    <w:p w:rsidR="00867290" w:rsidRPr="00BB2924" w:rsidRDefault="00867290" w:rsidP="00892664">
      <w:pPr>
        <w:pStyle w:val="Hlistbullet2"/>
        <w:numPr>
          <w:ilvl w:val="1"/>
          <w:numId w:val="16"/>
        </w:numPr>
        <w:tabs>
          <w:tab w:val="left" w:pos="567"/>
        </w:tabs>
        <w:rPr>
          <w:highlight w:val="yellow"/>
        </w:rPr>
      </w:pPr>
      <w:r>
        <w:rPr>
          <w:highlight w:val="yellow"/>
        </w:rPr>
        <w:t>zahtjevi o podacima i informacijama i naznake o podacima koje evaluator prikuplja;</w:t>
      </w:r>
    </w:p>
    <w:p w:rsidR="00867290" w:rsidRPr="00BB2924" w:rsidRDefault="00867290" w:rsidP="00892664">
      <w:pPr>
        <w:pStyle w:val="Hlistbullet2"/>
        <w:numPr>
          <w:ilvl w:val="1"/>
          <w:numId w:val="16"/>
        </w:numPr>
        <w:tabs>
          <w:tab w:val="left" w:pos="567"/>
        </w:tabs>
        <w:rPr>
          <w:highlight w:val="yellow"/>
        </w:rPr>
      </w:pPr>
      <w:r>
        <w:rPr>
          <w:highlight w:val="yellow"/>
        </w:rPr>
        <w:t>predloženi proračun evaluacije;</w:t>
      </w:r>
    </w:p>
    <w:p w:rsidR="00867290" w:rsidRPr="00BB2924" w:rsidRDefault="00867290" w:rsidP="00892664">
      <w:pPr>
        <w:pStyle w:val="Hlistbullet2"/>
        <w:numPr>
          <w:ilvl w:val="1"/>
          <w:numId w:val="16"/>
        </w:numPr>
        <w:tabs>
          <w:tab w:val="left" w:pos="567"/>
        </w:tabs>
        <w:rPr>
          <w:highlight w:val="yellow"/>
        </w:rPr>
      </w:pPr>
      <w:r>
        <w:rPr>
          <w:highlight w:val="yellow"/>
        </w:rPr>
        <w:t>kriteriji za procjenu kvalitete za završno izvješće</w:t>
      </w:r>
    </w:p>
    <w:p w:rsidR="00867290" w:rsidRPr="00BB2924" w:rsidRDefault="00867290" w:rsidP="00892664">
      <w:pPr>
        <w:pStyle w:val="Hlistbullet2"/>
        <w:numPr>
          <w:ilvl w:val="1"/>
          <w:numId w:val="16"/>
        </w:numPr>
        <w:tabs>
          <w:tab w:val="left" w:pos="567"/>
        </w:tabs>
        <w:rPr>
          <w:highlight w:val="yellow"/>
        </w:rPr>
      </w:pPr>
      <w:r>
        <w:rPr>
          <w:highlight w:val="yellow"/>
        </w:rPr>
        <w:t>itd.</w:t>
      </w:r>
    </w:p>
    <w:p w:rsidR="00867290" w:rsidRPr="00BB2924" w:rsidRDefault="00867290" w:rsidP="00FC0A30">
      <w:pPr>
        <w:pStyle w:val="HStandard"/>
        <w:rPr>
          <w:highlight w:val="yellow"/>
        </w:rPr>
      </w:pPr>
      <w:r>
        <w:rPr>
          <w:highlight w:val="yellow"/>
        </w:rPr>
        <w:t>U Opisu poslova evaluatorima bi trebalo ostaviti prostora da mogu predložiti pristup/oblikovanje i metode evaluacije, uključujući tražene podatke i informacije. Sastavljanje Opisa poslova početna je točka za strukturiranje evaluacije, koju će onda nastaviti odabrani evaluator.</w:t>
      </w:r>
    </w:p>
    <w:p w:rsidR="00867290" w:rsidRPr="00BB2924" w:rsidRDefault="00867290" w:rsidP="00FC0A30">
      <w:pPr>
        <w:pStyle w:val="HStandard"/>
        <w:rPr>
          <w:highlight w:val="yellow"/>
        </w:rPr>
      </w:pPr>
      <w:r>
        <w:rPr>
          <w:highlight w:val="yellow"/>
        </w:rPr>
        <w:t xml:space="preserve">Važno je da naručitelj (MA ili JPM) </w:t>
      </w:r>
      <w:r>
        <w:rPr>
          <w:b/>
          <w:highlight w:val="yellow"/>
        </w:rPr>
        <w:t>rezervira i osigura dovoljne i prikladne financijske i ljudske resurse</w:t>
      </w:r>
      <w:r>
        <w:rPr>
          <w:highlight w:val="yellow"/>
        </w:rPr>
        <w:t xml:space="preserve"> (u smislu sposobnosti i vještina osoblja UT-a i evaluatora, dostupne podatke i informacije itd.) za provedbu evaluacije i odredi dovoljno vremena za proces evaluacije i njegove pojedine korake. Prije raspisivanja natječaja važno je odrediti jasna pravila i postupke za zajedničko djelovanje evaluatora i odgovornog upravljačkog tijela. </w:t>
      </w:r>
    </w:p>
    <w:p w:rsidR="00867290" w:rsidRPr="00BB2924" w:rsidRDefault="00867290" w:rsidP="001413F0">
      <w:pPr>
        <w:pStyle w:val="HStandard"/>
        <w:rPr>
          <w:highlight w:val="yellow"/>
        </w:rPr>
      </w:pPr>
      <w:r>
        <w:rPr>
          <w:highlight w:val="yellow"/>
        </w:rPr>
        <w:t xml:space="preserve">U konačnici naručitelj (UT ili JPM) mora odabrati </w:t>
      </w:r>
      <w:r>
        <w:rPr>
          <w:b/>
          <w:highlight w:val="yellow"/>
        </w:rPr>
        <w:t>postupak javnog nadmetanja</w:t>
      </w:r>
      <w:r>
        <w:rPr>
          <w:highlight w:val="yellow"/>
        </w:rPr>
        <w:t>. To ovisi o pojedinom pristupu angažiranju evaluatora (jedan otvoreni poziv, osnivanje okvirnog povjerenstva, izravno ugovaranje). U svakom je slučaju temeljno poštovati relevantne postupke javnog nadmetanja. Prije poziva za natječaj važno je osigurati da se poštuju svi pravni aspekti koji se odnose na javno nadmetanje. Ako UT ima dugoročni evaluacijski ugovor s evaluatorom, evaluacija NRM-a mora biti spomenuta u izvornom natječaju i ugovoru, kako bi taj evaluator mogao provesti evaluaciju bez dodatnog natječaja. Inače, trebalo bi slijediti primjenjive postupke javne nabave.</w:t>
      </w:r>
    </w:p>
    <w:p w:rsidR="00867290" w:rsidRPr="00BB2924" w:rsidRDefault="00867290" w:rsidP="006F6D66">
      <w:pPr>
        <w:pStyle w:val="HHeadingfigures"/>
        <w:numPr>
          <w:ilvl w:val="0"/>
          <w:numId w:val="0"/>
        </w:numPr>
        <w:rPr>
          <w:noProof/>
          <w:highlight w:val="yellow"/>
        </w:rPr>
      </w:pPr>
      <w:bookmarkStart w:id="147" w:name="_Toc445465131"/>
      <w:bookmarkStart w:id="148" w:name="_Toc451781934"/>
      <w:bookmarkStart w:id="149" w:name="_Toc461713661"/>
      <w:r>
        <w:rPr>
          <w:highlight w:val="yellow"/>
        </w:rPr>
        <w:t>Slika 15. Odgovornosti dionika u pripremi evaluacije NRM-a</w:t>
      </w:r>
      <w:bookmarkEnd w:id="147"/>
      <w:bookmarkEnd w:id="148"/>
      <w:bookmarkEnd w:id="149"/>
    </w:p>
    <w:tbl>
      <w:tblPr>
        <w:tblStyle w:val="TableGrid"/>
        <w:tblW w:w="906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746"/>
        <w:gridCol w:w="1742"/>
        <w:gridCol w:w="1555"/>
        <w:gridCol w:w="1484"/>
        <w:gridCol w:w="2036"/>
        <w:gridCol w:w="1499"/>
      </w:tblGrid>
      <w:tr w:rsidR="00867290" w:rsidRPr="00BB2924" w:rsidTr="001413F0">
        <w:trPr>
          <w:trHeight w:val="497"/>
        </w:trPr>
        <w:tc>
          <w:tcPr>
            <w:tcW w:w="746" w:type="dxa"/>
            <w:tcBorders>
              <w:top w:val="nil"/>
              <w:left w:val="nil"/>
              <w:bottom w:val="single" w:sz="4" w:space="0" w:color="000000" w:themeColor="text1"/>
            </w:tcBorders>
          </w:tcPr>
          <w:p w:rsidR="00867290" w:rsidRPr="00BB2924" w:rsidRDefault="00867290" w:rsidP="001413F0">
            <w:pPr>
              <w:jc w:val="center"/>
              <w:rPr>
                <w:rFonts w:cs="Arial"/>
                <w:b/>
                <w:szCs w:val="18"/>
                <w:highlight w:val="yellow"/>
              </w:rPr>
            </w:pPr>
          </w:p>
        </w:tc>
        <w:tc>
          <w:tcPr>
            <w:tcW w:w="1742" w:type="dxa"/>
            <w:shd w:val="clear" w:color="auto" w:fill="E7E6E6" w:themeFill="background2"/>
          </w:tcPr>
          <w:p w:rsidR="00867290" w:rsidRPr="00BB2924" w:rsidRDefault="00867290" w:rsidP="001413F0">
            <w:pPr>
              <w:jc w:val="center"/>
              <w:rPr>
                <w:rFonts w:cs="Arial"/>
                <w:b/>
                <w:color w:val="5B9BD5" w:themeColor="accent1"/>
                <w:szCs w:val="18"/>
                <w:highlight w:val="yellow"/>
              </w:rPr>
            </w:pPr>
            <w:r>
              <w:rPr>
                <w:b/>
                <w:color w:val="5B9BD5" w:themeColor="accent1"/>
                <w:highlight w:val="yellow"/>
              </w:rPr>
              <w:t>Mjere</w:t>
            </w:r>
          </w:p>
        </w:tc>
        <w:tc>
          <w:tcPr>
            <w:tcW w:w="6574" w:type="dxa"/>
            <w:gridSpan w:val="4"/>
            <w:shd w:val="clear" w:color="auto" w:fill="E7E6E6" w:themeFill="background2"/>
          </w:tcPr>
          <w:p w:rsidR="00867290" w:rsidRPr="00BB2924" w:rsidRDefault="00867290" w:rsidP="001413F0">
            <w:pPr>
              <w:jc w:val="center"/>
              <w:rPr>
                <w:rFonts w:cs="Arial"/>
                <w:b/>
                <w:i/>
                <w:color w:val="5B9BD5" w:themeColor="accent1"/>
                <w:szCs w:val="18"/>
                <w:highlight w:val="yellow"/>
              </w:rPr>
            </w:pPr>
            <w:r>
              <w:rPr>
                <w:b/>
                <w:color w:val="5B9BD5" w:themeColor="accent1"/>
                <w:highlight w:val="yellow"/>
              </w:rPr>
              <w:t>Sudionici</w:t>
            </w:r>
          </w:p>
        </w:tc>
      </w:tr>
      <w:tr w:rsidR="00867290" w:rsidRPr="00BB2924" w:rsidTr="001413F0">
        <w:trPr>
          <w:cantSplit/>
          <w:trHeight w:val="1134"/>
        </w:trPr>
        <w:tc>
          <w:tcPr>
            <w:tcW w:w="746" w:type="dxa"/>
            <w:shd w:val="clear" w:color="auto" w:fill="E7E6E6" w:themeFill="background2"/>
            <w:textDirection w:val="tbRl"/>
          </w:tcPr>
          <w:p w:rsidR="00867290" w:rsidRPr="00BB2924" w:rsidRDefault="00867290" w:rsidP="001413F0">
            <w:pPr>
              <w:jc w:val="center"/>
              <w:rPr>
                <w:rFonts w:cs="Arial"/>
                <w:b/>
                <w:color w:val="5B9BD5" w:themeColor="accent1"/>
                <w:szCs w:val="18"/>
                <w:highlight w:val="yellow"/>
              </w:rPr>
            </w:pPr>
            <w:r>
              <w:rPr>
                <w:b/>
                <w:color w:val="5B9BD5" w:themeColor="accent1"/>
                <w:highlight w:val="yellow"/>
              </w:rPr>
              <w:lastRenderedPageBreak/>
              <w:t>Faza</w:t>
            </w:r>
          </w:p>
        </w:tc>
        <w:tc>
          <w:tcPr>
            <w:tcW w:w="1742" w:type="dxa"/>
          </w:tcPr>
          <w:p w:rsidR="00867290" w:rsidRPr="00BB2924" w:rsidRDefault="00867290" w:rsidP="001413F0">
            <w:pPr>
              <w:rPr>
                <w:rFonts w:cs="Arial"/>
                <w:b/>
                <w:color w:val="E7E6E6" w:themeColor="background2"/>
                <w:szCs w:val="18"/>
                <w:highlight w:val="yellow"/>
              </w:rPr>
            </w:pPr>
            <w:r>
              <w:rPr>
                <w:b/>
                <w:color w:val="E7E6E6" w:themeColor="background2"/>
                <w:highlight w:val="yellow"/>
              </w:rPr>
              <w:t>Korak</w:t>
            </w:r>
          </w:p>
        </w:tc>
        <w:tc>
          <w:tcPr>
            <w:tcW w:w="1555" w:type="dxa"/>
          </w:tcPr>
          <w:p w:rsidR="00867290" w:rsidRPr="00BB2924" w:rsidRDefault="00867290" w:rsidP="001413F0">
            <w:pPr>
              <w:rPr>
                <w:rFonts w:cs="Arial"/>
                <w:i/>
                <w:szCs w:val="18"/>
                <w:highlight w:val="yellow"/>
              </w:rPr>
            </w:pPr>
            <w:r>
              <w:rPr>
                <w:i/>
                <w:highlight w:val="yellow"/>
              </w:rPr>
              <w:t>UT</w:t>
            </w:r>
          </w:p>
        </w:tc>
        <w:tc>
          <w:tcPr>
            <w:tcW w:w="1484" w:type="dxa"/>
          </w:tcPr>
          <w:p w:rsidR="00867290" w:rsidRPr="00BB2924" w:rsidRDefault="00867290" w:rsidP="001413F0">
            <w:pPr>
              <w:rPr>
                <w:rFonts w:cs="Arial"/>
                <w:i/>
                <w:szCs w:val="18"/>
                <w:highlight w:val="yellow"/>
              </w:rPr>
            </w:pPr>
            <w:r>
              <w:rPr>
                <w:i/>
                <w:highlight w:val="yellow"/>
              </w:rPr>
              <w:t>druge jedinice UT-a</w:t>
            </w:r>
          </w:p>
        </w:tc>
        <w:tc>
          <w:tcPr>
            <w:tcW w:w="2036" w:type="dxa"/>
          </w:tcPr>
          <w:p w:rsidR="00867290" w:rsidRPr="00BB2924" w:rsidRDefault="00867290" w:rsidP="001413F0">
            <w:pPr>
              <w:rPr>
                <w:rFonts w:cs="Arial"/>
                <w:i/>
                <w:szCs w:val="18"/>
                <w:highlight w:val="yellow"/>
              </w:rPr>
            </w:pPr>
            <w:r>
              <w:rPr>
                <w:i/>
                <w:highlight w:val="yellow"/>
              </w:rPr>
              <w:t>JPM</w:t>
            </w:r>
          </w:p>
        </w:tc>
        <w:tc>
          <w:tcPr>
            <w:tcW w:w="1499" w:type="dxa"/>
          </w:tcPr>
          <w:p w:rsidR="00867290" w:rsidRPr="00BB2924" w:rsidRDefault="00867290" w:rsidP="001413F0">
            <w:pPr>
              <w:rPr>
                <w:rFonts w:cs="Arial"/>
                <w:i/>
                <w:szCs w:val="18"/>
                <w:highlight w:val="yellow"/>
              </w:rPr>
            </w:pPr>
            <w:r>
              <w:rPr>
                <w:i/>
                <w:highlight w:val="yellow"/>
              </w:rPr>
              <w:t>Ostali</w:t>
            </w:r>
          </w:p>
        </w:tc>
      </w:tr>
      <w:tr w:rsidR="00867290" w:rsidRPr="00BB2924" w:rsidTr="001413F0">
        <w:tc>
          <w:tcPr>
            <w:tcW w:w="746" w:type="dxa"/>
            <w:vMerge w:val="restart"/>
            <w:shd w:val="clear" w:color="auto" w:fill="E7E6E6" w:themeFill="background2"/>
            <w:textDirection w:val="tbRl"/>
          </w:tcPr>
          <w:p w:rsidR="00867290" w:rsidRPr="00BB2924" w:rsidRDefault="00867290" w:rsidP="001413F0">
            <w:pPr>
              <w:jc w:val="center"/>
              <w:rPr>
                <w:rFonts w:cs="Arial"/>
                <w:b/>
                <w:color w:val="5B9BD5" w:themeColor="accent1"/>
                <w:szCs w:val="18"/>
                <w:highlight w:val="yellow"/>
              </w:rPr>
            </w:pPr>
            <w:r>
              <w:rPr>
                <w:b/>
                <w:color w:val="5B9BD5" w:themeColor="accent1"/>
                <w:highlight w:val="yellow"/>
              </w:rPr>
              <w:t>Priprema</w:t>
            </w:r>
          </w:p>
        </w:tc>
        <w:tc>
          <w:tcPr>
            <w:tcW w:w="1742" w:type="dxa"/>
          </w:tcPr>
          <w:p w:rsidR="00867290" w:rsidRPr="00BB2924" w:rsidRDefault="00867290" w:rsidP="001413F0">
            <w:pPr>
              <w:rPr>
                <w:rFonts w:cs="Arial"/>
                <w:b/>
                <w:color w:val="E7E6E6" w:themeColor="background2"/>
                <w:szCs w:val="18"/>
                <w:highlight w:val="yellow"/>
              </w:rPr>
            </w:pPr>
            <w:r>
              <w:rPr>
                <w:b/>
                <w:color w:val="E7E6E6" w:themeColor="background2"/>
                <w:highlight w:val="yellow"/>
              </w:rPr>
              <w:t>Konstrukcija intervencijske logike</w:t>
            </w:r>
          </w:p>
        </w:tc>
        <w:tc>
          <w:tcPr>
            <w:tcW w:w="1555" w:type="dxa"/>
          </w:tcPr>
          <w:p w:rsidR="00867290" w:rsidRPr="00BB2924" w:rsidRDefault="00867290" w:rsidP="001413F0">
            <w:pPr>
              <w:rPr>
                <w:rFonts w:cs="Arial"/>
                <w:szCs w:val="18"/>
                <w:highlight w:val="yellow"/>
              </w:rPr>
            </w:pPr>
            <w:r>
              <w:rPr>
                <w:highlight w:val="yellow"/>
              </w:rPr>
              <w:t>Odgovoran/sudjeluje</w:t>
            </w:r>
          </w:p>
        </w:tc>
        <w:tc>
          <w:tcPr>
            <w:tcW w:w="1484" w:type="dxa"/>
          </w:tcPr>
          <w:p w:rsidR="00867290" w:rsidRPr="00BB2924" w:rsidRDefault="00867290" w:rsidP="001413F0">
            <w:pPr>
              <w:rPr>
                <w:rFonts w:cs="Arial"/>
                <w:szCs w:val="18"/>
                <w:highlight w:val="yellow"/>
              </w:rPr>
            </w:pPr>
            <w:r>
              <w:rPr>
                <w:highlight w:val="yellow"/>
              </w:rPr>
              <w:t>Ako je služba za evaluaciju, može pomagati</w:t>
            </w:r>
          </w:p>
        </w:tc>
        <w:tc>
          <w:tcPr>
            <w:tcW w:w="2036" w:type="dxa"/>
          </w:tcPr>
          <w:p w:rsidR="00867290" w:rsidRPr="00BB2924" w:rsidRDefault="00867290" w:rsidP="001413F0">
            <w:pPr>
              <w:rPr>
                <w:rFonts w:cs="Arial"/>
                <w:szCs w:val="18"/>
                <w:highlight w:val="yellow"/>
              </w:rPr>
            </w:pPr>
            <w:r>
              <w:rPr>
                <w:highlight w:val="yellow"/>
              </w:rPr>
              <w:t>Sudjeluje/odgovoran</w:t>
            </w:r>
          </w:p>
        </w:tc>
        <w:tc>
          <w:tcPr>
            <w:tcW w:w="1499" w:type="dxa"/>
          </w:tcPr>
          <w:p w:rsidR="00867290" w:rsidRPr="00BB2924" w:rsidRDefault="00867290" w:rsidP="001413F0">
            <w:pPr>
              <w:rPr>
                <w:rFonts w:cs="Arial"/>
                <w:szCs w:val="18"/>
                <w:highlight w:val="yellow"/>
              </w:rPr>
            </w:pPr>
          </w:p>
        </w:tc>
      </w:tr>
      <w:tr w:rsidR="00867290" w:rsidRPr="00BB2924" w:rsidTr="001413F0">
        <w:tc>
          <w:tcPr>
            <w:tcW w:w="746" w:type="dxa"/>
            <w:vMerge/>
            <w:shd w:val="clear" w:color="auto" w:fill="E7E6E6" w:themeFill="background2"/>
            <w:textDirection w:val="tbRl"/>
          </w:tcPr>
          <w:p w:rsidR="00867290" w:rsidRPr="00BB2924" w:rsidRDefault="00867290" w:rsidP="00FC0A30">
            <w:pPr>
              <w:rPr>
                <w:rFonts w:cs="Arial"/>
                <w:b/>
                <w:szCs w:val="18"/>
                <w:highlight w:val="yellow"/>
              </w:rPr>
            </w:pPr>
          </w:p>
        </w:tc>
        <w:tc>
          <w:tcPr>
            <w:tcW w:w="1742" w:type="dxa"/>
          </w:tcPr>
          <w:p w:rsidR="00867290" w:rsidRPr="00BB2924" w:rsidRDefault="00867290" w:rsidP="001413F0">
            <w:pPr>
              <w:rPr>
                <w:rFonts w:cs="Arial"/>
                <w:b/>
                <w:color w:val="E7E6E6" w:themeColor="background2"/>
                <w:szCs w:val="18"/>
                <w:highlight w:val="yellow"/>
              </w:rPr>
            </w:pPr>
            <w:r>
              <w:rPr>
                <w:b/>
                <w:color w:val="E7E6E6" w:themeColor="background2"/>
                <w:highlight w:val="yellow"/>
              </w:rPr>
              <w:t>EP i pokazatelji</w:t>
            </w:r>
          </w:p>
        </w:tc>
        <w:tc>
          <w:tcPr>
            <w:tcW w:w="1555" w:type="dxa"/>
          </w:tcPr>
          <w:p w:rsidR="00867290" w:rsidRPr="00BB2924" w:rsidRDefault="00867290" w:rsidP="001413F0">
            <w:pPr>
              <w:rPr>
                <w:rFonts w:cs="Arial"/>
                <w:szCs w:val="18"/>
                <w:highlight w:val="yellow"/>
              </w:rPr>
            </w:pPr>
            <w:r>
              <w:rPr>
                <w:highlight w:val="yellow"/>
              </w:rPr>
              <w:t>Odgovoran/sudjeluje</w:t>
            </w:r>
          </w:p>
        </w:tc>
        <w:tc>
          <w:tcPr>
            <w:tcW w:w="1484" w:type="dxa"/>
          </w:tcPr>
          <w:p w:rsidR="00867290" w:rsidRPr="00BB2924" w:rsidRDefault="00867290" w:rsidP="001413F0">
            <w:pPr>
              <w:rPr>
                <w:rFonts w:cs="Arial"/>
                <w:szCs w:val="18"/>
                <w:highlight w:val="yellow"/>
              </w:rPr>
            </w:pPr>
            <w:r>
              <w:rPr>
                <w:highlight w:val="yellow"/>
              </w:rPr>
              <w:t>Ako je služba za evaluaciju, može pomagati</w:t>
            </w:r>
          </w:p>
        </w:tc>
        <w:tc>
          <w:tcPr>
            <w:tcW w:w="2036" w:type="dxa"/>
          </w:tcPr>
          <w:p w:rsidR="00867290" w:rsidRPr="00BB2924" w:rsidRDefault="00867290" w:rsidP="001413F0">
            <w:pPr>
              <w:rPr>
                <w:rFonts w:cs="Arial"/>
                <w:szCs w:val="18"/>
                <w:highlight w:val="yellow"/>
              </w:rPr>
            </w:pPr>
            <w:r>
              <w:rPr>
                <w:highlight w:val="yellow"/>
              </w:rPr>
              <w:t>Sudjeluje/odgovoran</w:t>
            </w:r>
          </w:p>
        </w:tc>
        <w:tc>
          <w:tcPr>
            <w:tcW w:w="1499" w:type="dxa"/>
          </w:tcPr>
          <w:p w:rsidR="00867290" w:rsidRPr="00BB2924" w:rsidRDefault="00867290" w:rsidP="001413F0">
            <w:pPr>
              <w:rPr>
                <w:rFonts w:cs="Arial"/>
                <w:szCs w:val="18"/>
                <w:highlight w:val="yellow"/>
              </w:rPr>
            </w:pPr>
            <w:r>
              <w:rPr>
                <w:highlight w:val="yellow"/>
              </w:rPr>
              <w:t>Mogući US sudjeluje</w:t>
            </w:r>
          </w:p>
        </w:tc>
      </w:tr>
      <w:tr w:rsidR="00867290" w:rsidRPr="00BB2924" w:rsidTr="001413F0">
        <w:tc>
          <w:tcPr>
            <w:tcW w:w="746" w:type="dxa"/>
            <w:vMerge/>
            <w:shd w:val="clear" w:color="auto" w:fill="E7E6E6" w:themeFill="background2"/>
            <w:textDirection w:val="tbRl"/>
          </w:tcPr>
          <w:p w:rsidR="00867290" w:rsidRPr="00BB2924" w:rsidRDefault="00867290" w:rsidP="00FC0A30">
            <w:pPr>
              <w:rPr>
                <w:rFonts w:cs="Arial"/>
                <w:b/>
                <w:szCs w:val="18"/>
                <w:highlight w:val="yellow"/>
              </w:rPr>
            </w:pPr>
          </w:p>
        </w:tc>
        <w:tc>
          <w:tcPr>
            <w:tcW w:w="1742" w:type="dxa"/>
          </w:tcPr>
          <w:p w:rsidR="00867290" w:rsidRPr="00BB2924" w:rsidRDefault="00867290" w:rsidP="001413F0">
            <w:pPr>
              <w:rPr>
                <w:rFonts w:cs="Arial"/>
                <w:b/>
                <w:color w:val="E7E6E6" w:themeColor="background2"/>
                <w:szCs w:val="18"/>
                <w:highlight w:val="yellow"/>
              </w:rPr>
            </w:pPr>
            <w:r>
              <w:rPr>
                <w:b/>
                <w:color w:val="E7E6E6" w:themeColor="background2"/>
                <w:highlight w:val="yellow"/>
              </w:rPr>
              <w:t>Pristup evaluaciji</w:t>
            </w:r>
          </w:p>
        </w:tc>
        <w:tc>
          <w:tcPr>
            <w:tcW w:w="1555" w:type="dxa"/>
          </w:tcPr>
          <w:p w:rsidR="00867290" w:rsidRPr="00BB2924" w:rsidRDefault="00867290" w:rsidP="001413F0">
            <w:pPr>
              <w:rPr>
                <w:rFonts w:cs="Arial"/>
                <w:szCs w:val="18"/>
                <w:highlight w:val="yellow"/>
              </w:rPr>
            </w:pPr>
            <w:r>
              <w:rPr>
                <w:highlight w:val="yellow"/>
              </w:rPr>
              <w:t>Odgovoran/sudjeluje</w:t>
            </w:r>
          </w:p>
        </w:tc>
        <w:tc>
          <w:tcPr>
            <w:tcW w:w="1484" w:type="dxa"/>
          </w:tcPr>
          <w:p w:rsidR="00867290" w:rsidRPr="00BB2924" w:rsidRDefault="00867290" w:rsidP="001413F0">
            <w:pPr>
              <w:rPr>
                <w:rFonts w:cs="Arial"/>
                <w:szCs w:val="18"/>
                <w:highlight w:val="yellow"/>
              </w:rPr>
            </w:pPr>
            <w:r>
              <w:rPr>
                <w:highlight w:val="yellow"/>
              </w:rPr>
              <w:t>Ako je služba za evaluaciju, može pomagati</w:t>
            </w:r>
          </w:p>
        </w:tc>
        <w:tc>
          <w:tcPr>
            <w:tcW w:w="2036" w:type="dxa"/>
          </w:tcPr>
          <w:p w:rsidR="00867290" w:rsidRPr="00BB2924" w:rsidRDefault="00867290" w:rsidP="001413F0">
            <w:pPr>
              <w:rPr>
                <w:rFonts w:cs="Arial"/>
                <w:szCs w:val="18"/>
                <w:highlight w:val="yellow"/>
              </w:rPr>
            </w:pPr>
            <w:r>
              <w:rPr>
                <w:highlight w:val="yellow"/>
              </w:rPr>
              <w:t>Sudjeluje/odgovoran</w:t>
            </w:r>
          </w:p>
        </w:tc>
        <w:tc>
          <w:tcPr>
            <w:tcW w:w="1499" w:type="dxa"/>
          </w:tcPr>
          <w:p w:rsidR="00867290" w:rsidRPr="00BB2924" w:rsidRDefault="00867290" w:rsidP="001413F0">
            <w:pPr>
              <w:rPr>
                <w:rFonts w:cs="Arial"/>
                <w:szCs w:val="18"/>
                <w:highlight w:val="yellow"/>
              </w:rPr>
            </w:pPr>
            <w:r>
              <w:rPr>
                <w:highlight w:val="yellow"/>
              </w:rPr>
              <w:t>Mogući US sudjeluje</w:t>
            </w:r>
          </w:p>
        </w:tc>
      </w:tr>
      <w:tr w:rsidR="00867290" w:rsidRPr="00BB2924" w:rsidTr="001413F0">
        <w:tc>
          <w:tcPr>
            <w:tcW w:w="746" w:type="dxa"/>
            <w:vMerge/>
            <w:shd w:val="clear" w:color="auto" w:fill="E7E6E6" w:themeFill="background2"/>
            <w:textDirection w:val="tbRl"/>
          </w:tcPr>
          <w:p w:rsidR="00867290" w:rsidRPr="00BB2924" w:rsidRDefault="00867290" w:rsidP="00FC0A30">
            <w:pPr>
              <w:rPr>
                <w:rFonts w:cs="Arial"/>
                <w:b/>
                <w:szCs w:val="18"/>
                <w:highlight w:val="yellow"/>
              </w:rPr>
            </w:pPr>
          </w:p>
        </w:tc>
        <w:tc>
          <w:tcPr>
            <w:tcW w:w="1742" w:type="dxa"/>
          </w:tcPr>
          <w:p w:rsidR="00867290" w:rsidRPr="00BB2924" w:rsidRDefault="00867290" w:rsidP="001413F0">
            <w:pPr>
              <w:rPr>
                <w:rFonts w:cs="Arial"/>
                <w:b/>
                <w:color w:val="E7E6E6" w:themeColor="background2"/>
                <w:szCs w:val="18"/>
                <w:highlight w:val="yellow"/>
              </w:rPr>
            </w:pPr>
            <w:r>
              <w:rPr>
                <w:b/>
                <w:color w:val="E7E6E6" w:themeColor="background2"/>
                <w:highlight w:val="yellow"/>
              </w:rPr>
              <w:t>Provjera izvora informacija i podataka</w:t>
            </w:r>
          </w:p>
        </w:tc>
        <w:tc>
          <w:tcPr>
            <w:tcW w:w="1555" w:type="dxa"/>
          </w:tcPr>
          <w:p w:rsidR="00867290" w:rsidRPr="00BB2924" w:rsidRDefault="00867290" w:rsidP="001413F0">
            <w:pPr>
              <w:rPr>
                <w:rFonts w:cs="Arial"/>
                <w:szCs w:val="18"/>
                <w:highlight w:val="yellow"/>
              </w:rPr>
            </w:pPr>
            <w:r>
              <w:rPr>
                <w:highlight w:val="yellow"/>
              </w:rPr>
              <w:t>Odgovoran/sudjeluje</w:t>
            </w:r>
          </w:p>
        </w:tc>
        <w:tc>
          <w:tcPr>
            <w:tcW w:w="1484" w:type="dxa"/>
          </w:tcPr>
          <w:p w:rsidR="00867290" w:rsidRPr="00BB2924" w:rsidRDefault="00867290" w:rsidP="001413F0">
            <w:pPr>
              <w:rPr>
                <w:rFonts w:cs="Arial"/>
                <w:szCs w:val="18"/>
                <w:highlight w:val="yellow"/>
              </w:rPr>
            </w:pPr>
            <w:r>
              <w:rPr>
                <w:highlight w:val="yellow"/>
              </w:rPr>
              <w:t>Ako je služba za evaluaciju, može pomagati</w:t>
            </w:r>
          </w:p>
        </w:tc>
        <w:tc>
          <w:tcPr>
            <w:tcW w:w="2036" w:type="dxa"/>
          </w:tcPr>
          <w:p w:rsidR="00867290" w:rsidRPr="00BB2924" w:rsidRDefault="00867290" w:rsidP="001413F0">
            <w:pPr>
              <w:rPr>
                <w:rFonts w:cs="Arial"/>
                <w:szCs w:val="18"/>
                <w:highlight w:val="yellow"/>
              </w:rPr>
            </w:pPr>
            <w:r>
              <w:rPr>
                <w:highlight w:val="yellow"/>
              </w:rPr>
              <w:t>Sudjeluje/odgovoran, provjerava podatke i informacije JPM-a</w:t>
            </w:r>
          </w:p>
        </w:tc>
        <w:tc>
          <w:tcPr>
            <w:tcW w:w="1499" w:type="dxa"/>
          </w:tcPr>
          <w:p w:rsidR="00867290" w:rsidRPr="00BB2924" w:rsidRDefault="00867290" w:rsidP="001413F0">
            <w:pPr>
              <w:rPr>
                <w:rFonts w:cs="Arial"/>
                <w:szCs w:val="18"/>
                <w:highlight w:val="yellow"/>
              </w:rPr>
            </w:pPr>
            <w:r>
              <w:rPr>
                <w:highlight w:val="yellow"/>
              </w:rPr>
              <w:t>AP osigurava podatke</w:t>
            </w:r>
          </w:p>
        </w:tc>
      </w:tr>
      <w:tr w:rsidR="00867290" w:rsidRPr="00BB2924" w:rsidTr="001413F0">
        <w:tc>
          <w:tcPr>
            <w:tcW w:w="746" w:type="dxa"/>
            <w:vMerge/>
            <w:shd w:val="clear" w:color="auto" w:fill="E7E6E6" w:themeFill="background2"/>
            <w:textDirection w:val="tbRl"/>
          </w:tcPr>
          <w:p w:rsidR="00867290" w:rsidRPr="00BB2924" w:rsidRDefault="00867290" w:rsidP="00FC0A30">
            <w:pPr>
              <w:rPr>
                <w:rFonts w:cs="Arial"/>
                <w:b/>
                <w:szCs w:val="18"/>
                <w:highlight w:val="yellow"/>
              </w:rPr>
            </w:pPr>
          </w:p>
        </w:tc>
        <w:tc>
          <w:tcPr>
            <w:tcW w:w="1742" w:type="dxa"/>
          </w:tcPr>
          <w:p w:rsidR="00867290" w:rsidRPr="00BB2924" w:rsidRDefault="00867290" w:rsidP="001413F0">
            <w:pPr>
              <w:rPr>
                <w:rFonts w:cs="Arial"/>
                <w:b/>
                <w:color w:val="E7E6E6" w:themeColor="background2"/>
                <w:szCs w:val="18"/>
                <w:highlight w:val="yellow"/>
              </w:rPr>
            </w:pPr>
            <w:r>
              <w:rPr>
                <w:b/>
                <w:color w:val="E7E6E6" w:themeColor="background2"/>
                <w:highlight w:val="yellow"/>
              </w:rPr>
              <w:t>Javno nadmetanje i odabir evaluatora</w:t>
            </w:r>
          </w:p>
        </w:tc>
        <w:tc>
          <w:tcPr>
            <w:tcW w:w="1555" w:type="dxa"/>
          </w:tcPr>
          <w:p w:rsidR="00867290" w:rsidRPr="00BB2924" w:rsidRDefault="00867290" w:rsidP="001413F0">
            <w:pPr>
              <w:rPr>
                <w:rFonts w:cs="Arial"/>
                <w:szCs w:val="18"/>
                <w:highlight w:val="yellow"/>
              </w:rPr>
            </w:pPr>
            <w:r>
              <w:rPr>
                <w:highlight w:val="yellow"/>
              </w:rPr>
              <w:t>Odgovoran/sudjeluje</w:t>
            </w:r>
          </w:p>
        </w:tc>
        <w:tc>
          <w:tcPr>
            <w:tcW w:w="1484" w:type="dxa"/>
          </w:tcPr>
          <w:p w:rsidR="00867290" w:rsidRPr="00BB2924" w:rsidRDefault="00867290" w:rsidP="001413F0">
            <w:pPr>
              <w:rPr>
                <w:rFonts w:cs="Arial"/>
                <w:szCs w:val="18"/>
                <w:highlight w:val="yellow"/>
              </w:rPr>
            </w:pPr>
            <w:r>
              <w:rPr>
                <w:highlight w:val="yellow"/>
              </w:rPr>
              <w:t>Ako je služba za evaluaciju, može pomagati</w:t>
            </w:r>
          </w:p>
        </w:tc>
        <w:tc>
          <w:tcPr>
            <w:tcW w:w="2036" w:type="dxa"/>
          </w:tcPr>
          <w:p w:rsidR="00867290" w:rsidRPr="00BB2924" w:rsidRDefault="00867290" w:rsidP="001413F0">
            <w:pPr>
              <w:rPr>
                <w:rFonts w:cs="Arial"/>
                <w:szCs w:val="18"/>
                <w:highlight w:val="yellow"/>
              </w:rPr>
            </w:pPr>
            <w:r>
              <w:rPr>
                <w:highlight w:val="yellow"/>
              </w:rPr>
              <w:t>Sudjeluje/odgovoran</w:t>
            </w:r>
          </w:p>
        </w:tc>
        <w:tc>
          <w:tcPr>
            <w:tcW w:w="1499" w:type="dxa"/>
          </w:tcPr>
          <w:p w:rsidR="00867290" w:rsidRPr="00BB2924" w:rsidRDefault="00867290" w:rsidP="001413F0">
            <w:pPr>
              <w:rPr>
                <w:rFonts w:cs="Arial"/>
                <w:szCs w:val="18"/>
                <w:highlight w:val="yellow"/>
              </w:rPr>
            </w:pPr>
            <w:r>
              <w:rPr>
                <w:highlight w:val="yellow"/>
              </w:rPr>
              <w:t>Mogući US podupire</w:t>
            </w:r>
          </w:p>
        </w:tc>
      </w:tr>
    </w:tbl>
    <w:p w:rsidR="00867290" w:rsidRPr="00BB2924" w:rsidRDefault="00867290" w:rsidP="00CA5E80">
      <w:pPr>
        <w:pStyle w:val="HHeading3"/>
        <w:numPr>
          <w:ilvl w:val="0"/>
          <w:numId w:val="0"/>
        </w:numPr>
        <w:rPr>
          <w:highlight w:val="yellow"/>
        </w:rPr>
      </w:pPr>
      <w:r>
        <w:rPr>
          <w:highlight w:val="yellow"/>
        </w:rPr>
        <w:t xml:space="preserve">2.2.3. </w:t>
      </w:r>
      <w:bookmarkStart w:id="150" w:name="_Toc453079761"/>
      <w:bookmarkStart w:id="151" w:name="_Toc461713635"/>
      <w:r>
        <w:rPr>
          <w:highlight w:val="yellow"/>
        </w:rPr>
        <w:t>Provedba evaluacije</w:t>
      </w:r>
      <w:bookmarkEnd w:id="150"/>
      <w:bookmarkEnd w:id="151"/>
    </w:p>
    <w:p w:rsidR="00867290" w:rsidRPr="00BB2924" w:rsidRDefault="00867290" w:rsidP="006D3475">
      <w:pPr>
        <w:pStyle w:val="HHeading5"/>
        <w:rPr>
          <w:highlight w:val="yellow"/>
        </w:rPr>
      </w:pPr>
      <w:r>
        <w:rPr>
          <w:highlight w:val="yellow"/>
        </w:rPr>
        <w:t>Korak 1. – Vođenje evaluacije</w:t>
      </w:r>
    </w:p>
    <w:p w:rsidR="00867290" w:rsidRPr="00BB2924" w:rsidRDefault="00867290" w:rsidP="001B4E97">
      <w:pPr>
        <w:pStyle w:val="HStandard"/>
        <w:rPr>
          <w:highlight w:val="yellow"/>
        </w:rPr>
      </w:pPr>
      <w:r>
        <w:rPr>
          <w:highlight w:val="yellow"/>
        </w:rPr>
        <w:t xml:space="preserve">Nakon procesa javnog nadmetanja dodjeljuje se ugovor o evaluaciji i evaluator može započeti s radom. Iako evaluator odrađuje najviše posla u ovoj fazi, naručitelj (UT ili JPM) i evaluacijska upravljačka skupina, ako je utvrđena, trebali bi podupirati evaluatora (npr. omogućiti pristup svim postojećim podacima i informacijama, obavijestiti dionike o izabranom evaluatoru te pozivati evaluatora na relevantne sastanke) kako bi se osigurala kvalitetna evaluacija u svim fazama održavanjem otvorene i česte komunikacije, komentiranjem izvješća te pomaganjem oko pristupa podacima i ispitanicima. </w:t>
      </w:r>
    </w:p>
    <w:p w:rsidR="00867290" w:rsidRPr="00BB2924" w:rsidRDefault="00867290" w:rsidP="001B4E97">
      <w:pPr>
        <w:pStyle w:val="HStandard"/>
        <w:rPr>
          <w:highlight w:val="yellow"/>
        </w:rPr>
      </w:pPr>
      <w:r>
        <w:rPr>
          <w:highlight w:val="yellow"/>
        </w:rPr>
        <w:t>UT, AP, posrednička tijela, LAG-ovi, drugi članovi i korisnici mreže imaju važnu ulogu u fazi promatranja omogućavajući evaluatoru pristup informacijama i podacima. U tom pogledu, kod osiguravanja da obrasci za prijavu korisnika imaju točne izjave o dopuštanju u smislu prihvaćanja da njihovi podaci budu upotrijebljeni za svrhe istraživanja i analize, važno je biti siguran da su podaci dostupni za evaluaciju. To se mora planirati od početka razdoblja provedbe programa</w:t>
      </w:r>
      <w:r>
        <w:rPr>
          <w:rFonts w:ascii="ZWAdobeF" w:hAnsi="ZWAdobeF"/>
          <w:color w:val="auto"/>
          <w:sz w:val="2"/>
          <w:highlight w:val="yellow"/>
        </w:rPr>
        <w:t>82F</w:t>
      </w:r>
      <w:r>
        <w:rPr>
          <w:rStyle w:val="FootnoteReference"/>
          <w:highlight w:val="yellow"/>
        </w:rPr>
        <w:footnoteReference w:id="83"/>
      </w:r>
      <w:r>
        <w:rPr>
          <w:highlight w:val="yellow"/>
        </w:rPr>
        <w:t xml:space="preserve">. </w:t>
      </w:r>
    </w:p>
    <w:p w:rsidR="00867290" w:rsidRPr="00BB2924" w:rsidRDefault="00867290" w:rsidP="001B4E97">
      <w:pPr>
        <w:pStyle w:val="HStandard"/>
        <w:rPr>
          <w:highlight w:val="yellow"/>
        </w:rPr>
      </w:pPr>
      <w:r>
        <w:rPr>
          <w:highlight w:val="yellow"/>
        </w:rPr>
        <w:t xml:space="preserve">Evaluacija se obično provodi u četiri faze: strukturiranje, promatranje, analiziranje i prosudba. </w:t>
      </w:r>
    </w:p>
    <w:p w:rsidR="00867290" w:rsidRPr="00BB2924" w:rsidRDefault="00867290" w:rsidP="001B4E97">
      <w:pPr>
        <w:pStyle w:val="HStandard"/>
        <w:rPr>
          <w:highlight w:val="yellow"/>
        </w:rPr>
      </w:pPr>
      <w:r>
        <w:rPr>
          <w:highlight w:val="yellow"/>
        </w:rPr>
        <w:t xml:space="preserve">U </w:t>
      </w:r>
      <w:r>
        <w:rPr>
          <w:b/>
          <w:highlight w:val="yellow"/>
        </w:rPr>
        <w:t>fazi strukturiranja</w:t>
      </w:r>
      <w:r>
        <w:rPr>
          <w:highlight w:val="yellow"/>
        </w:rPr>
        <w:t xml:space="preserve"> evaluator ispituje dokumente i pojašnjava trenutačni zadatak. Do kraja ove faze evaluator bi trebao jasno razumjeti dotični NRM, njegovu intervencijsku logiku, članove i aktivnosti te EP, pokazatelje i zadatke evaluacije. Prvi zadatak evaluatora tijekom faze strukturiranja je preispitati intervencijsku logiku i procijeniti dosljednost evaluacijskih pitanja ciljevima i pokazateljima, možda predlažući dodatne, utemeljene na čvrstom obrazloženju. U ovoj se fazi stvaraju i metode i alati korišteni pri evaluaciji, a svi postojeći izvori podataka i informacija poznati su i dostupni evaluatoru. Osim toga, evaluator bi trebao biti svjestan toga koje dodatne podatke/informacije mora prikupiti. U ovoj se fazi preporučuje napraviti „Izvješće o pokretanju projekta”, u kojem se potanko navode plan rada i procjena rizika, uključujući, kad je moguće, alate za terenski rad.</w:t>
      </w:r>
    </w:p>
    <w:p w:rsidR="00867290" w:rsidRPr="00BB2924" w:rsidRDefault="00867290" w:rsidP="001B4E97">
      <w:pPr>
        <w:pStyle w:val="HStandard"/>
        <w:rPr>
          <w:highlight w:val="yellow"/>
        </w:rPr>
      </w:pPr>
      <w:r>
        <w:rPr>
          <w:b/>
          <w:highlight w:val="yellow"/>
        </w:rPr>
        <w:t>Faza promatranja</w:t>
      </w:r>
      <w:r>
        <w:rPr>
          <w:highlight w:val="yellow"/>
        </w:rPr>
        <w:t xml:space="preserve"> obuhvaća prikupljanje informacija i podataka. Sve relevantne informacije i podaci prikupljaju se iz različitih izvora, kao što su praćenje NRM-a i alati i tehnike evaluatora (upitnici, ankete, </w:t>
      </w:r>
      <w:r>
        <w:rPr>
          <w:highlight w:val="yellow"/>
        </w:rPr>
        <w:lastRenderedPageBreak/>
        <w:t>intervjui, fokusne skupine, studije slučaja itd.). Zbog prevladavanja kvalitativnih metoda u evaluacijama NRM-a ova će faza zahtijevati znatne resurse.</w:t>
      </w:r>
    </w:p>
    <w:p w:rsidR="00867290" w:rsidRPr="00BB2924" w:rsidRDefault="00867290" w:rsidP="001B4E97">
      <w:pPr>
        <w:pStyle w:val="HStandard"/>
        <w:rPr>
          <w:highlight w:val="yellow"/>
        </w:rPr>
      </w:pPr>
      <w:r>
        <w:rPr>
          <w:highlight w:val="yellow"/>
        </w:rPr>
        <w:t xml:space="preserve">U </w:t>
      </w:r>
      <w:r>
        <w:rPr>
          <w:b/>
          <w:highlight w:val="yellow"/>
        </w:rPr>
        <w:t>fazi analiziranja</w:t>
      </w:r>
      <w:r>
        <w:rPr>
          <w:highlight w:val="yellow"/>
        </w:rPr>
        <w:t>, sve se dostupne informacije sustavno obrađuju i sintetiziraju u skladu s odabranim pristupom i metodama evaluacije. Cilj je koristiti se različitim vrstama evaluacijskih tehnika kako bi se triangulirali nalazi evaluacije.</w:t>
      </w:r>
    </w:p>
    <w:p w:rsidR="00867290" w:rsidRPr="00BB2924" w:rsidRDefault="00867290" w:rsidP="001B4E97">
      <w:pPr>
        <w:pStyle w:val="HStandard"/>
        <w:rPr>
          <w:highlight w:val="yellow"/>
        </w:rPr>
      </w:pPr>
      <w:r>
        <w:rPr>
          <w:highlight w:val="yellow"/>
        </w:rPr>
        <w:t xml:space="preserve">U završnoj fazi evaluacije, </w:t>
      </w:r>
      <w:r>
        <w:rPr>
          <w:b/>
          <w:highlight w:val="yellow"/>
        </w:rPr>
        <w:t>fazi prosudbe</w:t>
      </w:r>
      <w:r>
        <w:rPr>
          <w:highlight w:val="yellow"/>
        </w:rPr>
        <w:t>, evaluator radi na odgovorima za evaluacijska pitanja te izvodi zaključke i preporuke utemeljene na dokazima</w:t>
      </w:r>
      <w:r>
        <w:rPr>
          <w:rFonts w:ascii="ZWAdobeF" w:hAnsi="ZWAdobeF"/>
          <w:color w:val="auto"/>
          <w:sz w:val="2"/>
          <w:highlight w:val="yellow"/>
        </w:rPr>
        <w:t>83F</w:t>
      </w:r>
      <w:r>
        <w:rPr>
          <w:rStyle w:val="FootnoteReference"/>
          <w:highlight w:val="yellow"/>
        </w:rPr>
        <w:footnoteReference w:id="84"/>
      </w:r>
      <w:r>
        <w:rPr>
          <w:highlight w:val="yellow"/>
        </w:rPr>
        <w:t xml:space="preserve">. </w:t>
      </w:r>
    </w:p>
    <w:p w:rsidR="00867290" w:rsidRPr="00BB2924" w:rsidRDefault="00867290" w:rsidP="001B4E97">
      <w:pPr>
        <w:pStyle w:val="HStandard"/>
        <w:rPr>
          <w:highlight w:val="yellow"/>
        </w:rPr>
      </w:pPr>
      <w:r>
        <w:rPr>
          <w:b/>
          <w:color w:val="E7E6E6" w:themeColor="background2"/>
          <w:highlight w:val="yellow"/>
        </w:rPr>
        <w:t>DIO II.</w:t>
      </w:r>
      <w:r>
        <w:rPr>
          <w:highlight w:val="yellow"/>
        </w:rPr>
        <w:t xml:space="preserve"> ovih smjernica detaljno predstavlja faze i korake pri provedbi evaluacije.</w:t>
      </w:r>
    </w:p>
    <w:p w:rsidR="00867290" w:rsidRPr="00BB2924" w:rsidRDefault="00867290" w:rsidP="006D3475">
      <w:pPr>
        <w:pStyle w:val="HHeading5"/>
        <w:rPr>
          <w:highlight w:val="yellow"/>
        </w:rPr>
      </w:pPr>
      <w:r>
        <w:rPr>
          <w:highlight w:val="yellow"/>
        </w:rPr>
        <w:t>Korak 2. – Osiguravanje kvalitete i napretka evaluacije</w:t>
      </w:r>
    </w:p>
    <w:p w:rsidR="00867290" w:rsidRPr="00BB2924" w:rsidRDefault="00867290" w:rsidP="001B4E97">
      <w:pPr>
        <w:pStyle w:val="HStandard"/>
        <w:rPr>
          <w:highlight w:val="yellow"/>
        </w:rPr>
      </w:pPr>
      <w:r>
        <w:rPr>
          <w:highlight w:val="yellow"/>
        </w:rPr>
        <w:t xml:space="preserve">Što je više evaluacija, važnije je za naručitelja (UT ili JPM) da uspostavi osiguranje kvalitete i sustav kontrole kvalitete. Dok se osiguranje kvalitete usredotočuje na proces, nastojeći osigurati da su stvari napravljene na ispravan način, kontrola kvalitete usredotočuje se na proizvode.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BB2924" w:rsidTr="001413F0">
        <w:tc>
          <w:tcPr>
            <w:tcW w:w="9016" w:type="dxa"/>
            <w:shd w:val="clear" w:color="auto" w:fill="F5F4F4" w:themeFill="background2" w:themeFillTint="66"/>
          </w:tcPr>
          <w:p w:rsidR="00867290" w:rsidRPr="00BB2924" w:rsidRDefault="00867290" w:rsidP="006A3E94">
            <w:pPr>
              <w:pStyle w:val="HStandard"/>
              <w:rPr>
                <w:highlight w:val="yellow"/>
              </w:rPr>
            </w:pPr>
            <w:r>
              <w:rPr>
                <w:highlight w:val="yellow"/>
              </w:rPr>
              <w:t>Glavna pitanja koja se odnose na osiguranje kvalitete i napredak evaluacije:</w:t>
            </w:r>
          </w:p>
          <w:p w:rsidR="00867290" w:rsidRPr="00BB2924" w:rsidRDefault="00867290" w:rsidP="00867290">
            <w:pPr>
              <w:pStyle w:val="Hlistbullet"/>
              <w:rPr>
                <w:highlight w:val="yellow"/>
              </w:rPr>
            </w:pPr>
            <w:r>
              <w:rPr>
                <w:highlight w:val="yellow"/>
              </w:rPr>
              <w:t>Koji su standardi kvalitete za upravljanje evaluacijom i rad s evaluatorom?</w:t>
            </w:r>
          </w:p>
          <w:p w:rsidR="00867290" w:rsidRPr="00BB2924" w:rsidRDefault="00867290" w:rsidP="00867290">
            <w:pPr>
              <w:pStyle w:val="Hlistbullet"/>
              <w:rPr>
                <w:highlight w:val="yellow"/>
              </w:rPr>
            </w:pPr>
            <w:r>
              <w:rPr>
                <w:highlight w:val="yellow"/>
              </w:rPr>
              <w:t>Jesu li dogovoreni dokumenti podneseni na vrijeme?</w:t>
            </w:r>
          </w:p>
          <w:p w:rsidR="00867290" w:rsidRPr="00BB2924" w:rsidRDefault="00867290" w:rsidP="00867290">
            <w:pPr>
              <w:pStyle w:val="Hlistbullet"/>
              <w:rPr>
                <w:highlight w:val="yellow"/>
              </w:rPr>
            </w:pPr>
            <w:r>
              <w:rPr>
                <w:highlight w:val="yellow"/>
              </w:rPr>
              <w:t xml:space="preserve">Jesu li dokumenti dobre kvalitete? Koji su standardi kvalitete za evaluaciju? </w:t>
            </w:r>
          </w:p>
          <w:p w:rsidR="00867290" w:rsidRPr="00BB2924" w:rsidRDefault="00867290" w:rsidP="00867290">
            <w:pPr>
              <w:pStyle w:val="Hlistbullet"/>
              <w:rPr>
                <w:highlight w:val="yellow"/>
              </w:rPr>
            </w:pPr>
            <w:r>
              <w:rPr>
                <w:highlight w:val="yellow"/>
              </w:rPr>
              <w:t>Što se može učiniti da se dokumenti unaprijede?</w:t>
            </w:r>
          </w:p>
          <w:p w:rsidR="00867290" w:rsidRPr="00BB2924" w:rsidRDefault="00867290" w:rsidP="00867290">
            <w:pPr>
              <w:pStyle w:val="Hlistbullet2"/>
              <w:rPr>
                <w:highlight w:val="yellow"/>
              </w:rPr>
            </w:pPr>
            <w:r>
              <w:rPr>
                <w:highlight w:val="yellow"/>
              </w:rPr>
              <w:t>Uzima li evaluator u obzir povratne informacije?</w:t>
            </w:r>
          </w:p>
        </w:tc>
      </w:tr>
    </w:tbl>
    <w:p w:rsidR="00867290" w:rsidRPr="00BB2924" w:rsidRDefault="00867290" w:rsidP="00352793">
      <w:pPr>
        <w:pStyle w:val="HStandard"/>
        <w:rPr>
          <w:highlight w:val="yellow"/>
        </w:rPr>
      </w:pPr>
      <w:r>
        <w:rPr>
          <w:highlight w:val="yellow"/>
        </w:rPr>
        <w:t>Evaluacijska upravljačka skupina, ako je utvrđena, prati napredak evaluacije. Ako nema upravljačke skupine, to je zadatak naručitelja. Razna izvješća (kao što su izvješće o pokretanju projekta, privremeno izvješće/izvješća, nacrt završnog izvješća, završno izvješće) precizirana u Opisu poslova trebao bi podnijeti evaluator u ključnim fazama procesa evaluacije. Ta izvješća trebali bi analizirati evaluacijska upravljačka skupina i naručitelj, poželjno uz posebno razvijene tablice / kontrolne liste za kontrolu kvalitete. Najčešći alati za osiguranje kvalitete korišteni u procesu evaluacije su kontrolne liste, liste sadržaja, sveobuhvatne i detaljne mape procesa i različite vrste planova</w:t>
      </w:r>
      <w:r>
        <w:rPr>
          <w:rFonts w:ascii="ZWAdobeF" w:hAnsi="ZWAdobeF"/>
          <w:color w:val="auto"/>
          <w:sz w:val="2"/>
          <w:highlight w:val="yellow"/>
        </w:rPr>
        <w:t>84F</w:t>
      </w:r>
      <w:r>
        <w:rPr>
          <w:rStyle w:val="FootnoteReference"/>
          <w:highlight w:val="yellow"/>
        </w:rPr>
        <w:footnoteReference w:id="85"/>
      </w:r>
      <w:r>
        <w:rPr>
          <w:highlight w:val="yellow"/>
        </w:rPr>
        <w:t>. Kontrola kvalitete se pak obično provodi uz tablice ili kontrolne liste za kontrolu kvalitete.</w:t>
      </w:r>
    </w:p>
    <w:p w:rsidR="00867290" w:rsidRPr="00BB2924" w:rsidRDefault="00867290" w:rsidP="001B4E97">
      <w:pPr>
        <w:pStyle w:val="HStandard"/>
        <w:rPr>
          <w:highlight w:val="yellow"/>
        </w:rPr>
      </w:pPr>
      <w:r>
        <w:rPr>
          <w:highlight w:val="yellow"/>
        </w:rPr>
        <w:t>Evaluatoru bi se trebale dati smislene i pravodobne povratne informacije. Tako se može pratiti i poboljšati kvaliteta evaluacije. Nadalje, napredak evaluacije može se često provjeravati u odnosu na dogovorene ključne etape. Evaluator je odgovoran za podnošenje dogovorenih izvješća i uzimanje u obzir povratnih informacija.</w:t>
      </w:r>
    </w:p>
    <w:p w:rsidR="00867290" w:rsidRPr="00BB2924" w:rsidRDefault="00867290" w:rsidP="006D3475">
      <w:pPr>
        <w:pStyle w:val="HHeading5"/>
        <w:rPr>
          <w:highlight w:val="yellow"/>
        </w:rPr>
      </w:pPr>
      <w:r>
        <w:rPr>
          <w:highlight w:val="yellow"/>
        </w:rPr>
        <w:t xml:space="preserve">Korak 3. – Procjenjivanje kvalitete završnog izvješća </w:t>
      </w:r>
    </w:p>
    <w:p w:rsidR="00867290" w:rsidRPr="00BB2924" w:rsidRDefault="00867290" w:rsidP="001B4E97">
      <w:pPr>
        <w:pStyle w:val="HStandard"/>
        <w:rPr>
          <w:highlight w:val="yellow"/>
        </w:rPr>
      </w:pPr>
      <w:r>
        <w:rPr>
          <w:highlight w:val="yellow"/>
        </w:rPr>
        <w:t>Nakon što evaluator podnese završno izvješće do roka dogovorenog u Opisu poslova, temeljitu procjenu kvalitete trebali bi izvršiti naručitelj (UT ili JPM) i, ako je utvrđena, evaluacijska upravljačka skupina. U tu se svrhu preporučuje razviti standarde kvalitete za izvješće o evaluaciji i tablicu procjene kvalitete. Nema obveznih kriterija procjene kvalitete za izvješća o evaluaciji NRM-a.</w:t>
      </w:r>
    </w:p>
    <w:p w:rsidR="00867290" w:rsidRPr="00BB2924" w:rsidRDefault="00867290" w:rsidP="001B4E97">
      <w:pPr>
        <w:pStyle w:val="HStandard"/>
        <w:rPr>
          <w:highlight w:val="yellow"/>
        </w:rPr>
      </w:pPr>
      <w:r>
        <w:rPr>
          <w:highlight w:val="yellow"/>
        </w:rPr>
        <w:t xml:space="preserve">Kriteriji dobre kvalitete odnose se na proces evaluacije (relevantnost, pravodobnost i uključivost), na normativna pitanja (fokus na nezavisnost i nepristranost evaluatora) i na tehničke kriterije (relevantnost evaluacije, opseg, prikladno oblikovanje, pouzdani podaci, dobra analiza, vjerodostojni zaključci, </w:t>
      </w:r>
      <w:r>
        <w:rPr>
          <w:highlight w:val="yellow"/>
        </w:rPr>
        <w:lastRenderedPageBreak/>
        <w:t>odgovori na evaluacijska pitanja utemeljeni na dokazima, valjani zaključci, preporuke koje su od pomoći i jasnoća u izvještavanju</w:t>
      </w:r>
      <w:r>
        <w:rPr>
          <w:rFonts w:ascii="ZWAdobeF" w:hAnsi="ZWAdobeF"/>
          <w:color w:val="auto"/>
          <w:sz w:val="2"/>
          <w:highlight w:val="yellow"/>
        </w:rPr>
        <w:t>85F</w:t>
      </w:r>
      <w:r>
        <w:rPr>
          <w:rStyle w:val="FootnoteReference"/>
          <w:highlight w:val="yellow"/>
        </w:rPr>
        <w:footnoteReference w:id="86"/>
      </w:r>
      <w:r>
        <w:rPr>
          <w:highlight w:val="yellow"/>
        </w:rPr>
        <w:t xml:space="preserve">). </w:t>
      </w:r>
    </w:p>
    <w:p w:rsidR="00867290" w:rsidRPr="00BB2924" w:rsidRDefault="00867290" w:rsidP="006F6D66">
      <w:pPr>
        <w:pStyle w:val="HHeadingfigures"/>
        <w:numPr>
          <w:ilvl w:val="0"/>
          <w:numId w:val="0"/>
        </w:numPr>
        <w:rPr>
          <w:highlight w:val="yellow"/>
        </w:rPr>
      </w:pPr>
      <w:bookmarkStart w:id="152" w:name="_Toc445465132"/>
      <w:bookmarkStart w:id="153" w:name="_Toc451781935"/>
      <w:bookmarkStart w:id="154" w:name="_Toc461713662"/>
      <w:r>
        <w:rPr>
          <w:highlight w:val="yellow"/>
        </w:rPr>
        <w:t>Slika 16. Odgovornosti dionika u provedbi evaluacije NRM-a</w:t>
      </w:r>
      <w:bookmarkEnd w:id="152"/>
      <w:bookmarkEnd w:id="153"/>
      <w:bookmarkEnd w:id="154"/>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165"/>
        <w:gridCol w:w="2233"/>
        <w:gridCol w:w="1065"/>
        <w:gridCol w:w="2210"/>
        <w:gridCol w:w="1889"/>
      </w:tblGrid>
      <w:tr w:rsidR="00867290" w:rsidRPr="00BB2924" w:rsidTr="001413F0">
        <w:tc>
          <w:tcPr>
            <w:tcW w:w="0" w:type="auto"/>
            <w:tcBorders>
              <w:top w:val="nil"/>
              <w:left w:val="nil"/>
              <w:bottom w:val="single" w:sz="4" w:space="0" w:color="000000" w:themeColor="text1"/>
            </w:tcBorders>
          </w:tcPr>
          <w:p w:rsidR="00867290" w:rsidRPr="00BB2924" w:rsidRDefault="00867290" w:rsidP="008B1515">
            <w:pPr>
              <w:jc w:val="right"/>
              <w:rPr>
                <w:b/>
                <w:szCs w:val="18"/>
                <w:highlight w:val="yellow"/>
              </w:rPr>
            </w:pPr>
          </w:p>
        </w:tc>
        <w:tc>
          <w:tcPr>
            <w:tcW w:w="0" w:type="auto"/>
            <w:shd w:val="clear" w:color="auto" w:fill="E7E6E6" w:themeFill="background2"/>
          </w:tcPr>
          <w:p w:rsidR="00867290" w:rsidRPr="00BB2924" w:rsidRDefault="00867290" w:rsidP="001413F0">
            <w:pPr>
              <w:jc w:val="center"/>
              <w:rPr>
                <w:b/>
                <w:color w:val="5B9BD5" w:themeColor="accent1"/>
                <w:szCs w:val="18"/>
                <w:highlight w:val="yellow"/>
              </w:rPr>
            </w:pPr>
            <w:r>
              <w:rPr>
                <w:b/>
                <w:color w:val="5B9BD5" w:themeColor="accent1"/>
                <w:highlight w:val="yellow"/>
              </w:rPr>
              <w:t>Mjere</w:t>
            </w:r>
          </w:p>
        </w:tc>
        <w:tc>
          <w:tcPr>
            <w:tcW w:w="0" w:type="auto"/>
            <w:gridSpan w:val="4"/>
            <w:shd w:val="clear" w:color="auto" w:fill="E7E6E6" w:themeFill="background2"/>
          </w:tcPr>
          <w:p w:rsidR="00867290" w:rsidRPr="00BB2924" w:rsidRDefault="00867290" w:rsidP="001413F0">
            <w:pPr>
              <w:jc w:val="center"/>
              <w:rPr>
                <w:b/>
                <w:color w:val="5B9BD5" w:themeColor="accent1"/>
                <w:szCs w:val="18"/>
                <w:highlight w:val="yellow"/>
              </w:rPr>
            </w:pPr>
            <w:r>
              <w:rPr>
                <w:b/>
                <w:color w:val="5B9BD5" w:themeColor="accent1"/>
                <w:highlight w:val="yellow"/>
              </w:rPr>
              <w:t>Sudionici</w:t>
            </w:r>
          </w:p>
        </w:tc>
      </w:tr>
      <w:tr w:rsidR="00867290" w:rsidRPr="00BB2924" w:rsidTr="001413F0">
        <w:trPr>
          <w:cantSplit/>
          <w:trHeight w:val="1134"/>
        </w:trPr>
        <w:tc>
          <w:tcPr>
            <w:tcW w:w="0" w:type="auto"/>
            <w:shd w:val="clear" w:color="auto" w:fill="E7E6E6" w:themeFill="background2"/>
            <w:textDirection w:val="tbRl"/>
          </w:tcPr>
          <w:p w:rsidR="00867290" w:rsidRPr="00BB2924" w:rsidRDefault="00867290" w:rsidP="001413F0">
            <w:pPr>
              <w:ind w:left="113" w:right="113"/>
              <w:jc w:val="center"/>
              <w:rPr>
                <w:b/>
                <w:color w:val="5B9BD5" w:themeColor="accent1"/>
                <w:szCs w:val="18"/>
                <w:highlight w:val="yellow"/>
              </w:rPr>
            </w:pPr>
            <w:r>
              <w:rPr>
                <w:b/>
                <w:color w:val="5B9BD5" w:themeColor="accent1"/>
                <w:highlight w:val="yellow"/>
              </w:rPr>
              <w:t>Faza</w:t>
            </w: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Korak</w:t>
            </w:r>
          </w:p>
        </w:tc>
        <w:tc>
          <w:tcPr>
            <w:tcW w:w="0" w:type="auto"/>
          </w:tcPr>
          <w:p w:rsidR="00867290" w:rsidRPr="00BB2924" w:rsidRDefault="00867290" w:rsidP="008B1515">
            <w:pPr>
              <w:rPr>
                <w:i/>
                <w:szCs w:val="18"/>
                <w:highlight w:val="yellow"/>
              </w:rPr>
            </w:pPr>
            <w:r>
              <w:rPr>
                <w:i/>
                <w:highlight w:val="yellow"/>
              </w:rPr>
              <w:t>UT</w:t>
            </w:r>
          </w:p>
        </w:tc>
        <w:tc>
          <w:tcPr>
            <w:tcW w:w="0" w:type="auto"/>
          </w:tcPr>
          <w:p w:rsidR="00867290" w:rsidRPr="00BB2924" w:rsidRDefault="00867290" w:rsidP="008B1515">
            <w:pPr>
              <w:rPr>
                <w:i/>
                <w:szCs w:val="18"/>
                <w:highlight w:val="yellow"/>
              </w:rPr>
            </w:pPr>
            <w:r>
              <w:rPr>
                <w:i/>
                <w:highlight w:val="yellow"/>
              </w:rPr>
              <w:t>druge jedinice UT-a</w:t>
            </w:r>
          </w:p>
        </w:tc>
        <w:tc>
          <w:tcPr>
            <w:tcW w:w="0" w:type="auto"/>
          </w:tcPr>
          <w:p w:rsidR="00867290" w:rsidRPr="00BB2924" w:rsidRDefault="00867290" w:rsidP="008B1515">
            <w:pPr>
              <w:rPr>
                <w:i/>
                <w:szCs w:val="18"/>
                <w:highlight w:val="yellow"/>
              </w:rPr>
            </w:pPr>
            <w:r>
              <w:rPr>
                <w:i/>
                <w:highlight w:val="yellow"/>
              </w:rPr>
              <w:t>JPM</w:t>
            </w:r>
          </w:p>
        </w:tc>
        <w:tc>
          <w:tcPr>
            <w:tcW w:w="0" w:type="auto"/>
          </w:tcPr>
          <w:p w:rsidR="00867290" w:rsidRPr="00BB2924" w:rsidRDefault="00867290" w:rsidP="008B1515">
            <w:pPr>
              <w:rPr>
                <w:i/>
                <w:szCs w:val="18"/>
                <w:highlight w:val="yellow"/>
              </w:rPr>
            </w:pPr>
            <w:r>
              <w:rPr>
                <w:i/>
                <w:highlight w:val="yellow"/>
              </w:rPr>
              <w:t>Ostali</w:t>
            </w:r>
          </w:p>
        </w:tc>
      </w:tr>
      <w:tr w:rsidR="00867290" w:rsidRPr="00BB2924" w:rsidTr="001413F0">
        <w:trPr>
          <w:cantSplit/>
          <w:trHeight w:val="1493"/>
        </w:trPr>
        <w:tc>
          <w:tcPr>
            <w:tcW w:w="0" w:type="auto"/>
            <w:vMerge w:val="restart"/>
            <w:shd w:val="clear" w:color="auto" w:fill="E7E6E6" w:themeFill="background2"/>
            <w:textDirection w:val="tbRl"/>
          </w:tcPr>
          <w:p w:rsidR="00867290" w:rsidRPr="00BB2924" w:rsidRDefault="00867290" w:rsidP="001413F0">
            <w:pPr>
              <w:ind w:left="113" w:right="113"/>
              <w:jc w:val="center"/>
              <w:rPr>
                <w:b/>
                <w:color w:val="5B9BD5" w:themeColor="accent1"/>
                <w:szCs w:val="18"/>
                <w:highlight w:val="yellow"/>
              </w:rPr>
            </w:pPr>
            <w:r>
              <w:rPr>
                <w:b/>
                <w:color w:val="5B9BD5" w:themeColor="accent1"/>
                <w:highlight w:val="yellow"/>
              </w:rPr>
              <w:t>Provedba</w:t>
            </w: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Vođenje</w:t>
            </w:r>
          </w:p>
        </w:tc>
        <w:tc>
          <w:tcPr>
            <w:tcW w:w="0" w:type="auto"/>
          </w:tcPr>
          <w:p w:rsidR="00867290" w:rsidRPr="00BB2924" w:rsidRDefault="00867290" w:rsidP="008B1515">
            <w:pPr>
              <w:rPr>
                <w:szCs w:val="18"/>
                <w:highlight w:val="yellow"/>
              </w:rPr>
            </w:pPr>
            <w:r>
              <w:rPr>
                <w:highlight w:val="yellow"/>
              </w:rPr>
              <w:t>Podupire evaluatora, osigurava kvalitetu</w:t>
            </w:r>
          </w:p>
        </w:tc>
        <w:tc>
          <w:tcPr>
            <w:tcW w:w="0" w:type="auto"/>
          </w:tcPr>
          <w:p w:rsidR="00867290" w:rsidRPr="00BB2924" w:rsidRDefault="00867290" w:rsidP="008B1515">
            <w:pPr>
              <w:rPr>
                <w:szCs w:val="18"/>
                <w:highlight w:val="yellow"/>
              </w:rPr>
            </w:pPr>
          </w:p>
        </w:tc>
        <w:tc>
          <w:tcPr>
            <w:tcW w:w="0" w:type="auto"/>
          </w:tcPr>
          <w:p w:rsidR="00867290" w:rsidRPr="00BB2924" w:rsidRDefault="00867290" w:rsidP="008B1515">
            <w:pPr>
              <w:rPr>
                <w:szCs w:val="18"/>
                <w:highlight w:val="yellow"/>
              </w:rPr>
            </w:pPr>
            <w:r>
              <w:rPr>
                <w:highlight w:val="yellow"/>
              </w:rPr>
              <w:t>Podupire evaluatora, osigurava podatke</w:t>
            </w:r>
          </w:p>
        </w:tc>
        <w:tc>
          <w:tcPr>
            <w:tcW w:w="0" w:type="auto"/>
          </w:tcPr>
          <w:p w:rsidR="00867290" w:rsidRPr="00BB2924" w:rsidRDefault="00867290" w:rsidP="008B1515">
            <w:pPr>
              <w:rPr>
                <w:szCs w:val="18"/>
                <w:highlight w:val="yellow"/>
              </w:rPr>
            </w:pPr>
            <w:r>
              <w:rPr>
                <w:highlight w:val="yellow"/>
              </w:rPr>
              <w:t>AP osigurava podatke</w:t>
            </w:r>
          </w:p>
          <w:p w:rsidR="00867290" w:rsidRPr="00BB2924" w:rsidRDefault="00867290" w:rsidP="008B1515">
            <w:pPr>
              <w:rPr>
                <w:szCs w:val="18"/>
                <w:highlight w:val="yellow"/>
              </w:rPr>
            </w:pPr>
            <w:r>
              <w:rPr>
                <w:highlight w:val="yellow"/>
              </w:rPr>
              <w:t>LAG-ovi osiguravaju podatke i informatore</w:t>
            </w:r>
          </w:p>
          <w:p w:rsidR="00867290" w:rsidRPr="00BB2924" w:rsidRDefault="00867290" w:rsidP="008B1515">
            <w:pPr>
              <w:rPr>
                <w:szCs w:val="18"/>
                <w:highlight w:val="yellow"/>
              </w:rPr>
            </w:pPr>
            <w:r>
              <w:rPr>
                <w:highlight w:val="yellow"/>
              </w:rPr>
              <w:t>Regionalni UT-ovi osiguravaju podatke i informatore</w:t>
            </w:r>
          </w:p>
          <w:p w:rsidR="00867290" w:rsidRPr="00BB2924" w:rsidRDefault="00867290" w:rsidP="008B1515">
            <w:pPr>
              <w:rPr>
                <w:szCs w:val="18"/>
                <w:highlight w:val="yellow"/>
              </w:rPr>
            </w:pPr>
            <w:r>
              <w:rPr>
                <w:highlight w:val="yellow"/>
              </w:rPr>
              <w:t>Evaluator provodi evaluaciju</w:t>
            </w:r>
          </w:p>
        </w:tc>
      </w:tr>
      <w:tr w:rsidR="00867290" w:rsidRPr="00BB2924" w:rsidTr="001413F0">
        <w:trPr>
          <w:cantSplit/>
          <w:trHeight w:val="1134"/>
        </w:trPr>
        <w:tc>
          <w:tcPr>
            <w:tcW w:w="0" w:type="auto"/>
            <w:vMerge/>
            <w:shd w:val="clear" w:color="auto" w:fill="E7E6E6" w:themeFill="background2"/>
            <w:textDirection w:val="tbRl"/>
          </w:tcPr>
          <w:p w:rsidR="00867290" w:rsidRPr="00BB2924" w:rsidRDefault="00867290" w:rsidP="008B1515">
            <w:pPr>
              <w:ind w:left="113" w:right="113"/>
              <w:rPr>
                <w:szCs w:val="18"/>
                <w:highlight w:val="yellow"/>
              </w:rPr>
            </w:pP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Kontrola kvalitete</w:t>
            </w:r>
          </w:p>
        </w:tc>
        <w:tc>
          <w:tcPr>
            <w:tcW w:w="0" w:type="auto"/>
          </w:tcPr>
          <w:p w:rsidR="00867290" w:rsidRPr="00BB2924" w:rsidRDefault="00867290" w:rsidP="008B1515">
            <w:pPr>
              <w:rPr>
                <w:szCs w:val="18"/>
                <w:highlight w:val="yellow"/>
              </w:rPr>
            </w:pPr>
            <w:r>
              <w:rPr>
                <w:highlight w:val="yellow"/>
              </w:rPr>
              <w:t>Odgovoran/sudjeluje</w:t>
            </w:r>
          </w:p>
        </w:tc>
        <w:tc>
          <w:tcPr>
            <w:tcW w:w="0" w:type="auto"/>
          </w:tcPr>
          <w:p w:rsidR="00867290" w:rsidRPr="00BB2924" w:rsidRDefault="00867290" w:rsidP="008B1515">
            <w:pPr>
              <w:rPr>
                <w:szCs w:val="18"/>
                <w:highlight w:val="yellow"/>
              </w:rPr>
            </w:pPr>
          </w:p>
        </w:tc>
        <w:tc>
          <w:tcPr>
            <w:tcW w:w="0" w:type="auto"/>
          </w:tcPr>
          <w:p w:rsidR="00867290" w:rsidRPr="00BB2924" w:rsidRDefault="00867290" w:rsidP="008B1515">
            <w:pPr>
              <w:rPr>
                <w:szCs w:val="18"/>
                <w:highlight w:val="yellow"/>
              </w:rPr>
            </w:pPr>
            <w:r>
              <w:rPr>
                <w:highlight w:val="yellow"/>
              </w:rPr>
              <w:t>Sudjeluje/odgovoran</w:t>
            </w:r>
          </w:p>
        </w:tc>
        <w:tc>
          <w:tcPr>
            <w:tcW w:w="0" w:type="auto"/>
          </w:tcPr>
          <w:p w:rsidR="00867290" w:rsidRPr="00BB2924" w:rsidRDefault="00867290" w:rsidP="00D76339">
            <w:pPr>
              <w:rPr>
                <w:szCs w:val="18"/>
                <w:highlight w:val="yellow"/>
              </w:rPr>
            </w:pPr>
            <w:r>
              <w:rPr>
                <w:highlight w:val="yellow"/>
              </w:rPr>
              <w:t>Moguća upravljačka skupina sudjeluje</w:t>
            </w:r>
          </w:p>
        </w:tc>
      </w:tr>
    </w:tbl>
    <w:p w:rsidR="00867290" w:rsidRPr="00BB2924" w:rsidRDefault="00867290" w:rsidP="00CA5E80">
      <w:pPr>
        <w:pStyle w:val="HHeading3"/>
        <w:numPr>
          <w:ilvl w:val="0"/>
          <w:numId w:val="0"/>
        </w:numPr>
        <w:rPr>
          <w:highlight w:val="yellow"/>
        </w:rPr>
      </w:pPr>
      <w:bookmarkStart w:id="155" w:name="_Toc453079762"/>
      <w:bookmarkStart w:id="156" w:name="_Toc461713636"/>
      <w:r>
        <w:rPr>
          <w:highlight w:val="yellow"/>
        </w:rPr>
        <w:t>2.2.4. Priopćavanje i širenje zaključaka evaluacije</w:t>
      </w:r>
      <w:bookmarkEnd w:id="155"/>
      <w:bookmarkEnd w:id="156"/>
      <w:r>
        <w:rPr>
          <w:highlight w:val="yellow"/>
        </w:rPr>
        <w:t xml:space="preserve"> </w:t>
      </w:r>
    </w:p>
    <w:p w:rsidR="00867290" w:rsidRPr="00BB2924" w:rsidRDefault="00867290" w:rsidP="006D3475">
      <w:pPr>
        <w:pStyle w:val="HHeading5"/>
        <w:rPr>
          <w:highlight w:val="yellow"/>
        </w:rPr>
      </w:pPr>
      <w:r>
        <w:rPr>
          <w:highlight w:val="yellow"/>
        </w:rPr>
        <w:t>Priopćavanje zaključaka evaluacije</w:t>
      </w:r>
    </w:p>
    <w:p w:rsidR="00867290" w:rsidRPr="00BB2924" w:rsidRDefault="00867290" w:rsidP="001B4E97">
      <w:pPr>
        <w:pStyle w:val="HStandard"/>
        <w:rPr>
          <w:highlight w:val="yellow"/>
        </w:rPr>
      </w:pPr>
      <w:r>
        <w:rPr>
          <w:highlight w:val="yellow"/>
        </w:rPr>
        <w:t>Komunikacija se odvija tijekom cijelog postupka evaluacije, ali glavni posao oko komunikacije dolazi na kraju, nakon što su dovršeni rezultati i preporuke. Aktivnosti komunikacije trebale bi slijediti komunikacijski plan razvijen na početku procesa evaluacije.</w:t>
      </w:r>
    </w:p>
    <w:p w:rsidR="00867290" w:rsidRPr="00BB2924" w:rsidRDefault="00867290" w:rsidP="006D3475">
      <w:pPr>
        <w:pStyle w:val="HHeading5"/>
        <w:rPr>
          <w:highlight w:val="yellow"/>
        </w:rPr>
      </w:pPr>
      <w:r>
        <w:rPr>
          <w:highlight w:val="yellow"/>
        </w:rPr>
        <w:t>Širenje informacija</w:t>
      </w:r>
    </w:p>
    <w:p w:rsidR="00867290" w:rsidRPr="00BB2924" w:rsidRDefault="00867290" w:rsidP="001B4E97">
      <w:pPr>
        <w:pStyle w:val="HStandard"/>
        <w:rPr>
          <w:highlight w:val="yellow"/>
        </w:rPr>
      </w:pPr>
      <w:r>
        <w:rPr>
          <w:highlight w:val="yellow"/>
        </w:rPr>
        <w:t>Trebalo bi objaviti izvješće o evaluaciji. Trebalo bi ga postaviti na mrežne stranice UT-a/JPM-a. Nadalje, kako bi se povećala transparentnost, izvješće o evaluaciji trebalo bi proširiti do dionika procesa evaluacije i svih relevantnih dionika (P)NRM-a. Kao dobra praksa preporučuje se napisati sažetak za građane glavnih nalaza evaluacije. Evaluaciju bi isto tako trebalo predstaviti i o njoj raspravljati na radionicama i drugim događajima (kao s Odborom za praćenje). Važno je u ranoj se fazi dogovoriti o tome tko što radi (UT i JPM) u smislu širenja informacija.</w:t>
      </w:r>
    </w:p>
    <w:p w:rsidR="00867290" w:rsidRPr="00BB2924" w:rsidRDefault="00867290" w:rsidP="006D3475">
      <w:pPr>
        <w:pStyle w:val="HHeading5"/>
        <w:rPr>
          <w:highlight w:val="yellow"/>
        </w:rPr>
      </w:pPr>
      <w:r>
        <w:rPr>
          <w:highlight w:val="yellow"/>
        </w:rPr>
        <w:t xml:space="preserve">Koraci koji proizlaze iz zaključaka evaluacije </w:t>
      </w:r>
    </w:p>
    <w:p w:rsidR="00867290" w:rsidRPr="00BB2924" w:rsidRDefault="00867290" w:rsidP="001B4E97">
      <w:pPr>
        <w:pStyle w:val="HStandard"/>
        <w:rPr>
          <w:highlight w:val="yellow"/>
        </w:rPr>
      </w:pPr>
      <w:r>
        <w:rPr>
          <w:highlight w:val="yellow"/>
        </w:rPr>
        <w:t xml:space="preserve">Kako bi evaluacija (i samoocjenjivanje) bila korisna za sam NRM, postoji postupak za korake koji proizlaze iz zaključaka i preporuka te njihovo korištenje. </w:t>
      </w:r>
    </w:p>
    <w:p w:rsidR="00867290" w:rsidRPr="00BB2924" w:rsidRDefault="00867290" w:rsidP="001B4E97">
      <w:pPr>
        <w:pStyle w:val="HStandard"/>
        <w:rPr>
          <w:highlight w:val="yellow"/>
        </w:rPr>
      </w:pPr>
      <w:r>
        <w:rPr>
          <w:highlight w:val="yellow"/>
        </w:rPr>
        <w:t xml:space="preserve">Korištenje zaključcima evaluacije može se redovito stavljati na dnevni red koordinacijskog tijela ili u plan rada mreže/sudionika na koji se cilja preporukom, uz raspored za postignuća. Za NRM, Akcijski je plan izvrstan kontekst za to jer je to godišnji dokument. Akcijski plan NRM-a može uključivati i odredbe o tome kako se koristiti rezultatima evaluacije i samoocjenjivanja pri poboljšavanju aktivnosti mreže. Napredak u ispunjavanju preporuka može se navesti u godišnjem izvješću. Tako se zaključci evaluacije mogu uklopiti u oblikovanje buduće politike. Upravljačko tijelo i koordinacijsko tijelo trebali bi razviti i </w:t>
      </w:r>
      <w:r>
        <w:rPr>
          <w:highlight w:val="yellow"/>
        </w:rPr>
        <w:lastRenderedPageBreak/>
        <w:t xml:space="preserve">provoditi strategiju i proces za korake koji proizlaze iz preporuka evaluacije. Te korake može napraviti vlasnik evaluacije u obliku matrice popratnih aktivnosti, kakva je predstavljena u </w:t>
      </w:r>
      <w:r>
        <w:rPr>
          <w:highlight w:val="yellow"/>
        </w:rPr>
        <w:fldChar w:fldCharType="begin" w:fldLock="1"/>
      </w:r>
      <w:r>
        <w:rPr>
          <w:highlight w:val="yellow"/>
        </w:rPr>
        <w:instrText xml:space="preserve"> REF _Ref451785007 \r \h  \* MERGEFORMAT </w:instrText>
      </w:r>
      <w:r>
        <w:rPr>
          <w:highlight w:val="yellow"/>
        </w:rPr>
      </w:r>
      <w:r>
        <w:rPr>
          <w:highlight w:val="yellow"/>
        </w:rPr>
        <w:fldChar w:fldCharType="separate"/>
      </w:r>
      <w:r>
        <w:rPr>
          <w:highlight w:val="yellow"/>
        </w:rPr>
        <w:t>Table 9</w:t>
      </w:r>
      <w:r>
        <w:rPr>
          <w:highlight w:val="yellow"/>
        </w:rPr>
        <w:fldChar w:fldCharType="end"/>
      </w:r>
      <w:r>
        <w:rPr>
          <w:highlight w:val="yellow"/>
        </w:rPr>
        <w:t xml:space="preserve">. </w:t>
      </w:r>
    </w:p>
    <w:p w:rsidR="00867290" w:rsidRPr="00BB2924" w:rsidRDefault="00867290" w:rsidP="006F6D66">
      <w:pPr>
        <w:pStyle w:val="HHeadingtables"/>
        <w:numPr>
          <w:ilvl w:val="0"/>
          <w:numId w:val="0"/>
        </w:numPr>
        <w:rPr>
          <w:highlight w:val="yellow"/>
        </w:rPr>
      </w:pPr>
      <w:bookmarkStart w:id="157" w:name="_Toc436383151"/>
      <w:bookmarkStart w:id="158" w:name="_Toc451781913"/>
      <w:bookmarkStart w:id="159" w:name="_Ref451785007"/>
      <w:bookmarkStart w:id="160" w:name="_Toc461713645"/>
      <w:r>
        <w:rPr>
          <w:highlight w:val="yellow"/>
        </w:rPr>
        <w:t>Tablica 9. Matrica popratnih aktivnosti kod evaluacije</w:t>
      </w:r>
      <w:bookmarkEnd w:id="157"/>
      <w:bookmarkEnd w:id="158"/>
      <w:bookmarkEnd w:id="159"/>
      <w:bookmarkEnd w:id="160"/>
    </w:p>
    <w:tbl>
      <w:tblPr>
        <w:tblStyle w:val="TableGrid2"/>
        <w:tblW w:w="90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DDDDD"/>
        <w:tblLayout w:type="fixed"/>
        <w:tblLook w:val="04A0" w:firstRow="1" w:lastRow="0" w:firstColumn="1" w:lastColumn="0" w:noHBand="0" w:noVBand="1"/>
      </w:tblPr>
      <w:tblGrid>
        <w:gridCol w:w="2965"/>
        <w:gridCol w:w="1530"/>
        <w:gridCol w:w="1530"/>
        <w:gridCol w:w="1620"/>
        <w:gridCol w:w="1440"/>
      </w:tblGrid>
      <w:tr w:rsidR="00867290" w:rsidRPr="00BB2924" w:rsidTr="00D90A43">
        <w:trPr>
          <w:tblHeader/>
          <w:jc w:val="center"/>
        </w:trPr>
        <w:tc>
          <w:tcPr>
            <w:tcW w:w="2965" w:type="dxa"/>
            <w:shd w:val="clear" w:color="auto" w:fill="E7E6E6" w:themeFill="background2"/>
          </w:tcPr>
          <w:p w:rsidR="00867290" w:rsidRPr="00BB2924" w:rsidRDefault="00867290" w:rsidP="001249DA">
            <w:pPr>
              <w:pStyle w:val="Htableleftbolt"/>
              <w:jc w:val="center"/>
              <w:rPr>
                <w:rFonts w:cs="Arial"/>
                <w:color w:val="5B9BD5" w:themeColor="accent1"/>
                <w:sz w:val="18"/>
                <w:szCs w:val="18"/>
                <w:highlight w:val="yellow"/>
              </w:rPr>
            </w:pPr>
            <w:r>
              <w:rPr>
                <w:color w:val="5B9BD5" w:themeColor="accent1"/>
                <w:sz w:val="18"/>
                <w:highlight w:val="yellow"/>
              </w:rPr>
              <w:t>ŠTO?</w:t>
            </w:r>
          </w:p>
        </w:tc>
        <w:tc>
          <w:tcPr>
            <w:tcW w:w="1530" w:type="dxa"/>
            <w:shd w:val="clear" w:color="auto" w:fill="E7E6E6" w:themeFill="background2"/>
          </w:tcPr>
          <w:p w:rsidR="00867290" w:rsidRPr="00BB2924" w:rsidRDefault="00867290" w:rsidP="001249DA">
            <w:pPr>
              <w:pStyle w:val="Htableleftbolt"/>
              <w:jc w:val="center"/>
              <w:rPr>
                <w:rFonts w:cs="Arial"/>
                <w:color w:val="5B9BD5" w:themeColor="accent1"/>
                <w:sz w:val="18"/>
                <w:szCs w:val="18"/>
                <w:highlight w:val="yellow"/>
              </w:rPr>
            </w:pPr>
            <w:r>
              <w:rPr>
                <w:color w:val="5B9BD5" w:themeColor="accent1"/>
                <w:sz w:val="18"/>
                <w:highlight w:val="yellow"/>
              </w:rPr>
              <w:t>KADA?</w:t>
            </w:r>
          </w:p>
        </w:tc>
        <w:tc>
          <w:tcPr>
            <w:tcW w:w="1530" w:type="dxa"/>
            <w:shd w:val="clear" w:color="auto" w:fill="E7E6E6" w:themeFill="background2"/>
          </w:tcPr>
          <w:p w:rsidR="00867290" w:rsidRPr="00BB2924" w:rsidRDefault="00867290" w:rsidP="001249DA">
            <w:pPr>
              <w:pStyle w:val="Htableleftbolt"/>
              <w:jc w:val="center"/>
              <w:rPr>
                <w:rFonts w:cs="Arial"/>
                <w:color w:val="5B9BD5" w:themeColor="accent1"/>
                <w:sz w:val="18"/>
                <w:szCs w:val="18"/>
                <w:highlight w:val="yellow"/>
              </w:rPr>
            </w:pPr>
            <w:r>
              <w:rPr>
                <w:color w:val="5B9BD5" w:themeColor="accent1"/>
                <w:sz w:val="18"/>
                <w:highlight w:val="yellow"/>
              </w:rPr>
              <w:t>TKO?</w:t>
            </w:r>
          </w:p>
        </w:tc>
        <w:tc>
          <w:tcPr>
            <w:tcW w:w="1620" w:type="dxa"/>
            <w:shd w:val="clear" w:color="auto" w:fill="E7E6E6" w:themeFill="background2"/>
          </w:tcPr>
          <w:p w:rsidR="00867290" w:rsidRPr="00BB2924" w:rsidRDefault="00867290" w:rsidP="001249DA">
            <w:pPr>
              <w:pStyle w:val="Htableleftbolt"/>
              <w:jc w:val="center"/>
              <w:rPr>
                <w:rFonts w:cs="Arial"/>
                <w:color w:val="5B9BD5" w:themeColor="accent1"/>
                <w:sz w:val="18"/>
                <w:szCs w:val="18"/>
                <w:highlight w:val="yellow"/>
              </w:rPr>
            </w:pPr>
            <w:r>
              <w:rPr>
                <w:color w:val="5B9BD5" w:themeColor="accent1"/>
                <w:sz w:val="18"/>
                <w:highlight w:val="yellow"/>
              </w:rPr>
              <w:t>KAKO?</w:t>
            </w:r>
          </w:p>
        </w:tc>
        <w:tc>
          <w:tcPr>
            <w:tcW w:w="1440" w:type="dxa"/>
            <w:shd w:val="clear" w:color="auto" w:fill="E7E6E6" w:themeFill="background2"/>
          </w:tcPr>
          <w:p w:rsidR="00867290" w:rsidRPr="00BB2924" w:rsidRDefault="00867290" w:rsidP="001249DA">
            <w:pPr>
              <w:pStyle w:val="Htableleftbolt"/>
              <w:jc w:val="center"/>
              <w:rPr>
                <w:rFonts w:cs="Arial"/>
                <w:color w:val="5B9BD5" w:themeColor="accent1"/>
                <w:sz w:val="18"/>
                <w:szCs w:val="18"/>
                <w:highlight w:val="yellow"/>
              </w:rPr>
            </w:pPr>
            <w:r>
              <w:rPr>
                <w:color w:val="5B9BD5" w:themeColor="accent1"/>
                <w:sz w:val="18"/>
                <w:highlight w:val="yellow"/>
              </w:rPr>
              <w:t>ŠTO SE PODUZELO?</w:t>
            </w:r>
          </w:p>
        </w:tc>
      </w:tr>
      <w:tr w:rsidR="00867290" w:rsidRPr="00BB2924" w:rsidTr="00D90A43">
        <w:trPr>
          <w:jc w:val="center"/>
        </w:trPr>
        <w:tc>
          <w:tcPr>
            <w:tcW w:w="2965"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 xml:space="preserve">Koji su najvažniji zaključci evaluacije? Što je zaključeno/preporučeno? </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Koja je očekivana promjena?</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Kako na to gleda UT/JPM?</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Što bi trebalo poduzeti?</w:t>
            </w:r>
          </w:p>
        </w:tc>
        <w:tc>
          <w:tcPr>
            <w:tcW w:w="1530"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Vremenski okvir za popratne aktivnosti, konačni datum popratnih aktivnosti</w:t>
            </w:r>
          </w:p>
        </w:tc>
        <w:tc>
          <w:tcPr>
            <w:tcW w:w="1530"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Odgovornost za popratne aktivnosti</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 xml:space="preserve">ostali uključeni </w:t>
            </w:r>
          </w:p>
        </w:tc>
        <w:tc>
          <w:tcPr>
            <w:tcW w:w="1620"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 xml:space="preserve">Format popratnih aktivnosti </w:t>
            </w:r>
          </w:p>
        </w:tc>
        <w:tc>
          <w:tcPr>
            <w:tcW w:w="1440"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Status popratnih aktivnosti, datum</w:t>
            </w:r>
          </w:p>
        </w:tc>
      </w:tr>
      <w:tr w:rsidR="00867290" w:rsidRPr="00BB2924" w:rsidTr="00D90A43">
        <w:trPr>
          <w:jc w:val="center"/>
        </w:trPr>
        <w:tc>
          <w:tcPr>
            <w:tcW w:w="2965"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Zaključak – zaključak –</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Preporuka br. 1:</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čvrsto utemeljena na dokazima i analizi, jasno formulirana, pragmatična</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Očekivana promjena:</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prema izvješću o evaluaciji</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Odgovor UT-a/JPM-a:</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prihvaćen, djelomično prihvaćen, odbijen – navedite razloge</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Ključne mjere:</w:t>
            </w:r>
          </w:p>
          <w:p w:rsidR="00867290" w:rsidRPr="00BB2924" w:rsidRDefault="00867290" w:rsidP="001B4E97">
            <w:pPr>
              <w:pStyle w:val="Htablebullet"/>
              <w:rPr>
                <w:color w:val="576C88" w:themeColor="text2" w:themeTint="D9"/>
                <w:szCs w:val="18"/>
                <w:highlight w:val="yellow"/>
              </w:rPr>
            </w:pPr>
            <w:r>
              <w:rPr>
                <w:color w:val="576C88" w:themeColor="text2" w:themeTint="D9"/>
                <w:highlight w:val="yellow"/>
              </w:rPr>
              <w:t>…</w:t>
            </w:r>
          </w:p>
          <w:p w:rsidR="00867290" w:rsidRPr="00BB2924" w:rsidRDefault="00867290"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kvartalno, godišnje, dvaput godišnje itd.</w:t>
            </w:r>
          </w:p>
        </w:tc>
        <w:tc>
          <w:tcPr>
            <w:tcW w:w="1530"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organizacija, jedinica, osoba</w:t>
            </w:r>
          </w:p>
        </w:tc>
        <w:tc>
          <w:tcPr>
            <w:tcW w:w="1620"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 xml:space="preserve">Godišnji rad NRM-a na planiranju/izvještavanju, </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 xml:space="preserve">GIP, </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 xml:space="preserve">Odbor za praćenje, </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Upravljačka skupina itd.</w:t>
            </w:r>
          </w:p>
        </w:tc>
        <w:tc>
          <w:tcPr>
            <w:tcW w:w="1440"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Oznaka statusa:</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još nije započeto</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u tijeku</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dovršeno</w:t>
            </w:r>
          </w:p>
        </w:tc>
      </w:tr>
      <w:tr w:rsidR="00867290" w:rsidRPr="00BB2924" w:rsidTr="00D90A43">
        <w:trPr>
          <w:jc w:val="center"/>
        </w:trPr>
        <w:tc>
          <w:tcPr>
            <w:tcW w:w="2965" w:type="dxa"/>
            <w:shd w:val="clear" w:color="auto" w:fill="auto"/>
          </w:tcPr>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Zaključak – zaključak – Preporuka br. 2:</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Očekivana promjena:</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Odgovor UT-a/JPM-a:</w:t>
            </w:r>
          </w:p>
          <w:p w:rsidR="00867290" w:rsidRPr="00BB2924" w:rsidRDefault="00867290" w:rsidP="001B4E97">
            <w:pPr>
              <w:pStyle w:val="Htableleft"/>
              <w:rPr>
                <w:rFonts w:cs="Arial"/>
                <w:color w:val="576C88" w:themeColor="text2" w:themeTint="D9"/>
                <w:szCs w:val="18"/>
                <w:highlight w:val="yellow"/>
              </w:rPr>
            </w:pPr>
            <w:r>
              <w:rPr>
                <w:color w:val="576C88" w:themeColor="text2" w:themeTint="D9"/>
                <w:highlight w:val="yellow"/>
              </w:rPr>
              <w:t>Ključne mjere:</w:t>
            </w:r>
          </w:p>
          <w:p w:rsidR="00867290" w:rsidRPr="00BB2924" w:rsidRDefault="00867290" w:rsidP="001B4E97">
            <w:pPr>
              <w:pStyle w:val="Htablebullet"/>
              <w:rPr>
                <w:color w:val="576C88" w:themeColor="text2" w:themeTint="D9"/>
                <w:szCs w:val="18"/>
                <w:highlight w:val="yellow"/>
              </w:rPr>
            </w:pPr>
            <w:r>
              <w:rPr>
                <w:color w:val="576C88" w:themeColor="text2" w:themeTint="D9"/>
                <w:highlight w:val="yellow"/>
              </w:rPr>
              <w:t>…</w:t>
            </w:r>
          </w:p>
          <w:p w:rsidR="00867290" w:rsidRPr="00BB2924" w:rsidRDefault="00867290" w:rsidP="001B4E97">
            <w:pPr>
              <w:pStyle w:val="Htablebullet"/>
              <w:rPr>
                <w:color w:val="576C88" w:themeColor="text2" w:themeTint="D9"/>
                <w:szCs w:val="18"/>
                <w:highlight w:val="yellow"/>
              </w:rPr>
            </w:pPr>
            <w:r>
              <w:rPr>
                <w:color w:val="576C88" w:themeColor="text2" w:themeTint="D9"/>
                <w:highlight w:val="yellow"/>
              </w:rPr>
              <w:t>…</w:t>
            </w:r>
          </w:p>
        </w:tc>
        <w:tc>
          <w:tcPr>
            <w:tcW w:w="1530" w:type="dxa"/>
            <w:shd w:val="clear" w:color="auto" w:fill="auto"/>
          </w:tcPr>
          <w:p w:rsidR="00867290" w:rsidRPr="00BB2924" w:rsidRDefault="00867290" w:rsidP="001B4E97">
            <w:pPr>
              <w:pStyle w:val="Htableleft"/>
              <w:rPr>
                <w:rFonts w:cs="Arial"/>
                <w:color w:val="576C88" w:themeColor="text2" w:themeTint="D9"/>
                <w:szCs w:val="18"/>
                <w:highlight w:val="yellow"/>
              </w:rPr>
            </w:pPr>
          </w:p>
        </w:tc>
        <w:tc>
          <w:tcPr>
            <w:tcW w:w="1530" w:type="dxa"/>
            <w:shd w:val="clear" w:color="auto" w:fill="auto"/>
          </w:tcPr>
          <w:p w:rsidR="00867290" w:rsidRPr="00BB2924" w:rsidRDefault="00867290" w:rsidP="001B4E97">
            <w:pPr>
              <w:pStyle w:val="Htableleft"/>
              <w:rPr>
                <w:rFonts w:cs="Arial"/>
                <w:color w:val="576C88" w:themeColor="text2" w:themeTint="D9"/>
                <w:szCs w:val="18"/>
                <w:highlight w:val="yellow"/>
              </w:rPr>
            </w:pPr>
          </w:p>
        </w:tc>
        <w:tc>
          <w:tcPr>
            <w:tcW w:w="1620" w:type="dxa"/>
            <w:shd w:val="clear" w:color="auto" w:fill="auto"/>
          </w:tcPr>
          <w:p w:rsidR="00867290" w:rsidRPr="00BB2924" w:rsidRDefault="00867290" w:rsidP="001B4E97">
            <w:pPr>
              <w:pStyle w:val="Htableleft"/>
              <w:rPr>
                <w:rFonts w:cs="Arial"/>
                <w:color w:val="576C88" w:themeColor="text2" w:themeTint="D9"/>
                <w:szCs w:val="18"/>
                <w:highlight w:val="yellow"/>
              </w:rPr>
            </w:pPr>
          </w:p>
        </w:tc>
        <w:tc>
          <w:tcPr>
            <w:tcW w:w="1440" w:type="dxa"/>
            <w:shd w:val="clear" w:color="auto" w:fill="auto"/>
          </w:tcPr>
          <w:p w:rsidR="00867290" w:rsidRPr="00BB2924" w:rsidRDefault="00867290" w:rsidP="001B4E97">
            <w:pPr>
              <w:pStyle w:val="Htableleft"/>
              <w:rPr>
                <w:rFonts w:cs="Arial"/>
                <w:color w:val="576C88" w:themeColor="text2" w:themeTint="D9"/>
                <w:szCs w:val="18"/>
                <w:highlight w:val="yellow"/>
              </w:rPr>
            </w:pPr>
          </w:p>
        </w:tc>
      </w:tr>
    </w:tbl>
    <w:p w:rsidR="00867290" w:rsidRPr="00BB2924" w:rsidRDefault="00867290" w:rsidP="009E75C6">
      <w:pPr>
        <w:pStyle w:val="HHeadingtables"/>
        <w:numPr>
          <w:ilvl w:val="0"/>
          <w:numId w:val="0"/>
        </w:numPr>
        <w:rPr>
          <w:highlight w:val="yellow"/>
        </w:rPr>
      </w:pPr>
    </w:p>
    <w:p w:rsidR="00867290" w:rsidRPr="00BB2924" w:rsidRDefault="00867290">
      <w:pPr>
        <w:spacing w:after="0" w:line="240" w:lineRule="auto"/>
        <w:rPr>
          <w:rFonts w:cs="Arial"/>
          <w:b/>
          <w:color w:val="576C88" w:themeColor="text2" w:themeTint="D9"/>
          <w:sz w:val="16"/>
          <w:szCs w:val="20"/>
          <w:highlight w:val="yellow"/>
        </w:rPr>
      </w:pPr>
      <w:r>
        <w:br w:type="page"/>
      </w:r>
    </w:p>
    <w:p w:rsidR="00867290" w:rsidRPr="00BB2924" w:rsidRDefault="00867290" w:rsidP="006F6D66">
      <w:pPr>
        <w:pStyle w:val="HHeadingtables"/>
        <w:numPr>
          <w:ilvl w:val="0"/>
          <w:numId w:val="0"/>
        </w:numPr>
        <w:rPr>
          <w:highlight w:val="yellow"/>
        </w:rPr>
      </w:pPr>
      <w:bookmarkStart w:id="161" w:name="_Toc451781914"/>
      <w:bookmarkStart w:id="162" w:name="_Toc461713646"/>
      <w:r>
        <w:rPr>
          <w:highlight w:val="yellow"/>
        </w:rPr>
        <w:lastRenderedPageBreak/>
        <w:t>Tablica 10. Odgovornosti dionika u komunikaciji i koracima koji proizlaze iz zaključaka evaluacije NRM-a</w:t>
      </w:r>
      <w:bookmarkEnd w:id="161"/>
      <w:bookmarkEnd w:id="162"/>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459"/>
        <w:gridCol w:w="1468"/>
        <w:gridCol w:w="1894"/>
        <w:gridCol w:w="1541"/>
        <w:gridCol w:w="1883"/>
        <w:gridCol w:w="1776"/>
      </w:tblGrid>
      <w:tr w:rsidR="00867290" w:rsidRPr="00BB2924" w:rsidTr="001413F0">
        <w:tc>
          <w:tcPr>
            <w:tcW w:w="0" w:type="auto"/>
            <w:tcBorders>
              <w:top w:val="nil"/>
              <w:left w:val="nil"/>
              <w:bottom w:val="single" w:sz="4" w:space="0" w:color="000000" w:themeColor="text1"/>
            </w:tcBorders>
          </w:tcPr>
          <w:p w:rsidR="00867290" w:rsidRPr="00BB2924" w:rsidRDefault="00867290" w:rsidP="008B1515">
            <w:pPr>
              <w:jc w:val="right"/>
              <w:rPr>
                <w:b/>
                <w:szCs w:val="18"/>
                <w:highlight w:val="yellow"/>
              </w:rPr>
            </w:pPr>
          </w:p>
        </w:tc>
        <w:tc>
          <w:tcPr>
            <w:tcW w:w="0" w:type="auto"/>
            <w:shd w:val="clear" w:color="auto" w:fill="E7E6E6" w:themeFill="background2"/>
          </w:tcPr>
          <w:p w:rsidR="00867290" w:rsidRPr="00BB2924" w:rsidRDefault="00867290" w:rsidP="001413F0">
            <w:pPr>
              <w:jc w:val="center"/>
              <w:rPr>
                <w:b/>
                <w:color w:val="5B9BD5" w:themeColor="accent1"/>
                <w:szCs w:val="18"/>
                <w:highlight w:val="yellow"/>
              </w:rPr>
            </w:pPr>
            <w:r>
              <w:rPr>
                <w:b/>
                <w:color w:val="5B9BD5" w:themeColor="accent1"/>
                <w:highlight w:val="yellow"/>
              </w:rPr>
              <w:t>Mjere</w:t>
            </w:r>
          </w:p>
        </w:tc>
        <w:tc>
          <w:tcPr>
            <w:tcW w:w="0" w:type="auto"/>
            <w:gridSpan w:val="4"/>
            <w:shd w:val="clear" w:color="auto" w:fill="E7E6E6" w:themeFill="background2"/>
          </w:tcPr>
          <w:p w:rsidR="00867290" w:rsidRPr="00BB2924" w:rsidRDefault="00867290" w:rsidP="001413F0">
            <w:pPr>
              <w:jc w:val="center"/>
              <w:rPr>
                <w:b/>
                <w:color w:val="5B9BD5" w:themeColor="accent1"/>
                <w:szCs w:val="18"/>
                <w:highlight w:val="yellow"/>
              </w:rPr>
            </w:pPr>
            <w:r>
              <w:rPr>
                <w:b/>
                <w:color w:val="5B9BD5" w:themeColor="accent1"/>
                <w:highlight w:val="yellow"/>
              </w:rPr>
              <w:t>Sudionici</w:t>
            </w:r>
          </w:p>
        </w:tc>
      </w:tr>
      <w:tr w:rsidR="00867290" w:rsidRPr="00BB2924" w:rsidTr="001413F0">
        <w:trPr>
          <w:cantSplit/>
          <w:trHeight w:val="1134"/>
        </w:trPr>
        <w:tc>
          <w:tcPr>
            <w:tcW w:w="0" w:type="auto"/>
            <w:shd w:val="clear" w:color="auto" w:fill="E7E6E6" w:themeFill="background2"/>
            <w:textDirection w:val="tbRl"/>
          </w:tcPr>
          <w:p w:rsidR="00867290" w:rsidRPr="00BB2924" w:rsidRDefault="00867290" w:rsidP="001413F0">
            <w:pPr>
              <w:ind w:left="113" w:right="113"/>
              <w:jc w:val="center"/>
              <w:rPr>
                <w:b/>
                <w:color w:val="5B9BD5" w:themeColor="accent1"/>
                <w:szCs w:val="18"/>
                <w:highlight w:val="yellow"/>
              </w:rPr>
            </w:pPr>
            <w:r>
              <w:rPr>
                <w:b/>
                <w:color w:val="5B9BD5" w:themeColor="accent1"/>
                <w:highlight w:val="yellow"/>
              </w:rPr>
              <w:t>Faza</w:t>
            </w: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Korak</w:t>
            </w:r>
          </w:p>
        </w:tc>
        <w:tc>
          <w:tcPr>
            <w:tcW w:w="0" w:type="auto"/>
          </w:tcPr>
          <w:p w:rsidR="00867290" w:rsidRPr="00BB2924" w:rsidRDefault="00867290" w:rsidP="008B1515">
            <w:pPr>
              <w:rPr>
                <w:i/>
                <w:szCs w:val="18"/>
                <w:highlight w:val="yellow"/>
              </w:rPr>
            </w:pPr>
            <w:r>
              <w:rPr>
                <w:i/>
                <w:highlight w:val="yellow"/>
              </w:rPr>
              <w:t>UT</w:t>
            </w:r>
          </w:p>
        </w:tc>
        <w:tc>
          <w:tcPr>
            <w:tcW w:w="0" w:type="auto"/>
          </w:tcPr>
          <w:p w:rsidR="00867290" w:rsidRPr="00BB2924" w:rsidRDefault="00867290" w:rsidP="008B1515">
            <w:pPr>
              <w:rPr>
                <w:i/>
                <w:szCs w:val="18"/>
                <w:highlight w:val="yellow"/>
              </w:rPr>
            </w:pPr>
            <w:r>
              <w:rPr>
                <w:i/>
                <w:highlight w:val="yellow"/>
              </w:rPr>
              <w:t>druge jedinice UT-a</w:t>
            </w:r>
          </w:p>
        </w:tc>
        <w:tc>
          <w:tcPr>
            <w:tcW w:w="0" w:type="auto"/>
          </w:tcPr>
          <w:p w:rsidR="00867290" w:rsidRPr="00BB2924" w:rsidRDefault="00867290" w:rsidP="008B1515">
            <w:pPr>
              <w:rPr>
                <w:i/>
                <w:szCs w:val="18"/>
                <w:highlight w:val="yellow"/>
              </w:rPr>
            </w:pPr>
            <w:r>
              <w:rPr>
                <w:i/>
                <w:highlight w:val="yellow"/>
              </w:rPr>
              <w:t>JPM</w:t>
            </w:r>
          </w:p>
        </w:tc>
        <w:tc>
          <w:tcPr>
            <w:tcW w:w="0" w:type="auto"/>
          </w:tcPr>
          <w:p w:rsidR="00867290" w:rsidRPr="00BB2924" w:rsidRDefault="00867290" w:rsidP="008B1515">
            <w:pPr>
              <w:rPr>
                <w:i/>
                <w:szCs w:val="18"/>
                <w:highlight w:val="yellow"/>
              </w:rPr>
            </w:pPr>
            <w:r>
              <w:rPr>
                <w:i/>
                <w:highlight w:val="yellow"/>
              </w:rPr>
              <w:t>Ostali</w:t>
            </w:r>
          </w:p>
        </w:tc>
      </w:tr>
      <w:tr w:rsidR="00867290" w:rsidRPr="00BB2924" w:rsidTr="001413F0">
        <w:tc>
          <w:tcPr>
            <w:tcW w:w="0" w:type="auto"/>
            <w:vMerge w:val="restart"/>
            <w:shd w:val="clear" w:color="auto" w:fill="E7E6E6" w:themeFill="background2"/>
            <w:textDirection w:val="tbRl"/>
          </w:tcPr>
          <w:p w:rsidR="00867290" w:rsidRPr="00BB2924" w:rsidRDefault="00867290" w:rsidP="001413F0">
            <w:pPr>
              <w:ind w:left="113" w:right="113"/>
              <w:jc w:val="center"/>
              <w:rPr>
                <w:b/>
                <w:color w:val="5B9BD5" w:themeColor="accent1"/>
                <w:szCs w:val="18"/>
                <w:highlight w:val="yellow"/>
              </w:rPr>
            </w:pPr>
            <w:r>
              <w:rPr>
                <w:b/>
                <w:color w:val="5B9BD5" w:themeColor="accent1"/>
                <w:highlight w:val="yellow"/>
              </w:rPr>
              <w:t>Komunikacija i širenje</w:t>
            </w: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Komunikacija</w:t>
            </w:r>
          </w:p>
        </w:tc>
        <w:tc>
          <w:tcPr>
            <w:tcW w:w="0" w:type="auto"/>
          </w:tcPr>
          <w:p w:rsidR="00867290" w:rsidRPr="00BB2924" w:rsidRDefault="00867290" w:rsidP="008B1515">
            <w:pPr>
              <w:rPr>
                <w:szCs w:val="18"/>
                <w:highlight w:val="yellow"/>
              </w:rPr>
            </w:pPr>
            <w:r>
              <w:rPr>
                <w:highlight w:val="yellow"/>
              </w:rPr>
              <w:t>Odgovoran/sudjeluje</w:t>
            </w:r>
          </w:p>
        </w:tc>
        <w:tc>
          <w:tcPr>
            <w:tcW w:w="0" w:type="auto"/>
          </w:tcPr>
          <w:p w:rsidR="00867290" w:rsidRPr="00BB2924" w:rsidRDefault="00867290" w:rsidP="008B1515">
            <w:pPr>
              <w:rPr>
                <w:szCs w:val="18"/>
                <w:highlight w:val="yellow"/>
              </w:rPr>
            </w:pPr>
            <w:r>
              <w:rPr>
                <w:highlight w:val="yellow"/>
              </w:rPr>
              <w:t>Ako je služba za komunikaciju, može sudjelovati</w:t>
            </w:r>
          </w:p>
        </w:tc>
        <w:tc>
          <w:tcPr>
            <w:tcW w:w="0" w:type="auto"/>
          </w:tcPr>
          <w:p w:rsidR="00867290" w:rsidRPr="00BB2924" w:rsidRDefault="00867290" w:rsidP="008B1515">
            <w:pPr>
              <w:rPr>
                <w:szCs w:val="18"/>
                <w:highlight w:val="yellow"/>
              </w:rPr>
            </w:pPr>
            <w:r>
              <w:rPr>
                <w:highlight w:val="yellow"/>
              </w:rPr>
              <w:t>Sudjeluje/odgovoran</w:t>
            </w:r>
          </w:p>
        </w:tc>
        <w:tc>
          <w:tcPr>
            <w:tcW w:w="0" w:type="auto"/>
          </w:tcPr>
          <w:p w:rsidR="00867290" w:rsidRPr="00BB2924" w:rsidRDefault="00867290" w:rsidP="008B1515">
            <w:pPr>
              <w:rPr>
                <w:szCs w:val="18"/>
                <w:highlight w:val="yellow"/>
              </w:rPr>
            </w:pPr>
          </w:p>
        </w:tc>
      </w:tr>
      <w:tr w:rsidR="00867290" w:rsidRPr="00BB2924" w:rsidTr="001413F0">
        <w:tc>
          <w:tcPr>
            <w:tcW w:w="0" w:type="auto"/>
            <w:vMerge/>
            <w:shd w:val="clear" w:color="auto" w:fill="E7E6E6" w:themeFill="background2"/>
          </w:tcPr>
          <w:p w:rsidR="00867290" w:rsidRPr="00BB2924" w:rsidRDefault="00867290" w:rsidP="008B1515">
            <w:pPr>
              <w:rPr>
                <w:szCs w:val="18"/>
                <w:highlight w:val="yellow"/>
              </w:rPr>
            </w:pP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Širenje informacija</w:t>
            </w:r>
          </w:p>
        </w:tc>
        <w:tc>
          <w:tcPr>
            <w:tcW w:w="0" w:type="auto"/>
          </w:tcPr>
          <w:p w:rsidR="00867290" w:rsidRPr="00BB2924" w:rsidRDefault="00867290" w:rsidP="008B1515">
            <w:pPr>
              <w:rPr>
                <w:szCs w:val="18"/>
                <w:highlight w:val="yellow"/>
              </w:rPr>
            </w:pPr>
            <w:r>
              <w:rPr>
                <w:highlight w:val="yellow"/>
              </w:rPr>
              <w:t>Odgovoran/sudjeluje</w:t>
            </w:r>
          </w:p>
        </w:tc>
        <w:tc>
          <w:tcPr>
            <w:tcW w:w="0" w:type="auto"/>
          </w:tcPr>
          <w:p w:rsidR="00867290" w:rsidRPr="00BB2924" w:rsidRDefault="00867290" w:rsidP="008B1515">
            <w:pPr>
              <w:rPr>
                <w:szCs w:val="18"/>
                <w:highlight w:val="yellow"/>
              </w:rPr>
            </w:pPr>
            <w:r>
              <w:rPr>
                <w:highlight w:val="yellow"/>
              </w:rPr>
              <w:t>Ako je služba za komunikaciju, može sudjelovati</w:t>
            </w:r>
          </w:p>
        </w:tc>
        <w:tc>
          <w:tcPr>
            <w:tcW w:w="0" w:type="auto"/>
          </w:tcPr>
          <w:p w:rsidR="00867290" w:rsidRPr="00BB2924" w:rsidRDefault="00867290" w:rsidP="008B1515">
            <w:pPr>
              <w:rPr>
                <w:szCs w:val="18"/>
                <w:highlight w:val="yellow"/>
              </w:rPr>
            </w:pPr>
            <w:r>
              <w:rPr>
                <w:highlight w:val="yellow"/>
              </w:rPr>
              <w:t>Sudjeluje/odgovoran</w:t>
            </w:r>
          </w:p>
        </w:tc>
        <w:tc>
          <w:tcPr>
            <w:tcW w:w="0" w:type="auto"/>
          </w:tcPr>
          <w:p w:rsidR="00867290" w:rsidRPr="00BB2924" w:rsidRDefault="00867290" w:rsidP="008B1515">
            <w:pPr>
              <w:rPr>
                <w:szCs w:val="18"/>
                <w:highlight w:val="yellow"/>
              </w:rPr>
            </w:pPr>
            <w:r>
              <w:rPr>
                <w:highlight w:val="yellow"/>
              </w:rPr>
              <w:t>LAG-ovi i regionalni UT-ovi mogu širiti informacije</w:t>
            </w:r>
          </w:p>
          <w:p w:rsidR="00867290" w:rsidRPr="00BB2924" w:rsidRDefault="00867290" w:rsidP="008B1515">
            <w:pPr>
              <w:rPr>
                <w:szCs w:val="18"/>
                <w:highlight w:val="yellow"/>
              </w:rPr>
            </w:pPr>
          </w:p>
        </w:tc>
      </w:tr>
      <w:tr w:rsidR="00867290" w:rsidRPr="008D0759" w:rsidTr="001413F0">
        <w:trPr>
          <w:trHeight w:val="1885"/>
        </w:trPr>
        <w:tc>
          <w:tcPr>
            <w:tcW w:w="0" w:type="auto"/>
            <w:vMerge/>
            <w:shd w:val="clear" w:color="auto" w:fill="E7E6E6" w:themeFill="background2"/>
          </w:tcPr>
          <w:p w:rsidR="00867290" w:rsidRPr="00BB2924" w:rsidRDefault="00867290" w:rsidP="008B1515">
            <w:pPr>
              <w:rPr>
                <w:szCs w:val="18"/>
                <w:highlight w:val="yellow"/>
              </w:rPr>
            </w:pPr>
          </w:p>
        </w:tc>
        <w:tc>
          <w:tcPr>
            <w:tcW w:w="0" w:type="auto"/>
          </w:tcPr>
          <w:p w:rsidR="00867290" w:rsidRPr="00BB2924" w:rsidRDefault="00867290" w:rsidP="008B1515">
            <w:pPr>
              <w:rPr>
                <w:b/>
                <w:color w:val="E7E6E6" w:themeColor="background2"/>
                <w:szCs w:val="18"/>
                <w:highlight w:val="yellow"/>
              </w:rPr>
            </w:pPr>
            <w:r>
              <w:rPr>
                <w:b/>
                <w:color w:val="E7E6E6" w:themeColor="background2"/>
                <w:highlight w:val="yellow"/>
              </w:rPr>
              <w:t>Popratne aktivnosti</w:t>
            </w:r>
          </w:p>
        </w:tc>
        <w:tc>
          <w:tcPr>
            <w:tcW w:w="0" w:type="auto"/>
          </w:tcPr>
          <w:p w:rsidR="00867290" w:rsidRPr="00BB2924" w:rsidRDefault="00867290" w:rsidP="008B1515">
            <w:pPr>
              <w:rPr>
                <w:szCs w:val="18"/>
                <w:highlight w:val="yellow"/>
              </w:rPr>
            </w:pPr>
            <w:r>
              <w:rPr>
                <w:highlight w:val="yellow"/>
              </w:rPr>
              <w:t>Odgovoran/sudjeluje</w:t>
            </w:r>
          </w:p>
        </w:tc>
        <w:tc>
          <w:tcPr>
            <w:tcW w:w="0" w:type="auto"/>
          </w:tcPr>
          <w:p w:rsidR="00867290" w:rsidRPr="00BB2924" w:rsidRDefault="00867290" w:rsidP="008B1515">
            <w:pPr>
              <w:rPr>
                <w:szCs w:val="18"/>
                <w:highlight w:val="yellow"/>
              </w:rPr>
            </w:pPr>
          </w:p>
        </w:tc>
        <w:tc>
          <w:tcPr>
            <w:tcW w:w="0" w:type="auto"/>
          </w:tcPr>
          <w:p w:rsidR="00867290" w:rsidRPr="00BB2924" w:rsidRDefault="00867290" w:rsidP="008B1515">
            <w:pPr>
              <w:rPr>
                <w:szCs w:val="18"/>
                <w:highlight w:val="yellow"/>
              </w:rPr>
            </w:pPr>
            <w:r>
              <w:rPr>
                <w:highlight w:val="yellow"/>
              </w:rPr>
              <w:t>Sudjeluje/odgovoran</w:t>
            </w:r>
          </w:p>
        </w:tc>
        <w:tc>
          <w:tcPr>
            <w:tcW w:w="0" w:type="auto"/>
          </w:tcPr>
          <w:p w:rsidR="00867290" w:rsidRPr="008D0759" w:rsidRDefault="00867290" w:rsidP="008B1515">
            <w:pPr>
              <w:rPr>
                <w:szCs w:val="18"/>
              </w:rPr>
            </w:pPr>
            <w:r>
              <w:rPr>
                <w:highlight w:val="yellow"/>
              </w:rPr>
              <w:t>Moguća upravljačka skupina za NRM može poduzimati mjere i pratiti napredak u vezi s preporukama evaluacije.</w:t>
            </w:r>
          </w:p>
        </w:tc>
      </w:tr>
    </w:tbl>
    <w:p w:rsidR="00867290" w:rsidRPr="008D0759" w:rsidRDefault="00867290" w:rsidP="00457F3C">
      <w:pPr>
        <w:pStyle w:val="HHeading1"/>
        <w:numPr>
          <w:ilvl w:val="0"/>
          <w:numId w:val="0"/>
        </w:numPr>
        <w:ind w:left="510"/>
      </w:pPr>
    </w:p>
    <w:p w:rsidR="00867290" w:rsidRPr="000A700F" w:rsidRDefault="00867290" w:rsidP="00B55106">
      <w:pPr>
        <w:pStyle w:val="HHeading1"/>
        <w:numPr>
          <w:ilvl w:val="0"/>
          <w:numId w:val="0"/>
        </w:numPr>
        <w:ind w:left="510" w:hanging="510"/>
        <w:rPr>
          <w:highlight w:val="yellow"/>
        </w:rPr>
      </w:pPr>
      <w:bookmarkStart w:id="163" w:name="_Toc436140051"/>
      <w:bookmarkStart w:id="164" w:name="_Toc443491677"/>
      <w:bookmarkStart w:id="165" w:name="_Toc453079763"/>
      <w:r>
        <w:rPr>
          <w:highlight w:val="yellow"/>
        </w:rPr>
        <w:lastRenderedPageBreak/>
        <w:t xml:space="preserve">1. </w:t>
      </w:r>
      <w:r>
        <w:rPr>
          <w:highlight w:val="yellow"/>
        </w:rPr>
        <w:tab/>
        <w:t>DIO II. – METODOLOŠKI PRIRUČNIK</w:t>
      </w:r>
      <w:bookmarkEnd w:id="163"/>
      <w:bookmarkEnd w:id="164"/>
      <w:bookmarkEnd w:id="165"/>
    </w:p>
    <w:p w:rsidR="00867290" w:rsidRPr="000A700F" w:rsidRDefault="00867290" w:rsidP="00975D9B">
      <w:pPr>
        <w:pStyle w:val="HHeading5"/>
        <w:rPr>
          <w:highlight w:val="yellow"/>
        </w:rPr>
      </w:pPr>
      <w:r>
        <w:rPr>
          <w:highlight w:val="yellow"/>
        </w:rPr>
        <w:t>Kome je namijenjen DIO II.?</w:t>
      </w:r>
    </w:p>
    <w:p w:rsidR="00867290" w:rsidRPr="000A700F" w:rsidRDefault="00867290" w:rsidP="00320BBA">
      <w:pPr>
        <w:pStyle w:val="HStandard"/>
        <w:rPr>
          <w:highlight w:val="yellow"/>
        </w:rPr>
      </w:pPr>
      <w:r>
        <w:rPr>
          <w:highlight w:val="yellow"/>
        </w:rPr>
        <w:t xml:space="preserve">Ovaj je dio u prvom redu namijenjen procjeniteljima i svim sudionicima zainteresiranima za metodološke aspekte procjene NRM-a. Može biti zanimljiv i službenicima i stručnjacima uključenima u sastavljanje Opisa poslova (OP) za evaluaciju te ljudima uključenima u upravljanje NRM-om. </w:t>
      </w:r>
    </w:p>
    <w:p w:rsidR="00867290" w:rsidRPr="000A700F" w:rsidRDefault="00867290" w:rsidP="00320BBA">
      <w:pPr>
        <w:pStyle w:val="HStandard"/>
        <w:rPr>
          <w:highlight w:val="yellow"/>
        </w:rPr>
      </w:pPr>
      <w:r>
        <w:rPr>
          <w:highlight w:val="yellow"/>
        </w:rPr>
        <w:t xml:space="preserve">Ovaj metodološki priručnik predstavlja smjernice za rad tijekom čitavog razdoblja, tj. tijekom razdoblja pojačanog godišnjeg izvještavanja o provedbi (GIP) za 2017. i 2019. sve do razdoblja </w:t>
      </w:r>
      <w:r>
        <w:rPr>
          <w:i/>
          <w:highlight w:val="yellow"/>
        </w:rPr>
        <w:t>ex post</w:t>
      </w:r>
      <w:r>
        <w:rPr>
          <w:highlight w:val="yellow"/>
        </w:rPr>
        <w:t xml:space="preserve"> evaluacije, neovisno o tome pokriva li evaluacija čitav raspon pitanja za evaluaciju ili samo neki pojedini dio u kontekstu pojedine tematske evaluacije. </w:t>
      </w:r>
    </w:p>
    <w:p w:rsidR="00867290" w:rsidRPr="000A700F" w:rsidRDefault="00867290" w:rsidP="00320BBA">
      <w:pPr>
        <w:pStyle w:val="HStandard"/>
        <w:rPr>
          <w:highlight w:val="yellow"/>
        </w:rPr>
      </w:pPr>
      <w:r>
        <w:rPr>
          <w:b/>
          <w:color w:val="E7E6E6" w:themeColor="background2"/>
          <w:highlight w:val="yellow"/>
        </w:rPr>
        <w:t xml:space="preserve">DIO II. </w:t>
      </w:r>
      <w:r>
        <w:rPr>
          <w:highlight w:val="yellow"/>
        </w:rPr>
        <w:t xml:space="preserve">daje smjernice za dvije mogućnosti evaluacije NRM-a: </w:t>
      </w:r>
    </w:p>
    <w:p w:rsidR="00867290" w:rsidRPr="000A700F" w:rsidRDefault="00867290" w:rsidP="004D1A84">
      <w:pPr>
        <w:pStyle w:val="Hlistbullet2"/>
        <w:rPr>
          <w:highlight w:val="yellow"/>
        </w:rPr>
      </w:pPr>
      <w:r>
        <w:rPr>
          <w:highlight w:val="yellow"/>
        </w:rPr>
        <w:t>ocjenjivanje NRM-a kao dio tehničke pomoći unutar PRR-a;</w:t>
      </w:r>
    </w:p>
    <w:p w:rsidR="00867290" w:rsidRPr="000A700F" w:rsidRDefault="00867290" w:rsidP="004D1A84">
      <w:pPr>
        <w:pStyle w:val="Hlistbullet2"/>
        <w:rPr>
          <w:highlight w:val="yellow"/>
        </w:rPr>
      </w:pPr>
      <w:r>
        <w:rPr>
          <w:highlight w:val="yellow"/>
        </w:rPr>
        <w:t xml:space="preserve">„samostalna” evaluacija, koja uključuje evaluaciju programa NRM-a (PNRM-a) ili samostalnu evaluaciju NRM-a, čak i ako je to dio PRR-a (kao zasebna tema evaluacije). </w:t>
      </w:r>
    </w:p>
    <w:p w:rsidR="00867290" w:rsidRPr="000A700F" w:rsidRDefault="00867290" w:rsidP="00975D9B">
      <w:pPr>
        <w:pStyle w:val="HHeading5"/>
        <w:rPr>
          <w:highlight w:val="yellow"/>
        </w:rPr>
      </w:pPr>
      <w:r>
        <w:rPr>
          <w:highlight w:val="yellow"/>
        </w:rPr>
        <w:t>Kako je DIO II. organiziran?</w:t>
      </w:r>
    </w:p>
    <w:p w:rsidR="00867290" w:rsidRPr="000A700F" w:rsidRDefault="00867290" w:rsidP="00320BBA">
      <w:pPr>
        <w:pStyle w:val="HStandard"/>
        <w:rPr>
          <w:highlight w:val="yellow"/>
        </w:rPr>
      </w:pPr>
      <w:r>
        <w:rPr>
          <w:b/>
          <w:color w:val="E7E6E6" w:themeColor="background2"/>
          <w:highlight w:val="yellow"/>
        </w:rPr>
        <w:t>DIO II.</w:t>
      </w:r>
      <w:r>
        <w:rPr>
          <w:color w:val="E7E6E6" w:themeColor="background2"/>
          <w:highlight w:val="yellow"/>
        </w:rPr>
        <w:t xml:space="preserve"> </w:t>
      </w:r>
      <w:r>
        <w:rPr>
          <w:highlight w:val="yellow"/>
        </w:rPr>
        <w:t>organiziran je u skladu s logičnim redoslijedom koji prati evaluaciju PRR-a, a koji je podjednako primjenjiv kod evaluacije NRM-a:</w:t>
      </w:r>
    </w:p>
    <w:p w:rsidR="00867290" w:rsidRPr="000A700F" w:rsidRDefault="00867290" w:rsidP="00975D9B">
      <w:pPr>
        <w:pStyle w:val="Hlistbullet2"/>
        <w:rPr>
          <w:highlight w:val="yellow"/>
        </w:rPr>
      </w:pPr>
      <w:r>
        <w:rPr>
          <w:highlight w:val="yellow"/>
        </w:rPr>
        <w:t xml:space="preserve">u </w:t>
      </w:r>
      <w:r>
        <w:rPr>
          <w:b/>
          <w:highlight w:val="yellow"/>
        </w:rPr>
        <w:t>fazi strukturiranja</w:t>
      </w:r>
      <w:r>
        <w:rPr>
          <w:highlight w:val="yellow"/>
        </w:rPr>
        <w:t xml:space="preserve"> procjenitelji određuju evaluacijski pristup, odlučuju o evaluacijskim metodama i provjeravaju dostupnost svih podataka i informacija potrebnih za primjenu odabranih metoda i za mjerenje vrijednosti pokazatelja te procjenjuju koje će informacije još trebati prikupiti; </w:t>
      </w:r>
    </w:p>
    <w:p w:rsidR="00867290" w:rsidRPr="000A700F" w:rsidRDefault="00867290" w:rsidP="00975D9B">
      <w:pPr>
        <w:pStyle w:val="Hlistbullet2"/>
        <w:rPr>
          <w:highlight w:val="yellow"/>
        </w:rPr>
      </w:pPr>
      <w:r>
        <w:rPr>
          <w:highlight w:val="yellow"/>
        </w:rPr>
        <w:t xml:space="preserve">u </w:t>
      </w:r>
      <w:r>
        <w:rPr>
          <w:b/>
          <w:highlight w:val="yellow"/>
        </w:rPr>
        <w:t>fazi promatranja</w:t>
      </w:r>
      <w:r>
        <w:rPr>
          <w:highlight w:val="yellow"/>
        </w:rPr>
        <w:t xml:space="preserve"> podaci i informacije se prikupljaju i obrađuju; </w:t>
      </w:r>
    </w:p>
    <w:p w:rsidR="00867290" w:rsidRPr="000A700F" w:rsidRDefault="00867290" w:rsidP="00975D9B">
      <w:pPr>
        <w:pStyle w:val="Hlistbullet2"/>
        <w:rPr>
          <w:highlight w:val="yellow"/>
        </w:rPr>
      </w:pPr>
      <w:r>
        <w:rPr>
          <w:highlight w:val="yellow"/>
        </w:rPr>
        <w:t xml:space="preserve">u </w:t>
      </w:r>
      <w:r>
        <w:rPr>
          <w:b/>
          <w:highlight w:val="yellow"/>
        </w:rPr>
        <w:t>fazi analiziranja</w:t>
      </w:r>
      <w:r>
        <w:rPr>
          <w:highlight w:val="yellow"/>
        </w:rPr>
        <w:t xml:space="preserve"> pokazatelji se kvantificiraju kvantitativnim podacima ili se izražavaju kvalitativnim informacijama, korištenjem evaluacijskih metoda i alata;</w:t>
      </w:r>
    </w:p>
    <w:p w:rsidR="00867290" w:rsidRPr="000A700F" w:rsidRDefault="00867290" w:rsidP="00975D9B">
      <w:pPr>
        <w:pStyle w:val="Hlistbullet2"/>
        <w:rPr>
          <w:highlight w:val="yellow"/>
        </w:rPr>
      </w:pPr>
      <w:r>
        <w:rPr>
          <w:highlight w:val="yellow"/>
        </w:rPr>
        <w:t xml:space="preserve">u </w:t>
      </w:r>
      <w:r>
        <w:rPr>
          <w:b/>
          <w:highlight w:val="yellow"/>
        </w:rPr>
        <w:t xml:space="preserve">fazi prosudbe </w:t>
      </w:r>
      <w:r>
        <w:rPr>
          <w:highlight w:val="yellow"/>
        </w:rPr>
        <w:t xml:space="preserve">tumače se kvantitativni i kvalitativni nalazi, odgovara se na evaluacijska pitanja te se izrađuju zaključci i preporuke. </w:t>
      </w:r>
    </w:p>
    <w:p w:rsidR="00867290" w:rsidRPr="000A700F" w:rsidRDefault="00867290" w:rsidP="00B55106">
      <w:pPr>
        <w:pStyle w:val="HHeadingfigures"/>
        <w:numPr>
          <w:ilvl w:val="0"/>
          <w:numId w:val="0"/>
        </w:numPr>
        <w:rPr>
          <w:highlight w:val="yellow"/>
        </w:rPr>
      </w:pPr>
      <w:bookmarkStart w:id="166" w:name="_Toc436140072"/>
      <w:bookmarkStart w:id="167" w:name="_Toc436383164"/>
      <w:bookmarkStart w:id="168" w:name="_Ref439951238"/>
      <w:bookmarkStart w:id="169" w:name="_Toc451781936"/>
      <w:r>
        <w:rPr>
          <w:highlight w:val="yellow"/>
        </w:rPr>
        <w:t>Slika 1. Četiri faze evaluacijskog procesa</w:t>
      </w:r>
      <w:bookmarkEnd w:id="166"/>
      <w:bookmarkEnd w:id="167"/>
      <w:bookmarkEnd w:id="168"/>
      <w:bookmarkEnd w:id="169"/>
    </w:p>
    <w:p w:rsidR="00867290" w:rsidRPr="000A700F" w:rsidRDefault="00867290" w:rsidP="00320BBA">
      <w:pPr>
        <w:pStyle w:val="HStandard"/>
        <w:jc w:val="center"/>
        <w:rPr>
          <w:highlight w:val="yellow"/>
        </w:rPr>
      </w:pPr>
      <w:r w:rsidRPr="00D13532">
        <w:rPr>
          <w:noProof/>
          <w:lang w:val="en-GB" w:eastAsia="en-GB" w:bidi="ar-SA"/>
        </w:rPr>
        <w:drawing>
          <wp:inline distT="0" distB="0" distL="0" distR="0" wp14:anchorId="19C4B439" wp14:editId="7F10552A">
            <wp:extent cx="4276725" cy="1514673"/>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83649" cy="1517125"/>
                    </a:xfrm>
                    <a:prstGeom prst="rect">
                      <a:avLst/>
                    </a:prstGeom>
                    <a:noFill/>
                    <a:ln>
                      <a:noFill/>
                    </a:ln>
                  </pic:spPr>
                </pic:pic>
              </a:graphicData>
            </a:graphic>
          </wp:inline>
        </w:drawing>
      </w:r>
    </w:p>
    <w:p w:rsidR="00867290" w:rsidRPr="000A700F" w:rsidRDefault="00867290" w:rsidP="00320BBA">
      <w:pPr>
        <w:pStyle w:val="HSource"/>
        <w:rPr>
          <w:highlight w:val="yellow"/>
        </w:rPr>
      </w:pPr>
      <w:r>
        <w:rPr>
          <w:highlight w:val="yellow"/>
        </w:rPr>
        <w:t>Izvor: Europski centar za pomoć pri evaluaciji za ruralni razvoj, 2016.</w:t>
      </w:r>
    </w:p>
    <w:p w:rsidR="00867290" w:rsidRPr="000A700F" w:rsidRDefault="00867290" w:rsidP="00320BBA">
      <w:pPr>
        <w:pStyle w:val="HStandard"/>
        <w:rPr>
          <w:highlight w:val="yellow"/>
        </w:rPr>
      </w:pPr>
      <w:r>
        <w:rPr>
          <w:highlight w:val="yellow"/>
        </w:rPr>
        <w:t>Četiri faze ne treba shvaćati kao strogo kronološki odijeljene. U praksi, one će se preklapati. Štoviše, preporučuje se primjena kružnog pristupa, npr. ako se pojedini podaci pokažu nepotpunima za evaluacijsko pitanje (faza promatranja), smatra se prikladnim u istraživanje uključiti dodatni izvor informacija (faza strukturiranja). To znači da bi čitav proces trebao biti popraćen procesom metapromišljanja o tome kako u cjelokupni proces najbolje uključiti pojedinu fazu.</w:t>
      </w:r>
    </w:p>
    <w:p w:rsidR="00867290" w:rsidRPr="000A700F" w:rsidRDefault="00867290" w:rsidP="00B55106">
      <w:pPr>
        <w:pStyle w:val="HHeading2"/>
        <w:numPr>
          <w:ilvl w:val="0"/>
          <w:numId w:val="0"/>
        </w:numPr>
        <w:rPr>
          <w:highlight w:val="yellow"/>
        </w:rPr>
      </w:pPr>
      <w:bookmarkStart w:id="170" w:name="_Toc433481216"/>
      <w:bookmarkStart w:id="171" w:name="_Toc433718130"/>
      <w:bookmarkStart w:id="172" w:name="_Toc434744496"/>
      <w:bookmarkStart w:id="173" w:name="_Toc434744497"/>
      <w:bookmarkStart w:id="174" w:name="_Toc436140052"/>
      <w:bookmarkStart w:id="175" w:name="_Toc443491678"/>
      <w:bookmarkStart w:id="176" w:name="_Toc453079764"/>
      <w:bookmarkEnd w:id="170"/>
      <w:bookmarkEnd w:id="171"/>
      <w:bookmarkEnd w:id="172"/>
      <w:r>
        <w:rPr>
          <w:highlight w:val="yellow"/>
        </w:rPr>
        <w:lastRenderedPageBreak/>
        <w:t>1.1. STRUKTURIRANJE: Oblikovanje okvira za evaluaciju NRM-a</w:t>
      </w:r>
      <w:bookmarkEnd w:id="173"/>
      <w:bookmarkEnd w:id="174"/>
      <w:bookmarkEnd w:id="175"/>
      <w:bookmarkEnd w:id="176"/>
    </w:p>
    <w:p w:rsidR="00867290" w:rsidRPr="008D0759" w:rsidRDefault="00867290" w:rsidP="00320BBA">
      <w:pPr>
        <w:pStyle w:val="HStandard"/>
      </w:pPr>
      <w:r>
        <w:t>In preparing the evaluation, stakeholders have developed the NRN intervention logic and evaluation framework (evaluation questions and indicators), discussed the evaluation approach, and the collection of data and information (see chapter 2.2.2). The better the evaluation was prepared; the less work the evaluator will have in the structuring phase. However, if the NRN evaluation was prepared before the NRN implementation starts, or if the evaluation is conducted at a later stage, the steps described in preparing the evaluation would need to be repeated again. The structuring phase is conducted in four major steps (</w:t>
      </w:r>
      <w:r>
        <w:fldChar w:fldCharType="begin" w:fldLock="1"/>
      </w:r>
      <w:r>
        <w:instrText xml:space="preserve"> REF _Ref433724277 \r \h </w:instrText>
      </w:r>
      <w:r>
        <w:fldChar w:fldCharType="separate"/>
      </w:r>
      <w:r>
        <w:t>Figure 19</w:t>
      </w:r>
      <w:r>
        <w:fldChar w:fldCharType="end"/>
      </w:r>
      <w:r>
        <w:t>):</w:t>
      </w:r>
    </w:p>
    <w:p w:rsidR="00867290" w:rsidRPr="008D0759" w:rsidRDefault="00867290" w:rsidP="00320BBA">
      <w:pPr>
        <w:pStyle w:val="Hlistbullet2"/>
      </w:pPr>
      <w:r>
        <w:t>Revisit the coherence and relevance of the intervention logic</w:t>
      </w:r>
    </w:p>
    <w:p w:rsidR="00867290" w:rsidRPr="008D0759" w:rsidRDefault="00867290" w:rsidP="00320BBA">
      <w:pPr>
        <w:pStyle w:val="Hlistbullet2"/>
      </w:pPr>
      <w:r>
        <w:t>Review the consistency of evaluation questions and indicators with the intervention logic</w:t>
      </w:r>
    </w:p>
    <w:p w:rsidR="00867290" w:rsidRPr="008D0759" w:rsidRDefault="00867290" w:rsidP="00320BBA">
      <w:pPr>
        <w:pStyle w:val="Hlistbullet2"/>
      </w:pPr>
      <w:r>
        <w:t>Choose the appropriate evaluation approach, method(s) and tools</w:t>
      </w:r>
    </w:p>
    <w:p w:rsidR="00867290" w:rsidRPr="008D0759" w:rsidRDefault="00867290" w:rsidP="00320BBA">
      <w:pPr>
        <w:pStyle w:val="Hlistbullet2"/>
      </w:pPr>
      <w:r>
        <w:t>Establish the evidence for evaluation.</w:t>
      </w:r>
    </w:p>
    <w:p w:rsidR="00867290" w:rsidRPr="008D0759" w:rsidRDefault="00867290" w:rsidP="00320BBA">
      <w:pPr>
        <w:pStyle w:val="HHeadingfigures"/>
      </w:pPr>
      <w:bookmarkStart w:id="177" w:name="_Toc436383165"/>
      <w:bookmarkStart w:id="178" w:name="_Toc436140073"/>
      <w:bookmarkStart w:id="179" w:name="_Toc451781937"/>
      <w:r>
        <w:t>The structuring phase</w:t>
      </w:r>
      <w:bookmarkEnd w:id="177"/>
      <w:r>
        <w:t xml:space="preserve"> </w:t>
      </w:r>
      <w:bookmarkEnd w:id="178"/>
      <w:r>
        <w:t>in four steps</w:t>
      </w:r>
      <w:bookmarkEnd w:id="179"/>
    </w:p>
    <w:p w:rsidR="00867290" w:rsidRPr="008D0759" w:rsidRDefault="00867290" w:rsidP="00320BBA">
      <w:pPr>
        <w:jc w:val="center"/>
      </w:pPr>
      <w:r>
        <w:rPr>
          <w:noProof/>
          <w:lang w:eastAsia="en-GB"/>
        </w:rPr>
        <w:drawing>
          <wp:inline distT="0" distB="0" distL="0" distR="0" wp14:anchorId="729364AF" wp14:editId="1B8A77E6">
            <wp:extent cx="5731510" cy="245745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ucturing.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1510" cy="2457450"/>
                    </a:xfrm>
                    <a:prstGeom prst="rect">
                      <a:avLst/>
                    </a:prstGeom>
                  </pic:spPr>
                </pic:pic>
              </a:graphicData>
            </a:graphic>
          </wp:inline>
        </w:drawing>
      </w:r>
    </w:p>
    <w:p w:rsidR="00867290" w:rsidRPr="008D0759" w:rsidRDefault="00867290" w:rsidP="00320BBA">
      <w:pPr>
        <w:pStyle w:val="HSource"/>
      </w:pPr>
      <w:r>
        <w:t>Izvor: Europski centar za pomoć pri evaluaciji za ruralni razvoj, 2016.</w:t>
      </w:r>
    </w:p>
    <w:p w:rsidR="00867290" w:rsidRPr="000A700F" w:rsidRDefault="00867290" w:rsidP="00B55106">
      <w:pPr>
        <w:pStyle w:val="HHeading3"/>
        <w:numPr>
          <w:ilvl w:val="0"/>
          <w:numId w:val="0"/>
        </w:numPr>
        <w:rPr>
          <w:highlight w:val="yellow"/>
        </w:rPr>
      </w:pPr>
      <w:bookmarkStart w:id="180" w:name="_Toc434744498"/>
      <w:bookmarkStart w:id="181" w:name="_Toc436140053"/>
      <w:bookmarkStart w:id="182" w:name="_Toc443491679"/>
      <w:bookmarkStart w:id="183" w:name="_Toc453079765"/>
      <w:r>
        <w:rPr>
          <w:highlight w:val="yellow"/>
        </w:rPr>
        <w:t>1.1.1. Preispitivanje intervencijske logike u NRM(P)-</w:t>
      </w:r>
      <w:bookmarkEnd w:id="180"/>
      <w:bookmarkEnd w:id="181"/>
      <w:bookmarkEnd w:id="182"/>
      <w:bookmarkEnd w:id="183"/>
      <w:r>
        <w:rPr>
          <w:highlight w:val="yellow"/>
        </w:rPr>
        <w:t>u</w:t>
      </w:r>
    </w:p>
    <w:p w:rsidR="00867290" w:rsidRPr="008D0759" w:rsidRDefault="00867290" w:rsidP="00FE7FF0">
      <w:pPr>
        <w:pStyle w:val="HHeading5"/>
      </w:pPr>
      <w:r w:rsidRPr="008D0759">
        <w:t>Is there always an explicit intervention logic?</w:t>
      </w:r>
    </w:p>
    <w:p w:rsidR="00867290" w:rsidRPr="008D0759" w:rsidRDefault="00867290" w:rsidP="00320BBA">
      <w:pPr>
        <w:pStyle w:val="HStandard"/>
      </w:pPr>
      <w:r>
        <w:t xml:space="preserve">By default, the intervention logic of NRNPs has been constructed during the programme design phase and its consistency and relevance assessed during the ex ante evaluation (See: </w:t>
      </w:r>
      <w:r>
        <w:rPr>
          <w:b/>
          <w:color w:val="E7E6E6" w:themeColor="background2"/>
        </w:rPr>
        <w:t>DIO I</w:t>
      </w:r>
      <w:r>
        <w:t>, poglavlje 2.2.2).</w:t>
      </w:r>
    </w:p>
    <w:p w:rsidR="00867290" w:rsidRPr="008D0759" w:rsidRDefault="00867290" w:rsidP="00320BBA">
      <w:pPr>
        <w:pStyle w:val="HStandard"/>
      </w:pPr>
      <w:r>
        <w:t xml:space="preserve">As for NRNs that are part of the RDPs, the NRN intervention logic is by definition embedded in the intervention logic of the RDP. Sometimes the intervention logic may be rather implicit so that it needs some effort to properly reveal it; sometimes it may however also be missing altogether. In each case there are always two starting points to (re)construct the NRN intervention logic: the four common NRN objectives and the NRN action plan. (Vidi i </w:t>
      </w:r>
      <w:r>
        <w:rPr>
          <w:b/>
          <w:color w:val="E7E6E6" w:themeColor="background2"/>
        </w:rPr>
        <w:t>DIO I</w:t>
      </w:r>
      <w:r>
        <w:t xml:space="preserve">, Poglavlje 2.2.2). </w:t>
      </w:r>
    </w:p>
    <w:p w:rsidR="00867290" w:rsidRPr="008D0759" w:rsidRDefault="00867290" w:rsidP="00320BBA">
      <w:pPr>
        <w:pStyle w:val="HStandard"/>
      </w:pPr>
      <w:r>
        <w:t>It is suggested to (re)construct the NRN intervention logic before the implementation of NRN activities or at least in the course of preparing the evaluation. This is in fact a reverse operation: The challenge is to find an answer to the question: “If there had been a theory of change behind what has been actually</w:t>
      </w:r>
      <w:r>
        <w:rPr>
          <w:i/>
        </w:rPr>
        <w:t xml:space="preserve"> </w:t>
      </w:r>
      <w:r>
        <w:t>done, how could it be modelled</w:t>
      </w:r>
      <w:r>
        <w:rPr>
          <w:i/>
        </w:rPr>
        <w:t>?”</w:t>
      </w:r>
      <w:r>
        <w:t xml:space="preserve"> </w:t>
      </w:r>
      <w:r>
        <w:rPr>
          <w:b/>
          <w:color w:val="E7E6E6" w:themeColor="background2"/>
        </w:rPr>
        <w:t>PART I</w:t>
      </w:r>
      <w:r>
        <w:t>, chapter 2.2.2 offers guidance on the construction of the intervention logic by the NSU/MA during the preparation phase of the evaluation.</w:t>
      </w:r>
    </w:p>
    <w:p w:rsidR="00867290" w:rsidRPr="008D0759" w:rsidRDefault="00867290" w:rsidP="00975D9B">
      <w:pPr>
        <w:pStyle w:val="HHeading5"/>
      </w:pPr>
      <w:r>
        <w:lastRenderedPageBreak/>
        <w:t>Što se podrazumijeva pod teorijom promjene?</w:t>
      </w:r>
    </w:p>
    <w:p w:rsidR="00867290" w:rsidRPr="008D0759" w:rsidRDefault="00867290" w:rsidP="00320BBA">
      <w:pPr>
        <w:pStyle w:val="HStandard"/>
      </w:pPr>
      <w:r>
        <w:t xml:space="preserve">The </w:t>
      </w:r>
      <w:r>
        <w:rPr>
          <w:b/>
        </w:rPr>
        <w:t>theory of change</w:t>
      </w:r>
      <w:r>
        <w:rPr>
          <w:rFonts w:ascii="ZWAdobeF" w:hAnsi="ZWAdobeF"/>
          <w:color w:val="auto"/>
          <w:sz w:val="2"/>
        </w:rPr>
        <w:t>86F</w:t>
      </w:r>
      <w:r>
        <w:rPr>
          <w:rStyle w:val="FootnoteReference"/>
        </w:rPr>
        <w:footnoteReference w:id="87"/>
      </w:r>
      <w:r>
        <w:t>:</w:t>
      </w:r>
    </w:p>
    <w:p w:rsidR="00867290" w:rsidRPr="008D0759" w:rsidRDefault="00867290" w:rsidP="004C05DD">
      <w:pPr>
        <w:pStyle w:val="Hlistbullet2"/>
      </w:pPr>
      <w:r>
        <w:t>rests on the assumption that NRNs and NRNPs are based on the explicit or implicit theory of policy makers concerning how and why NRN activities lead to the intended changes anticipated;</w:t>
      </w:r>
    </w:p>
    <w:p w:rsidR="00867290" w:rsidRPr="008D0759" w:rsidRDefault="00867290" w:rsidP="004C05DD">
      <w:pPr>
        <w:pStyle w:val="Hlistbullet2"/>
      </w:pPr>
      <w:r>
        <w:t>provides an explicit causal chain (or ‘theory of change’) linking the NRN’s objectives, activities and expected effects, which can then be used to guide the collection of evidence and the analysis of causal contributions by developing hypotheses that can be tested through critical comparisons.</w:t>
      </w:r>
    </w:p>
    <w:p w:rsidR="00867290" w:rsidRPr="008D0759" w:rsidRDefault="00867290" w:rsidP="004C05DD">
      <w:pPr>
        <w:pStyle w:val="HStandard"/>
        <w:rPr>
          <w:color w:val="538135" w:themeColor="accent6" w:themeShade="BF"/>
        </w:rPr>
      </w:pPr>
      <w:r>
        <w:t>In rural development evaluation, the theory of change is depicted as a model, which we call intervention logic</w:t>
      </w:r>
      <w:r>
        <w:rPr>
          <w:rFonts w:ascii="ZWAdobeF" w:hAnsi="ZWAdobeF"/>
          <w:color w:val="auto"/>
          <w:sz w:val="2"/>
        </w:rPr>
        <w:t>87F</w:t>
      </w:r>
      <w:r>
        <w:rPr>
          <w:rStyle w:val="FootnoteReference"/>
        </w:rPr>
        <w:footnoteReference w:id="88"/>
      </w:r>
      <w:r>
        <w:t xml:space="preserve">. </w:t>
      </w:r>
    </w:p>
    <w:p w:rsidR="00867290" w:rsidRPr="008D0759" w:rsidRDefault="00867290" w:rsidP="00975D9B">
      <w:pPr>
        <w:pStyle w:val="HHeading5"/>
      </w:pPr>
      <w:r>
        <w:t>How should the intervention logic be revisited?</w:t>
      </w:r>
    </w:p>
    <w:p w:rsidR="00867290" w:rsidRPr="008D0759" w:rsidRDefault="00867290" w:rsidP="004C05DD">
      <w:pPr>
        <w:pStyle w:val="HStandard"/>
      </w:pPr>
      <w:r>
        <w:t xml:space="preserve">The structuring phase starts with revisiting (validating) the NRN intervention logic. It is necessary to re-check the relevance and coherence of the intervention logic with regard to the NRN objectives and Action Plan. </w:t>
      </w:r>
    </w:p>
    <w:p w:rsidR="00867290" w:rsidRPr="008D0759" w:rsidRDefault="00867290" w:rsidP="004C05DD">
      <w:pPr>
        <w:pStyle w:val="HStandard"/>
      </w:pPr>
      <w:r>
        <w:t xml:space="preserve">Even if there is an explicit intervention logic, revisiting it is necessary because the programme context may have evolved. Things could also turn out differently than assumed during the programme design phase. Through the review of the intervention logic the evaluator can establish the framework for all of the further steps in the evaluation. </w:t>
      </w:r>
    </w:p>
    <w:p w:rsidR="00867290" w:rsidRPr="008D0759" w:rsidRDefault="00867290" w:rsidP="004C05DD">
      <w:pPr>
        <w:pStyle w:val="HStandard"/>
      </w:pPr>
      <w:r>
        <w:t>The first revisiting of the NRN intervention logic goes along with the preparation of the enhanced Annual Implementation Report submitted in 2017, followed by the review for the AIR 2019 and finally for the ex post evaluation in 2024.</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8D0759" w:rsidTr="004C05DD">
        <w:tc>
          <w:tcPr>
            <w:tcW w:w="9016" w:type="dxa"/>
            <w:shd w:val="clear" w:color="auto" w:fill="F5F4F4" w:themeFill="background2" w:themeFillTint="66"/>
          </w:tcPr>
          <w:p w:rsidR="00867290" w:rsidRPr="000A700F" w:rsidRDefault="00867290" w:rsidP="004C05DD">
            <w:pPr>
              <w:pStyle w:val="HStandard"/>
              <w:rPr>
                <w:highlight w:val="yellow"/>
              </w:rPr>
            </w:pPr>
            <w:r>
              <w:rPr>
                <w:highlight w:val="yellow"/>
              </w:rPr>
              <w:t>Ključna su pitanja na kojima se temelji pregled intervencijske logike sljedeća :</w:t>
            </w:r>
          </w:p>
          <w:p w:rsidR="00867290" w:rsidRPr="000A700F" w:rsidRDefault="00867290" w:rsidP="00867290">
            <w:pPr>
              <w:pStyle w:val="Hlistbullet"/>
              <w:rPr>
                <w:highlight w:val="yellow"/>
              </w:rPr>
            </w:pPr>
            <w:r>
              <w:rPr>
                <w:highlight w:val="yellow"/>
              </w:rPr>
              <w:t xml:space="preserve">Je li bilo promjena u pogledu konteksta i prvotno utvrđenih potreba? </w:t>
            </w:r>
          </w:p>
          <w:p w:rsidR="00867290" w:rsidRPr="000A700F" w:rsidRDefault="00867290" w:rsidP="00867290">
            <w:pPr>
              <w:pStyle w:val="Hlistbullet"/>
              <w:rPr>
                <w:highlight w:val="yellow"/>
              </w:rPr>
            </w:pPr>
            <w:r>
              <w:rPr>
                <w:highlight w:val="yellow"/>
              </w:rPr>
              <w:t xml:space="preserve">Jesu li u obzir uzeti svi opći ciljevi (politike)? </w:t>
            </w:r>
          </w:p>
          <w:p w:rsidR="00867290" w:rsidRPr="000A700F" w:rsidRDefault="00867290" w:rsidP="00867290">
            <w:pPr>
              <w:pStyle w:val="Hlistbullet"/>
              <w:rPr>
                <w:highlight w:val="yellow"/>
              </w:rPr>
            </w:pPr>
            <w:r>
              <w:rPr>
                <w:highlight w:val="yellow"/>
              </w:rPr>
              <w:t xml:space="preserve">Jesu li svi specifični i operativni ciljevi ispravno utvrđeni i označeni? </w:t>
            </w:r>
          </w:p>
          <w:p w:rsidR="00867290" w:rsidRPr="000A700F" w:rsidRDefault="00867290" w:rsidP="00867290">
            <w:pPr>
              <w:pStyle w:val="Hlistbullet"/>
              <w:rPr>
                <w:highlight w:val="yellow"/>
              </w:rPr>
            </w:pPr>
            <w:r>
              <w:rPr>
                <w:highlight w:val="yellow"/>
              </w:rPr>
              <w:t>Jesu li u obzir uzete sve skupine mjera (općih i mjera specifičnih za NRM-ove)?</w:t>
            </w:r>
          </w:p>
          <w:p w:rsidR="00867290" w:rsidRPr="000A700F" w:rsidRDefault="00867290" w:rsidP="00867290">
            <w:pPr>
              <w:pStyle w:val="Hlistbullet"/>
              <w:rPr>
                <w:highlight w:val="yellow"/>
              </w:rPr>
            </w:pPr>
            <w:r>
              <w:rPr>
                <w:highlight w:val="yellow"/>
              </w:rPr>
              <w:t xml:space="preserve">Je li svaki operativni cilj povezan s prikladnim ostvarenjem? </w:t>
            </w:r>
          </w:p>
          <w:p w:rsidR="00867290" w:rsidRPr="000A700F" w:rsidRDefault="00867290" w:rsidP="00867290">
            <w:pPr>
              <w:pStyle w:val="Hlistbullet"/>
              <w:rPr>
                <w:highlight w:val="yellow"/>
              </w:rPr>
            </w:pPr>
            <w:r>
              <w:rPr>
                <w:highlight w:val="yellow"/>
              </w:rPr>
              <w:t>Je li svaki specifičan cilj povezan s prikladnim rezultatom?</w:t>
            </w:r>
          </w:p>
          <w:p w:rsidR="00867290" w:rsidRPr="000A700F" w:rsidRDefault="00867290" w:rsidP="00867290">
            <w:pPr>
              <w:pStyle w:val="Hlistbullet"/>
              <w:rPr>
                <w:highlight w:val="yellow"/>
              </w:rPr>
            </w:pPr>
            <w:r>
              <w:rPr>
                <w:highlight w:val="yellow"/>
              </w:rPr>
              <w:t>Jesu li utvrđeni učinci u skladu s općim ciljevima?</w:t>
            </w:r>
          </w:p>
        </w:tc>
      </w:tr>
    </w:tbl>
    <w:p w:rsidR="00867290" w:rsidRPr="000A700F" w:rsidRDefault="00867290" w:rsidP="00975D9B">
      <w:pPr>
        <w:pStyle w:val="HHeading5"/>
        <w:rPr>
          <w:highlight w:val="yellow"/>
        </w:rPr>
      </w:pPr>
      <w:r>
        <w:rPr>
          <w:highlight w:val="yellow"/>
        </w:rPr>
        <w:t>Koji su glavni koraci u preispitivanju intervencijske logike NRM-a?</w:t>
      </w:r>
    </w:p>
    <w:p w:rsidR="00867290" w:rsidRPr="000A700F" w:rsidRDefault="00867290" w:rsidP="004C05DD">
      <w:pPr>
        <w:pStyle w:val="HStandard"/>
        <w:rPr>
          <w:highlight w:val="yellow"/>
        </w:rPr>
      </w:pPr>
      <w:r>
        <w:rPr>
          <w:highlight w:val="yellow"/>
        </w:rPr>
        <w:t xml:space="preserve">Preporučeni su koraci u preispitivanju intervencijske logike NRM-ova i njihovih očekivanih rezultata sljedeći: </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7290" w:rsidRPr="000A700F" w:rsidTr="004C05DD">
        <w:tc>
          <w:tcPr>
            <w:tcW w:w="988" w:type="dxa"/>
            <w:shd w:val="clear" w:color="auto" w:fill="E7E6E6" w:themeFill="background2"/>
          </w:tcPr>
          <w:p w:rsidR="00867290" w:rsidRPr="000A700F" w:rsidRDefault="00867290" w:rsidP="004C05DD">
            <w:pPr>
              <w:pStyle w:val="HStandard"/>
              <w:jc w:val="center"/>
              <w:rPr>
                <w:b/>
                <w:color w:val="FFFFFF"/>
                <w:sz w:val="18"/>
                <w:szCs w:val="18"/>
                <w:highlight w:val="yellow"/>
              </w:rPr>
            </w:pPr>
            <w:r>
              <w:rPr>
                <w:b/>
                <w:color w:val="FFFFFF"/>
                <w:sz w:val="18"/>
                <w:highlight w:val="yellow"/>
              </w:rPr>
              <w:t>1</w:t>
            </w:r>
          </w:p>
        </w:tc>
        <w:tc>
          <w:tcPr>
            <w:tcW w:w="8028" w:type="dxa"/>
          </w:tcPr>
          <w:p w:rsidR="00867290" w:rsidRPr="00571B61" w:rsidRDefault="00867290" w:rsidP="00571B61">
            <w:pPr>
              <w:pStyle w:val="Hlistbullet"/>
              <w:numPr>
                <w:ilvl w:val="0"/>
                <w:numId w:val="0"/>
              </w:numPr>
              <w:spacing w:before="0" w:line="280" w:lineRule="atLeast"/>
              <w:jc w:val="left"/>
              <w:rPr>
                <w:sz w:val="18"/>
                <w:highlight w:val="yellow"/>
              </w:rPr>
            </w:pPr>
            <w:r>
              <w:rPr>
                <w:sz w:val="18"/>
                <w:highlight w:val="yellow"/>
              </w:rPr>
              <w:t>Procijeniti promjene konteksta i posebnih potreba područja na kojem djeluje NRM.</w:t>
            </w:r>
          </w:p>
        </w:tc>
      </w:tr>
      <w:tr w:rsidR="00867290" w:rsidRPr="000A700F" w:rsidTr="004C05DD">
        <w:tc>
          <w:tcPr>
            <w:tcW w:w="988" w:type="dxa"/>
            <w:shd w:val="clear" w:color="auto" w:fill="E7E6E6" w:themeFill="background2"/>
          </w:tcPr>
          <w:p w:rsidR="00867290" w:rsidRPr="000A700F" w:rsidRDefault="00867290" w:rsidP="004C05DD">
            <w:pPr>
              <w:pStyle w:val="HStandard"/>
              <w:jc w:val="center"/>
              <w:rPr>
                <w:b/>
                <w:color w:val="FFFFFF"/>
                <w:sz w:val="18"/>
                <w:szCs w:val="18"/>
                <w:highlight w:val="yellow"/>
              </w:rPr>
            </w:pPr>
            <w:r>
              <w:rPr>
                <w:b/>
                <w:color w:val="FFFFFF"/>
                <w:sz w:val="18"/>
                <w:highlight w:val="yellow"/>
              </w:rPr>
              <w:t>2</w:t>
            </w:r>
          </w:p>
        </w:tc>
        <w:tc>
          <w:tcPr>
            <w:tcW w:w="8028" w:type="dxa"/>
          </w:tcPr>
          <w:p w:rsidR="00867290" w:rsidRPr="000A700F" w:rsidRDefault="00867290" w:rsidP="00394A7F">
            <w:pPr>
              <w:pStyle w:val="HStandard"/>
              <w:jc w:val="left"/>
              <w:rPr>
                <w:b/>
                <w:i/>
                <w:sz w:val="18"/>
                <w:szCs w:val="18"/>
                <w:highlight w:val="yellow"/>
              </w:rPr>
            </w:pPr>
            <w:r>
              <w:rPr>
                <w:sz w:val="18"/>
                <w:highlight w:val="yellow"/>
              </w:rPr>
              <w:t>Preispitati relevantnost općih ciljeva i ciljeva/skupina mjera specifičnih za programe NRM-a te veza između njih u odnosu na promjene konteksta i potreba.</w:t>
            </w:r>
          </w:p>
        </w:tc>
      </w:tr>
      <w:tr w:rsidR="00867290" w:rsidRPr="000A700F" w:rsidTr="004C05DD">
        <w:tc>
          <w:tcPr>
            <w:tcW w:w="988" w:type="dxa"/>
            <w:shd w:val="clear" w:color="auto" w:fill="E7E6E6" w:themeFill="background2"/>
          </w:tcPr>
          <w:p w:rsidR="00867290" w:rsidRPr="000A700F" w:rsidRDefault="00867290" w:rsidP="004C05DD">
            <w:pPr>
              <w:pStyle w:val="HStandard"/>
              <w:jc w:val="center"/>
              <w:rPr>
                <w:b/>
                <w:color w:val="FFFFFF"/>
                <w:sz w:val="18"/>
                <w:szCs w:val="18"/>
                <w:highlight w:val="yellow"/>
              </w:rPr>
            </w:pPr>
            <w:r>
              <w:rPr>
                <w:b/>
                <w:color w:val="FFFFFF"/>
                <w:sz w:val="18"/>
                <w:highlight w:val="yellow"/>
              </w:rPr>
              <w:t>3</w:t>
            </w:r>
          </w:p>
        </w:tc>
        <w:tc>
          <w:tcPr>
            <w:tcW w:w="8028" w:type="dxa"/>
          </w:tcPr>
          <w:p w:rsidR="00867290" w:rsidRPr="00394A7F" w:rsidRDefault="00867290" w:rsidP="00394A7F">
            <w:pPr>
              <w:pStyle w:val="Hlistbullet"/>
              <w:numPr>
                <w:ilvl w:val="0"/>
                <w:numId w:val="0"/>
              </w:numPr>
              <w:spacing w:before="0" w:line="280" w:lineRule="atLeast"/>
              <w:jc w:val="left"/>
              <w:rPr>
                <w:sz w:val="18"/>
                <w:szCs w:val="18"/>
                <w:highlight w:val="yellow"/>
              </w:rPr>
            </w:pPr>
            <w:r w:rsidRPr="00394A7F">
              <w:rPr>
                <w:sz w:val="18"/>
                <w:szCs w:val="18"/>
                <w:highlight w:val="yellow"/>
              </w:rPr>
              <w:t>Preispitati lanac u okviru očekivanih posljedica, ostvarenja, rezultata i učinaka te njihovu relevantnost.</w:t>
            </w:r>
          </w:p>
        </w:tc>
      </w:tr>
      <w:tr w:rsidR="00867290" w:rsidRPr="00C85637" w:rsidTr="004C05DD">
        <w:tc>
          <w:tcPr>
            <w:tcW w:w="988" w:type="dxa"/>
            <w:shd w:val="clear" w:color="auto" w:fill="E7E6E6" w:themeFill="background2"/>
          </w:tcPr>
          <w:p w:rsidR="00867290" w:rsidRPr="000A700F" w:rsidRDefault="00867290" w:rsidP="004C05DD">
            <w:pPr>
              <w:pStyle w:val="HStandard"/>
              <w:jc w:val="center"/>
              <w:rPr>
                <w:b/>
                <w:color w:val="FFFFFF"/>
                <w:sz w:val="18"/>
                <w:szCs w:val="18"/>
                <w:highlight w:val="yellow"/>
              </w:rPr>
            </w:pPr>
            <w:r>
              <w:rPr>
                <w:b/>
                <w:color w:val="FFFFFF"/>
                <w:sz w:val="18"/>
                <w:highlight w:val="yellow"/>
              </w:rPr>
              <w:lastRenderedPageBreak/>
              <w:t>4</w:t>
            </w:r>
          </w:p>
        </w:tc>
        <w:tc>
          <w:tcPr>
            <w:tcW w:w="8028" w:type="dxa"/>
          </w:tcPr>
          <w:p w:rsidR="00867290" w:rsidRPr="002809CE" w:rsidRDefault="00867290" w:rsidP="00394A7F">
            <w:pPr>
              <w:pStyle w:val="Hlistbullet"/>
              <w:numPr>
                <w:ilvl w:val="0"/>
                <w:numId w:val="0"/>
              </w:numPr>
              <w:tabs>
                <w:tab w:val="left" w:pos="317"/>
              </w:tabs>
              <w:spacing w:before="0" w:line="280" w:lineRule="atLeast"/>
              <w:jc w:val="left"/>
              <w:rPr>
                <w:sz w:val="18"/>
                <w:szCs w:val="18"/>
              </w:rPr>
            </w:pPr>
            <w:r>
              <w:rPr>
                <w:sz w:val="18"/>
                <w:highlight w:val="yellow"/>
              </w:rPr>
              <w:t xml:space="preserve">Provjeriti horizontalnu i vertikalnu usklađenost između općih ciljeva i ciljeva/skupina mjera specifičnih za programe NRM-a, s jedne strane, i očekivanih </w:t>
            </w:r>
            <w:r w:rsidRPr="00394A7F">
              <w:rPr>
                <w:sz w:val="18"/>
                <w:szCs w:val="18"/>
                <w:highlight w:val="yellow"/>
              </w:rPr>
              <w:t>ostvarenja, rezultata i učinaka</w:t>
            </w:r>
            <w:r>
              <w:rPr>
                <w:sz w:val="18"/>
                <w:szCs w:val="18"/>
                <w:highlight w:val="yellow"/>
              </w:rPr>
              <w:t>, s druge strane</w:t>
            </w:r>
            <w:r>
              <w:rPr>
                <w:sz w:val="18"/>
                <w:szCs w:val="18"/>
              </w:rPr>
              <w:t>.</w:t>
            </w:r>
          </w:p>
        </w:tc>
      </w:tr>
      <w:tr w:rsidR="00867290" w:rsidRPr="000A700F" w:rsidTr="004C05DD">
        <w:tc>
          <w:tcPr>
            <w:tcW w:w="988" w:type="dxa"/>
            <w:shd w:val="clear" w:color="auto" w:fill="E7E6E6" w:themeFill="background2"/>
          </w:tcPr>
          <w:p w:rsidR="00867290" w:rsidRPr="000A700F" w:rsidRDefault="00867290" w:rsidP="004C05DD">
            <w:pPr>
              <w:pStyle w:val="HStandard"/>
              <w:jc w:val="center"/>
              <w:rPr>
                <w:color w:val="FFFFFF"/>
                <w:sz w:val="18"/>
                <w:szCs w:val="18"/>
                <w:highlight w:val="yellow"/>
              </w:rPr>
            </w:pPr>
            <w:r>
              <w:rPr>
                <w:color w:val="FFFFFF"/>
                <w:sz w:val="18"/>
                <w:highlight w:val="yellow"/>
              </w:rPr>
              <w:t>5</w:t>
            </w:r>
          </w:p>
        </w:tc>
        <w:tc>
          <w:tcPr>
            <w:tcW w:w="8028" w:type="dxa"/>
          </w:tcPr>
          <w:p w:rsidR="00867290" w:rsidRPr="000A700F" w:rsidRDefault="00867290" w:rsidP="00FE7FF0">
            <w:pPr>
              <w:pStyle w:val="Hlistbullet"/>
              <w:numPr>
                <w:ilvl w:val="0"/>
                <w:numId w:val="0"/>
              </w:numPr>
              <w:spacing w:before="0" w:line="280" w:lineRule="atLeast"/>
              <w:jc w:val="left"/>
              <w:rPr>
                <w:sz w:val="18"/>
                <w:szCs w:val="18"/>
                <w:highlight w:val="yellow"/>
              </w:rPr>
            </w:pPr>
            <w:r>
              <w:rPr>
                <w:sz w:val="18"/>
                <w:highlight w:val="yellow"/>
              </w:rPr>
              <w:t>Po potrebi ponovno utvrditi ili prilagoditi intervencijsku logiku.</w:t>
            </w:r>
          </w:p>
        </w:tc>
      </w:tr>
      <w:tr w:rsidR="00867290" w:rsidRPr="008D0759" w:rsidTr="004C05DD">
        <w:tc>
          <w:tcPr>
            <w:tcW w:w="9016" w:type="dxa"/>
            <w:gridSpan w:val="2"/>
            <w:shd w:val="clear" w:color="auto" w:fill="auto"/>
          </w:tcPr>
          <w:p w:rsidR="00867290" w:rsidRPr="002809CE" w:rsidRDefault="00867290" w:rsidP="00FE7FF0">
            <w:pPr>
              <w:pStyle w:val="HStandard"/>
              <w:jc w:val="left"/>
              <w:rPr>
                <w:sz w:val="18"/>
                <w:szCs w:val="18"/>
              </w:rPr>
            </w:pPr>
            <w:r>
              <w:rPr>
                <w:b/>
                <w:sz w:val="18"/>
                <w:highlight w:val="yellow"/>
              </w:rPr>
              <w:t>Očekivani rezultat:</w:t>
            </w:r>
            <w:r>
              <w:rPr>
                <w:sz w:val="18"/>
                <w:highlight w:val="yellow"/>
              </w:rPr>
              <w:t xml:space="preserve"> potvrđena horizontalna i vertikalna usklađenost i relevantnost intervencijske logike NRM-a kao temelj za evaluaciju</w:t>
            </w:r>
          </w:p>
        </w:tc>
      </w:tr>
    </w:tbl>
    <w:p w:rsidR="00867290" w:rsidRPr="008D0759" w:rsidRDefault="00867290" w:rsidP="004C05DD">
      <w:pPr>
        <w:pStyle w:val="HStandard"/>
      </w:pPr>
      <w:r>
        <w:t>The above steps are detailed below.</w:t>
      </w:r>
    </w:p>
    <w:p w:rsidR="00867290" w:rsidRDefault="00867290" w:rsidP="00B55106">
      <w:pPr>
        <w:pStyle w:val="HHeading5"/>
        <w:rPr>
          <w:color w:val="ED7D31" w:themeColor="accent2"/>
        </w:rPr>
      </w:pPr>
      <w:r>
        <w:rPr>
          <w:color w:val="ED7D31" w:themeColor="accent2"/>
        </w:rPr>
        <w:t>Step 1 - Assess changes in context and needs</w:t>
      </w:r>
    </w:p>
    <w:p w:rsidR="00867290" w:rsidRPr="008D0759" w:rsidRDefault="00867290" w:rsidP="004C05DD">
      <w:pPr>
        <w:pStyle w:val="HStandard"/>
      </w:pPr>
      <w:r>
        <w:t>NRM-ovi djeluju u kontekstu ruralnih područja. This context is characterised through a thorough situational description, SWOT and needs assessment. The situation in networking is depicted with the set of context parameters</w:t>
      </w:r>
      <w:r>
        <w:rPr>
          <w:rFonts w:ascii="ZWAdobeF" w:hAnsi="ZWAdobeF"/>
          <w:color w:val="auto"/>
          <w:sz w:val="2"/>
        </w:rPr>
        <w:t>88F</w:t>
      </w:r>
      <w:r>
        <w:rPr>
          <w:rStyle w:val="FootnoteReference"/>
        </w:rPr>
        <w:footnoteReference w:id="89"/>
      </w:r>
      <w:r>
        <w:t xml:space="preserve">. Changes in the programme and network context may imply changes in the scope of NRN objectives and interventions and therefore in the intervention logic. </w:t>
      </w:r>
    </w:p>
    <w:p w:rsidR="00867290" w:rsidRPr="008D0759" w:rsidRDefault="00867290" w:rsidP="004C05DD">
      <w:pPr>
        <w:pStyle w:val="HStandard"/>
      </w:pPr>
      <w:r>
        <w:t>There are certain differences between NRNPs and NRNs inside of RDPs, which need to be taken into account. While for a NRNP the context relates to Members States with several RDPs, a NRN performs within the frame of a specific RDP and its contextual situation (Member States, regions). In the case of NRNPs which start in parallel with the regional RDPs which they are supposed to service, context changes may be even more substantial.</w:t>
      </w:r>
    </w:p>
    <w:p w:rsidR="00867290" w:rsidRPr="008D0759" w:rsidRDefault="00867290" w:rsidP="004C05DD">
      <w:pPr>
        <w:pStyle w:val="HHeading5"/>
        <w:rPr>
          <w:color w:val="ED7D31" w:themeColor="accent2"/>
        </w:rPr>
      </w:pPr>
      <w:r>
        <w:rPr>
          <w:color w:val="ED7D31" w:themeColor="accent2"/>
        </w:rPr>
        <w:t>Step 2 - Revisit the relevance of NRN objectives and groups of actions and linkages between them</w:t>
      </w:r>
    </w:p>
    <w:p w:rsidR="00867290" w:rsidRPr="008D0759" w:rsidRDefault="00867290" w:rsidP="004C05DD">
      <w:pPr>
        <w:pStyle w:val="HStandard"/>
      </w:pPr>
      <w:r>
        <w:t>The pursuit of the four common NRN objectives should contribute to the achievement of the RD priorities, CAP objectives and EU 2020 targets, via common groups of actions. The four common NRN objectives are placed within the NRN(P) intervention logic at the level of overall NRN(P) objectives.</w:t>
      </w:r>
    </w:p>
    <w:p w:rsidR="00867290" w:rsidRPr="008D0759" w:rsidRDefault="00867290" w:rsidP="004C05DD">
      <w:pPr>
        <w:pStyle w:val="HStandard"/>
      </w:pPr>
      <w:r>
        <w:t xml:space="preserve">The common NRN objectives and groups of actions are complemented with programme-specific NRN objectives and groups of actions in the preparation of NRN evaluation. (Vidi i </w:t>
      </w:r>
      <w:r>
        <w:rPr>
          <w:b/>
          <w:color w:val="E7E6E6" w:themeColor="background2"/>
        </w:rPr>
        <w:t>DIO I</w:t>
      </w:r>
      <w:r>
        <w:t xml:space="preserve">, poglavlje 2.2.2). </w:t>
      </w:r>
    </w:p>
    <w:p w:rsidR="00867290" w:rsidRPr="008D0759" w:rsidRDefault="00867290" w:rsidP="004C05DD">
      <w:pPr>
        <w:pStyle w:val="HStandard"/>
      </w:pPr>
      <w:r>
        <w:t>During the review of the intervention logic the validity of proposed programme-specific NRN objectives and activities will be checked against any changes concerning the context to assess:</w:t>
      </w:r>
    </w:p>
    <w:p w:rsidR="00867290" w:rsidRPr="008D0759" w:rsidRDefault="00867290" w:rsidP="004C05DD">
      <w:pPr>
        <w:pStyle w:val="Hlistbullet2"/>
      </w:pPr>
      <w:r>
        <w:t xml:space="preserve">whether the NRN objectives (common and programme-specific) properly mirror the changes expected to happen during or after the programming period at the level of NRN beneficiaries (results, e.g. changes in behaviour), and in the programme area (impacts, e.g. contributions to RDP results, or changes in human and social capital) (See </w:t>
      </w:r>
      <w:r>
        <w:rPr>
          <w:b/>
          <w:color w:val="E7E6E6" w:themeColor="background2"/>
        </w:rPr>
        <w:t>PART I</w:t>
      </w:r>
      <w:r>
        <w:t>, Chapter 2.2.2);</w:t>
      </w:r>
    </w:p>
    <w:p w:rsidR="00867290" w:rsidRPr="008D0759" w:rsidRDefault="00867290" w:rsidP="004C05DD">
      <w:pPr>
        <w:pStyle w:val="Hlistbullet2"/>
      </w:pPr>
      <w:r>
        <w:t>whether the respective level of hierarchy (overall, specific and operational objectives) and their inter-linkages are clear;</w:t>
      </w:r>
    </w:p>
    <w:p w:rsidR="00867290" w:rsidRPr="008D0759" w:rsidRDefault="00867290" w:rsidP="004C05DD">
      <w:pPr>
        <w:pStyle w:val="Hlistbullet2"/>
      </w:pPr>
      <w:r>
        <w:t>the extent to which NRN objectives can plausibly be achieved with the groups of actions;</w:t>
      </w:r>
    </w:p>
    <w:p w:rsidR="00867290" w:rsidRPr="008D0759" w:rsidRDefault="00867290" w:rsidP="004C05DD">
      <w:pPr>
        <w:pStyle w:val="Hlistbullet2"/>
      </w:pPr>
      <w:r>
        <w:t>whether the NRN(P) objectives are sufficiently clear and tangible as to be measured  by RACER</w:t>
      </w:r>
      <w:r>
        <w:rPr>
          <w:rFonts w:ascii="ZWAdobeF" w:hAnsi="ZWAdobeF"/>
          <w:color w:val="auto"/>
          <w:sz w:val="2"/>
        </w:rPr>
        <w:t>89F</w:t>
      </w:r>
      <w:r>
        <w:rPr>
          <w:rStyle w:val="FootnoteReference"/>
        </w:rPr>
        <w:footnoteReference w:id="90"/>
      </w:r>
      <w:r>
        <w:t xml:space="preserve"> programme-specific indicators.</w:t>
      </w:r>
    </w:p>
    <w:p w:rsidR="00867290" w:rsidRPr="008D0759" w:rsidRDefault="00867290" w:rsidP="004C05DD">
      <w:pPr>
        <w:pStyle w:val="HHeading5"/>
        <w:rPr>
          <w:color w:val="ED7D31" w:themeColor="accent2"/>
        </w:rPr>
      </w:pPr>
      <w:r>
        <w:rPr>
          <w:color w:val="ED7D31" w:themeColor="accent2"/>
        </w:rPr>
        <w:t xml:space="preserve">Step 3 -  Revisit the chain between the NRN expected effects: ostvarenja, rezultati and učinci </w:t>
      </w:r>
    </w:p>
    <w:p w:rsidR="00867290" w:rsidRPr="008D0759" w:rsidRDefault="00867290" w:rsidP="004C05DD">
      <w:pPr>
        <w:pStyle w:val="HStandard"/>
      </w:pPr>
      <w:r>
        <w:t xml:space="preserve">Activities of NRNs are expected to produce outputs, results and impacts, which lead to the accomplishment of NRN objectives. While outputs are brought forth by concrete activities organised and implemented by NSUs (events, web page, publications, trainings, good practice exchanges, etc.), </w:t>
      </w:r>
      <w:r>
        <w:lastRenderedPageBreak/>
        <w:t xml:space="preserve">NRNs transform these outputs into NRN results and impacts (often called NRN added value). NRN results and impacts are more difficult to capture because they often (not always) have an intangible nature (changes in human and social capital). Examples of the output-result-impact chains for each of the common groups of actions can be found in </w:t>
      </w:r>
      <w:r>
        <w:rPr>
          <w:b/>
          <w:color w:val="E7E6E6" w:themeColor="background2"/>
        </w:rPr>
        <w:t>PART III</w:t>
      </w:r>
      <w:r>
        <w:t xml:space="preserve"> of the guidelines.</w:t>
      </w:r>
    </w:p>
    <w:p w:rsidR="00867290" w:rsidRPr="008D0759" w:rsidRDefault="00867290" w:rsidP="004C05DD">
      <w:pPr>
        <w:pStyle w:val="HStandard"/>
      </w:pPr>
      <w:r>
        <w:t>Expected NRN effects are ideally defined during the preparation of NRN evaluation, but can be completed also during the structuring phase, respecting the possible changes in the context situation.</w:t>
      </w:r>
    </w:p>
    <w:p w:rsidR="00867290" w:rsidRPr="008D0759" w:rsidRDefault="00867290" w:rsidP="004C05DD">
      <w:pPr>
        <w:pStyle w:val="HHeading5"/>
        <w:rPr>
          <w:color w:val="ED7D31" w:themeColor="accent2"/>
        </w:rPr>
      </w:pPr>
      <w:r>
        <w:rPr>
          <w:color w:val="ED7D31" w:themeColor="accent2"/>
        </w:rPr>
        <w:t>Step 4 - Check the horizontal and vertical consistency between NRN objectives and expected effects</w:t>
      </w:r>
    </w:p>
    <w:p w:rsidR="00867290" w:rsidRPr="008D0759" w:rsidRDefault="00867290" w:rsidP="004C05DD">
      <w:pPr>
        <w:pStyle w:val="HStandard"/>
      </w:pPr>
      <w:r>
        <w:t xml:space="preserve">During this step, evaluators should conduct a horizontal and vertical consistency check between objectives and expected outputs, results and impacts (internal consistency of NRN intervention logic, see the Introduction, chapter 1.4.2) of the NRN. In case the NRNP or RDP authorities have not defined the expected NRN results and impacts clearly enough and in a way that can be measured, the evaluators are called to run a consistency check of the intervention logic and add missing elements and fine-tune existing elements in collaboration with the programme authorities and the NSU, in the same fashion as what was described in </w:t>
      </w:r>
      <w:r>
        <w:rPr>
          <w:b/>
          <w:color w:val="E7E6E6" w:themeColor="background2"/>
        </w:rPr>
        <w:t>PART I</w:t>
      </w:r>
      <w:r>
        <w:t>, chapter 2.2.2.</w:t>
      </w:r>
    </w:p>
    <w:p w:rsidR="00867290" w:rsidRPr="008D0759" w:rsidRDefault="00867290" w:rsidP="004C05DD">
      <w:pPr>
        <w:pStyle w:val="HStandard"/>
      </w:pPr>
      <w:r>
        <w:t xml:space="preserve">Besides the internal consistency of the NRN intervention logic, the evaluator should check also the external consistency of NRN intervention logic with the RDP and the EU objectives (See </w:t>
      </w:r>
      <w:r>
        <w:fldChar w:fldCharType="begin" w:fldLock="1"/>
      </w:r>
      <w:r>
        <w:instrText xml:space="preserve"> REF _Ref451784678 \r \h </w:instrText>
      </w:r>
      <w:r>
        <w:fldChar w:fldCharType="separate"/>
      </w:r>
      <w:r>
        <w:t>Figure 5</w:t>
      </w:r>
      <w:r>
        <w:fldChar w:fldCharType="end"/>
      </w:r>
      <w:r>
        <w:t xml:space="preserve"> and </w:t>
      </w:r>
      <w:r>
        <w:fldChar w:fldCharType="begin" w:fldLock="1"/>
      </w:r>
      <w:r>
        <w:instrText xml:space="preserve"> REF _Ref451784688 \r \h </w:instrText>
      </w:r>
      <w:r>
        <w:fldChar w:fldCharType="separate"/>
      </w:r>
      <w:r>
        <w:t>Figure 6</w:t>
      </w:r>
      <w:r>
        <w:fldChar w:fldCharType="end"/>
      </w:r>
      <w:r>
        <w:t xml:space="preserve"> in Introduction, Chapter 1.4.2). In the case of NRNs being part of RDPs, outputs produced with the means of inputs (financial and others) through the implementation of the NRN action plan generate the NRN results, and these contribute to the RDP outputs. NRN impacts should foster better results from the RDP and also affect rural areas as such, e.g. in the human and social capital domains, which can also influence the RDP’s impacts (</w:t>
      </w:r>
      <w:r>
        <w:fldChar w:fldCharType="begin" w:fldLock="1"/>
      </w:r>
      <w:r>
        <w:instrText xml:space="preserve"> REF _Ref451784699 \r \h </w:instrText>
      </w:r>
      <w:r>
        <w:fldChar w:fldCharType="separate"/>
      </w:r>
      <w:r>
        <w:t>Figure 5</w:t>
      </w:r>
      <w:r>
        <w:fldChar w:fldCharType="end"/>
      </w:r>
      <w:r>
        <w:t xml:space="preserve"> in Chapter 1.4.2). If inconsistencies are found in the above checks, the missing elements should be developed by the evaluator.</w:t>
      </w:r>
    </w:p>
    <w:p w:rsidR="00867290" w:rsidRPr="008D0759" w:rsidRDefault="00867290" w:rsidP="00975D9B">
      <w:pPr>
        <w:pStyle w:val="HHeading5"/>
      </w:pPr>
      <w:r>
        <w:t>Neočekivani učinci NRM-a</w:t>
      </w:r>
    </w:p>
    <w:p w:rsidR="00867290" w:rsidRPr="008D0759" w:rsidRDefault="00867290" w:rsidP="004C05DD">
      <w:pPr>
        <w:pStyle w:val="HStandard"/>
      </w:pPr>
      <w:r>
        <w:t>In addition to the expected or intended effects, NRN activities usually also generate unexpected or unintended effects</w:t>
      </w:r>
      <w:r>
        <w:rPr>
          <w:rFonts w:ascii="ZWAdobeF" w:hAnsi="ZWAdobeF"/>
          <w:color w:val="auto"/>
          <w:sz w:val="2"/>
        </w:rPr>
        <w:t>90F</w:t>
      </w:r>
      <w:r>
        <w:rPr>
          <w:rStyle w:val="FootnoteReference"/>
        </w:rPr>
        <w:footnoteReference w:id="91"/>
      </w:r>
      <w:r>
        <w:t>. These unexpected/unintended effects can reach the intended beneficiaries or other groups which originally have not been explicitly named as direct or ultimate beneficiaries, such as other organisations or networks (e.g. rural business owners, cooperation systems and clusters of SMEs, eco-tourism associations or enterprises, municipalities or NGOs engaged in climate actions, etc.).</w:t>
      </w:r>
    </w:p>
    <w:p w:rsidR="00867290" w:rsidRPr="008D0759" w:rsidRDefault="00867290" w:rsidP="004C05DD">
      <w:pPr>
        <w:pStyle w:val="HStandard"/>
      </w:pPr>
      <w:r>
        <w:t>On the contrary, NRN interventions can also indirectly induce changes (both positive and negative), via multiplication, deadweight, displacement or substitution effects. For example, if we invest a lot into the formal NRN, already existing informal networks could be starved out, since they live on membership fees and cannot compete with RDP supported networks. This could lead to the reduction of net social capital due to the NRN intervention! When revisiting the NRN intervention logic, it is worth recognising that every positive change also comes with a price (shadow costs).</w:t>
      </w:r>
    </w:p>
    <w:p w:rsidR="00867290" w:rsidRPr="008D0759" w:rsidRDefault="00867290" w:rsidP="004C05DD">
      <w:pPr>
        <w:pStyle w:val="HHeading5"/>
        <w:rPr>
          <w:color w:val="ED7D31" w:themeColor="accent2"/>
        </w:rPr>
      </w:pPr>
      <w:r>
        <w:rPr>
          <w:color w:val="ED7D31" w:themeColor="accent2"/>
        </w:rPr>
        <w:t>Step 5: Redefine or adjust the intervention logic, if needed.</w:t>
      </w:r>
    </w:p>
    <w:p w:rsidR="00867290" w:rsidRPr="008D0759" w:rsidRDefault="00867290" w:rsidP="004C05DD">
      <w:pPr>
        <w:pStyle w:val="HStandard"/>
      </w:pPr>
      <w:r>
        <w:t>The review of the NRN intervention logic may lead to changes. These changes might result in a fine-tuning of the NRN related programme-specific objectives, groups of actions and expected effects. It also may result in the revision of the hierarchy of objectives and/or a revision of the expected outcomes (outputs, results, impacts) in accordance with the objectives. Finally, the assessment of unexpected/unintended effects may lead to the identification of additional expected results and impacts.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0A700F" w:rsidTr="002A138A">
        <w:tc>
          <w:tcPr>
            <w:tcW w:w="9016" w:type="dxa"/>
            <w:shd w:val="clear" w:color="auto" w:fill="F5F4F4" w:themeFill="background2" w:themeFillTint="66"/>
          </w:tcPr>
          <w:p w:rsidR="00867290" w:rsidRPr="000A700F" w:rsidRDefault="00867290" w:rsidP="002A138A">
            <w:pPr>
              <w:pStyle w:val="HStandard"/>
              <w:rPr>
                <w:color w:val="7030A0"/>
                <w:highlight w:val="yellow"/>
              </w:rPr>
            </w:pPr>
            <w:r>
              <w:rPr>
                <w:highlight w:val="yellow"/>
              </w:rPr>
              <w:lastRenderedPageBreak/>
              <w:t>Usmjeravajuća pitanja za pregled intervencijske logike</w:t>
            </w:r>
          </w:p>
          <w:p w:rsidR="00867290" w:rsidRPr="000A700F" w:rsidRDefault="00867290" w:rsidP="00867290">
            <w:pPr>
              <w:pStyle w:val="Hlistbullet2"/>
              <w:rPr>
                <w:highlight w:val="yellow"/>
              </w:rPr>
            </w:pPr>
            <w:r>
              <w:rPr>
                <w:highlight w:val="yellow"/>
              </w:rPr>
              <w:t>Sadržava li utvrđena intervencijska logika eksplicitnu teoriju promjene?</w:t>
            </w:r>
          </w:p>
          <w:p w:rsidR="00867290" w:rsidRPr="000A700F" w:rsidRDefault="00867290" w:rsidP="00867290">
            <w:pPr>
              <w:pStyle w:val="Hlistbullet2"/>
              <w:rPr>
                <w:highlight w:val="yellow"/>
              </w:rPr>
            </w:pPr>
            <w:r>
              <w:rPr>
                <w:highlight w:val="yellow"/>
              </w:rPr>
              <w:t>Je li intervencijska logika jasno utvrđena ili može li biti barem modelirana na osnovi sadržaja programa ili pratećih dokumenata (kao što su Opis poslova za JPM ili ponuda usluge pobjedničkog ponuditelja itd.)?</w:t>
            </w:r>
          </w:p>
          <w:p w:rsidR="00867290" w:rsidRPr="000A700F" w:rsidRDefault="00867290" w:rsidP="00867290">
            <w:pPr>
              <w:pStyle w:val="Hlistbullet2"/>
              <w:rPr>
                <w:highlight w:val="yellow"/>
              </w:rPr>
            </w:pPr>
            <w:r>
              <w:rPr>
                <w:highlight w:val="yellow"/>
              </w:rPr>
              <w:t>Koje je bitne promjene moguće primijetiti među dionicima u programskom području ili unutar šireg socioekonomskog i političkog konteksta?</w:t>
            </w:r>
          </w:p>
          <w:p w:rsidR="00867290" w:rsidRPr="000A700F" w:rsidRDefault="00867290" w:rsidP="00867290">
            <w:pPr>
              <w:pStyle w:val="Hlistbullet2"/>
              <w:rPr>
                <w:highlight w:val="yellow"/>
              </w:rPr>
            </w:pPr>
            <w:r>
              <w:rPr>
                <w:highlight w:val="yellow"/>
              </w:rPr>
              <w:t>Jesu li utvrđeni ciljevi, očekivani rezultati i učinci relevantni s obzirom na kontekst (SWOT analiza, potrebe)?</w:t>
            </w:r>
          </w:p>
          <w:p w:rsidR="00867290" w:rsidRPr="000A700F" w:rsidRDefault="00867290" w:rsidP="00867290">
            <w:pPr>
              <w:pStyle w:val="Hlistbullet2"/>
              <w:rPr>
                <w:highlight w:val="yellow"/>
              </w:rPr>
            </w:pPr>
            <w:r>
              <w:rPr>
                <w:highlight w:val="yellow"/>
              </w:rPr>
              <w:t>Postoje li kontradikcije ili nesukladnosti između aktivnosti, očekivanih ostvarenja, rezultata i učinaka (vertikalna dimenzija) te utvrđenih ciljeva (horizontalna dimenzija)?</w:t>
            </w:r>
          </w:p>
        </w:tc>
      </w:tr>
    </w:tbl>
    <w:p w:rsidR="00867290" w:rsidRPr="000A700F" w:rsidRDefault="00867290" w:rsidP="00975D9B">
      <w:pPr>
        <w:pStyle w:val="HHeading5"/>
        <w:rPr>
          <w:highlight w:val="yellow"/>
        </w:rPr>
      </w:pPr>
      <w:r>
        <w:rPr>
          <w:highlight w:val="yellow"/>
        </w:rPr>
        <w:t>Što treba činiti, a što izbjegavati?</w:t>
      </w:r>
    </w:p>
    <w:tbl>
      <w:tblPr>
        <w:tblStyle w:val="LightList-Accent5"/>
        <w:tblW w:w="0" w:type="auto"/>
        <w:tblLook w:val="04A0" w:firstRow="1" w:lastRow="0" w:firstColumn="1" w:lastColumn="0" w:noHBand="0" w:noVBand="1"/>
      </w:tblPr>
      <w:tblGrid>
        <w:gridCol w:w="4504"/>
        <w:gridCol w:w="4502"/>
      </w:tblGrid>
      <w:tr w:rsidR="0086729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867290" w:rsidRPr="000A700F" w:rsidRDefault="00867290"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2A2682CE" wp14:editId="2274E0EB">
                  <wp:extent cx="360000" cy="360000"/>
                  <wp:effectExtent l="0" t="0" r="254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867290" w:rsidRPr="000A700F" w:rsidRDefault="00867290"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78E5672B" wp14:editId="13B3C79F">
                  <wp:extent cx="360000" cy="360000"/>
                  <wp:effectExtent l="0" t="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729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7290" w:rsidRPr="000A700F" w:rsidRDefault="00867290" w:rsidP="000A3387">
            <w:pPr>
              <w:pStyle w:val="HHeading5"/>
              <w:rPr>
                <w:color w:val="FFC000" w:themeColor="accent4"/>
                <w:sz w:val="18"/>
                <w:szCs w:val="18"/>
                <w:highlight w:val="yellow"/>
              </w:rPr>
            </w:pPr>
            <w:r>
              <w:rPr>
                <w:color w:val="FFC000" w:themeColor="accent4"/>
                <w:sz w:val="18"/>
                <w:highlight w:val="yellow"/>
              </w:rPr>
              <w:t>Razmotriti promjene u okolnostima koje su možda utjecale na smislenost intervencijske logike.</w:t>
            </w:r>
          </w:p>
          <w:p w:rsidR="00867290" w:rsidRPr="000A700F" w:rsidRDefault="00867290" w:rsidP="000A3387">
            <w:pPr>
              <w:pStyle w:val="HStandard"/>
              <w:rPr>
                <w:color w:val="FFC000" w:themeColor="accent4"/>
                <w:sz w:val="18"/>
                <w:szCs w:val="18"/>
                <w:highlight w:val="yellow"/>
              </w:rPr>
            </w:pPr>
            <w:r>
              <w:rPr>
                <w:color w:val="FFC000" w:themeColor="accent4"/>
                <w:sz w:val="18"/>
                <w:highlight w:val="yellow"/>
              </w:rPr>
              <w:t xml:space="preserve">Pojasniti kako NRM može doprinijeti ciljevima politike ruralnog razvoja. </w:t>
            </w:r>
          </w:p>
          <w:p w:rsidR="00867290" w:rsidRPr="00D7778C" w:rsidRDefault="00867290" w:rsidP="000A3387">
            <w:pPr>
              <w:pStyle w:val="HStandard"/>
              <w:rPr>
                <w:b w:val="0"/>
                <w:color w:val="FFC000" w:themeColor="accent4"/>
                <w:sz w:val="18"/>
                <w:szCs w:val="18"/>
                <w:highlight w:val="yellow"/>
              </w:rPr>
            </w:pPr>
            <w:r>
              <w:rPr>
                <w:color w:val="FFC000" w:themeColor="accent4"/>
                <w:sz w:val="18"/>
                <w:highlight w:val="yellow"/>
              </w:rPr>
              <w:t xml:space="preserve">Shvatiti ciljeve i postignuća NRM-a </w:t>
            </w:r>
            <w:r w:rsidRPr="00D7778C">
              <w:rPr>
                <w:b w:val="0"/>
                <w:color w:val="FFC000" w:themeColor="accent4"/>
                <w:sz w:val="18"/>
                <w:highlight w:val="yellow"/>
              </w:rPr>
              <w:t>i kao promjene u ljudskom i socijalnom kapitalu ruralnih dionika i područja.</w:t>
            </w:r>
          </w:p>
          <w:p w:rsidR="00867290" w:rsidRPr="000A700F" w:rsidRDefault="00867290" w:rsidP="000A3387">
            <w:pPr>
              <w:pStyle w:val="HStandard"/>
              <w:rPr>
                <w:color w:val="FFC000" w:themeColor="accent4"/>
                <w:sz w:val="18"/>
                <w:szCs w:val="18"/>
                <w:highlight w:val="yellow"/>
              </w:rPr>
            </w:pPr>
            <w:r>
              <w:rPr>
                <w:b w:val="0"/>
                <w:color w:val="FFC000" w:themeColor="accent4"/>
                <w:sz w:val="18"/>
                <w:highlight w:val="yellow"/>
              </w:rPr>
              <w:t>Razmotriti mogućnosti dopunjavanja i usklađenosti s ostalim sličnim intervencijama (izvan područja politike ruralnog razvoja).</w:t>
            </w:r>
          </w:p>
          <w:p w:rsidR="00867290" w:rsidRPr="000A700F" w:rsidRDefault="00867290" w:rsidP="000A3387">
            <w:pPr>
              <w:pStyle w:val="HStandard"/>
              <w:rPr>
                <w:color w:val="FFC000" w:themeColor="accent4"/>
                <w:sz w:val="18"/>
                <w:szCs w:val="18"/>
                <w:highlight w:val="yellow"/>
              </w:rPr>
            </w:pPr>
            <w:r>
              <w:rPr>
                <w:b w:val="0"/>
                <w:color w:val="FFC000" w:themeColor="accent4"/>
                <w:sz w:val="18"/>
                <w:highlight w:val="yellow"/>
              </w:rPr>
              <w:t>Uvijek ostati otvoreni za iznenađenja (u obliku neočekivanih koristi ili neželjenih učinaka).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7290" w:rsidRPr="000A700F" w:rsidRDefault="00867290" w:rsidP="000A3387">
            <w:pPr>
              <w:pStyle w:val="HHeading5"/>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Prihvatiti intervencijsku logiku bez kritičkog promišljanja.</w:t>
            </w:r>
          </w:p>
          <w:p w:rsidR="00867290" w:rsidRPr="000A700F" w:rsidRDefault="00867290"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Povezati aktivnosti NRM-a izravno s ostvarenjem ciljeva PRR-a.</w:t>
            </w:r>
          </w:p>
          <w:p w:rsidR="00867290" w:rsidRPr="000A700F" w:rsidRDefault="00867290"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Samo gledati učinke koji su navedeni na papiru.</w:t>
            </w:r>
          </w:p>
          <w:p w:rsidR="00867290" w:rsidRPr="008D0759" w:rsidRDefault="00867290" w:rsidP="00D7778C">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Razmotriti skrivene troškove intervencija i ignorirati pojavu bilo kakvih iznenađenja koja bi mogla dovesti do neželjenih učinaka.</w:t>
            </w:r>
          </w:p>
        </w:tc>
      </w:tr>
    </w:tbl>
    <w:p w:rsidR="00867290" w:rsidRPr="008D0759" w:rsidRDefault="00867290" w:rsidP="00975D9B">
      <w:pPr>
        <w:pStyle w:val="HHeading5"/>
      </w:pPr>
      <w:r>
        <w:t>Više o temi</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867290" w:rsidRPr="008D0759" w:rsidTr="004D1A84">
        <w:tc>
          <w:tcPr>
            <w:tcW w:w="9069" w:type="dxa"/>
            <w:shd w:val="clear" w:color="auto" w:fill="F5F4F4" w:themeFill="background2" w:themeFillTint="66"/>
          </w:tcPr>
          <w:p w:rsidR="00867290" w:rsidRPr="008D0759" w:rsidRDefault="00867290" w:rsidP="002A138A">
            <w:pPr>
              <w:pStyle w:val="HStandard"/>
              <w:jc w:val="left"/>
              <w:rPr>
                <w:sz w:val="16"/>
                <w:szCs w:val="16"/>
              </w:rPr>
            </w:pPr>
            <w:r>
              <w:rPr>
                <w:sz w:val="16"/>
              </w:rPr>
              <w:t>Assessment of RDP results: How to prepare for reporting on evaluation in 2017, Chapter 5.1 Evaluation Helpdesk, April 2016</w:t>
            </w:r>
          </w:p>
          <w:p w:rsidR="00867290" w:rsidRPr="008D0759" w:rsidRDefault="00867290" w:rsidP="002A138A">
            <w:pPr>
              <w:pStyle w:val="HStandard"/>
              <w:jc w:val="left"/>
              <w:rPr>
                <w:rStyle w:val="Hyperlink"/>
                <w:rFonts w:eastAsiaTheme="majorEastAsia"/>
                <w:sz w:val="16"/>
                <w:szCs w:val="16"/>
              </w:rPr>
            </w:pPr>
            <w:r>
              <w:rPr>
                <w:sz w:val="16"/>
              </w:rPr>
              <w:t xml:space="preserve">Capturing the success of your RDP: Guidelines for the ex post evaluation of 2007-2013 RDP, PART II, Chapters 1.4 and 1.5, link: </w:t>
            </w:r>
            <w:hyperlink r:id="rId40">
              <w:r>
                <w:rPr>
                  <w:rStyle w:val="Hyperlink"/>
                  <w:rFonts w:eastAsiaTheme="majorEastAsia"/>
                  <w:sz w:val="16"/>
                </w:rPr>
                <w:t>http://enrd.ec.europa.eu/enrd-static/evaluation/library/evaluation-helpdesk-publications/en/evaluation-helpdesk-publications_en.html</w:t>
              </w:r>
            </w:hyperlink>
          </w:p>
          <w:p w:rsidR="00867290" w:rsidRPr="008D0759" w:rsidRDefault="00867290" w:rsidP="002A138A">
            <w:pPr>
              <w:pStyle w:val="HStandard"/>
              <w:jc w:val="left"/>
              <w:rPr>
                <w:rStyle w:val="Hyperlink"/>
                <w:rFonts w:eastAsiaTheme="majorEastAsia"/>
                <w:color w:val="262626"/>
                <w:sz w:val="16"/>
                <w:szCs w:val="16"/>
              </w:rPr>
            </w:pPr>
            <w:r>
              <w:rPr>
                <w:rStyle w:val="Hyperlink"/>
                <w:rFonts w:eastAsiaTheme="majorEastAsia"/>
                <w:color w:val="262626"/>
                <w:sz w:val="16"/>
              </w:rPr>
              <w:t xml:space="preserve">Getting the most from your RDP: Guidelines for the ex ante evaluation of 2014-2020 RDPs, Chapter 5.4, </w:t>
            </w:r>
            <w:hyperlink r:id="rId41">
              <w:r>
                <w:rPr>
                  <w:rStyle w:val="Hyperlink"/>
                  <w:rFonts w:eastAsiaTheme="majorEastAsia"/>
                  <w:sz w:val="16"/>
                </w:rPr>
                <w:t>http://enrd.ec.europa.eu/enrd-static/evaluation/library/evaluation-helpdesk-publications/en/evaluation-helpdesk-publications_en.html</w:t>
              </w:r>
            </w:hyperlink>
            <w:r>
              <w:rPr>
                <w:rStyle w:val="Hyperlink"/>
                <w:rFonts w:eastAsiaTheme="majorEastAsia"/>
                <w:color w:val="262626"/>
                <w:sz w:val="16"/>
              </w:rPr>
              <w:t xml:space="preserve">, </w:t>
            </w:r>
          </w:p>
          <w:p w:rsidR="00867290" w:rsidRPr="008D0759" w:rsidRDefault="00867290" w:rsidP="002A138A">
            <w:pPr>
              <w:pStyle w:val="HStandard"/>
              <w:jc w:val="left"/>
              <w:rPr>
                <w:rStyle w:val="Hyperlink"/>
                <w:rFonts w:eastAsiaTheme="majorEastAsia"/>
                <w:color w:val="262626"/>
                <w:sz w:val="16"/>
                <w:szCs w:val="16"/>
              </w:rPr>
            </w:pPr>
            <w:r>
              <w:rPr>
                <w:rStyle w:val="Hyperlink"/>
                <w:rFonts w:eastAsiaTheme="majorEastAsia"/>
                <w:color w:val="262626"/>
                <w:sz w:val="16"/>
              </w:rPr>
              <w:t>On the NRN intervention logic:</w:t>
            </w:r>
          </w:p>
          <w:p w:rsidR="00867290" w:rsidRPr="008D0759" w:rsidRDefault="00867290" w:rsidP="002A138A">
            <w:pPr>
              <w:pStyle w:val="HStandard"/>
              <w:jc w:val="left"/>
              <w:rPr>
                <w:rStyle w:val="Hyperlink"/>
                <w:rFonts w:eastAsiaTheme="majorEastAsia"/>
                <w:color w:val="262626"/>
                <w:sz w:val="16"/>
                <w:szCs w:val="16"/>
              </w:rPr>
            </w:pPr>
            <w:r>
              <w:rPr>
                <w:rStyle w:val="Hyperlink"/>
                <w:rFonts w:eastAsiaTheme="majorEastAsia"/>
                <w:color w:val="262626"/>
                <w:sz w:val="16"/>
              </w:rPr>
              <w:t>ENRD 2014: NRN Guidebook, 3</w:t>
            </w:r>
            <w:r>
              <w:rPr>
                <w:rStyle w:val="Hyperlink"/>
                <w:rFonts w:eastAsiaTheme="majorEastAsia"/>
                <w:color w:val="262626"/>
                <w:sz w:val="16"/>
                <w:vertAlign w:val="superscript"/>
              </w:rPr>
              <w:t>rd</w:t>
            </w:r>
            <w:r>
              <w:rPr>
                <w:rStyle w:val="Hyperlink"/>
                <w:rFonts w:eastAsiaTheme="majorEastAsia"/>
                <w:color w:val="262626"/>
                <w:sz w:val="16"/>
              </w:rPr>
              <w:t xml:space="preserve"> chapter on Setting up and Starting a Network. </w:t>
            </w:r>
            <w:hyperlink r:id="rId42">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867290" w:rsidRPr="008D0759" w:rsidRDefault="00867290" w:rsidP="002A138A">
            <w:pPr>
              <w:pStyle w:val="HStandard"/>
              <w:jc w:val="left"/>
              <w:rPr>
                <w:rStyle w:val="Hyperlink"/>
                <w:rFonts w:eastAsiaTheme="majorEastAsia"/>
                <w:color w:val="262626"/>
                <w:sz w:val="16"/>
                <w:szCs w:val="16"/>
              </w:rPr>
            </w:pPr>
            <w:r>
              <w:rPr>
                <w:rStyle w:val="Hyperlink"/>
                <w:rFonts w:eastAsiaTheme="majorEastAsia"/>
                <w:color w:val="262626"/>
                <w:sz w:val="16"/>
              </w:rPr>
              <w:t>On the theory of change and realistic evaluation:</w:t>
            </w:r>
          </w:p>
          <w:p w:rsidR="00867290" w:rsidRPr="008D0759" w:rsidRDefault="00867290" w:rsidP="002A138A">
            <w:pPr>
              <w:pStyle w:val="HStandard"/>
              <w:jc w:val="left"/>
              <w:rPr>
                <w:rStyle w:val="Hyperlink"/>
                <w:rFonts w:eastAsiaTheme="majorEastAsia"/>
                <w:color w:val="262626"/>
                <w:sz w:val="16"/>
                <w:szCs w:val="16"/>
              </w:rPr>
            </w:pPr>
            <w:r>
              <w:rPr>
                <w:rStyle w:val="Hyperlink"/>
                <w:rFonts w:eastAsiaTheme="majorEastAsia"/>
                <w:color w:val="262626"/>
                <w:sz w:val="16"/>
              </w:rPr>
              <w:lastRenderedPageBreak/>
              <w:t xml:space="preserve">Avril Blamey and Mhairi Mackenzie, 2007: Theory of Change and Realistic Evaluation: Peas in a Pod or Apples and Oranges? Sage. Web resource: </w:t>
            </w:r>
            <w:hyperlink r:id="rId43">
              <w:r>
                <w:rPr>
                  <w:rStyle w:val="Hyperlink"/>
                  <w:rFonts w:eastAsiaTheme="majorEastAsia"/>
                  <w:sz w:val="16"/>
                </w:rPr>
                <w:t>http://evi.sagepub.com/content/13/4/439.full.pdf</w:t>
              </w:r>
            </w:hyperlink>
            <w:r>
              <w:rPr>
                <w:rStyle w:val="Hyperlink"/>
                <w:rFonts w:eastAsiaTheme="majorEastAsia"/>
                <w:color w:val="262626"/>
                <w:sz w:val="16"/>
              </w:rPr>
              <w:t xml:space="preserve"> </w:t>
            </w:r>
          </w:p>
          <w:p w:rsidR="00867290" w:rsidRPr="008D0759" w:rsidRDefault="00867290" w:rsidP="002A138A">
            <w:pPr>
              <w:pStyle w:val="HStandard"/>
              <w:jc w:val="left"/>
              <w:rPr>
                <w:rFonts w:eastAsiaTheme="majorEastAsia"/>
              </w:rPr>
            </w:pPr>
            <w:r>
              <w:rPr>
                <w:rStyle w:val="Hyperlink"/>
                <w:rFonts w:eastAsiaTheme="majorEastAsia"/>
                <w:color w:val="262626"/>
                <w:sz w:val="16"/>
              </w:rPr>
              <w:t>Ray Payson and Nick Tilley,1997: Realistic Evaluation, Sage, 1997. Web resource (2004):</w:t>
            </w:r>
            <w:r>
              <w:rPr>
                <w:sz w:val="16"/>
              </w:rPr>
              <w:t xml:space="preserve"> </w:t>
            </w:r>
            <w:hyperlink r:id="rId44">
              <w:r>
                <w:rPr>
                  <w:rStyle w:val="Hyperlink"/>
                  <w:rFonts w:eastAsiaTheme="majorEastAsia"/>
                  <w:sz w:val="16"/>
                </w:rPr>
                <w:t>http://www.communitymatters.com.au/RE_chapter.pdf</w:t>
              </w:r>
            </w:hyperlink>
            <w:r>
              <w:rPr>
                <w:rStyle w:val="Hyperlink"/>
                <w:rFonts w:eastAsiaTheme="majorEastAsia"/>
                <w:color w:val="262626"/>
              </w:rPr>
              <w:t xml:space="preserve"> </w:t>
            </w:r>
          </w:p>
        </w:tc>
      </w:tr>
    </w:tbl>
    <w:p w:rsidR="00867290" w:rsidRPr="000A700F" w:rsidRDefault="00867290" w:rsidP="00B55106">
      <w:pPr>
        <w:pStyle w:val="HHeading3"/>
        <w:numPr>
          <w:ilvl w:val="0"/>
          <w:numId w:val="0"/>
        </w:numPr>
        <w:rPr>
          <w:highlight w:val="yellow"/>
        </w:rPr>
      </w:pPr>
      <w:bookmarkStart w:id="184" w:name="_Toc443491680"/>
      <w:bookmarkStart w:id="185" w:name="_Toc434744504"/>
      <w:bookmarkStart w:id="186" w:name="_Toc436140054"/>
      <w:bookmarkStart w:id="187" w:name="_Toc443491681"/>
      <w:bookmarkStart w:id="188" w:name="_Toc453079766"/>
      <w:bookmarkEnd w:id="184"/>
      <w:r>
        <w:rPr>
          <w:highlight w:val="yellow"/>
        </w:rPr>
        <w:lastRenderedPageBreak/>
        <w:t>1.1.2. Provjera dosljednosti elemenata evaluacije s intervencijskom logikom NRM-a</w:t>
      </w:r>
      <w:bookmarkEnd w:id="185"/>
      <w:bookmarkEnd w:id="186"/>
      <w:bookmarkEnd w:id="187"/>
      <w:bookmarkEnd w:id="188"/>
    </w:p>
    <w:p w:rsidR="00867290" w:rsidRPr="002809CE" w:rsidRDefault="00867290" w:rsidP="00320BBA">
      <w:pPr>
        <w:pStyle w:val="HStandard"/>
        <w:rPr>
          <w:b/>
          <w:i/>
          <w:color w:val="538135" w:themeColor="accent6" w:themeShade="BF"/>
        </w:rPr>
      </w:pPr>
      <w:r>
        <w:t>In the structuring phase, the consistency of the evaluation questions and indicators developed when preparing the evaluation should be revisited. In case the revisiting of the intervention logic has led to modifications, the existing evaluation elements will also have to be reviewed and completed, to ensure a consistent evaluation framework.</w:t>
      </w:r>
    </w:p>
    <w:p w:rsidR="00867290" w:rsidRPr="000A700F" w:rsidRDefault="00867290" w:rsidP="00975D9B">
      <w:pPr>
        <w:pStyle w:val="HHeading5"/>
        <w:rPr>
          <w:highlight w:val="yellow"/>
        </w:rPr>
      </w:pPr>
      <w:r>
        <w:rPr>
          <w:highlight w:val="yellow"/>
        </w:rPr>
        <w:t>Koji su glavni koraci u odabiru pristupa evaluaciji?</w:t>
      </w:r>
    </w:p>
    <w:p w:rsidR="00867290" w:rsidRPr="000A700F" w:rsidRDefault="00867290" w:rsidP="00320BBA">
      <w:pPr>
        <w:pStyle w:val="HStandard"/>
        <w:rPr>
          <w:highlight w:val="yellow"/>
        </w:rPr>
      </w:pPr>
      <w:r>
        <w:rPr>
          <w:highlight w:val="yellow"/>
        </w:rPr>
        <w:t>Preporučeni su koraci i očekivani ishod sljedeći:</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271"/>
        <w:gridCol w:w="7745"/>
      </w:tblGrid>
      <w:tr w:rsidR="00867290" w:rsidRPr="000A700F" w:rsidTr="002A138A">
        <w:trPr>
          <w:trHeight w:val="625"/>
        </w:trPr>
        <w:tc>
          <w:tcPr>
            <w:tcW w:w="1271" w:type="dxa"/>
            <w:shd w:val="clear" w:color="auto" w:fill="E7E6E6" w:themeFill="background2"/>
          </w:tcPr>
          <w:p w:rsidR="00867290" w:rsidRPr="000A700F" w:rsidRDefault="00867290" w:rsidP="002A138A">
            <w:pPr>
              <w:pStyle w:val="HStandard"/>
              <w:jc w:val="center"/>
              <w:rPr>
                <w:b/>
                <w:color w:val="5B9BD5" w:themeColor="accent1"/>
                <w:sz w:val="18"/>
                <w:szCs w:val="18"/>
                <w:highlight w:val="yellow"/>
              </w:rPr>
            </w:pPr>
            <w:r>
              <w:rPr>
                <w:b/>
                <w:color w:val="5B9BD5" w:themeColor="accent1"/>
                <w:sz w:val="18"/>
                <w:highlight w:val="yellow"/>
              </w:rPr>
              <w:t>1.</w:t>
            </w:r>
          </w:p>
        </w:tc>
        <w:tc>
          <w:tcPr>
            <w:tcW w:w="7745" w:type="dxa"/>
          </w:tcPr>
          <w:p w:rsidR="00867290" w:rsidRPr="000A700F" w:rsidRDefault="00867290" w:rsidP="004C05DD">
            <w:pPr>
              <w:pStyle w:val="HStandard"/>
              <w:rPr>
                <w:sz w:val="18"/>
                <w:szCs w:val="18"/>
                <w:highlight w:val="yellow"/>
              </w:rPr>
            </w:pPr>
            <w:r>
              <w:rPr>
                <w:sz w:val="18"/>
                <w:highlight w:val="yellow"/>
              </w:rPr>
              <w:t>Provjeriti jesu li dodatni pokazatelji i dalje relevantni za odgovor na zajedničko pitanje evaluacije. Izraditi nove pokazatelje ako to nije slučaj.</w:t>
            </w:r>
          </w:p>
        </w:tc>
      </w:tr>
      <w:tr w:rsidR="00867290" w:rsidRPr="000A700F" w:rsidTr="002A138A">
        <w:trPr>
          <w:trHeight w:val="630"/>
        </w:trPr>
        <w:tc>
          <w:tcPr>
            <w:tcW w:w="1271" w:type="dxa"/>
            <w:shd w:val="clear" w:color="auto" w:fill="E7E6E6" w:themeFill="background2"/>
          </w:tcPr>
          <w:p w:rsidR="00867290" w:rsidRPr="000A700F" w:rsidRDefault="00867290" w:rsidP="002A138A">
            <w:pPr>
              <w:pStyle w:val="HStandard"/>
              <w:jc w:val="center"/>
              <w:rPr>
                <w:b/>
                <w:color w:val="5B9BD5" w:themeColor="accent1"/>
                <w:sz w:val="18"/>
                <w:szCs w:val="18"/>
                <w:highlight w:val="yellow"/>
              </w:rPr>
            </w:pPr>
            <w:r>
              <w:rPr>
                <w:b/>
                <w:color w:val="5B9BD5" w:themeColor="accent1"/>
                <w:sz w:val="18"/>
                <w:highlight w:val="yellow"/>
              </w:rPr>
              <w:t>2.</w:t>
            </w:r>
          </w:p>
        </w:tc>
        <w:tc>
          <w:tcPr>
            <w:tcW w:w="7745" w:type="dxa"/>
          </w:tcPr>
          <w:p w:rsidR="00867290" w:rsidRPr="000A700F" w:rsidRDefault="00867290" w:rsidP="004C05DD">
            <w:pPr>
              <w:pStyle w:val="HStandard"/>
              <w:rPr>
                <w:sz w:val="18"/>
                <w:szCs w:val="18"/>
                <w:highlight w:val="yellow"/>
              </w:rPr>
            </w:pPr>
            <w:r>
              <w:rPr>
                <w:sz w:val="18"/>
                <w:highlight w:val="yellow"/>
              </w:rPr>
              <w:t xml:space="preserve">Provjeriti jesu li postojeća pitanja za evaluaciju za pojedine programe i njihovi pokazatelji i dalje relevantni. Ako to nije slučaj, treba ih izmijeniti ili ukloniti iz sustava.  </w:t>
            </w:r>
          </w:p>
        </w:tc>
      </w:tr>
      <w:tr w:rsidR="00867290" w:rsidRPr="000A700F" w:rsidTr="002A138A">
        <w:tc>
          <w:tcPr>
            <w:tcW w:w="1271" w:type="dxa"/>
            <w:shd w:val="clear" w:color="auto" w:fill="E7E6E6" w:themeFill="background2"/>
          </w:tcPr>
          <w:p w:rsidR="00867290" w:rsidRPr="000A700F" w:rsidRDefault="00867290" w:rsidP="002A138A">
            <w:pPr>
              <w:pStyle w:val="HStandard"/>
              <w:jc w:val="center"/>
              <w:rPr>
                <w:b/>
                <w:color w:val="5B9BD5" w:themeColor="accent1"/>
                <w:sz w:val="18"/>
                <w:szCs w:val="18"/>
                <w:highlight w:val="yellow"/>
              </w:rPr>
            </w:pPr>
            <w:r>
              <w:rPr>
                <w:b/>
                <w:color w:val="5B9BD5" w:themeColor="accent1"/>
                <w:sz w:val="18"/>
                <w:highlight w:val="yellow"/>
              </w:rPr>
              <w:t>3.</w:t>
            </w:r>
          </w:p>
        </w:tc>
        <w:tc>
          <w:tcPr>
            <w:tcW w:w="7745" w:type="dxa"/>
          </w:tcPr>
          <w:p w:rsidR="00867290" w:rsidRPr="000A700F" w:rsidRDefault="00867290" w:rsidP="00736F20">
            <w:pPr>
              <w:pStyle w:val="Hlistbullet"/>
              <w:numPr>
                <w:ilvl w:val="0"/>
                <w:numId w:val="0"/>
              </w:numPr>
              <w:tabs>
                <w:tab w:val="left" w:pos="0"/>
              </w:tabs>
              <w:spacing w:before="0" w:line="280" w:lineRule="atLeast"/>
              <w:rPr>
                <w:sz w:val="18"/>
                <w:szCs w:val="18"/>
                <w:highlight w:val="yellow"/>
              </w:rPr>
            </w:pPr>
            <w:r>
              <w:rPr>
                <w:sz w:val="18"/>
                <w:highlight w:val="yellow"/>
              </w:rPr>
              <w:t>Izraditi nova pitanja za evaluaciju za pojedine programe ako je to potrebno, npr. ako su dodani novi ciljevi NRM-u, i osmisliti pokazatelje</w:t>
            </w:r>
            <w:r>
              <w:rPr>
                <w:rFonts w:ascii="ZWAdobeF" w:hAnsi="ZWAdobeF"/>
                <w:color w:val="auto"/>
                <w:sz w:val="2"/>
                <w:highlight w:val="yellow"/>
              </w:rPr>
              <w:t>91F</w:t>
            </w:r>
            <w:r>
              <w:rPr>
                <w:sz w:val="18"/>
                <w:highlight w:val="yellow"/>
                <w:vertAlign w:val="superscript"/>
              </w:rPr>
              <w:footnoteReference w:id="92"/>
            </w:r>
            <w:r>
              <w:rPr>
                <w:sz w:val="18"/>
                <w:highlight w:val="yellow"/>
              </w:rPr>
              <w:t xml:space="preserve"> koji će omogućiti odgovaranje na ta pitanja.</w:t>
            </w:r>
          </w:p>
        </w:tc>
      </w:tr>
      <w:tr w:rsidR="00867290" w:rsidRPr="000A700F" w:rsidTr="002A138A">
        <w:tc>
          <w:tcPr>
            <w:tcW w:w="1271" w:type="dxa"/>
            <w:shd w:val="clear" w:color="auto" w:fill="E7E6E6" w:themeFill="background2"/>
          </w:tcPr>
          <w:p w:rsidR="00867290" w:rsidRPr="000A700F" w:rsidRDefault="00867290" w:rsidP="002A138A">
            <w:pPr>
              <w:pStyle w:val="HStandard"/>
              <w:jc w:val="center"/>
              <w:rPr>
                <w:b/>
                <w:color w:val="5B9BD5" w:themeColor="accent1"/>
                <w:sz w:val="18"/>
                <w:szCs w:val="18"/>
                <w:highlight w:val="yellow"/>
              </w:rPr>
            </w:pPr>
            <w:r>
              <w:rPr>
                <w:b/>
                <w:color w:val="5B9BD5" w:themeColor="accent1"/>
                <w:sz w:val="18"/>
                <w:highlight w:val="yellow"/>
              </w:rPr>
              <w:t>4.</w:t>
            </w:r>
          </w:p>
        </w:tc>
        <w:tc>
          <w:tcPr>
            <w:tcW w:w="7745" w:type="dxa"/>
          </w:tcPr>
          <w:p w:rsidR="00867290" w:rsidRPr="000A700F" w:rsidRDefault="00867290" w:rsidP="00F55EBA">
            <w:pPr>
              <w:pStyle w:val="Hlistbullet"/>
              <w:numPr>
                <w:ilvl w:val="0"/>
                <w:numId w:val="0"/>
              </w:numPr>
              <w:tabs>
                <w:tab w:val="left" w:pos="34"/>
              </w:tabs>
              <w:spacing w:before="0" w:line="280" w:lineRule="atLeast"/>
              <w:ind w:left="34"/>
              <w:rPr>
                <w:sz w:val="18"/>
                <w:szCs w:val="18"/>
                <w:highlight w:val="yellow"/>
              </w:rPr>
            </w:pPr>
            <w:r>
              <w:rPr>
                <w:sz w:val="18"/>
                <w:highlight w:val="yellow"/>
              </w:rPr>
              <w:t xml:space="preserve">Ponovno provjeriti usklađenost intervencijske logike NRM-a, evaluacijskih pitanja i pokazatelja </w:t>
            </w:r>
          </w:p>
        </w:tc>
      </w:tr>
      <w:tr w:rsidR="00867290" w:rsidRPr="008D0759" w:rsidTr="002A138A">
        <w:tc>
          <w:tcPr>
            <w:tcW w:w="9016" w:type="dxa"/>
            <w:gridSpan w:val="2"/>
          </w:tcPr>
          <w:p w:rsidR="00867290" w:rsidRPr="008D0759" w:rsidRDefault="00867290" w:rsidP="000B1658">
            <w:pPr>
              <w:pStyle w:val="HStandard"/>
              <w:rPr>
                <w:b/>
                <w:i/>
                <w:sz w:val="18"/>
                <w:szCs w:val="18"/>
              </w:rPr>
            </w:pPr>
            <w:r>
              <w:rPr>
                <w:b/>
                <w:sz w:val="18"/>
                <w:highlight w:val="yellow"/>
              </w:rPr>
              <w:t>Očekivani ishod:</w:t>
            </w:r>
            <w:r>
              <w:rPr>
                <w:b/>
                <w:i/>
                <w:sz w:val="18"/>
                <w:highlight w:val="yellow"/>
              </w:rPr>
              <w:t xml:space="preserve"> </w:t>
            </w:r>
            <w:r>
              <w:rPr>
                <w:sz w:val="18"/>
                <w:highlight w:val="yellow"/>
              </w:rPr>
              <w:t>Usklađeni okvir evaluacije NRM-a (</w:t>
            </w:r>
            <w:r>
              <w:rPr>
                <w:sz w:val="18"/>
                <w:szCs w:val="18"/>
                <w:highlight w:val="yellow"/>
              </w:rPr>
              <w:fldChar w:fldCharType="begin" w:fldLock="1"/>
            </w:r>
            <w:r>
              <w:rPr>
                <w:sz w:val="18"/>
                <w:szCs w:val="18"/>
                <w:highlight w:val="yellow"/>
              </w:rPr>
              <w:instrText xml:space="preserve"> REF _Ref451784713 \r \h  \* MERGEFORMAT </w:instrText>
            </w:r>
            <w:r>
              <w:rPr>
                <w:sz w:val="18"/>
                <w:szCs w:val="18"/>
                <w:highlight w:val="yellow"/>
              </w:rPr>
            </w:r>
            <w:r>
              <w:rPr>
                <w:sz w:val="18"/>
                <w:szCs w:val="18"/>
                <w:highlight w:val="yellow"/>
              </w:rPr>
              <w:fldChar w:fldCharType="separate"/>
            </w:r>
            <w:r>
              <w:rPr>
                <w:sz w:val="18"/>
                <w:szCs w:val="18"/>
                <w:highlight w:val="yellow"/>
              </w:rPr>
              <w:t>Figure 9</w:t>
            </w:r>
            <w:r>
              <w:rPr>
                <w:sz w:val="18"/>
                <w:szCs w:val="18"/>
                <w:highlight w:val="yellow"/>
              </w:rPr>
              <w:fldChar w:fldCharType="end"/>
            </w:r>
            <w:r>
              <w:rPr>
                <w:sz w:val="18"/>
                <w:highlight w:val="yellow"/>
              </w:rPr>
              <w:t>)</w:t>
            </w:r>
          </w:p>
        </w:tc>
      </w:tr>
    </w:tbl>
    <w:p w:rsidR="00867290" w:rsidRPr="008D0759" w:rsidRDefault="00867290" w:rsidP="004D1A84">
      <w:pPr>
        <w:pStyle w:val="HStandard"/>
      </w:pPr>
      <w:r>
        <w:t xml:space="preserve">At this stage the evaluation should validate the relevance of programme-specific evaluation questions and indicators, as well as additional indicators formulated to answer the NRN common evaluation question. Changes might be needed if there are new programme-specific NRN objectives defined or new results and impacts are identified at the time of the evaluation. The formulation of programme-specific NRN related evaluation questions and indicators, as well as the consistency check between the NRN intervention logic and common, additional and programme-specific evaluation elements is already explained in </w:t>
      </w:r>
      <w:r>
        <w:rPr>
          <w:b/>
          <w:color w:val="E7E6E6" w:themeColor="background2"/>
        </w:rPr>
        <w:t>PART I</w:t>
      </w:r>
      <w:r>
        <w:t xml:space="preserve">, chapter 2.2.2, Preparation of NRN evaluation. In the structuring phase of the evaluation the procedure is identical.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2809CE" w:rsidTr="004D1A84">
        <w:tc>
          <w:tcPr>
            <w:tcW w:w="9016" w:type="dxa"/>
            <w:shd w:val="clear" w:color="auto" w:fill="F5F4F4" w:themeFill="background2" w:themeFillTint="66"/>
          </w:tcPr>
          <w:p w:rsidR="00867290" w:rsidRPr="000A700F" w:rsidRDefault="00867290" w:rsidP="004D1A84">
            <w:pPr>
              <w:pStyle w:val="HStandard"/>
              <w:rPr>
                <w:highlight w:val="yellow"/>
              </w:rPr>
            </w:pPr>
            <w:bookmarkStart w:id="189" w:name="_Toc434744505"/>
            <w:bookmarkStart w:id="190" w:name="_Toc434744506"/>
            <w:bookmarkStart w:id="191" w:name="_Toc436140055"/>
            <w:bookmarkEnd w:id="189"/>
            <w:r>
              <w:rPr>
                <w:highlight w:val="yellow"/>
              </w:rPr>
              <w:t>Usmjeravajuća pitanja za provjeru usklađenosti elemenata evaluacije s intervencijskom logikom</w:t>
            </w:r>
          </w:p>
          <w:p w:rsidR="00867290" w:rsidRPr="000A700F" w:rsidRDefault="00867290" w:rsidP="00867290">
            <w:pPr>
              <w:pStyle w:val="Hlistbullet2"/>
              <w:rPr>
                <w:highlight w:val="yellow"/>
              </w:rPr>
            </w:pPr>
            <w:r>
              <w:rPr>
                <w:highlight w:val="yellow"/>
              </w:rPr>
              <w:t>Odgovaraju li evaluacijska pitanja na ono što uistinu želimo saznati?</w:t>
            </w:r>
          </w:p>
          <w:p w:rsidR="00867290" w:rsidRPr="000A700F" w:rsidRDefault="00867290" w:rsidP="00867290">
            <w:pPr>
              <w:pStyle w:val="Hlistbullet2"/>
              <w:rPr>
                <w:highlight w:val="yellow"/>
              </w:rPr>
            </w:pPr>
            <w:r>
              <w:rPr>
                <w:highlight w:val="yellow"/>
              </w:rPr>
              <w:t>Nedostaju li neka pitanja za evaluaciju ili su neka suvišna?</w:t>
            </w:r>
          </w:p>
          <w:p w:rsidR="00867290" w:rsidRPr="000A700F" w:rsidRDefault="00867290" w:rsidP="00867290">
            <w:pPr>
              <w:pStyle w:val="Hlistbullet2"/>
              <w:rPr>
                <w:highlight w:val="yellow"/>
              </w:rPr>
            </w:pPr>
            <w:r>
              <w:rPr>
                <w:highlight w:val="yellow"/>
              </w:rPr>
              <w:t>Pokrivaju li pokazatelji aspekte problema koji nas zanimaju?</w:t>
            </w:r>
          </w:p>
          <w:p w:rsidR="00867290" w:rsidRPr="000A700F" w:rsidRDefault="00867290" w:rsidP="00867290">
            <w:pPr>
              <w:pStyle w:val="Hlistbullet2"/>
              <w:rPr>
                <w:highlight w:val="yellow"/>
              </w:rPr>
            </w:pPr>
            <w:r>
              <w:rPr>
                <w:highlight w:val="yellow"/>
              </w:rPr>
              <w:t>Raščlanjuju li pokazatelji u dovoljnoj mjeri evaluacijska pitanja i kriterije prosudbe?</w:t>
            </w:r>
          </w:p>
          <w:p w:rsidR="00867290" w:rsidRPr="000A700F" w:rsidRDefault="00867290" w:rsidP="00867290">
            <w:pPr>
              <w:pStyle w:val="Hlistbullet2"/>
              <w:rPr>
                <w:highlight w:val="yellow"/>
              </w:rPr>
            </w:pPr>
            <w:r>
              <w:rPr>
                <w:highlight w:val="yellow"/>
              </w:rPr>
              <w:t xml:space="preserve">Može li se pokazateljima osigurati dovoljno dokaza za odgovor na evaluacijska pitanja? </w:t>
            </w:r>
          </w:p>
          <w:p w:rsidR="00867290" w:rsidRPr="000A700F" w:rsidRDefault="00867290" w:rsidP="00867290">
            <w:pPr>
              <w:pStyle w:val="Hlistbullet2"/>
              <w:rPr>
                <w:highlight w:val="yellow"/>
              </w:rPr>
            </w:pPr>
            <w:r>
              <w:rPr>
                <w:highlight w:val="yellow"/>
              </w:rPr>
              <w:t>Jesu li pokazatelji u skladu s načelima „RACER”?</w:t>
            </w:r>
          </w:p>
        </w:tc>
      </w:tr>
    </w:tbl>
    <w:p w:rsidR="00867290" w:rsidRPr="000A700F" w:rsidRDefault="00867290" w:rsidP="00320BBA">
      <w:pPr>
        <w:pStyle w:val="HHeading5"/>
        <w:rPr>
          <w:highlight w:val="yellow"/>
        </w:rPr>
      </w:pPr>
      <w:r>
        <w:rPr>
          <w:highlight w:val="yellow"/>
        </w:rPr>
        <w:lastRenderedPageBreak/>
        <w:t>Što treba činiti, a što izbjegavati?</w:t>
      </w:r>
    </w:p>
    <w:tbl>
      <w:tblPr>
        <w:tblStyle w:val="LightList-Accent5"/>
        <w:tblW w:w="0" w:type="auto"/>
        <w:tblLook w:val="04A0" w:firstRow="1" w:lastRow="0" w:firstColumn="1" w:lastColumn="0" w:noHBand="0" w:noVBand="1"/>
      </w:tblPr>
      <w:tblGrid>
        <w:gridCol w:w="4505"/>
        <w:gridCol w:w="4501"/>
      </w:tblGrid>
      <w:tr w:rsidR="0086729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tcPr>
          <w:p w:rsidR="00867290" w:rsidRPr="000A700F" w:rsidRDefault="00867290"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72FDE0EC" wp14:editId="10AAA67D">
                  <wp:extent cx="360000" cy="360000"/>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tcPr>
          <w:p w:rsidR="00867290" w:rsidRPr="000A700F" w:rsidRDefault="00867290"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7DC1BA7C" wp14:editId="0C1C2647">
                  <wp:extent cx="360000" cy="360000"/>
                  <wp:effectExtent l="0" t="0" r="254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729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7290" w:rsidRPr="000A700F" w:rsidRDefault="0086729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Izgraditi sveobuhvatnu strukturu evaluacije prilagođavanjem elemenata evaluacije logici intervencije gdje god je to potrebno.</w:t>
            </w:r>
          </w:p>
          <w:p w:rsidR="00867290" w:rsidRPr="000A700F" w:rsidRDefault="0086729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Osigurati da pitanja za evaluaciju uistinu pokrivaju čitav raspon traženih saznanja o doprinosu NRM-a ruralnom razvoju.</w:t>
            </w:r>
          </w:p>
          <w:p w:rsidR="00867290" w:rsidRPr="00741C25" w:rsidRDefault="00867290" w:rsidP="000A3387">
            <w:pPr>
              <w:pStyle w:val="HStandard"/>
              <w:spacing w:before="120" w:line="240" w:lineRule="atLeast"/>
              <w:rPr>
                <w:b w:val="0"/>
                <w:color w:val="FFC000" w:themeColor="accent4"/>
                <w:sz w:val="18"/>
                <w:szCs w:val="18"/>
                <w:highlight w:val="yellow"/>
              </w:rPr>
            </w:pPr>
            <w:r>
              <w:rPr>
                <w:color w:val="FFC000" w:themeColor="accent4"/>
                <w:sz w:val="18"/>
                <w:highlight w:val="yellow"/>
              </w:rPr>
              <w:t xml:space="preserve">Imati na umu </w:t>
            </w:r>
            <w:r w:rsidRPr="00741C25">
              <w:rPr>
                <w:b w:val="0"/>
                <w:color w:val="FFC000" w:themeColor="accent4"/>
                <w:sz w:val="18"/>
                <w:highlight w:val="yellow"/>
              </w:rPr>
              <w:t>da je svrha pokazatelja prikupiti dokaze za odgovor na pitanja za evaluaciju.</w:t>
            </w:r>
          </w:p>
          <w:p w:rsidR="00867290" w:rsidRPr="000A700F" w:rsidRDefault="00867290" w:rsidP="000A3387">
            <w:pPr>
              <w:pStyle w:val="HStandard"/>
              <w:rPr>
                <w:color w:val="FFC000" w:themeColor="accent4"/>
                <w:sz w:val="18"/>
                <w:szCs w:val="18"/>
                <w:highlight w:val="yellow"/>
              </w:rPr>
            </w:pPr>
            <w:r>
              <w:rPr>
                <w:b w:val="0"/>
                <w:color w:val="FFC000" w:themeColor="accent4"/>
                <w:sz w:val="18"/>
                <w:highlight w:val="yellow"/>
              </w:rPr>
              <w:t>Koristiti se pristupom „RACER” u izradi pokazatelja.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7290" w:rsidRPr="000A700F" w:rsidRDefault="00867290"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b w:val="0"/>
                <w:color w:val="ED7D31" w:themeColor="accent2"/>
                <w:sz w:val="18"/>
                <w:highlight w:val="yellow"/>
              </w:rPr>
              <w:t>Prihvatiti pitanja za evaluaciju i pokazatelje bez kritičkog promišljanja.</w:t>
            </w:r>
          </w:p>
          <w:p w:rsidR="00867290" w:rsidRPr="008D0759" w:rsidRDefault="00867290"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Izraditi pitanja za evaluaciju bez određivanja kriterija za njihovu prosudbu i bez povezivanja s pokazateljima.</w:t>
            </w:r>
          </w:p>
        </w:tc>
      </w:tr>
    </w:tbl>
    <w:p w:rsidR="00867290" w:rsidRPr="008D0759" w:rsidRDefault="00867290" w:rsidP="004D1A84">
      <w:pPr>
        <w:pStyle w:val="HHeading5"/>
      </w:pPr>
      <w:r>
        <w:t>Više o temi</w:t>
      </w:r>
    </w:p>
    <w:tbl>
      <w:tblPr>
        <w:tblStyle w:val="TableGrid"/>
        <w:tblW w:w="9069"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69"/>
      </w:tblGrid>
      <w:tr w:rsidR="00867290" w:rsidRPr="008D0759" w:rsidTr="004C05DD">
        <w:tc>
          <w:tcPr>
            <w:tcW w:w="9069" w:type="dxa"/>
            <w:shd w:val="clear" w:color="auto" w:fill="FAF9F9" w:themeFill="background2" w:themeFillTint="33"/>
          </w:tcPr>
          <w:p w:rsidR="00867290" w:rsidRPr="008D0759" w:rsidRDefault="00867290" w:rsidP="004D1A84">
            <w:pPr>
              <w:pStyle w:val="HStandard"/>
              <w:jc w:val="left"/>
              <w:rPr>
                <w:sz w:val="16"/>
                <w:szCs w:val="16"/>
              </w:rPr>
            </w:pPr>
            <w:r>
              <w:rPr>
                <w:sz w:val="16"/>
              </w:rPr>
              <w:t>Assessment of RDP results: How to prepare for reporting on evaluation in 2017, Chapter 5.1 Evaluation Helpdesk, April 2016</w:t>
            </w:r>
          </w:p>
          <w:p w:rsidR="00867290" w:rsidRPr="008D0759" w:rsidRDefault="00867290" w:rsidP="00C0080B">
            <w:pPr>
              <w:pStyle w:val="HStandard"/>
              <w:jc w:val="left"/>
            </w:pPr>
            <w:r>
              <w:rPr>
                <w:sz w:val="16"/>
              </w:rPr>
              <w:t>Italian NRNP: Examples for mapping IL, EQs and Indicators in the Case Study presented by the evaluator Francesca Angori during the Helpdesk seminar:</w:t>
            </w:r>
            <w:r>
              <w:rPr>
                <w:i/>
                <w:sz w:val="16"/>
              </w:rPr>
              <w:t xml:space="preserve"> “National rural networks: How to show their benefits.” </w:t>
            </w:r>
            <w:r>
              <w:rPr>
                <w:sz w:val="16"/>
              </w:rPr>
              <w:t xml:space="preserve">Rome/IT, 10/11 April 2014. </w:t>
            </w:r>
            <w:hyperlink r:id="rId45">
              <w:r>
                <w:rPr>
                  <w:rStyle w:val="Hyperlink"/>
                  <w:sz w:val="16"/>
                </w:rPr>
                <w:t>http://enrd.ec.europa.eu/enrd-static/app_templates/enrd_assets/pdf/evaluation/national-rural-networks/GPW10_Italy.pdf</w:t>
              </w:r>
            </w:hyperlink>
            <w:r>
              <w:t xml:space="preserve"> </w:t>
            </w:r>
          </w:p>
        </w:tc>
      </w:tr>
    </w:tbl>
    <w:p w:rsidR="00867290" w:rsidRPr="000A700F" w:rsidRDefault="00867290" w:rsidP="00B55106">
      <w:pPr>
        <w:pStyle w:val="HHeading3"/>
        <w:numPr>
          <w:ilvl w:val="0"/>
          <w:numId w:val="0"/>
        </w:numPr>
        <w:rPr>
          <w:highlight w:val="yellow"/>
        </w:rPr>
      </w:pPr>
      <w:bookmarkStart w:id="192" w:name="_Toc443491683"/>
      <w:bookmarkStart w:id="193" w:name="_Toc453079767"/>
      <w:r>
        <w:rPr>
          <w:highlight w:val="yellow"/>
        </w:rPr>
        <w:t>1.1.3. Odabir odgovarajućeg pristupa evaluaciji i metode (metoda) za NRM-ove</w:t>
      </w:r>
      <w:bookmarkEnd w:id="190"/>
      <w:bookmarkEnd w:id="191"/>
      <w:bookmarkEnd w:id="192"/>
      <w:bookmarkEnd w:id="193"/>
    </w:p>
    <w:p w:rsidR="00867290" w:rsidRPr="002809CE" w:rsidRDefault="00867290" w:rsidP="004D1A84">
      <w:pPr>
        <w:pStyle w:val="HStandard"/>
        <w:rPr>
          <w:color w:val="538135" w:themeColor="accent6" w:themeShade="BF"/>
        </w:rPr>
      </w:pPr>
      <w:r>
        <w:t>The next task in the structuring phase is to define the evaluation approach and to choose a suitable mix of methods. A robust evaluation design is crucial for testing and finalizing the indicator system, as well as for identifying data sources and means of data collection.</w:t>
      </w:r>
    </w:p>
    <w:p w:rsidR="00867290" w:rsidRPr="002809CE" w:rsidRDefault="00867290" w:rsidP="004D1A84">
      <w:pPr>
        <w:pStyle w:val="HHeading5"/>
      </w:pPr>
      <w:r>
        <w:t>How to distinguish the evaluation approaches from the methods and tools?</w:t>
      </w:r>
    </w:p>
    <w:p w:rsidR="00867290" w:rsidRPr="002809CE" w:rsidRDefault="00867290" w:rsidP="004D1A84">
      <w:pPr>
        <w:pStyle w:val="HStandard"/>
      </w:pPr>
      <w:r>
        <w:t>In these guidelines we use the terms “approach”, “method” and “tool”. There are no all-purpose definitions for these terms. We use them in a way that the choice of the former implies the choice of the latter. From the approach down to the tool, the significance of purpose and concept decreases whereas the technical aspect gains relevance:</w:t>
      </w:r>
    </w:p>
    <w:p w:rsidR="00867290" w:rsidRPr="008D0759" w:rsidRDefault="00867290" w:rsidP="004D1A84">
      <w:pPr>
        <w:pStyle w:val="Hlistbullet2"/>
      </w:pPr>
      <w:r>
        <w:t xml:space="preserve">The choice of the </w:t>
      </w:r>
      <w:r>
        <w:rPr>
          <w:b/>
        </w:rPr>
        <w:t>approach</w:t>
      </w:r>
      <w:r>
        <w:t xml:space="preserve"> defines the playing field in which the evaluation is carried out. It is guided by questions like: “What is the purpose of the evaluation?” - “What are the (political, economic, technical, financial) boundaries or restrictions we have to take into account for the evaluation?”</w:t>
      </w:r>
    </w:p>
    <w:p w:rsidR="00867290" w:rsidRPr="008D0759" w:rsidRDefault="00867290" w:rsidP="004D1A84">
      <w:pPr>
        <w:pStyle w:val="Hlistbullet2"/>
        <w:numPr>
          <w:ilvl w:val="0"/>
          <w:numId w:val="0"/>
        </w:numPr>
        <w:ind w:left="641"/>
      </w:pPr>
      <w:r>
        <w:sym w:font="Wingdings" w:char="F0E0"/>
      </w:r>
      <w:r>
        <w:t xml:space="preserve"> Example: Mixed quantitative and qualitative approach.</w:t>
      </w:r>
    </w:p>
    <w:p w:rsidR="00867290" w:rsidRPr="008D0759" w:rsidRDefault="00867290" w:rsidP="004D1A84">
      <w:pPr>
        <w:pStyle w:val="Hlistbullet2"/>
      </w:pPr>
      <w:r>
        <w:t xml:space="preserve">The choice of the </w:t>
      </w:r>
      <w:r>
        <w:rPr>
          <w:b/>
        </w:rPr>
        <w:t>method</w:t>
      </w:r>
      <w:r>
        <w:t xml:space="preserve"> or </w:t>
      </w:r>
      <w:r>
        <w:rPr>
          <w:b/>
        </w:rPr>
        <w:t xml:space="preserve">methodology </w:t>
      </w:r>
      <w:r>
        <w:t xml:space="preserve">defines the avenue, the ways and means, of the evaluation process. It is guided by questions like: “Considering the chosen approach, what method or mix of methods do we have at hand?” – “How can we address the purpose and thematic focus of the evaluation?” </w:t>
      </w:r>
    </w:p>
    <w:p w:rsidR="00867290" w:rsidRPr="008D0759" w:rsidRDefault="00867290" w:rsidP="004D1A84">
      <w:pPr>
        <w:pStyle w:val="Hlistbullet2"/>
        <w:numPr>
          <w:ilvl w:val="0"/>
          <w:numId w:val="0"/>
        </w:numPr>
        <w:ind w:left="641"/>
      </w:pPr>
      <w:r>
        <w:sym w:font="Wingdings" w:char="F0E0"/>
      </w:r>
      <w:r>
        <w:t xml:space="preserve"> Example: Social Network Analysis.</w:t>
      </w:r>
    </w:p>
    <w:p w:rsidR="00867290" w:rsidRPr="008D0759" w:rsidRDefault="00867290" w:rsidP="004D1A84">
      <w:pPr>
        <w:pStyle w:val="Hlistbullet2"/>
      </w:pPr>
      <w:r>
        <w:rPr>
          <w:b/>
        </w:rPr>
        <w:t xml:space="preserve">Tools </w:t>
      </w:r>
      <w:r>
        <w:t>are the basic technical elements of methods, which we use in collecting evaluation evidence.</w:t>
      </w:r>
    </w:p>
    <w:p w:rsidR="00867290" w:rsidRPr="008D0759" w:rsidRDefault="00867290" w:rsidP="004D1A84">
      <w:pPr>
        <w:pStyle w:val="Hlistbullet2"/>
        <w:numPr>
          <w:ilvl w:val="0"/>
          <w:numId w:val="0"/>
        </w:numPr>
        <w:ind w:left="641"/>
      </w:pPr>
      <w:r>
        <w:sym w:font="Wingdings" w:char="F0E0"/>
      </w:r>
      <w:r>
        <w:t xml:space="preserve"> Example: Standard online questionnaire.</w:t>
      </w:r>
    </w:p>
    <w:p w:rsidR="00867290" w:rsidRPr="008D0759" w:rsidRDefault="00867290" w:rsidP="00320BBA">
      <w:pPr>
        <w:pStyle w:val="HHeading5"/>
        <w:rPr>
          <w:color w:val="538135" w:themeColor="accent6" w:themeShade="BF"/>
        </w:rPr>
      </w:pPr>
      <w:bookmarkStart w:id="194" w:name="_Toc433481229"/>
      <w:bookmarkStart w:id="195" w:name="_Toc433718137"/>
      <w:bookmarkStart w:id="196" w:name="_Toc434744507"/>
      <w:bookmarkStart w:id="197" w:name="_Toc436140056"/>
      <w:r>
        <w:rPr>
          <w:color w:val="538135" w:themeColor="accent6" w:themeShade="BF"/>
        </w:rPr>
        <w:lastRenderedPageBreak/>
        <w:t>Choosing an evaluation approach</w:t>
      </w:r>
      <w:bookmarkEnd w:id="194"/>
      <w:bookmarkEnd w:id="195"/>
      <w:bookmarkEnd w:id="196"/>
      <w:r>
        <w:rPr>
          <w:color w:val="538135" w:themeColor="accent6" w:themeShade="BF"/>
        </w:rPr>
        <w:t xml:space="preserve"> for NRN</w:t>
      </w:r>
      <w:bookmarkEnd w:id="197"/>
      <w:r>
        <w:rPr>
          <w:color w:val="538135" w:themeColor="accent6" w:themeShade="BF"/>
        </w:rPr>
        <w:t xml:space="preserve">s </w:t>
      </w:r>
    </w:p>
    <w:p w:rsidR="00867290" w:rsidRPr="008D0759" w:rsidRDefault="00867290" w:rsidP="00340AD4">
      <w:pPr>
        <w:pStyle w:val="Heading6"/>
      </w:pPr>
      <w:r>
        <w:t>What is required by the legal framework and what is up to the discretion of the Member States?</w:t>
      </w:r>
    </w:p>
    <w:p w:rsidR="00867290" w:rsidRPr="008D0759" w:rsidRDefault="00867290" w:rsidP="00975D9B">
      <w:pPr>
        <w:pStyle w:val="HStandard"/>
      </w:pPr>
      <w:r>
        <w:t>The appropriate evaluation approach will in most cases consist of a mix of methods determined by:</w:t>
      </w:r>
    </w:p>
    <w:p w:rsidR="00867290" w:rsidRPr="008D0759" w:rsidRDefault="00867290" w:rsidP="00975D9B">
      <w:pPr>
        <w:pStyle w:val="Hlistbullet2"/>
      </w:pPr>
      <w:r>
        <w:t>type of evaluation required (2017, 2019 and ex post),</w:t>
      </w:r>
    </w:p>
    <w:p w:rsidR="00867290" w:rsidRPr="008D0759" w:rsidRDefault="00867290" w:rsidP="00975D9B">
      <w:pPr>
        <w:pStyle w:val="Hlistbullet2"/>
      </w:pPr>
      <w:r>
        <w:t>thematic priorities of the NRN’s activities,</w:t>
      </w:r>
    </w:p>
    <w:p w:rsidR="00867290" w:rsidRPr="008D0759" w:rsidRDefault="00867290" w:rsidP="00975D9B">
      <w:pPr>
        <w:pStyle w:val="Hlistbullet2"/>
      </w:pPr>
      <w:r>
        <w:t>purpose and interest of the managing authorities and other stakeholders.</w:t>
      </w:r>
    </w:p>
    <w:p w:rsidR="00867290" w:rsidRPr="008D0759" w:rsidRDefault="00867290" w:rsidP="00975D9B">
      <w:pPr>
        <w:pStyle w:val="HStandard"/>
      </w:pPr>
      <w:r>
        <w:t xml:space="preserve">The </w:t>
      </w:r>
      <w:r>
        <w:rPr>
          <w:b/>
        </w:rPr>
        <w:t>legal framework</w:t>
      </w:r>
      <w:r>
        <w:t xml:space="preserve"> requires focusing the NRN evaluation in 2017 on the quantification of programme achievements while using the NRN common output and programme-specific result indicators, and answering the common evaluation question linked to the NRN.</w:t>
      </w:r>
    </w:p>
    <w:p w:rsidR="00867290" w:rsidRPr="008D0759" w:rsidRDefault="00867290" w:rsidP="00975D9B">
      <w:pPr>
        <w:pStyle w:val="HStandard"/>
      </w:pPr>
      <w:r>
        <w:t>The AIR 2019 additionally requires the assessment of progress towards the objectives of the RDP or NRNP, and its contribution to the Union strategy for smart, sustainable and inclusive growth through, inter alia, assessment of the programme´s net contribution to changes in CAP impact indicator values. In both cases the assessment will rely on information collected via common output and programme- specific result and impact indicators related to the NRN.</w:t>
      </w:r>
    </w:p>
    <w:p w:rsidR="00867290" w:rsidRPr="008D0759" w:rsidRDefault="00867290" w:rsidP="00975D9B">
      <w:pPr>
        <w:pStyle w:val="HStandard"/>
      </w:pPr>
      <w:r>
        <w:t>The ex post evaluation requires the assessment of NRN(P) results and impacts against the backdrop of NRN objectives, RDP and horizontal CAP objectives.</w:t>
      </w:r>
    </w:p>
    <w:p w:rsidR="00867290" w:rsidRPr="008D0759" w:rsidRDefault="00867290" w:rsidP="00975D9B">
      <w:pPr>
        <w:pStyle w:val="HStandard"/>
      </w:pPr>
      <w:r>
        <w:t xml:space="preserve">It is up to the </w:t>
      </w:r>
      <w:r>
        <w:rPr>
          <w:b/>
        </w:rPr>
        <w:t>discretion of Member States</w:t>
      </w:r>
      <w:r>
        <w:t xml:space="preserve"> to define: </w:t>
      </w:r>
    </w:p>
    <w:p w:rsidR="00867290" w:rsidRPr="008D0759" w:rsidRDefault="00867290" w:rsidP="00975D9B">
      <w:pPr>
        <w:pStyle w:val="Hlistbullet2"/>
      </w:pPr>
      <w:r>
        <w:t>specific evaluation topics in respect to the NRN in the evaluation plan;</w:t>
      </w:r>
    </w:p>
    <w:p w:rsidR="00867290" w:rsidRPr="008D0759" w:rsidRDefault="00867290" w:rsidP="00975D9B">
      <w:pPr>
        <w:pStyle w:val="Hlistbullet2"/>
      </w:pPr>
      <w:r>
        <w:t>NRN related programme-specific evaluation questions and indicators;</w:t>
      </w:r>
    </w:p>
    <w:p w:rsidR="00867290" w:rsidRPr="008D0759" w:rsidRDefault="00867290" w:rsidP="00975D9B">
      <w:pPr>
        <w:pStyle w:val="Hlistbullet2"/>
      </w:pPr>
      <w:r>
        <w:t>scope and features of the monitoring and evaluation framework of the NRN, possibly connected to self-assessment;</w:t>
      </w:r>
    </w:p>
    <w:p w:rsidR="00867290" w:rsidRPr="008D0759" w:rsidRDefault="00867290" w:rsidP="00975D9B">
      <w:pPr>
        <w:pStyle w:val="Hlistbullet2"/>
      </w:pPr>
      <w:r>
        <w:t>the evaluation approach in the Terms of Reference, which gets fine-tuned by the evaluator. In some cases, the Member States will go so far as to prescribe methodologies and tools, in other cases this will be left to the choice and competencies of the evaluator;</w:t>
      </w:r>
    </w:p>
    <w:p w:rsidR="00867290" w:rsidRPr="008D0759" w:rsidRDefault="00867290" w:rsidP="00975D9B">
      <w:pPr>
        <w:pStyle w:val="Hlistbullet2"/>
      </w:pPr>
      <w:r>
        <w:t>specific evaluation activities, such as ongoing evaluation, and accompanying research and studies covering particular themes.</w:t>
      </w:r>
    </w:p>
    <w:p w:rsidR="00867290" w:rsidRPr="008D0759" w:rsidRDefault="00867290" w:rsidP="00975D9B">
      <w:pPr>
        <w:pStyle w:val="HStandard"/>
      </w:pPr>
      <w:r>
        <w:t>The main choice will be that of the right weighting in a mixed quantitative and qualitative approach in relation to chosen evaluation themes. Some themes (e.g. information and dissemination activities; training activities) will allow for more, some for less quantification (e.g. fostering innovation in rural areas; involvement of stakeholders in RD).</w:t>
      </w:r>
    </w:p>
    <w:p w:rsidR="00867290" w:rsidRPr="008D0759" w:rsidRDefault="00867290" w:rsidP="00320BBA">
      <w:pPr>
        <w:pStyle w:val="HStandard"/>
        <w:rPr>
          <w:color w:val="538135" w:themeColor="accent6" w:themeShade="BF"/>
        </w:rPr>
      </w:pPr>
      <w:r>
        <w:t>In any event, proportionality should be taken into account. The effort to apply the evaluation methods should match with the scope and scale of NRN tasks and operations.</w:t>
      </w:r>
    </w:p>
    <w:p w:rsidR="00867290" w:rsidRPr="002809CE" w:rsidRDefault="00867290" w:rsidP="00340AD4">
      <w:pPr>
        <w:pStyle w:val="Heading6"/>
      </w:pPr>
      <w:r>
        <w:rPr>
          <w:highlight w:val="yellow"/>
        </w:rPr>
        <w:t>Koji su glavni koraci u odabiru pristupa evaluaciji?</w:t>
      </w:r>
    </w:p>
    <w:p w:rsidR="00867290" w:rsidRPr="002809CE" w:rsidRDefault="00867290" w:rsidP="00975D9B">
      <w:pPr>
        <w:pStyle w:val="HStandard"/>
      </w:pPr>
      <w:r>
        <w:t xml:space="preserve">The chosen evaluation approach is affecting the selection of methods and requirements for data and information to be collected and analysed for answering the evaluation questions. It also influences the quality of evaluation findings and conclusions and recommendations to improve the NRN related policy objectives and interventions. </w:t>
      </w:r>
      <w:r>
        <w:rPr>
          <w:highlight w:val="yellow"/>
        </w:rPr>
        <w:t>Preporučeni su koraci u radu i očekivani ishod sljedeći</w:t>
      </w:r>
      <w:r>
        <w:t>:</w:t>
      </w:r>
    </w:p>
    <w:p w:rsidR="00867290" w:rsidRPr="002809CE" w:rsidRDefault="00867290">
      <w:pPr>
        <w:spacing w:after="0" w:line="240" w:lineRule="auto"/>
        <w:rPr>
          <w:rFonts w:cs="Arial"/>
          <w:color w:val="576C88" w:themeColor="text2" w:themeTint="D9"/>
          <w:sz w:val="20"/>
          <w:szCs w:val="20"/>
        </w:rPr>
      </w:pPr>
      <w:r>
        <w:br w:type="page"/>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7290" w:rsidRPr="000A700F" w:rsidTr="00975D9B">
        <w:tc>
          <w:tcPr>
            <w:tcW w:w="988" w:type="dxa"/>
            <w:shd w:val="clear" w:color="auto" w:fill="E7E6E6" w:themeFill="background2"/>
          </w:tcPr>
          <w:p w:rsidR="00867290" w:rsidRPr="000A700F" w:rsidRDefault="00867290" w:rsidP="00975D9B">
            <w:pPr>
              <w:pStyle w:val="HStandard"/>
              <w:jc w:val="center"/>
              <w:rPr>
                <w:b/>
                <w:color w:val="5B9BD5" w:themeColor="accent1"/>
                <w:sz w:val="18"/>
                <w:szCs w:val="18"/>
                <w:highlight w:val="yellow"/>
              </w:rPr>
            </w:pPr>
            <w:r>
              <w:rPr>
                <w:b/>
                <w:color w:val="5B9BD5" w:themeColor="accent1"/>
                <w:sz w:val="18"/>
                <w:highlight w:val="yellow"/>
              </w:rPr>
              <w:lastRenderedPageBreak/>
              <w:t>1.</w:t>
            </w:r>
          </w:p>
        </w:tc>
        <w:tc>
          <w:tcPr>
            <w:tcW w:w="8028" w:type="dxa"/>
          </w:tcPr>
          <w:p w:rsidR="00867290" w:rsidRPr="000A700F" w:rsidRDefault="00867290" w:rsidP="004C05DD">
            <w:pPr>
              <w:pStyle w:val="HStandard"/>
              <w:rPr>
                <w:b/>
                <w:i/>
                <w:sz w:val="18"/>
                <w:szCs w:val="18"/>
                <w:highlight w:val="yellow"/>
              </w:rPr>
            </w:pPr>
            <w:r>
              <w:rPr>
                <w:sz w:val="18"/>
                <w:highlight w:val="yellow"/>
              </w:rPr>
              <w:t>Odrediti opseg evaluacije NRM-a</w:t>
            </w:r>
          </w:p>
        </w:tc>
      </w:tr>
      <w:tr w:rsidR="00867290" w:rsidRPr="000A700F" w:rsidTr="00975D9B">
        <w:tc>
          <w:tcPr>
            <w:tcW w:w="988" w:type="dxa"/>
            <w:shd w:val="clear" w:color="auto" w:fill="E7E6E6" w:themeFill="background2"/>
          </w:tcPr>
          <w:p w:rsidR="00867290" w:rsidRPr="000A700F" w:rsidRDefault="00867290" w:rsidP="00975D9B">
            <w:pPr>
              <w:pStyle w:val="HStandard"/>
              <w:jc w:val="center"/>
              <w:rPr>
                <w:b/>
                <w:color w:val="5B9BD5" w:themeColor="accent1"/>
                <w:sz w:val="18"/>
                <w:szCs w:val="18"/>
                <w:highlight w:val="yellow"/>
              </w:rPr>
            </w:pPr>
            <w:r>
              <w:rPr>
                <w:b/>
                <w:color w:val="5B9BD5" w:themeColor="accent1"/>
                <w:sz w:val="18"/>
                <w:highlight w:val="yellow"/>
              </w:rPr>
              <w:t>2.</w:t>
            </w:r>
          </w:p>
        </w:tc>
        <w:tc>
          <w:tcPr>
            <w:tcW w:w="8028" w:type="dxa"/>
          </w:tcPr>
          <w:p w:rsidR="00867290" w:rsidRPr="000A700F" w:rsidRDefault="00867290" w:rsidP="000B1658">
            <w:pPr>
              <w:pStyle w:val="HStandard"/>
              <w:spacing w:after="0"/>
              <w:rPr>
                <w:sz w:val="18"/>
                <w:szCs w:val="18"/>
                <w:highlight w:val="yellow"/>
              </w:rPr>
            </w:pPr>
            <w:r>
              <w:rPr>
                <w:sz w:val="18"/>
                <w:highlight w:val="yellow"/>
              </w:rPr>
              <w:t>Razumjeti izazove u procjenjivanju rezultata i učinaka NRM-a</w:t>
            </w:r>
          </w:p>
        </w:tc>
      </w:tr>
      <w:tr w:rsidR="00867290" w:rsidRPr="000A700F" w:rsidTr="00975D9B">
        <w:tc>
          <w:tcPr>
            <w:tcW w:w="988" w:type="dxa"/>
            <w:shd w:val="clear" w:color="auto" w:fill="E7E6E6" w:themeFill="background2"/>
          </w:tcPr>
          <w:p w:rsidR="00867290" w:rsidRPr="000A700F" w:rsidRDefault="00867290" w:rsidP="00975D9B">
            <w:pPr>
              <w:pStyle w:val="HStandard"/>
              <w:jc w:val="center"/>
              <w:rPr>
                <w:b/>
                <w:color w:val="5B9BD5" w:themeColor="accent1"/>
                <w:sz w:val="18"/>
                <w:szCs w:val="18"/>
                <w:highlight w:val="yellow"/>
              </w:rPr>
            </w:pPr>
            <w:r>
              <w:rPr>
                <w:b/>
                <w:color w:val="5B9BD5" w:themeColor="accent1"/>
                <w:sz w:val="18"/>
                <w:highlight w:val="yellow"/>
              </w:rPr>
              <w:t>3.</w:t>
            </w:r>
          </w:p>
        </w:tc>
        <w:tc>
          <w:tcPr>
            <w:tcW w:w="8028" w:type="dxa"/>
          </w:tcPr>
          <w:p w:rsidR="00867290" w:rsidRPr="000A700F" w:rsidRDefault="00867290" w:rsidP="004C05DD">
            <w:pPr>
              <w:spacing w:line="280" w:lineRule="atLeast"/>
              <w:rPr>
                <w:color w:val="576C88" w:themeColor="text2" w:themeTint="D9"/>
                <w:szCs w:val="18"/>
                <w:highlight w:val="yellow"/>
              </w:rPr>
            </w:pPr>
            <w:r>
              <w:rPr>
                <w:color w:val="576C88" w:themeColor="text2" w:themeTint="D9"/>
                <w:highlight w:val="yellow"/>
              </w:rPr>
              <w:t>Pregledati sve moguće pristupe evaluaciji NRM-a i njihove komparativne prednosti</w:t>
            </w:r>
          </w:p>
        </w:tc>
      </w:tr>
      <w:tr w:rsidR="00867290" w:rsidRPr="000A700F" w:rsidTr="00975D9B">
        <w:tc>
          <w:tcPr>
            <w:tcW w:w="988" w:type="dxa"/>
            <w:shd w:val="clear" w:color="auto" w:fill="E7E6E6" w:themeFill="background2"/>
          </w:tcPr>
          <w:p w:rsidR="00867290" w:rsidRPr="000A700F" w:rsidRDefault="00867290" w:rsidP="00975D9B">
            <w:pPr>
              <w:pStyle w:val="HStandard"/>
              <w:jc w:val="center"/>
              <w:rPr>
                <w:b/>
                <w:color w:val="5B9BD5" w:themeColor="accent1"/>
                <w:sz w:val="18"/>
                <w:szCs w:val="18"/>
                <w:highlight w:val="yellow"/>
              </w:rPr>
            </w:pPr>
            <w:r>
              <w:rPr>
                <w:b/>
                <w:color w:val="5B9BD5" w:themeColor="accent1"/>
                <w:sz w:val="18"/>
                <w:highlight w:val="yellow"/>
              </w:rPr>
              <w:t>4.</w:t>
            </w:r>
          </w:p>
        </w:tc>
        <w:tc>
          <w:tcPr>
            <w:tcW w:w="8028" w:type="dxa"/>
          </w:tcPr>
          <w:p w:rsidR="00867290" w:rsidRPr="000A700F" w:rsidRDefault="00867290" w:rsidP="004C05DD">
            <w:pPr>
              <w:pStyle w:val="HStandard"/>
              <w:rPr>
                <w:b/>
                <w:i/>
                <w:sz w:val="18"/>
                <w:szCs w:val="18"/>
                <w:highlight w:val="yellow"/>
              </w:rPr>
            </w:pPr>
            <w:r>
              <w:rPr>
                <w:sz w:val="18"/>
                <w:highlight w:val="yellow"/>
              </w:rPr>
              <w:t>Odabrati pristup evaluaciji NRM-a</w:t>
            </w:r>
          </w:p>
        </w:tc>
      </w:tr>
      <w:tr w:rsidR="00867290" w:rsidRPr="008D0759" w:rsidTr="00975D9B">
        <w:tc>
          <w:tcPr>
            <w:tcW w:w="9016" w:type="dxa"/>
            <w:gridSpan w:val="2"/>
          </w:tcPr>
          <w:p w:rsidR="00867290" w:rsidRPr="008D0759" w:rsidRDefault="00867290" w:rsidP="004C05DD">
            <w:pPr>
              <w:pStyle w:val="HStandard"/>
              <w:rPr>
                <w:b/>
                <w:i/>
                <w:sz w:val="18"/>
                <w:szCs w:val="18"/>
              </w:rPr>
            </w:pPr>
            <w:r>
              <w:rPr>
                <w:b/>
                <w:sz w:val="18"/>
                <w:highlight w:val="yellow"/>
              </w:rPr>
              <w:t>Očekivani ishod:</w:t>
            </w:r>
            <w:r>
              <w:rPr>
                <w:b/>
                <w:i/>
                <w:sz w:val="18"/>
                <w:highlight w:val="yellow"/>
              </w:rPr>
              <w:t xml:space="preserve"> </w:t>
            </w:r>
            <w:r>
              <w:rPr>
                <w:sz w:val="18"/>
                <w:highlight w:val="yellow"/>
              </w:rPr>
              <w:t>Odabir pristupa evaluaciji</w:t>
            </w:r>
          </w:p>
        </w:tc>
      </w:tr>
    </w:tbl>
    <w:p w:rsidR="00867290" w:rsidRPr="008D0759" w:rsidRDefault="00867290" w:rsidP="00975D9B">
      <w:pPr>
        <w:pStyle w:val="HStandard"/>
      </w:pPr>
      <w:r>
        <w:t>Steps in choosing the evaluation approach are detailed below.</w:t>
      </w:r>
    </w:p>
    <w:p w:rsidR="00867290" w:rsidRPr="008D0759" w:rsidRDefault="00867290" w:rsidP="007046A4">
      <w:pPr>
        <w:pStyle w:val="HStandard"/>
        <w:rPr>
          <w:b/>
        </w:rPr>
      </w:pPr>
      <w:r>
        <w:rPr>
          <w:b/>
          <w:color w:val="ED7D31" w:themeColor="accent2"/>
        </w:rPr>
        <w:t>Step 1 - Identify the scope of the NRN evaluation</w:t>
      </w:r>
    </w:p>
    <w:p w:rsidR="00867290" w:rsidRPr="008D0759" w:rsidRDefault="00867290" w:rsidP="00340AD4">
      <w:pPr>
        <w:pStyle w:val="HStandard"/>
      </w:pPr>
      <w:r>
        <w:t>The scope of the NRN evaluation should be defined by the evaluation plan or a similar internal evaluation planning document. Within this scope it is important to include the assessment of the achievements of the NRN’s common and programme-specific objectives (see also Introduction, chapter 1.4.2), as well as the NRN’s results (in the AIR submitted in 2017). This can cover changes in the behaviour of the NRN’s members and beneficiaries and impacts (in the AIR submitted in 2019), such as more effective RDP implementation due to the NRN’s activities, and changes in human and social capital. For example, networking and cooperation activities and structures, increased participation of the civil society in rural development, increased individual, organisational and societal capacities through the exchange of information and experience, etc.</w:t>
      </w:r>
    </w:p>
    <w:p w:rsidR="00867290" w:rsidRPr="008D0759" w:rsidRDefault="00867290" w:rsidP="00340AD4">
      <w:pPr>
        <w:pStyle w:val="HStandard"/>
      </w:pPr>
      <w:r>
        <w:t>The preliminary review of existing NRNPs 2014-2020 and their evaluation plans shows that in addition to the common evaluation requirements for 2017, 2019 and the ex post, the evaluation activities of NRNPs may also focus on building the methodological capacity for carrying out evaluations of the programme’s effects, e.g. through studies to develop result and impact indicators or to develop methods for the evaluation of the essentially intangible results and impacts of the NRNP.</w:t>
      </w:r>
    </w:p>
    <w:p w:rsidR="00867290" w:rsidRPr="008D0759" w:rsidRDefault="00867290" w:rsidP="007046A4">
      <w:pPr>
        <w:pStyle w:val="HStandard"/>
        <w:rPr>
          <w:b/>
          <w:color w:val="ED7D31" w:themeColor="accent2"/>
        </w:rPr>
      </w:pPr>
      <w:r>
        <w:rPr>
          <w:b/>
          <w:color w:val="ED7D31" w:themeColor="accent2"/>
        </w:rPr>
        <w:t>Step 2 - Understand the challenges in assessing NRN results and impacts</w:t>
      </w:r>
    </w:p>
    <w:p w:rsidR="00867290" w:rsidRPr="008D0759" w:rsidRDefault="00867290" w:rsidP="00340AD4">
      <w:pPr>
        <w:pStyle w:val="HStandard"/>
      </w:pPr>
      <w:r>
        <w:t>Before selecting the evaluation approach, the evaluator needs to have a full picture of the challenges associated with the specificities of NRNs, including inter alia</w:t>
      </w:r>
      <w:r>
        <w:rPr>
          <w:rFonts w:ascii="ZWAdobeF" w:hAnsi="ZWAdobeF"/>
          <w:color w:val="auto"/>
          <w:sz w:val="2"/>
        </w:rPr>
        <w:t>92F</w:t>
      </w:r>
      <w:r>
        <w:rPr>
          <w:rStyle w:val="FootnoteReference"/>
        </w:rPr>
        <w:footnoteReference w:id="93"/>
      </w:r>
      <w:r>
        <w:t>:</w:t>
      </w:r>
    </w:p>
    <w:p w:rsidR="00867290" w:rsidRPr="008D0759" w:rsidRDefault="00867290" w:rsidP="00340AD4">
      <w:pPr>
        <w:pStyle w:val="Hlistbullet2"/>
      </w:pPr>
      <w:bookmarkStart w:id="198" w:name="_Toc434744508"/>
      <w:r>
        <w:t>Networking activities often produce intangible results and impacts that are difficult to measure. The emergence of behavioural changes, social innovation and the enhancement of human and social capital constitutes the most important results and impacts of networking activities which may also go beyond the NRN’s members and RDP’s beneficiaries. The field of expertise in this realm is quickly expanding, and evaluators are called upon to draw on the most recent studies</w:t>
      </w:r>
      <w:r>
        <w:rPr>
          <w:rFonts w:ascii="ZWAdobeF" w:hAnsi="ZWAdobeF"/>
          <w:color w:val="auto"/>
          <w:sz w:val="2"/>
        </w:rPr>
        <w:t>93F</w:t>
      </w:r>
      <w:r>
        <w:rPr>
          <w:rStyle w:val="FootnoteReference"/>
        </w:rPr>
        <w:footnoteReference w:id="94"/>
      </w:r>
      <w:r>
        <w:t>.</w:t>
      </w:r>
      <w:bookmarkEnd w:id="198"/>
    </w:p>
    <w:p w:rsidR="00867290" w:rsidRPr="008D0759" w:rsidRDefault="00867290" w:rsidP="00340AD4">
      <w:pPr>
        <w:pStyle w:val="Hlistbullet2"/>
      </w:pPr>
      <w:bookmarkStart w:id="199" w:name="_Toc434744509"/>
      <w:r>
        <w:t>The scope of NRN activities can be very broad, since events and training activities may permeate all aspects of rural development policy (competitiveness, environment, socio-economic development), potentially generating results in all these spheres.</w:t>
      </w:r>
      <w:bookmarkEnd w:id="199"/>
    </w:p>
    <w:p w:rsidR="00867290" w:rsidRPr="008D0759" w:rsidRDefault="00867290" w:rsidP="00340AD4">
      <w:pPr>
        <w:pStyle w:val="Hlistbullet2"/>
        <w:rPr>
          <w:i/>
        </w:rPr>
      </w:pPr>
      <w:bookmarkStart w:id="200" w:name="_Toc434744510"/>
      <w:r>
        <w:t>The assessment of NRN results and impacts should chisel out causal relations between NRN(P) activities and indicator values, notwithstanding the difficulties to observe intangible changes.</w:t>
      </w:r>
      <w:bookmarkEnd w:id="200"/>
      <w:r>
        <w:t xml:space="preserve"> Put as a question: </w:t>
      </w:r>
      <w:r>
        <w:rPr>
          <w:i/>
        </w:rPr>
        <w:t>“To what extent are observed changes expressed in indicators´ values due to the NRN’s activities or what changes would have happened without them?”</w:t>
      </w:r>
    </w:p>
    <w:p w:rsidR="00867290" w:rsidRPr="008D0759" w:rsidRDefault="00867290" w:rsidP="00340AD4">
      <w:pPr>
        <w:pStyle w:val="Hlistbullet2"/>
      </w:pPr>
      <w:bookmarkStart w:id="201" w:name="_Toc434744511"/>
      <w:r>
        <w:lastRenderedPageBreak/>
        <w:t>Experience shows that some NRNs may start their activities in a relatively late stage of RDP implementation, in which case the scope for measuring results and impacts will be limited (e.g. due to missing baseline values of indicators or inadequate data collection system).</w:t>
      </w:r>
      <w:bookmarkEnd w:id="201"/>
    </w:p>
    <w:p w:rsidR="00867290" w:rsidRPr="008D0759" w:rsidRDefault="00867290" w:rsidP="00340AD4">
      <w:pPr>
        <w:pStyle w:val="Hlistbullet2"/>
      </w:pPr>
      <w:bookmarkStart w:id="202" w:name="_Toc434744512"/>
      <w:r>
        <w:t>In some cases, the NRN is merely considered as an auxiliary device to promote RDP measures, disregarding other NRN objectives (e.g. the generation of new knowledge, the contribution to rural innovation).</w:t>
      </w:r>
      <w:bookmarkEnd w:id="202"/>
      <w:r>
        <w:t xml:space="preserve"> </w:t>
      </w:r>
    </w:p>
    <w:p w:rsidR="00867290" w:rsidRPr="008D0759" w:rsidRDefault="00867290" w:rsidP="00340AD4">
      <w:pPr>
        <w:pStyle w:val="Hlistbullet2"/>
      </w:pPr>
      <w:bookmarkStart w:id="203" w:name="_Toc434744513"/>
      <w:r>
        <w:t>The monitoring of NRN activities generates data related to the frequency of events, exchanges or trainings, and the number of people participating. All this is easy to collect. However, there is limited possibility to collect evidence in relation to expected result and impacts, such as the establishment of a consolidated cooperation framework or the generation of knowledge in LEADER areas that the NRN activities may have spawned.</w:t>
      </w:r>
    </w:p>
    <w:p w:rsidR="00867290" w:rsidRPr="008D0759" w:rsidRDefault="00867290" w:rsidP="00340AD4">
      <w:pPr>
        <w:pStyle w:val="Hlistbullet2"/>
      </w:pPr>
      <w:r>
        <w:t>Several NRN effects on the RDP implementation would appear in the long-term. Tracing them back to the NRN’s activities could turn out as a highly speculative exercise. This does not mean that the evaluator should refrain from drawing hypothetical conclusions, but not without the necessary caveats.</w:t>
      </w:r>
      <w:bookmarkEnd w:id="203"/>
    </w:p>
    <w:p w:rsidR="00867290" w:rsidRPr="008D0759" w:rsidRDefault="00867290" w:rsidP="007046A4">
      <w:pPr>
        <w:pStyle w:val="HStandard"/>
        <w:rPr>
          <w:b/>
          <w:color w:val="ED7D31" w:themeColor="accent2"/>
        </w:rPr>
      </w:pPr>
      <w:r>
        <w:rPr>
          <w:b/>
          <w:color w:val="ED7D31" w:themeColor="accent2"/>
        </w:rPr>
        <w:t>Step 3 - Obtain an overview of possible evaluation approaches for the NRN and their comparative advantages</w:t>
      </w:r>
    </w:p>
    <w:p w:rsidR="00867290" w:rsidRPr="008D0759" w:rsidRDefault="00867290" w:rsidP="00340AD4">
      <w:pPr>
        <w:pStyle w:val="HStandard"/>
      </w:pPr>
      <w:r>
        <w:t>In rural development evaluation, the theory of change is expressed by the intervention logic (see chapter 3.1). Theory of change is focused not just on generating knowledge about whether a programme is effective, but also to explain what methods can be considered to be effective.</w:t>
      </w:r>
    </w:p>
    <w:p w:rsidR="00867290" w:rsidRPr="008D0759" w:rsidRDefault="00867290" w:rsidP="00340AD4">
      <w:pPr>
        <w:pStyle w:val="HStandard"/>
      </w:pPr>
      <w:r>
        <w:t xml:space="preserve">The solution for sound NRN(P) evaluations is to rely on a well-designed mix of quantitative and qualitative approaches. </w:t>
      </w:r>
      <w:r>
        <w:fldChar w:fldCharType="begin" w:fldLock="1"/>
      </w:r>
      <w:r>
        <w:instrText xml:space="preserve"> REF _Ref451785030 \r \h </w:instrText>
      </w:r>
      <w:r>
        <w:fldChar w:fldCharType="separate"/>
      </w:r>
      <w:r>
        <w:t>Table 11</w:t>
      </w:r>
      <w:r>
        <w:fldChar w:fldCharType="end"/>
      </w:r>
      <w:r>
        <w:t xml:space="preserve"> provides an overview of the advantages and drawbacks of qualitative and quantitative approaches in the context of NRN(P) evaluations.</w:t>
      </w:r>
    </w:p>
    <w:p w:rsidR="00867290" w:rsidRPr="008D0759" w:rsidRDefault="00867290" w:rsidP="00340AD4">
      <w:pPr>
        <w:pStyle w:val="HHeadingtables"/>
      </w:pPr>
      <w:bookmarkStart w:id="204" w:name="_Toc436140067"/>
      <w:bookmarkStart w:id="205" w:name="_Toc436383153"/>
      <w:bookmarkStart w:id="206" w:name="_Toc451781915"/>
      <w:bookmarkStart w:id="207" w:name="_Ref451785030"/>
      <w:r>
        <w:t xml:space="preserve">Overview </w:t>
      </w:r>
      <w:bookmarkEnd w:id="204"/>
      <w:bookmarkEnd w:id="205"/>
      <w:r>
        <w:t>of the qualitative and quantitative evaluation approaches</w:t>
      </w:r>
      <w:bookmarkEnd w:id="206"/>
      <w:bookmarkEnd w:id="207"/>
      <w:r>
        <w:t xml:space="preserve"> </w:t>
      </w:r>
    </w:p>
    <w:tbl>
      <w:tblPr>
        <w:tblStyle w:val="TableGrid"/>
        <w:tblW w:w="9816"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441"/>
        <w:gridCol w:w="3131"/>
        <w:gridCol w:w="2822"/>
        <w:gridCol w:w="2422"/>
      </w:tblGrid>
      <w:tr w:rsidR="00867290" w:rsidRPr="008D0759" w:rsidTr="004C05DD">
        <w:trPr>
          <w:trHeight w:val="53"/>
          <w:tblHeader/>
          <w:jc w:val="center"/>
        </w:trPr>
        <w:tc>
          <w:tcPr>
            <w:tcW w:w="1441" w:type="dxa"/>
            <w:vMerge w:val="restart"/>
            <w:shd w:val="clear" w:color="auto" w:fill="E7E6E6" w:themeFill="background2"/>
          </w:tcPr>
          <w:p w:rsidR="00867290" w:rsidRPr="008D0759" w:rsidRDefault="00867290" w:rsidP="004C05DD">
            <w:pPr>
              <w:pStyle w:val="Htableleftbolt"/>
              <w:rPr>
                <w:color w:val="5B9BD5" w:themeColor="accent1"/>
              </w:rPr>
            </w:pPr>
            <w:r>
              <w:rPr>
                <w:color w:val="5B9BD5" w:themeColor="accent1"/>
              </w:rPr>
              <w:t>Pristup evaluaciji</w:t>
            </w:r>
          </w:p>
        </w:tc>
        <w:tc>
          <w:tcPr>
            <w:tcW w:w="5953" w:type="dxa"/>
            <w:gridSpan w:val="2"/>
            <w:shd w:val="clear" w:color="auto" w:fill="E7E6E6" w:themeFill="background2"/>
          </w:tcPr>
          <w:p w:rsidR="00867290" w:rsidRPr="008D0759" w:rsidRDefault="00867290" w:rsidP="004C05DD">
            <w:pPr>
              <w:pStyle w:val="Htableleftbolt"/>
              <w:jc w:val="center"/>
              <w:rPr>
                <w:color w:val="5B9BD5" w:themeColor="accent1"/>
              </w:rPr>
            </w:pPr>
            <w:r>
              <w:rPr>
                <w:color w:val="5B9BD5" w:themeColor="accent1"/>
              </w:rPr>
              <w:t>Suitability for the evaluation of NRN(P)</w:t>
            </w:r>
          </w:p>
        </w:tc>
        <w:tc>
          <w:tcPr>
            <w:tcW w:w="2422" w:type="dxa"/>
            <w:shd w:val="clear" w:color="auto" w:fill="E7E6E6" w:themeFill="background2"/>
          </w:tcPr>
          <w:p w:rsidR="00867290" w:rsidRPr="008D0759" w:rsidRDefault="00867290" w:rsidP="004C05DD">
            <w:pPr>
              <w:pStyle w:val="Htableleftbolt"/>
              <w:rPr>
                <w:color w:val="5B9BD5" w:themeColor="accent1"/>
              </w:rPr>
            </w:pPr>
            <w:r>
              <w:rPr>
                <w:color w:val="5B9BD5" w:themeColor="accent1"/>
              </w:rPr>
              <w:t>Examples of where to use</w:t>
            </w:r>
          </w:p>
        </w:tc>
      </w:tr>
      <w:tr w:rsidR="00867290" w:rsidRPr="008D0759" w:rsidTr="004C05DD">
        <w:trPr>
          <w:trHeight w:val="53"/>
          <w:tblHeader/>
          <w:jc w:val="center"/>
        </w:trPr>
        <w:tc>
          <w:tcPr>
            <w:tcW w:w="1441" w:type="dxa"/>
            <w:vMerge/>
            <w:shd w:val="clear" w:color="auto" w:fill="E7E6E6" w:themeFill="background2"/>
          </w:tcPr>
          <w:p w:rsidR="00867290" w:rsidRPr="008D0759" w:rsidRDefault="00867290" w:rsidP="004C05DD">
            <w:pPr>
              <w:pStyle w:val="Htableleftbolt"/>
              <w:rPr>
                <w:color w:val="5B9BD5" w:themeColor="accent1"/>
              </w:rPr>
            </w:pPr>
          </w:p>
        </w:tc>
        <w:tc>
          <w:tcPr>
            <w:tcW w:w="3131" w:type="dxa"/>
            <w:shd w:val="clear" w:color="auto" w:fill="E7E6E6" w:themeFill="background2"/>
          </w:tcPr>
          <w:p w:rsidR="00867290" w:rsidRPr="008D0759" w:rsidRDefault="00867290" w:rsidP="004C05DD">
            <w:pPr>
              <w:pStyle w:val="Htableleftbolt"/>
              <w:rPr>
                <w:color w:val="5B9BD5" w:themeColor="accent1"/>
              </w:rPr>
            </w:pPr>
            <w:r>
              <w:rPr>
                <w:color w:val="5B9BD5" w:themeColor="accent1"/>
              </w:rPr>
              <w:t>Advantages</w:t>
            </w:r>
          </w:p>
        </w:tc>
        <w:tc>
          <w:tcPr>
            <w:tcW w:w="2822" w:type="dxa"/>
            <w:shd w:val="clear" w:color="auto" w:fill="E7E6E6" w:themeFill="background2"/>
          </w:tcPr>
          <w:p w:rsidR="00867290" w:rsidRPr="008D0759" w:rsidRDefault="00867290" w:rsidP="004C05DD">
            <w:pPr>
              <w:pStyle w:val="Htableleftbolt"/>
              <w:rPr>
                <w:color w:val="5B9BD5" w:themeColor="accent1"/>
              </w:rPr>
            </w:pPr>
            <w:r>
              <w:rPr>
                <w:color w:val="5B9BD5" w:themeColor="accent1"/>
              </w:rPr>
              <w:t>Drawbacks</w:t>
            </w:r>
          </w:p>
        </w:tc>
        <w:tc>
          <w:tcPr>
            <w:tcW w:w="2422" w:type="dxa"/>
            <w:shd w:val="clear" w:color="auto" w:fill="E7E6E6" w:themeFill="background2"/>
          </w:tcPr>
          <w:p w:rsidR="00867290" w:rsidRPr="008D0759" w:rsidRDefault="00867290" w:rsidP="004C05DD">
            <w:pPr>
              <w:pStyle w:val="Htableleftbolt"/>
              <w:rPr>
                <w:color w:val="5B9BD5" w:themeColor="accent1"/>
              </w:rPr>
            </w:pPr>
          </w:p>
        </w:tc>
      </w:tr>
      <w:tr w:rsidR="00867290" w:rsidRPr="008D0759" w:rsidTr="004C05DD">
        <w:trPr>
          <w:jc w:val="center"/>
        </w:trPr>
        <w:tc>
          <w:tcPr>
            <w:tcW w:w="1441" w:type="dxa"/>
            <w:shd w:val="clear" w:color="auto" w:fill="auto"/>
          </w:tcPr>
          <w:p w:rsidR="00867290" w:rsidRPr="008D0759" w:rsidRDefault="00867290" w:rsidP="004C05DD">
            <w:pPr>
              <w:pStyle w:val="Htableleft"/>
              <w:rPr>
                <w:color w:val="576C88" w:themeColor="text2" w:themeTint="D9"/>
              </w:rPr>
            </w:pPr>
            <w:r>
              <w:rPr>
                <w:color w:val="576C88" w:themeColor="text2" w:themeTint="D9"/>
              </w:rPr>
              <w:t xml:space="preserve">Qualitative approach </w:t>
            </w:r>
          </w:p>
        </w:tc>
        <w:tc>
          <w:tcPr>
            <w:tcW w:w="3131" w:type="dxa"/>
            <w:shd w:val="clear" w:color="auto" w:fill="auto"/>
          </w:tcPr>
          <w:p w:rsidR="00867290" w:rsidRPr="008D0759" w:rsidRDefault="00867290" w:rsidP="004C05DD">
            <w:pPr>
              <w:pStyle w:val="Htableleft"/>
              <w:rPr>
                <w:color w:val="576C88" w:themeColor="text2" w:themeTint="D9"/>
              </w:rPr>
            </w:pPr>
            <w:r>
              <w:rPr>
                <w:color w:val="576C88" w:themeColor="text2" w:themeTint="D9"/>
              </w:rPr>
              <w:t>Qualitative approaches are used in the evaluation of networks since they allow the assessment of effects that are difficult to quantify and to corroborate or adjust hypotheses on factors of success for specific interventions in specific contexts.</w:t>
            </w:r>
          </w:p>
        </w:tc>
        <w:tc>
          <w:tcPr>
            <w:tcW w:w="2822" w:type="dxa"/>
            <w:shd w:val="clear" w:color="auto" w:fill="auto"/>
          </w:tcPr>
          <w:p w:rsidR="00867290" w:rsidRPr="008D0759" w:rsidRDefault="00867290" w:rsidP="004C05DD">
            <w:pPr>
              <w:pStyle w:val="Htableleft"/>
              <w:rPr>
                <w:color w:val="576C88" w:themeColor="text2" w:themeTint="D9"/>
              </w:rPr>
            </w:pPr>
            <w:r>
              <w:rPr>
                <w:color w:val="576C88" w:themeColor="text2" w:themeTint="D9"/>
              </w:rPr>
              <w:t>The results are not always precise. The approach heavily relies on methods that offer subjective information (interviews, participant surveys, questionnaires).</w:t>
            </w:r>
          </w:p>
          <w:p w:rsidR="00867290" w:rsidRPr="008D0759" w:rsidRDefault="00867290" w:rsidP="004C05DD">
            <w:pPr>
              <w:pStyle w:val="Htableleft"/>
              <w:rPr>
                <w:color w:val="576C88" w:themeColor="text2" w:themeTint="D9"/>
              </w:rPr>
            </w:pPr>
          </w:p>
        </w:tc>
        <w:tc>
          <w:tcPr>
            <w:tcW w:w="2422" w:type="dxa"/>
            <w:shd w:val="clear" w:color="auto" w:fill="auto"/>
          </w:tcPr>
          <w:p w:rsidR="00867290" w:rsidRPr="008D0759" w:rsidRDefault="00867290" w:rsidP="004C05DD">
            <w:pPr>
              <w:pStyle w:val="Htableleft"/>
              <w:rPr>
                <w:color w:val="576C88" w:themeColor="text2" w:themeTint="D9"/>
              </w:rPr>
            </w:pPr>
            <w:r>
              <w:rPr>
                <w:color w:val="576C88" w:themeColor="text2" w:themeTint="D9"/>
              </w:rPr>
              <w:t xml:space="preserve">The results and impacts of </w:t>
            </w:r>
          </w:p>
          <w:p w:rsidR="00867290" w:rsidRPr="008D0759" w:rsidRDefault="00867290" w:rsidP="00867290">
            <w:pPr>
              <w:pStyle w:val="Htableleft"/>
              <w:numPr>
                <w:ilvl w:val="0"/>
                <w:numId w:val="17"/>
              </w:numPr>
              <w:rPr>
                <w:color w:val="576C88" w:themeColor="text2" w:themeTint="D9"/>
              </w:rPr>
            </w:pPr>
            <w:r>
              <w:rPr>
                <w:color w:val="576C88" w:themeColor="text2" w:themeTint="D9"/>
              </w:rPr>
              <w:t>good practice collection;</w:t>
            </w:r>
          </w:p>
          <w:p w:rsidR="00867290" w:rsidRPr="008D0759" w:rsidRDefault="00867290" w:rsidP="00867290">
            <w:pPr>
              <w:pStyle w:val="Htableleft"/>
              <w:numPr>
                <w:ilvl w:val="0"/>
                <w:numId w:val="17"/>
              </w:numPr>
              <w:rPr>
                <w:color w:val="576C88" w:themeColor="text2" w:themeTint="D9"/>
              </w:rPr>
            </w:pPr>
            <w:r>
              <w:rPr>
                <w:color w:val="576C88" w:themeColor="text2" w:themeTint="D9"/>
              </w:rPr>
              <w:t>the generation or exchange of new knowledge;</w:t>
            </w:r>
          </w:p>
          <w:p w:rsidR="00867290" w:rsidRPr="008D0759" w:rsidRDefault="00867290" w:rsidP="00867290">
            <w:pPr>
              <w:pStyle w:val="Htableleft"/>
              <w:numPr>
                <w:ilvl w:val="0"/>
                <w:numId w:val="17"/>
              </w:numPr>
              <w:rPr>
                <w:color w:val="576C88" w:themeColor="text2" w:themeTint="D9"/>
              </w:rPr>
            </w:pPr>
            <w:r>
              <w:rPr>
                <w:color w:val="576C88" w:themeColor="text2" w:themeTint="D9"/>
              </w:rPr>
              <w:t>the participation in ENRD activities.</w:t>
            </w:r>
          </w:p>
        </w:tc>
      </w:tr>
      <w:tr w:rsidR="00867290" w:rsidRPr="008D0759" w:rsidTr="004C05DD">
        <w:trPr>
          <w:jc w:val="center"/>
        </w:trPr>
        <w:tc>
          <w:tcPr>
            <w:tcW w:w="1441" w:type="dxa"/>
            <w:shd w:val="clear" w:color="auto" w:fill="auto"/>
          </w:tcPr>
          <w:p w:rsidR="00867290" w:rsidRPr="008D0759" w:rsidRDefault="00867290" w:rsidP="004C05DD">
            <w:pPr>
              <w:pStyle w:val="Htableleft"/>
              <w:rPr>
                <w:color w:val="576C88" w:themeColor="text2" w:themeTint="D9"/>
              </w:rPr>
            </w:pPr>
            <w:r>
              <w:rPr>
                <w:color w:val="576C88" w:themeColor="text2" w:themeTint="D9"/>
              </w:rPr>
              <w:t>Kvantitativni pristup</w:t>
            </w:r>
          </w:p>
        </w:tc>
        <w:tc>
          <w:tcPr>
            <w:tcW w:w="3131" w:type="dxa"/>
            <w:shd w:val="clear" w:color="auto" w:fill="auto"/>
          </w:tcPr>
          <w:p w:rsidR="00867290" w:rsidRPr="008D0759" w:rsidRDefault="00867290" w:rsidP="004C05DD">
            <w:pPr>
              <w:pStyle w:val="Htableleft"/>
              <w:rPr>
                <w:color w:val="576C88" w:themeColor="text2" w:themeTint="D9"/>
              </w:rPr>
            </w:pPr>
            <w:r>
              <w:rPr>
                <w:color w:val="576C88" w:themeColor="text2" w:themeTint="D9"/>
              </w:rPr>
              <w:t>The quantitative approach allows the assessment of net effects of precisely delimited NRN activities and make comparisons of evaluation results across NRNs/countries easier.</w:t>
            </w:r>
          </w:p>
        </w:tc>
        <w:tc>
          <w:tcPr>
            <w:tcW w:w="2822" w:type="dxa"/>
            <w:shd w:val="clear" w:color="auto" w:fill="auto"/>
          </w:tcPr>
          <w:p w:rsidR="00867290" w:rsidRPr="008D0759" w:rsidRDefault="00867290" w:rsidP="004C05DD">
            <w:pPr>
              <w:pStyle w:val="Htableleft"/>
              <w:rPr>
                <w:color w:val="576C88" w:themeColor="text2" w:themeTint="D9"/>
              </w:rPr>
            </w:pPr>
            <w:r>
              <w:rPr>
                <w:color w:val="576C88" w:themeColor="text2" w:themeTint="D9"/>
              </w:rPr>
              <w:t xml:space="preserve">There are difficulties </w:t>
            </w:r>
          </w:p>
          <w:p w:rsidR="00867290" w:rsidRPr="008D0759" w:rsidRDefault="00867290" w:rsidP="00867290">
            <w:pPr>
              <w:pStyle w:val="Htablebullet"/>
              <w:rPr>
                <w:color w:val="576C88" w:themeColor="text2" w:themeTint="D9"/>
              </w:rPr>
            </w:pPr>
            <w:r>
              <w:rPr>
                <w:color w:val="576C88" w:themeColor="text2" w:themeTint="D9"/>
              </w:rPr>
              <w:t>to quantify changes in the human and social capital;</w:t>
            </w:r>
          </w:p>
          <w:p w:rsidR="00867290" w:rsidRPr="008D0759" w:rsidRDefault="00867290" w:rsidP="00867290">
            <w:pPr>
              <w:pStyle w:val="Htablebullet"/>
              <w:rPr>
                <w:color w:val="576C88" w:themeColor="text2" w:themeTint="D9"/>
              </w:rPr>
            </w:pPr>
            <w:r>
              <w:rPr>
                <w:color w:val="576C88" w:themeColor="text2" w:themeTint="D9"/>
              </w:rPr>
              <w:t>to delimitate beneficiaries from non-beneficiaries in many areas of NRN interventions, at least in quantitative terms</w:t>
            </w:r>
          </w:p>
          <w:p w:rsidR="00867290" w:rsidRPr="008D0759" w:rsidRDefault="00867290" w:rsidP="00867290">
            <w:pPr>
              <w:pStyle w:val="Htablebullet"/>
              <w:rPr>
                <w:color w:val="576C88" w:themeColor="text2" w:themeTint="D9"/>
              </w:rPr>
            </w:pPr>
            <w:r>
              <w:rPr>
                <w:color w:val="576C88" w:themeColor="text2" w:themeTint="D9"/>
              </w:rPr>
              <w:t>to obtain data for NRN activities which are meaningful in relation to the stipulated added value of NRN;</w:t>
            </w:r>
          </w:p>
          <w:p w:rsidR="00867290" w:rsidRPr="008D0759" w:rsidRDefault="00867290" w:rsidP="00867290">
            <w:pPr>
              <w:pStyle w:val="Htablebullet"/>
              <w:rPr>
                <w:color w:val="576C88" w:themeColor="text2" w:themeTint="D9"/>
              </w:rPr>
            </w:pPr>
            <w:r>
              <w:rPr>
                <w:color w:val="576C88" w:themeColor="text2" w:themeTint="D9"/>
              </w:rPr>
              <w:t>to number activities and outputs in a context of matchless and nonrecurring interventions;</w:t>
            </w:r>
          </w:p>
          <w:p w:rsidR="00867290" w:rsidRPr="008D0759" w:rsidRDefault="00867290" w:rsidP="00867290">
            <w:pPr>
              <w:pStyle w:val="Htablebullet"/>
              <w:rPr>
                <w:color w:val="576C88" w:themeColor="text2" w:themeTint="D9"/>
              </w:rPr>
            </w:pPr>
            <w:r>
              <w:rPr>
                <w:color w:val="576C88" w:themeColor="text2" w:themeTint="D9"/>
              </w:rPr>
              <w:lastRenderedPageBreak/>
              <w:t>to net out any observed effects by pondering the influence of other interventions;</w:t>
            </w:r>
          </w:p>
          <w:p w:rsidR="00867290" w:rsidRPr="008D0759" w:rsidRDefault="00867290" w:rsidP="00867290">
            <w:pPr>
              <w:pStyle w:val="Htablebullet"/>
              <w:rPr>
                <w:color w:val="576C88" w:themeColor="text2" w:themeTint="D9"/>
              </w:rPr>
            </w:pPr>
            <w:r>
              <w:rPr>
                <w:color w:val="576C88" w:themeColor="text2" w:themeTint="D9"/>
              </w:rPr>
              <w:t>to get reliable quantitative data over a longer period of time (as in the past mostly qualitative information on NRN has been collected).</w:t>
            </w:r>
          </w:p>
        </w:tc>
        <w:tc>
          <w:tcPr>
            <w:tcW w:w="2422" w:type="dxa"/>
            <w:shd w:val="clear" w:color="auto" w:fill="auto"/>
          </w:tcPr>
          <w:p w:rsidR="00867290" w:rsidRPr="008D0759" w:rsidRDefault="00867290" w:rsidP="00867290">
            <w:pPr>
              <w:pStyle w:val="Htableleft"/>
              <w:numPr>
                <w:ilvl w:val="0"/>
                <w:numId w:val="17"/>
              </w:numPr>
            </w:pPr>
            <w:r>
              <w:rPr>
                <w:color w:val="576C88" w:themeColor="text2" w:themeTint="D9"/>
              </w:rPr>
              <w:lastRenderedPageBreak/>
              <w:t>Outputs of NRN activities, e.g. the three common output indicators;</w:t>
            </w:r>
          </w:p>
          <w:p w:rsidR="00867290" w:rsidRPr="008D0759" w:rsidRDefault="00867290" w:rsidP="00867290">
            <w:pPr>
              <w:pStyle w:val="Htableleft"/>
              <w:numPr>
                <w:ilvl w:val="0"/>
                <w:numId w:val="17"/>
              </w:numPr>
            </w:pPr>
            <w:r>
              <w:rPr>
                <w:color w:val="576C88" w:themeColor="text2" w:themeTint="D9"/>
              </w:rPr>
              <w:t>Results of NRN activities where the use of outputs can be clearly attributed to certain beneficiaries or users</w:t>
            </w:r>
            <w:r>
              <w:t xml:space="preserve">, e.g. </w:t>
            </w:r>
          </w:p>
          <w:p w:rsidR="00867290" w:rsidRPr="008D0759" w:rsidRDefault="00867290" w:rsidP="00867290">
            <w:pPr>
              <w:pStyle w:val="Htableleft"/>
              <w:numPr>
                <w:ilvl w:val="1"/>
                <w:numId w:val="17"/>
              </w:numPr>
              <w:ind w:left="624" w:hanging="284"/>
            </w:pPr>
            <w:r>
              <w:t>the degree of information enquired among readers of newsletters;</w:t>
            </w:r>
          </w:p>
          <w:p w:rsidR="00867290" w:rsidRPr="008D0759" w:rsidRDefault="00867290" w:rsidP="00867290">
            <w:pPr>
              <w:pStyle w:val="Htableleft"/>
              <w:numPr>
                <w:ilvl w:val="1"/>
                <w:numId w:val="17"/>
              </w:numPr>
              <w:ind w:left="624" w:hanging="284"/>
            </w:pPr>
            <w:r>
              <w:t xml:space="preserve">the degree of satisfaction of </w:t>
            </w:r>
            <w:r>
              <w:lastRenderedPageBreak/>
              <w:t>inquirers in search for support;</w:t>
            </w:r>
          </w:p>
          <w:p w:rsidR="00867290" w:rsidRPr="008D0759" w:rsidRDefault="00867290" w:rsidP="00867290">
            <w:pPr>
              <w:pStyle w:val="Htableleft"/>
              <w:numPr>
                <w:ilvl w:val="1"/>
                <w:numId w:val="17"/>
              </w:numPr>
              <w:ind w:left="624" w:hanging="284"/>
            </w:pPr>
            <w:r>
              <w:t>the degree of use of the website, distinguished by offers (downloads, blogs…)</w:t>
            </w:r>
          </w:p>
          <w:p w:rsidR="00867290" w:rsidRPr="008D0759" w:rsidRDefault="00867290" w:rsidP="004C05DD">
            <w:pPr>
              <w:pStyle w:val="Htableleft"/>
            </w:pPr>
            <w:r>
              <w:t xml:space="preserve">Measuring involvement of stakeholders </w:t>
            </w:r>
          </w:p>
        </w:tc>
      </w:tr>
    </w:tbl>
    <w:p w:rsidR="00867290" w:rsidRPr="008D0759" w:rsidRDefault="00867290" w:rsidP="00340AD4">
      <w:pPr>
        <w:pStyle w:val="HStandard"/>
      </w:pPr>
      <w:r>
        <w:rPr>
          <w:b/>
        </w:rPr>
        <w:lastRenderedPageBreak/>
        <w:t xml:space="preserve">Mixing of both approaches </w:t>
      </w:r>
      <w:r>
        <w:t>facilitates applying quantitative approaches for quantifiable NRN activities and qualitative ones for non-quantifiable ones; for instance, the quantitative assessment of good practice collection can be combined with the qualitative assessment of how this has contributed to increasing the knowledge base amongst rural stakeholders. This also allows for the cross-checking of findings from quantitative approaches with the use of qualitative ones; for instance, the quantitative results from the assessment of NRN events can be verified with the qualitative results of opinion surveys and stakeholder interviews.</w:t>
      </w:r>
    </w:p>
    <w:p w:rsidR="00867290" w:rsidRPr="008D0759" w:rsidRDefault="00867290" w:rsidP="007046A4">
      <w:pPr>
        <w:pStyle w:val="HStandard"/>
        <w:rPr>
          <w:b/>
          <w:color w:val="ED7D31" w:themeColor="accent2"/>
        </w:rPr>
      </w:pPr>
      <w:r>
        <w:rPr>
          <w:b/>
          <w:color w:val="ED7D31" w:themeColor="accent2"/>
        </w:rPr>
        <w:t>Step 4 - Decide on the NRN evaluation approach</w:t>
      </w:r>
    </w:p>
    <w:p w:rsidR="00867290" w:rsidRPr="008D0759" w:rsidRDefault="00867290" w:rsidP="00340AD4">
      <w:pPr>
        <w:pStyle w:val="HStandard"/>
      </w:pPr>
      <w:r>
        <w:t>Apart from considering the advantages and drawbacks of different evaluation approaches, the selection of a robust evaluation approach should account for:</w:t>
      </w:r>
    </w:p>
    <w:p w:rsidR="00867290" w:rsidRPr="008D0759" w:rsidRDefault="00867290" w:rsidP="00340AD4">
      <w:pPr>
        <w:pStyle w:val="Hlistbullet2"/>
      </w:pPr>
      <w:r>
        <w:t xml:space="preserve">the validity of results offered by the evaluation approach, </w:t>
      </w:r>
    </w:p>
    <w:p w:rsidR="00867290" w:rsidRPr="008D0759" w:rsidRDefault="00867290" w:rsidP="00340AD4">
      <w:pPr>
        <w:pStyle w:val="Hlistbullet2"/>
      </w:pPr>
      <w:r>
        <w:t xml:space="preserve">the scale of measurement, </w:t>
      </w:r>
    </w:p>
    <w:p w:rsidR="00867290" w:rsidRPr="008D0759" w:rsidRDefault="00867290" w:rsidP="00340AD4">
      <w:pPr>
        <w:pStyle w:val="Hlistbullet2"/>
      </w:pPr>
      <w:r>
        <w:t>the possibility to model output, result and impact indicators into a coherent cause-effect structure,</w:t>
      </w:r>
    </w:p>
    <w:p w:rsidR="00867290" w:rsidRPr="008D0759" w:rsidRDefault="00867290" w:rsidP="00340AD4">
      <w:pPr>
        <w:pStyle w:val="Hlistbullet2"/>
      </w:pPr>
      <w:r>
        <w:t xml:space="preserve">the ability to analyse the counterfactual where it seems to be feasible, </w:t>
      </w:r>
    </w:p>
    <w:p w:rsidR="00867290" w:rsidRPr="008D0759" w:rsidRDefault="00867290" w:rsidP="00340AD4">
      <w:pPr>
        <w:pStyle w:val="Hlistbullet2"/>
      </w:pPr>
      <w:r>
        <w:t>the ability to capture unintended effects and</w:t>
      </w:r>
    </w:p>
    <w:p w:rsidR="00867290" w:rsidRPr="008D0759" w:rsidRDefault="00867290" w:rsidP="00340AD4">
      <w:pPr>
        <w:pStyle w:val="Hlistbullet2"/>
      </w:pPr>
      <w:r>
        <w:t>the antecedents and the actual time horizon of the intervention</w:t>
      </w:r>
      <w:r>
        <w:rPr>
          <w:rFonts w:ascii="ZWAdobeF" w:hAnsi="ZWAdobeF"/>
          <w:color w:val="auto"/>
          <w:sz w:val="2"/>
        </w:rPr>
        <w:t>94F</w:t>
      </w:r>
      <w:r>
        <w:rPr>
          <w:rStyle w:val="FootnoteReference"/>
        </w:rPr>
        <w:footnoteReference w:id="95"/>
      </w:r>
      <w:r>
        <w:t>.</w:t>
      </w:r>
    </w:p>
    <w:p w:rsidR="00867290" w:rsidRPr="008D0759" w:rsidRDefault="00867290" w:rsidP="00340AD4">
      <w:pPr>
        <w:pStyle w:val="HStandard"/>
      </w:pPr>
      <w:r>
        <w:t xml:space="preserve">Given the complexity of NRN evaluation, a </w:t>
      </w:r>
      <w:r>
        <w:rPr>
          <w:b/>
        </w:rPr>
        <w:t>mixed approach</w:t>
      </w:r>
      <w:r>
        <w:t>, combining qualitative with quantitative methods will be the appropriate choice.</w:t>
      </w:r>
    </w:p>
    <w:p w:rsidR="00867290" w:rsidRPr="008D0759" w:rsidRDefault="00867290" w:rsidP="00340AD4">
      <w:pPr>
        <w:pStyle w:val="HStandard"/>
      </w:pPr>
      <w:r>
        <w:t xml:space="preserve">Particularly at the higher level of NRN objectives, at the level of NRN results and impacts, the character of NRNs implies a strong emphasis on qualitative evaluation:  </w:t>
      </w:r>
    </w:p>
    <w:p w:rsidR="00867290" w:rsidRPr="008D0759" w:rsidRDefault="00867290" w:rsidP="00340AD4">
      <w:pPr>
        <w:pStyle w:val="Hlistbullet2"/>
      </w:pPr>
      <w:r>
        <w:t xml:space="preserve">firstly, because the sphere of activities and influence of the NRN goes beyond the RDP beneficiaries and affects the wider range of the rural actors; </w:t>
      </w:r>
    </w:p>
    <w:p w:rsidR="00867290" w:rsidRPr="008D0759" w:rsidRDefault="00867290" w:rsidP="00340AD4">
      <w:pPr>
        <w:pStyle w:val="Hlistbullet2"/>
      </w:pPr>
      <w:r>
        <w:t>secondly, NRN activities addressed to a specific target group may have an effect also on non-beneficiaries; for instance, the information of a thematic exchange event targeting farmers will also have an effect on awareness raising of other stakeholders in the area. There is no such thing as linear cause-effect chains in social systems. Moreover, NRNs are social systems and any intervention from a NSU inseparably blends with the signal noise from other communications, interactions and any occurrences influencing the behaviour of beneficiaries and stakeholders.</w:t>
      </w:r>
    </w:p>
    <w:p w:rsidR="00867290" w:rsidRDefault="00867290">
      <w:pPr>
        <w:spacing w:after="0" w:line="240" w:lineRule="auto"/>
        <w:rPr>
          <w:b/>
          <w:bCs/>
          <w:color w:val="576C88" w:themeColor="text2" w:themeTint="D9"/>
          <w:sz w:val="20"/>
        </w:rPr>
      </w:pPr>
      <w:r>
        <w:br w:type="page"/>
      </w:r>
    </w:p>
    <w:p w:rsidR="00867290" w:rsidRPr="008D0759" w:rsidRDefault="00867290" w:rsidP="00340AD4">
      <w:pPr>
        <w:pStyle w:val="Heading6"/>
      </w:pPr>
      <w:r>
        <w:lastRenderedPageBreak/>
        <w:t>Counterfactual assessment: where and when?</w:t>
      </w:r>
    </w:p>
    <w:p w:rsidR="00867290" w:rsidRPr="008D0759" w:rsidRDefault="00867290" w:rsidP="00340AD4">
      <w:pPr>
        <w:pStyle w:val="HStandard"/>
      </w:pPr>
      <w:r>
        <w:t>Sound evaluation practices require the counterfactual to attribute observable effects to programme interventions</w:t>
      </w:r>
      <w:r>
        <w:rPr>
          <w:rFonts w:ascii="ZWAdobeF" w:hAnsi="ZWAdobeF"/>
          <w:color w:val="auto"/>
          <w:sz w:val="2"/>
        </w:rPr>
        <w:t>95F</w:t>
      </w:r>
      <w:r>
        <w:rPr>
          <w:rStyle w:val="FootnoteReference"/>
        </w:rPr>
        <w:footnoteReference w:id="96"/>
      </w:r>
      <w:r>
        <w:t xml:space="preserve">. Counterfactual assessment is possible with both quantitative and qualitative approaches and can be applied without clear-cut control groups in the situation when there are no non-beneficiaries. There are different possibilities to design and apply a counterfactual by using various methods and techniques (counterfactual design based on statistics, on modelling or on qualitative approaches), even when all rural actors are included in NRN’s activities (although to varying degrees). </w:t>
      </w:r>
    </w:p>
    <w:p w:rsidR="00867290" w:rsidRPr="008D0759" w:rsidRDefault="00867290" w:rsidP="00340AD4">
      <w:pPr>
        <w:pStyle w:val="HStandard"/>
        <w:rPr>
          <w:b/>
        </w:rPr>
      </w:pPr>
      <w:r>
        <w:t>All in all, the more targeted and standardised the type of intervention is, the more appropriate and feasible will be the counterfactual assessment</w:t>
      </w:r>
      <w:r>
        <w:rPr>
          <w:rFonts w:ascii="ZWAdobeF" w:hAnsi="ZWAdobeF"/>
          <w:color w:val="auto"/>
          <w:sz w:val="2"/>
        </w:rPr>
        <w:t>96F</w:t>
      </w:r>
      <w:r>
        <w:rPr>
          <w:rStyle w:val="FootnoteReference"/>
        </w:rPr>
        <w:footnoteReference w:id="97"/>
      </w:r>
      <w:r>
        <w:t>. It should be decided at an early stage of programme evaluation (ideally in the setting up of the evaluation plan), which thematic areas and indicators would be subject to counterfactual assessment, in order to set appropriate baselines and cater for the subsequent data collection</w:t>
      </w:r>
      <w:r>
        <w:rPr>
          <w:rFonts w:ascii="ZWAdobeF" w:hAnsi="ZWAdobeF"/>
          <w:color w:val="auto"/>
          <w:sz w:val="2"/>
        </w:rPr>
        <w:t>97F</w:t>
      </w:r>
      <w:r>
        <w:rPr>
          <w:rStyle w:val="FootnoteReference"/>
        </w:rPr>
        <w:footnoteReference w:id="98"/>
      </w:r>
      <w:bookmarkStart w:id="208" w:name="_Toc434744515"/>
      <w:bookmarkStart w:id="209" w:name="_Toc433481230"/>
      <w:bookmarkStart w:id="210" w:name="_Toc433718138"/>
      <w:bookmarkStart w:id="211" w:name="_Toc436140057"/>
      <w:r>
        <w:t>.</w:t>
      </w:r>
    </w:p>
    <w:p w:rsidR="00867290" w:rsidRPr="008D0759" w:rsidRDefault="00867290" w:rsidP="00340AD4">
      <w:pPr>
        <w:pStyle w:val="Heading6"/>
      </w:pPr>
      <w:r>
        <w:t>Choosing evaluation methods for NRNs</w:t>
      </w:r>
      <w:bookmarkEnd w:id="208"/>
      <w:bookmarkEnd w:id="209"/>
      <w:bookmarkEnd w:id="210"/>
      <w:bookmarkEnd w:id="211"/>
    </w:p>
    <w:p w:rsidR="00867290" w:rsidRPr="008D0759" w:rsidRDefault="00867290" w:rsidP="00340AD4">
      <w:pPr>
        <w:pStyle w:val="HStandard"/>
      </w:pPr>
      <w:r>
        <w:t xml:space="preserve">Choosing a mixed-methods approach means to systematically adopt various perspectives and observation devices. The Helpdesk’s Guidance on </w:t>
      </w:r>
      <w:r>
        <w:rPr>
          <w:i/>
        </w:rPr>
        <w:t>“Capturing the Impacts of LEADER and of measures to improve the quality of life in rural areas”</w:t>
      </w:r>
      <w:r>
        <w:rPr>
          <w:rFonts w:ascii="ZWAdobeF" w:hAnsi="ZWAdobeF"/>
          <w:color w:val="auto"/>
          <w:sz w:val="2"/>
        </w:rPr>
        <w:t>98F</w:t>
      </w:r>
      <w:r>
        <w:rPr>
          <w:rStyle w:val="FootnoteReference"/>
        </w:rPr>
        <w:footnoteReference w:id="99"/>
      </w:r>
      <w:r>
        <w:t xml:space="preserve"> devotes a whole chapter to “matching complexity with triangulation”. A closer look at the term reveals that </w:t>
      </w:r>
      <w:r>
        <w:rPr>
          <w:b/>
        </w:rPr>
        <w:t>triangulation</w:t>
      </w:r>
      <w:r>
        <w:t xml:space="preserve"> can refer to different aspects:</w:t>
      </w:r>
    </w:p>
    <w:p w:rsidR="00867290" w:rsidRPr="008D0759" w:rsidRDefault="00867290" w:rsidP="00340AD4">
      <w:pPr>
        <w:pStyle w:val="Hlistbullet2"/>
      </w:pPr>
      <w:r>
        <w:t>Evaluator triangulation involves a broad range of competences within the evaluation team;</w:t>
      </w:r>
    </w:p>
    <w:p w:rsidR="00867290" w:rsidRPr="008D0759" w:rsidRDefault="00867290" w:rsidP="00340AD4">
      <w:pPr>
        <w:pStyle w:val="Hlistbullet2"/>
      </w:pPr>
      <w:r>
        <w:t>Methodological triangulation, which means using more than one method to gather data (such as interviews, questionnaires, focus groups and documentary analysis);</w:t>
      </w:r>
    </w:p>
    <w:p w:rsidR="00867290" w:rsidRPr="008D0759" w:rsidRDefault="00867290" w:rsidP="00340AD4">
      <w:pPr>
        <w:pStyle w:val="Hlistbullet2"/>
      </w:pPr>
      <w:r>
        <w:t>Data triangulation in respect to space and people.</w:t>
      </w:r>
    </w:p>
    <w:p w:rsidR="00867290" w:rsidRPr="000D1D32" w:rsidRDefault="00867290" w:rsidP="00340AD4">
      <w:pPr>
        <w:pStyle w:val="Heading6"/>
        <w:rPr>
          <w:highlight w:val="yellow"/>
        </w:rPr>
      </w:pPr>
      <w:r>
        <w:rPr>
          <w:highlight w:val="yellow"/>
        </w:rPr>
        <w:t>Koje su prikladne metode za evaluaciju NRM-ova?</w:t>
      </w:r>
    </w:p>
    <w:p w:rsidR="00867290" w:rsidRPr="000D1D32" w:rsidRDefault="00867290" w:rsidP="00340AD4">
      <w:pPr>
        <w:pStyle w:val="HStandard"/>
        <w:rPr>
          <w:highlight w:val="yellow"/>
        </w:rPr>
      </w:pPr>
      <w:r>
        <w:rPr>
          <w:highlight w:val="yellow"/>
        </w:rPr>
        <w:fldChar w:fldCharType="begin" w:fldLock="1"/>
      </w:r>
      <w:r>
        <w:rPr>
          <w:highlight w:val="yellow"/>
        </w:rPr>
        <w:instrText xml:space="preserve"> REF _Ref433724277 \r \h  \* MERGEFORMAT </w:instrText>
      </w:r>
      <w:r>
        <w:rPr>
          <w:highlight w:val="yellow"/>
        </w:rPr>
      </w:r>
      <w:r>
        <w:rPr>
          <w:highlight w:val="yellow"/>
        </w:rPr>
        <w:fldChar w:fldCharType="separate"/>
      </w:r>
      <w:r>
        <w:rPr>
          <w:highlight w:val="yellow"/>
        </w:rPr>
        <w:t>Figure 19</w:t>
      </w:r>
      <w:r>
        <w:rPr>
          <w:highlight w:val="yellow"/>
        </w:rPr>
        <w:fldChar w:fldCharType="end"/>
      </w:r>
      <w:r>
        <w:rPr>
          <w:highlight w:val="yellow"/>
        </w:rPr>
        <w:t xml:space="preserve"> prikazuje metode koje se mogu preporučiti za evaluaciju intervencija PRR-a, bez pretenzija o njihovoj potpunosti. Jaki metodološki pristupi sastoje se od skupova različitih metoda, a cilj im je pružiti višedimenzionalni prikaz onoga što se događa u stvarnosti.</w:t>
      </w:r>
    </w:p>
    <w:p w:rsidR="00867290" w:rsidRPr="000D1D32" w:rsidRDefault="00867290">
      <w:pPr>
        <w:spacing w:after="0" w:line="240" w:lineRule="auto"/>
        <w:rPr>
          <w:rFonts w:cs="Arial"/>
          <w:color w:val="576C88" w:themeColor="text2" w:themeTint="D9"/>
          <w:sz w:val="20"/>
          <w:szCs w:val="20"/>
          <w:highlight w:val="yellow"/>
        </w:rPr>
      </w:pPr>
      <w:r>
        <w:br w:type="page"/>
      </w:r>
    </w:p>
    <w:p w:rsidR="00867290" w:rsidRPr="000D1D32" w:rsidRDefault="00867290" w:rsidP="00B55106">
      <w:pPr>
        <w:pStyle w:val="HHeadingfigures"/>
        <w:numPr>
          <w:ilvl w:val="0"/>
          <w:numId w:val="0"/>
        </w:numPr>
        <w:rPr>
          <w:highlight w:val="yellow"/>
        </w:rPr>
      </w:pPr>
      <w:bookmarkStart w:id="212" w:name="_Ref433724277"/>
      <w:bookmarkStart w:id="213" w:name="_Toc436140076"/>
      <w:bookmarkStart w:id="214" w:name="_Toc436383168"/>
      <w:bookmarkStart w:id="215" w:name="_Toc451781938"/>
      <w:r>
        <w:rPr>
          <w:highlight w:val="yellow"/>
        </w:rPr>
        <w:lastRenderedPageBreak/>
        <w:t>Slika 2. Metode za evaluaciju NRM(P)-ova</w:t>
      </w:r>
      <w:bookmarkEnd w:id="212"/>
      <w:bookmarkEnd w:id="213"/>
      <w:bookmarkEnd w:id="214"/>
      <w:bookmarkEnd w:id="215"/>
    </w:p>
    <w:p w:rsidR="00867290" w:rsidRPr="000D1D32" w:rsidRDefault="00867290" w:rsidP="00320BBA">
      <w:pPr>
        <w:jc w:val="center"/>
        <w:rPr>
          <w:highlight w:val="yellow"/>
        </w:rPr>
      </w:pPr>
      <w:r w:rsidRPr="00D13532">
        <w:rPr>
          <w:noProof/>
          <w:lang w:eastAsia="en-GB"/>
        </w:rPr>
        <w:drawing>
          <wp:inline distT="0" distB="0" distL="0" distR="0" wp14:anchorId="5A5FB483" wp14:editId="142682F7">
            <wp:extent cx="5731510" cy="422079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4220790"/>
                    </a:xfrm>
                    <a:prstGeom prst="rect">
                      <a:avLst/>
                    </a:prstGeom>
                    <a:noFill/>
                    <a:ln>
                      <a:noFill/>
                    </a:ln>
                  </pic:spPr>
                </pic:pic>
              </a:graphicData>
            </a:graphic>
          </wp:inline>
        </w:drawing>
      </w:r>
    </w:p>
    <w:p w:rsidR="00867290" w:rsidRPr="000D1D32" w:rsidRDefault="00867290" w:rsidP="00320BBA">
      <w:pPr>
        <w:pStyle w:val="HSource"/>
        <w:rPr>
          <w:highlight w:val="yellow"/>
        </w:rPr>
      </w:pPr>
      <w:r>
        <w:rPr>
          <w:highlight w:val="yellow"/>
        </w:rPr>
        <w:t>Izvor: Europski centar za pomoć pri evaluaciji za ruralni razvoj, 2016.</w:t>
      </w:r>
    </w:p>
    <w:p w:rsidR="00867290" w:rsidRPr="000D1D32" w:rsidRDefault="00867290" w:rsidP="00340AD4">
      <w:pPr>
        <w:pStyle w:val="HStandard"/>
        <w:rPr>
          <w:highlight w:val="yellow"/>
        </w:rPr>
      </w:pPr>
      <w:r>
        <w:rPr>
          <w:highlight w:val="yellow"/>
        </w:rPr>
        <w:t xml:space="preserve">Metode u žutom polju mogu se približno podijeliti na: </w:t>
      </w:r>
    </w:p>
    <w:p w:rsidR="00867290" w:rsidRPr="000D1D32" w:rsidRDefault="00867290" w:rsidP="00340AD4">
      <w:pPr>
        <w:pStyle w:val="Hlistbullet2"/>
        <w:rPr>
          <w:highlight w:val="yellow"/>
        </w:rPr>
      </w:pPr>
      <w:r>
        <w:rPr>
          <w:highlight w:val="yellow"/>
        </w:rPr>
        <w:t>Ankete</w:t>
      </w:r>
    </w:p>
    <w:p w:rsidR="00867290" w:rsidRPr="000D1D32" w:rsidRDefault="00867290" w:rsidP="00340AD4">
      <w:pPr>
        <w:pStyle w:val="Hlistbullet2"/>
        <w:rPr>
          <w:highlight w:val="yellow"/>
        </w:rPr>
      </w:pPr>
      <w:r>
        <w:rPr>
          <w:highlight w:val="yellow"/>
        </w:rPr>
        <w:t>Dijaloške metode</w:t>
      </w:r>
    </w:p>
    <w:p w:rsidR="00867290" w:rsidRPr="000D1D32" w:rsidRDefault="00867290" w:rsidP="00340AD4">
      <w:pPr>
        <w:pStyle w:val="Hlistbullet2"/>
        <w:rPr>
          <w:highlight w:val="yellow"/>
        </w:rPr>
      </w:pPr>
      <w:r>
        <w:rPr>
          <w:highlight w:val="yellow"/>
        </w:rPr>
        <w:t>Analitičke metode</w:t>
      </w:r>
    </w:p>
    <w:p w:rsidR="00867290" w:rsidRPr="000D1D32" w:rsidRDefault="00867290" w:rsidP="00340AD4">
      <w:pPr>
        <w:pStyle w:val="Hlistbullet2"/>
        <w:rPr>
          <w:highlight w:val="yellow"/>
        </w:rPr>
      </w:pPr>
      <w:r>
        <w:rPr>
          <w:highlight w:val="yellow"/>
        </w:rPr>
        <w:t>Dijagnostičke metode</w:t>
      </w:r>
    </w:p>
    <w:p w:rsidR="00867290" w:rsidRPr="000D1D32" w:rsidRDefault="00867290" w:rsidP="00340AD4">
      <w:pPr>
        <w:pStyle w:val="HStandard"/>
        <w:rPr>
          <w:highlight w:val="yellow"/>
        </w:rPr>
      </w:pPr>
      <w:r>
        <w:rPr>
          <w:b/>
          <w:highlight w:val="yellow"/>
          <w:u w:val="single"/>
        </w:rPr>
        <w:t>Ankete</w:t>
      </w:r>
      <w:r>
        <w:rPr>
          <w:b/>
          <w:highlight w:val="yellow"/>
        </w:rPr>
        <w:t xml:space="preserve"> </w:t>
      </w:r>
      <w:r>
        <w:rPr>
          <w:highlight w:val="yellow"/>
        </w:rPr>
        <w:t xml:space="preserve">se mogu temeljiti na: </w:t>
      </w:r>
    </w:p>
    <w:p w:rsidR="00867290" w:rsidRPr="000D1D32" w:rsidRDefault="00867290" w:rsidP="00340AD4">
      <w:pPr>
        <w:pStyle w:val="Hlistbullet2"/>
        <w:rPr>
          <w:highlight w:val="yellow"/>
        </w:rPr>
      </w:pPr>
      <w:r>
        <w:rPr>
          <w:b/>
          <w:highlight w:val="yellow"/>
        </w:rPr>
        <w:t>intervjuima uz korištenje standardiziranim upitnicima</w:t>
      </w:r>
      <w:r>
        <w:rPr>
          <w:highlight w:val="yellow"/>
        </w:rPr>
        <w:t xml:space="preserve"> koji se provode sa sudionicima i dionicima mreže, uz naknadnu statističku analizu rezultata; ti se upitnici obično šalju, ispunjavaju i prikupljaju korištenjem alatima dostupnima na internetu</w:t>
      </w:r>
      <w:r>
        <w:rPr>
          <w:rFonts w:ascii="ZWAdobeF" w:hAnsi="ZWAdobeF"/>
          <w:color w:val="auto"/>
          <w:sz w:val="2"/>
        </w:rPr>
        <w:t>99F</w:t>
      </w:r>
      <w:r>
        <w:rPr>
          <w:rStyle w:val="FootnoteReference"/>
          <w:highlight w:val="yellow"/>
        </w:rPr>
        <w:footnoteReference w:id="100"/>
      </w:r>
      <w:r>
        <w:rPr>
          <w:highlight w:val="yellow"/>
        </w:rPr>
        <w:t>, najčešće besplatno;</w:t>
      </w:r>
    </w:p>
    <w:p w:rsidR="00867290" w:rsidRPr="000D1D32" w:rsidRDefault="00867290" w:rsidP="00320BBA">
      <w:pPr>
        <w:pStyle w:val="Hlistbullet"/>
        <w:numPr>
          <w:ilvl w:val="1"/>
          <w:numId w:val="2"/>
        </w:numPr>
        <w:tabs>
          <w:tab w:val="left" w:pos="567"/>
        </w:tabs>
        <w:ind w:left="1037" w:hanging="357"/>
        <w:rPr>
          <w:highlight w:val="yellow"/>
        </w:rPr>
      </w:pPr>
      <w:r>
        <w:rPr>
          <w:highlight w:val="yellow"/>
        </w:rPr>
        <w:t>Primjer: internetska anketa u koju su uključeni čelnici i voditelji lokalnih akcijskih skupina (LAG), kojom se nastoji utvrditi vrsta i jačina njihove uključenosti u aktivnosti NRM-a, razina njihova zadovoljstva te njihove moguće daljnje aktivnosti.</w:t>
      </w:r>
    </w:p>
    <w:p w:rsidR="00867290" w:rsidRPr="000D1D32" w:rsidRDefault="00867290" w:rsidP="00340AD4">
      <w:pPr>
        <w:pStyle w:val="Hlistbullet2"/>
        <w:rPr>
          <w:highlight w:val="yellow"/>
        </w:rPr>
      </w:pPr>
      <w:r>
        <w:rPr>
          <w:b/>
          <w:highlight w:val="yellow"/>
        </w:rPr>
        <w:t>polustrukturiranim (dubinskim) intervjuima</w:t>
      </w:r>
      <w:r>
        <w:rPr>
          <w:highlight w:val="yellow"/>
        </w:rPr>
        <w:t xml:space="preserve"> sa stručnjacima, dionicima ili korisnicima, kojima se izravno istražuju njihova stajališta o pitanjima za evaluaciju; ti se intervjui obično provode osobno, ali i telefonom ili Skypeom;</w:t>
      </w:r>
    </w:p>
    <w:p w:rsidR="00867290" w:rsidRPr="000D1D32" w:rsidRDefault="00867290" w:rsidP="00320BBA">
      <w:pPr>
        <w:pStyle w:val="Hlistbullet"/>
        <w:numPr>
          <w:ilvl w:val="1"/>
          <w:numId w:val="2"/>
        </w:numPr>
        <w:tabs>
          <w:tab w:val="left" w:pos="567"/>
        </w:tabs>
        <w:spacing w:before="0" w:line="280" w:lineRule="atLeast"/>
        <w:ind w:left="1037" w:hanging="357"/>
        <w:rPr>
          <w:highlight w:val="yellow"/>
        </w:rPr>
      </w:pPr>
      <w:r>
        <w:rPr>
          <w:highlight w:val="yellow"/>
        </w:rPr>
        <w:t>Primjer: pojedinačni intervjui s odabranim predstavnicima upravljačkog tijela i provedbenih organa o njihovim gledištima u vezi s postignućima NRM-a u pogledu očekivanih ishoda.</w:t>
      </w:r>
    </w:p>
    <w:p w:rsidR="00867290" w:rsidRPr="000D1D32" w:rsidRDefault="00867290" w:rsidP="00340AD4">
      <w:pPr>
        <w:pStyle w:val="Hlistbullet2"/>
        <w:rPr>
          <w:highlight w:val="yellow"/>
        </w:rPr>
      </w:pPr>
      <w:r>
        <w:rPr>
          <w:highlight w:val="yellow"/>
        </w:rPr>
        <w:lastRenderedPageBreak/>
        <w:t>intervjuima s pomoću repertorne rešetke</w:t>
      </w:r>
      <w:r>
        <w:rPr>
          <w:rFonts w:ascii="ZWAdobeF" w:hAnsi="ZWAdobeF"/>
          <w:color w:val="auto"/>
          <w:sz w:val="2"/>
        </w:rPr>
        <w:t>100F</w:t>
      </w:r>
      <w:r>
        <w:rPr>
          <w:rStyle w:val="FootnoteReference"/>
          <w:highlight w:val="yellow"/>
        </w:rPr>
        <w:footnoteReference w:id="101"/>
      </w:r>
      <w:r>
        <w:rPr>
          <w:highlight w:val="yellow"/>
        </w:rPr>
        <w:t xml:space="preserve"> koji omogućavaju kvantitativnu obradu kvalitativnih informacija prikupljenih od relativno malog broja intervjuiranih subjekata; „repertorna rešetka” služi kao alat za istraživanje osobnih konstrukcija (pogleda na svijet, vrijednosti i stajališta) koje socijalna psihologija smatra čimbenicima koji upravljaju našim djelovanjem, tj. našim obrascima ponašanja. </w:t>
      </w:r>
      <w:r>
        <w:rPr>
          <w:highlight w:val="yellow"/>
        </w:rPr>
        <w:sym w:font="Wingdings" w:char="F0E0"/>
      </w:r>
      <w:r>
        <w:rPr>
          <w:highlight w:val="yellow"/>
        </w:rPr>
        <w:t xml:space="preserve"> Vidi  i </w:t>
      </w:r>
      <w:r>
        <w:rPr>
          <w:b/>
          <w:color w:val="E7E6E6" w:themeColor="background2"/>
          <w:highlight w:val="yellow"/>
        </w:rPr>
        <w:t>DIO III.</w:t>
      </w:r>
      <w:r>
        <w:rPr>
          <w:highlight w:val="yellow"/>
        </w:rPr>
        <w:t xml:space="preserve"> ovih Smjernica.</w:t>
      </w:r>
    </w:p>
    <w:p w:rsidR="00867290" w:rsidRPr="000D1D32" w:rsidRDefault="00867290" w:rsidP="00340AD4">
      <w:pPr>
        <w:pStyle w:val="Hlistbullet"/>
        <w:numPr>
          <w:ilvl w:val="1"/>
          <w:numId w:val="2"/>
        </w:numPr>
        <w:tabs>
          <w:tab w:val="left" w:pos="567"/>
        </w:tabs>
        <w:spacing w:before="0" w:after="120" w:line="280" w:lineRule="atLeast"/>
        <w:ind w:left="1037" w:hanging="357"/>
        <w:rPr>
          <w:highlight w:val="yellow"/>
        </w:rPr>
      </w:pPr>
      <w:r>
        <w:rPr>
          <w:highlight w:val="yellow"/>
        </w:rPr>
        <w:t>Primjer: Intervjui s pomoću repertorne rešetke provedeni s odabranim članovima mreže (npr. s „unutarnjom jezgrom” kao što je bio slučaj i s prethodno spomenutom analizom društvene mreže) o njihovim stajalištima u vezi s kvalitetom i evolucijom mreže (najbolje bi ih bilo provesti barem dvaput – npr. 2017. i 2019.).</w:t>
      </w:r>
    </w:p>
    <w:p w:rsidR="00867290" w:rsidRPr="000D1D32" w:rsidRDefault="00867290" w:rsidP="00340AD4">
      <w:pPr>
        <w:pStyle w:val="HStandard"/>
        <w:rPr>
          <w:highlight w:val="yellow"/>
        </w:rPr>
      </w:pPr>
      <w:r>
        <w:rPr>
          <w:highlight w:val="yellow"/>
        </w:rPr>
        <w:t>Intervjui uz upotrebu standardiziranih upitnika i polustrukturirani intervjui omogućavaju prikupljanje činjeničnih informacija te uvid u mišljenja i vrijednosna stajališta. Ta subjektivna stajališta mogu biti kvantificirana za statističku obradu upotrebom bodovanja (npr. postotak dovršenosti), rangiranja (određivanje poretka u skladu s preferencijama) ili Likertovih ljestvica koje nude više različitih pozicija između dvije ekstremne vrijednosti (npr. od „vrlo loše” do „vrlo dobro”). Bodovanje i rangiranje omogućavaju kontekstualiziranu usporedbu koja se temelji na subjektivnoj prosudbi (osobito kod pokazatelja učinaka)</w:t>
      </w:r>
      <w:r>
        <w:rPr>
          <w:rFonts w:ascii="ZWAdobeF" w:hAnsi="ZWAdobeF"/>
          <w:color w:val="auto"/>
          <w:sz w:val="2"/>
        </w:rPr>
        <w:t>101F</w:t>
      </w:r>
      <w:r>
        <w:rPr>
          <w:rStyle w:val="FootnoteReference"/>
          <w:highlight w:val="yellow"/>
        </w:rPr>
        <w:footnoteReference w:id="102"/>
      </w:r>
      <w:r>
        <w:rPr>
          <w:highlight w:val="yellow"/>
        </w:rPr>
        <w:t>.</w:t>
      </w:r>
    </w:p>
    <w:p w:rsidR="00867290" w:rsidRPr="000D1D32" w:rsidRDefault="00867290" w:rsidP="00320BBA">
      <w:pPr>
        <w:pStyle w:val="HStandard"/>
        <w:spacing w:after="0"/>
        <w:rPr>
          <w:highlight w:val="yellow"/>
        </w:rPr>
      </w:pPr>
      <w:r>
        <w:rPr>
          <w:b/>
          <w:highlight w:val="yellow"/>
          <w:u w:val="single"/>
        </w:rPr>
        <w:t>Dijaloške ili participativne metode</w:t>
      </w:r>
      <w:r>
        <w:rPr>
          <w:highlight w:val="yellow"/>
        </w:rPr>
        <w:t xml:space="preserve"> oslanjaju se na „kolektivnu inteligenciju”</w:t>
      </w:r>
      <w:r>
        <w:rPr>
          <w:rFonts w:ascii="ZWAdobeF" w:hAnsi="ZWAdobeF"/>
          <w:color w:val="auto"/>
          <w:sz w:val="2"/>
        </w:rPr>
        <w:t>102F</w:t>
      </w:r>
      <w:r>
        <w:rPr>
          <w:rStyle w:val="FootnoteReference"/>
          <w:highlight w:val="yellow"/>
        </w:rPr>
        <w:footnoteReference w:id="103"/>
      </w:r>
      <w:r>
        <w:rPr>
          <w:highlight w:val="yellow"/>
        </w:rPr>
        <w:t xml:space="preserve"> ili „intuiciju skupine”</w:t>
      </w:r>
      <w:r>
        <w:rPr>
          <w:rFonts w:ascii="ZWAdobeF" w:hAnsi="ZWAdobeF"/>
          <w:color w:val="auto"/>
          <w:sz w:val="2"/>
        </w:rPr>
        <w:t>103F</w:t>
      </w:r>
      <w:r>
        <w:rPr>
          <w:rStyle w:val="FootnoteReference"/>
          <w:highlight w:val="yellow"/>
        </w:rPr>
        <w:footnoteReference w:id="104"/>
      </w:r>
      <w:r>
        <w:rPr>
          <w:highlight w:val="yellow"/>
        </w:rPr>
        <w:t xml:space="preserve"> te dopunjuju pojedinačna mišljenja i činjenične nalaze koji su prikupljeni anketama. </w:t>
      </w:r>
    </w:p>
    <w:p w:rsidR="00867290" w:rsidRPr="000D1D32" w:rsidRDefault="00867290" w:rsidP="00340AD4">
      <w:pPr>
        <w:pStyle w:val="Hlistbullet2"/>
        <w:rPr>
          <w:highlight w:val="yellow"/>
        </w:rPr>
      </w:pPr>
      <w:r>
        <w:rPr>
          <w:highlight w:val="yellow"/>
        </w:rPr>
        <w:t xml:space="preserve">Dijaloške i participativne metode čine most prema </w:t>
      </w:r>
      <w:r>
        <w:rPr>
          <w:b/>
          <w:highlight w:val="yellow"/>
        </w:rPr>
        <w:t>metodama samoocjenjivanja</w:t>
      </w:r>
      <w:r>
        <w:rPr>
          <w:highlight w:val="yellow"/>
        </w:rPr>
        <w:t>, koje mogu uključivati sastanke radi koordinacije ili praćenja u sklopu tematskih ili metodoloških radnih skupina, potkrijepljenih kontinuirano dopunjavanim podacima o praćenju. Zbirni podaci prikupljeni samoocjenjivanjem i popisima s povratnim informacijama mogu se upotrebljavati kao ulazni podaci kod istraživanja u okruženju s dijalogom koji moderira vanjski evaluator.</w:t>
      </w:r>
    </w:p>
    <w:p w:rsidR="00867290" w:rsidRPr="000D1D32" w:rsidRDefault="00867290" w:rsidP="00320BBA">
      <w:pPr>
        <w:pStyle w:val="Hlistbullet"/>
        <w:numPr>
          <w:ilvl w:val="1"/>
          <w:numId w:val="2"/>
        </w:numPr>
        <w:tabs>
          <w:tab w:val="left" w:pos="567"/>
        </w:tabs>
        <w:spacing w:before="0" w:line="280" w:lineRule="atLeast"/>
        <w:ind w:left="1037" w:hanging="357"/>
        <w:rPr>
          <w:highlight w:val="yellow"/>
        </w:rPr>
      </w:pPr>
      <w:r>
        <w:rPr>
          <w:highlight w:val="yellow"/>
        </w:rPr>
        <w:t xml:space="preserve">Primjer: Godišnji skup o strategiji uz vanjsko moderiranje koji se usredotočuje na postignuća i propuste u prošloj godini uz upotrebu podataka o praćenju, povezanih studija i internih anketa kao polaznih materijala za promišljanje; vanjski moderator može predložiti upotrebu nekonvencionalnih oblika dijaloga, nekonvencionalnog okruženja ili vanjskih suradnika s ciljem poticanja razmišljanja izvan konvencionalnih okvira; skupovi za 2017., 2019. i nakon zaključenja programa mogli bi izravno doprinijeti evaluacijama za pojedina razdoblja. </w:t>
      </w:r>
    </w:p>
    <w:p w:rsidR="00867290" w:rsidRPr="000D1D32" w:rsidRDefault="00867290" w:rsidP="00340AD4">
      <w:pPr>
        <w:pStyle w:val="Hlistbullet2"/>
        <w:rPr>
          <w:highlight w:val="yellow"/>
        </w:rPr>
      </w:pPr>
      <w:r>
        <w:rPr>
          <w:b/>
          <w:highlight w:val="yellow"/>
        </w:rPr>
        <w:t>Fokusne skupine</w:t>
      </w:r>
      <w:r>
        <w:rPr>
          <w:highlight w:val="yellow"/>
        </w:rPr>
        <w:t xml:space="preserve"> često su korištena vrsta dijaloških evaluacijskih metoda. Osim serija fokusnih skupina koje se održavaju tijekom određenog razdoblja, fokusne skupine mogu biti organizirane i na dvije razine (kaskadne fokusne skupine koje obuhvaćaju dvije razine procesa donošenja odluka, npr. na razini predstavnika lokalnih akcijskih skupina (LAG) i na razini predstavnika nacionalnih ruralnih mreža (NRM)); mogu biti fokusirane na tematska područja ili na istraživanje međusektorskih pitanja; u svakom slučaju, njihova kvaliteta raste ako je sastav sudionika dovoljno diversificiran i ako se ne sastoje od prevelikog broja sudionika (od 5 do 12 osoba po skupini, a ako je veći broj sudionika, dijeli se na manje skupine u skladu s navedenom idealnom veličinom); iznimno je važno da skupine moderiraju vanjski moderatori (tj. evaluatori ili, ako ne posjeduju vještine moderiranja, netko tko djeluje u njihovo ime). Sastanci odbora za upravljanje evaluacijom, ako takav odbor postoji, mogu u načelu isto tako biti organizirani kao sastanci fokusne skupine „druge razine”.</w:t>
      </w:r>
    </w:p>
    <w:p w:rsidR="00867290" w:rsidRPr="000D1D32" w:rsidRDefault="00867290" w:rsidP="00340AD4">
      <w:pPr>
        <w:pStyle w:val="Hlistbullet"/>
        <w:numPr>
          <w:ilvl w:val="1"/>
          <w:numId w:val="2"/>
        </w:numPr>
        <w:tabs>
          <w:tab w:val="left" w:pos="567"/>
        </w:tabs>
        <w:spacing w:before="0" w:after="120" w:line="280" w:lineRule="atLeast"/>
        <w:ind w:left="1037" w:hanging="357"/>
        <w:rPr>
          <w:highlight w:val="yellow"/>
        </w:rPr>
      </w:pPr>
      <w:r>
        <w:rPr>
          <w:highlight w:val="yellow"/>
        </w:rPr>
        <w:t xml:space="preserve">Primjer: Formiranje skupina ljudi s raznovrsnim perspektivama radi potvrđivanja pojedinih segmenata aktivnosti NRM-a (npr. komunikacije i izdavaštvo / organiziranje radionica i događanja / poticanje inovacija); ove se skupine mogu preklapati, tj. u tom bi slučaju dvije </w:t>
      </w:r>
      <w:r>
        <w:rPr>
          <w:highlight w:val="yellow"/>
        </w:rPr>
        <w:lastRenderedPageBreak/>
        <w:t xml:space="preserve">skupine potvrđivale istu temu, neovisno jedna o drugoj (radi stvaranja višedimenzionalnog uvida u realno stanje stvari). </w:t>
      </w:r>
    </w:p>
    <w:p w:rsidR="00867290" w:rsidRPr="000D1D32" w:rsidRDefault="00867290" w:rsidP="00320BBA">
      <w:pPr>
        <w:pStyle w:val="HStandard"/>
        <w:spacing w:after="0"/>
        <w:rPr>
          <w:highlight w:val="yellow"/>
        </w:rPr>
      </w:pPr>
      <w:r>
        <w:rPr>
          <w:b/>
          <w:highlight w:val="yellow"/>
          <w:u w:val="single"/>
        </w:rPr>
        <w:t>Analitičkim se metodama</w:t>
      </w:r>
      <w:r>
        <w:rPr>
          <w:highlight w:val="yellow"/>
        </w:rPr>
        <w:t xml:space="preserve"> uglavnom koristi radi procjenjivanja djelotvornosti i učinkovitosti intervencija. </w:t>
      </w:r>
    </w:p>
    <w:p w:rsidR="00867290" w:rsidRPr="000D1D32" w:rsidRDefault="00867290" w:rsidP="00340AD4">
      <w:pPr>
        <w:pStyle w:val="Hlistbullet2"/>
        <w:rPr>
          <w:highlight w:val="yellow"/>
        </w:rPr>
      </w:pPr>
      <w:r>
        <w:rPr>
          <w:highlight w:val="yellow"/>
        </w:rPr>
        <w:t xml:space="preserve">Ostvarenja NRM-ova mogu se konkretizirati </w:t>
      </w:r>
      <w:r>
        <w:rPr>
          <w:b/>
          <w:highlight w:val="yellow"/>
        </w:rPr>
        <w:t>analizom troškova i koristi</w:t>
      </w:r>
      <w:r>
        <w:rPr>
          <w:highlight w:val="yellow"/>
        </w:rPr>
        <w:t xml:space="preserve"> (npr. s obzirom na proizvodnju i širenje letaka, časopisa itd. ili s obzirom na organizaciju tečajeva osposobljavanja i radionica za dionike).</w:t>
      </w:r>
    </w:p>
    <w:p w:rsidR="00867290" w:rsidRPr="000D1D32" w:rsidRDefault="00867290" w:rsidP="00320BBA">
      <w:pPr>
        <w:pStyle w:val="Hlistbullet"/>
        <w:numPr>
          <w:ilvl w:val="1"/>
          <w:numId w:val="2"/>
        </w:numPr>
        <w:tabs>
          <w:tab w:val="left" w:pos="567"/>
        </w:tabs>
        <w:spacing w:before="0" w:line="280" w:lineRule="atLeast"/>
        <w:ind w:left="1037" w:hanging="357"/>
        <w:rPr>
          <w:highlight w:val="yellow"/>
        </w:rPr>
      </w:pPr>
      <w:r>
        <w:rPr>
          <w:highlight w:val="yellow"/>
        </w:rPr>
        <w:t>Primjer: Analiza troškova i koristi ukupnih troškova za tečajeve osposobljavanja, izmjerena u odnosu na broj sudionika i stupanj njihova zadovoljstva (izmjereno vrijednosnom ljestvicom).</w:t>
      </w:r>
    </w:p>
    <w:p w:rsidR="00867290" w:rsidRPr="000D1D32" w:rsidRDefault="00867290" w:rsidP="00E57366">
      <w:pPr>
        <w:pStyle w:val="Hlistbullet2"/>
        <w:rPr>
          <w:highlight w:val="yellow"/>
        </w:rPr>
      </w:pPr>
      <w:r>
        <w:rPr>
          <w:highlight w:val="yellow"/>
        </w:rPr>
        <w:t>S obzirom na to da je cilj aktivnosti NRM-ova potaknuti promjene u ponašanju korisnika ostvarenja NRM-a, isključivo kvantitativne metode nisu dovoljne za procjenjivanje tih ishoda; to bi bilo moguće postići analizom troškovne isplativosti. Iako se i ovdje troškovna strana izražava u monetarnim pojmovima (kao i pri analizi troškova i koristi), učinak se mjeri nizom kvalitativnih pokazatelja, pri čemu se djelomično mogu upotrebljavati pokazatelji za pojedini program, no mogu se upotrebljavati i posebne varijable namijenjene isključivo ovoj svrsi.</w:t>
      </w:r>
    </w:p>
    <w:p w:rsidR="00867290" w:rsidRPr="000D1D32" w:rsidRDefault="00867290" w:rsidP="00340AD4">
      <w:pPr>
        <w:pStyle w:val="Hlistbullet2"/>
        <w:numPr>
          <w:ilvl w:val="1"/>
          <w:numId w:val="2"/>
        </w:numPr>
        <w:tabs>
          <w:tab w:val="left" w:pos="567"/>
        </w:tabs>
        <w:spacing w:before="0" w:after="120" w:line="280" w:lineRule="atLeast"/>
        <w:ind w:left="1037" w:hanging="357"/>
        <w:rPr>
          <w:highlight w:val="yellow"/>
        </w:rPr>
      </w:pPr>
      <w:r>
        <w:rPr>
          <w:highlight w:val="yellow"/>
        </w:rPr>
        <w:t>Primjer: Analiza isplativosti ukupnih troškova za tečajeve osposobljavanja u odnosu na prihvaćanje i primjenu sadržaja tečajeva, mjerenu i u odnosu na dodatnu potražnju za s time povezanim savjetovanjem i vođenjem.</w:t>
      </w:r>
    </w:p>
    <w:p w:rsidR="00867290" w:rsidRPr="000D1D32" w:rsidRDefault="00867290" w:rsidP="00320BBA">
      <w:pPr>
        <w:pStyle w:val="HStandard"/>
        <w:spacing w:after="0"/>
        <w:rPr>
          <w:highlight w:val="yellow"/>
        </w:rPr>
      </w:pPr>
      <w:r>
        <w:rPr>
          <w:b/>
          <w:highlight w:val="yellow"/>
          <w:u w:val="single"/>
        </w:rPr>
        <w:t>Dijagnostičke metode</w:t>
      </w:r>
      <w:r>
        <w:rPr>
          <w:highlight w:val="yellow"/>
        </w:rPr>
        <w:t xml:space="preserve"> uključuju različite metode počevši od onih isključivo heurističke prirode pa do onih koje se koriste računalnim softverom:</w:t>
      </w:r>
    </w:p>
    <w:p w:rsidR="00867290" w:rsidRPr="000D1D32" w:rsidRDefault="00867290" w:rsidP="00340AD4">
      <w:pPr>
        <w:pStyle w:val="Hlistbullet2"/>
        <w:rPr>
          <w:highlight w:val="yellow"/>
        </w:rPr>
      </w:pPr>
      <w:r>
        <w:rPr>
          <w:b/>
          <w:highlight w:val="yellow"/>
        </w:rPr>
        <w:t>Funkcionalna analiza mreža</w:t>
      </w:r>
      <w:r>
        <w:rPr>
          <w:rFonts w:ascii="ZWAdobeF" w:hAnsi="ZWAdobeF"/>
          <w:color w:val="auto"/>
          <w:sz w:val="2"/>
          <w:highlight w:val="yellow"/>
        </w:rPr>
        <w:t>104F</w:t>
      </w:r>
      <w:r>
        <w:rPr>
          <w:rStyle w:val="FootnoteReference"/>
          <w:highlight w:val="yellow"/>
        </w:rPr>
        <w:footnoteReference w:id="105"/>
      </w:r>
      <w:r>
        <w:rPr>
          <w:highlight w:val="yellow"/>
        </w:rPr>
        <w:t xml:space="preserve">: ova metoda analizira mreže proučavajući Jedinice za potporu mreži (JPM) i šest tipičnih funkcija koje one pružaju (poimence: filtriranje, pojačavanje, investiranje i osiguravanje resursa, okupljanje, izgradnja zajednice i olakšavanje) te dvije „nadfunkcije” ili uloge (uloga djelovanja i uloga podupiranja), a kombinacija ovih čimbenika određuje načine kojima JPM intervenira u djelovanje mreže. U praksi, većina mreža javnih politika ima značajke obje uloge (vidi i </w:t>
      </w:r>
      <w:r>
        <w:rPr>
          <w:b/>
          <w:color w:val="E7E6E6" w:themeColor="background2"/>
          <w:highlight w:val="yellow"/>
        </w:rPr>
        <w:t>DIO III.</w:t>
      </w:r>
      <w:r>
        <w:rPr>
          <w:highlight w:val="yellow"/>
        </w:rPr>
        <w:t>).</w:t>
      </w:r>
    </w:p>
    <w:p w:rsidR="00867290" w:rsidRPr="000D1D32" w:rsidRDefault="00867290" w:rsidP="00320BBA">
      <w:pPr>
        <w:pStyle w:val="Hlistbullet"/>
        <w:numPr>
          <w:ilvl w:val="1"/>
          <w:numId w:val="2"/>
        </w:numPr>
        <w:tabs>
          <w:tab w:val="left" w:pos="567"/>
        </w:tabs>
        <w:spacing w:before="0" w:line="280" w:lineRule="atLeast"/>
        <w:ind w:left="1037" w:hanging="357"/>
        <w:rPr>
          <w:highlight w:val="yellow"/>
        </w:rPr>
      </w:pPr>
      <w:r>
        <w:rPr>
          <w:highlight w:val="yellow"/>
        </w:rPr>
        <w:t>Primjer: Ova analiza može biti provedena na temelju široke internetske ankete u kombinaciji s nizom dubinskih intervjua provedenih s odabranim dionicima ili u kombinaciji s fokusnom skupinom, a pri čemu se preliminarni rezultati internetske ankete upotrebljavaju kao ulazni podaci za dubinske intervjue, odnosno fokusnu skupinu.</w:t>
      </w:r>
    </w:p>
    <w:p w:rsidR="00867290" w:rsidRPr="000D1D32" w:rsidRDefault="00867290" w:rsidP="00E57366">
      <w:pPr>
        <w:pStyle w:val="Hlistbullet2"/>
        <w:rPr>
          <w:highlight w:val="yellow"/>
        </w:rPr>
      </w:pPr>
      <w:r>
        <w:rPr>
          <w:b/>
          <w:highlight w:val="yellow"/>
        </w:rPr>
        <w:t>Analiza dionika</w:t>
      </w:r>
      <w:r>
        <w:rPr>
          <w:rStyle w:val="FootnoteReference"/>
          <w:highlight w:val="yellow"/>
        </w:rPr>
        <w:footnoteReference w:id="106"/>
      </w:r>
      <w:r>
        <w:rPr>
          <w:highlight w:val="yellow"/>
        </w:rPr>
        <w:t xml:space="preserve">: Analiza dionika postupak je otkrivanja pojedinaca ili skupina koji mogu utjecati na planirano djelovanje ili na koje će planirano djelovanje imati učinka, pri čemu ih se katalogizira u skladu s razinom njihova utjecaja na djelovanje ili u skladu s očekivanim učinkom djelovanja na njih. (vidi i </w:t>
      </w:r>
      <w:r>
        <w:rPr>
          <w:b/>
          <w:color w:val="E7E6E6" w:themeColor="background2"/>
          <w:highlight w:val="yellow"/>
        </w:rPr>
        <w:t>DIO III.</w:t>
      </w:r>
      <w:r>
        <w:rPr>
          <w:highlight w:val="yellow"/>
        </w:rPr>
        <w:t>).</w:t>
      </w:r>
    </w:p>
    <w:p w:rsidR="00867290" w:rsidRPr="000D1D32" w:rsidRDefault="00867290" w:rsidP="00E57366">
      <w:pPr>
        <w:pStyle w:val="Hlistbullet"/>
        <w:numPr>
          <w:ilvl w:val="1"/>
          <w:numId w:val="2"/>
        </w:numPr>
        <w:tabs>
          <w:tab w:val="left" w:pos="567"/>
        </w:tabs>
        <w:spacing w:before="0" w:after="120" w:line="280" w:lineRule="atLeast"/>
        <w:ind w:left="1037" w:hanging="357"/>
        <w:rPr>
          <w:highlight w:val="yellow"/>
        </w:rPr>
      </w:pPr>
      <w:r>
        <w:rPr>
          <w:highlight w:val="yellow"/>
        </w:rPr>
        <w:t>Primjer: Ovo se može provesti kao postupak samoocjenjivanja, npr. davanjem nagovještaja za evaluaciju 2017. uz kasnije ponavljanje postupka, npr. tijekom evaluacije za 2019. ili neposredno nakon zaključenja programa.</w:t>
      </w:r>
    </w:p>
    <w:p w:rsidR="00867290" w:rsidRPr="000D1D32" w:rsidRDefault="00867290" w:rsidP="00E57366">
      <w:pPr>
        <w:pStyle w:val="Hlistbullet2"/>
        <w:rPr>
          <w:highlight w:val="yellow"/>
        </w:rPr>
      </w:pPr>
      <w:r>
        <w:rPr>
          <w:b/>
          <w:highlight w:val="yellow"/>
        </w:rPr>
        <w:t>Analiza društvene mreže (ADM)</w:t>
      </w:r>
      <w:r>
        <w:rPr>
          <w:rFonts w:ascii="ZWAdobeF" w:hAnsi="ZWAdobeF"/>
          <w:color w:val="auto"/>
          <w:sz w:val="2"/>
          <w:highlight w:val="yellow"/>
        </w:rPr>
        <w:t>106F</w:t>
      </w:r>
      <w:r>
        <w:rPr>
          <w:rStyle w:val="FootnoteReference"/>
          <w:highlight w:val="yellow"/>
        </w:rPr>
        <w:footnoteReference w:id="107"/>
      </w:r>
      <w:r>
        <w:rPr>
          <w:highlight w:val="yellow"/>
        </w:rPr>
        <w:t xml:space="preserve">: Analiza društvene mreže temelji se na ideji da su umreženi dionici (tj. čvorovi) i njihove akcije međuovisni. Veze između dionika promatraju se kao kanali za prijenos ili tok resursa (informacije, utjecaj, novac itd.), a sama se mreža promatra u kontekstu u kojem omogućava ili otežava djelovanje dionika. Analiza društvene mreže sastoji se od mapiranja i mjerenja odnosa i toka resursa među dionicima mreže. Pomoću softvera za </w:t>
      </w:r>
      <w:r>
        <w:rPr>
          <w:highlight w:val="yellow"/>
        </w:rPr>
        <w:lastRenderedPageBreak/>
        <w:t xml:space="preserve">analizu društvenih mreža može se dobiti vizualni prikaz (u obliku grafikona mreže) i matematička analiza odnosa među dionicima mreže (vidi i </w:t>
      </w:r>
      <w:r>
        <w:rPr>
          <w:b/>
          <w:color w:val="E7E6E6" w:themeColor="background2"/>
          <w:highlight w:val="yellow"/>
        </w:rPr>
        <w:t>DIO III.</w:t>
      </w:r>
      <w:r>
        <w:rPr>
          <w:highlight w:val="yellow"/>
        </w:rPr>
        <w:t>).</w:t>
      </w:r>
    </w:p>
    <w:p w:rsidR="00867290" w:rsidRPr="000D1D32" w:rsidRDefault="00867290" w:rsidP="00E57366">
      <w:pPr>
        <w:pStyle w:val="Hlistbullet"/>
        <w:numPr>
          <w:ilvl w:val="1"/>
          <w:numId w:val="2"/>
        </w:numPr>
        <w:tabs>
          <w:tab w:val="left" w:pos="567"/>
        </w:tabs>
        <w:spacing w:before="0" w:after="120" w:line="280" w:lineRule="atLeast"/>
        <w:ind w:left="1037" w:hanging="357"/>
        <w:rPr>
          <w:highlight w:val="yellow"/>
        </w:rPr>
      </w:pPr>
      <w:r>
        <w:rPr>
          <w:highlight w:val="yellow"/>
        </w:rPr>
        <w:t>Primjer: Provedba analize društvene mreže na pojedinim tematskim područjima (npr. u skladu s trima ciljevima ili šest prioriteta zajedničke poljoprivredne politike EU-a), promatrajući tematska mrežna područja (npr. radi određivanja ključnih igrača) i preklapanja među njima (npr. radi određivanja ključnih poveznica) te rasprava o tim uvidima unutar fokusne skupine.</w:t>
      </w:r>
    </w:p>
    <w:p w:rsidR="00867290" w:rsidRPr="000D1D32" w:rsidRDefault="00867290" w:rsidP="00E57366">
      <w:pPr>
        <w:pStyle w:val="HStandard"/>
        <w:rPr>
          <w:highlight w:val="yellow"/>
        </w:rPr>
      </w:pPr>
      <w:r>
        <w:rPr>
          <w:highlight w:val="yellow"/>
        </w:rPr>
        <w:t>Dodatni dijagnostički alati za procjenu kapaciteta za inovacije i učenje organizacija i mreža opisani su u priručniku njemačkog GIZ-a o upravljanju suradnjom</w:t>
      </w:r>
      <w:r>
        <w:rPr>
          <w:rFonts w:ascii="ZWAdobeF" w:hAnsi="ZWAdobeF"/>
          <w:color w:val="auto"/>
          <w:sz w:val="2"/>
        </w:rPr>
        <w:t>107F</w:t>
      </w:r>
      <w:r>
        <w:rPr>
          <w:rStyle w:val="FootnoteReference"/>
          <w:highlight w:val="yellow"/>
        </w:rPr>
        <w:footnoteReference w:id="108"/>
      </w:r>
      <w:r>
        <w:rPr>
          <w:highlight w:val="yellow"/>
        </w:rPr>
        <w:t xml:space="preserve">. Proučavanje kapaciteta za inovacije i učenje može biti usmjereno i na određene aspekte koje je unaprijed odredio ZSPE. Međutim, to može biti konceptualizirano i kao sveobuhvatniji i interaktivniji proces usmjeren na razumijevanje sistemskih obrazaca koji se nalaze u temeljima promatranih promjena (vidi i </w:t>
      </w:r>
      <w:r>
        <w:rPr>
          <w:b/>
          <w:color w:val="E7E6E6" w:themeColor="background2"/>
          <w:highlight w:val="yellow"/>
        </w:rPr>
        <w:t>DIO III.</w:t>
      </w:r>
      <w:r>
        <w:rPr>
          <w:highlight w:val="yellow"/>
        </w:rPr>
        <w:t>).</w:t>
      </w:r>
    </w:p>
    <w:p w:rsidR="00867290" w:rsidRPr="000D1D32" w:rsidRDefault="00867290" w:rsidP="00E57366">
      <w:pPr>
        <w:pStyle w:val="Heading6"/>
        <w:rPr>
          <w:highlight w:val="yellow"/>
        </w:rPr>
      </w:pPr>
      <w:r>
        <w:rPr>
          <w:highlight w:val="yellow"/>
        </w:rPr>
        <w:t>Što je sa studijama slučaja?</w:t>
      </w:r>
    </w:p>
    <w:p w:rsidR="00867290" w:rsidRPr="000D1D32" w:rsidRDefault="00867290" w:rsidP="00E57366">
      <w:pPr>
        <w:pStyle w:val="HStandard"/>
        <w:rPr>
          <w:highlight w:val="yellow"/>
        </w:rPr>
      </w:pPr>
      <w:r>
        <w:rPr>
          <w:b/>
          <w:highlight w:val="yellow"/>
        </w:rPr>
        <w:t>Studije slučaja</w:t>
      </w:r>
      <w:r>
        <w:rPr>
          <w:highlight w:val="yellow"/>
        </w:rPr>
        <w:t xml:space="preserve"> obično integriraju različite metode. One nude širok raspon mogućnosti za miješanje kvantitativnih i kvalitativnih metoda: od komparativnih analiza troškovne isplativosti do heurističkih narativa. Mnogo je različitih načina za izradu studije slučaja. „Studije slučaja pojedinih pitanja” odnose se na tematska istraživanja pitanja koja zahtijevaju podrobniju analizu radi rješavanja određenih problema u procesu evaluacije. Studija slučaja u svakoj fazi zahtijeva mnogo interpretiranja i prosuđivanja na strani evaluatora:</w:t>
      </w:r>
    </w:p>
    <w:p w:rsidR="00867290" w:rsidRPr="000D1D32" w:rsidRDefault="00867290" w:rsidP="00E57366">
      <w:pPr>
        <w:pStyle w:val="Hlistbullet2"/>
        <w:rPr>
          <w:highlight w:val="yellow"/>
        </w:rPr>
      </w:pPr>
      <w:r>
        <w:rPr>
          <w:highlight w:val="yellow"/>
        </w:rPr>
        <w:t>Što određeni problem čini relevantnim predmetom studije slučaja?</w:t>
      </w:r>
    </w:p>
    <w:p w:rsidR="00867290" w:rsidRPr="000D1D32" w:rsidRDefault="00867290" w:rsidP="00E57366">
      <w:pPr>
        <w:pStyle w:val="Hlistbullet2"/>
        <w:rPr>
          <w:highlight w:val="yellow"/>
        </w:rPr>
      </w:pPr>
      <w:r>
        <w:rPr>
          <w:highlight w:val="yellow"/>
        </w:rPr>
        <w:t>Kako odabrati pojedine slučajeve?</w:t>
      </w:r>
    </w:p>
    <w:p w:rsidR="00867290" w:rsidRPr="000D1D32" w:rsidRDefault="00867290" w:rsidP="00E57366">
      <w:pPr>
        <w:pStyle w:val="Hlistbullet2"/>
        <w:rPr>
          <w:highlight w:val="yellow"/>
        </w:rPr>
      </w:pPr>
      <w:r>
        <w:rPr>
          <w:highlight w:val="yellow"/>
        </w:rPr>
        <w:t>Koje modele primijeniti za objašnjenje empirijskih rezultata?</w:t>
      </w:r>
    </w:p>
    <w:p w:rsidR="00867290" w:rsidRPr="000D1D32" w:rsidRDefault="00867290" w:rsidP="00E57366">
      <w:pPr>
        <w:pStyle w:val="Hlistbullet2"/>
        <w:rPr>
          <w:highlight w:val="yellow"/>
        </w:rPr>
      </w:pPr>
      <w:r>
        <w:rPr>
          <w:highlight w:val="yellow"/>
        </w:rPr>
        <w:t>Koje poopćene zaključke možemo izvući iz nalaza studije?</w:t>
      </w:r>
    </w:p>
    <w:p w:rsidR="00867290" w:rsidRPr="000D1D32" w:rsidRDefault="00867290" w:rsidP="00E57366">
      <w:pPr>
        <w:pStyle w:val="HStandard"/>
        <w:rPr>
          <w:highlight w:val="yellow"/>
        </w:rPr>
      </w:pPr>
      <w:r>
        <w:rPr>
          <w:highlight w:val="yellow"/>
        </w:rPr>
        <w:t>Studije slučaja prikladne su kao dopuna anketama i za proučavanje složenijih pitanja: osim pukog promatranja promjene, studije slučaja omogućavaju dublje ulaženje u pitanja uzroka promjena i načina na koji su nastale. Studije slučaja mogu se upotrebljavati i za proučavanje hipotetskih uzročno-posljedičnih odnosa te lančanih uzročnih odnosa. S obzirom na vrijeme potrebno za provedbu kvalitetne studije slučaja, preporučuje se provedba studije slučaja paralelno s provedbom PRR-a/PNRM-a (npr. u suradnji s istraživačkim institutom, sveučilištem ili fakultetom) te upotreba nalaza studije kao ulaznih podataka za evaluaciju, a ne provedba studije slučaja kao dijela same evaluacije.</w:t>
      </w:r>
    </w:p>
    <w:p w:rsidR="00867290" w:rsidRPr="000D1D32" w:rsidRDefault="00867290" w:rsidP="00E57366">
      <w:pPr>
        <w:pStyle w:val="HStandard"/>
        <w:rPr>
          <w:highlight w:val="yellow"/>
        </w:rPr>
      </w:pPr>
      <w:r>
        <w:rPr>
          <w:highlight w:val="yellow"/>
        </w:rPr>
        <w:t xml:space="preserve">Osim upotrebe etabliranih metoda, evaluatori bi trebali isprobati i nekonvencionalne metode koje bi omogućile izvođenje jačih zaključaka ili dublje proučavanje te problematike. U Opisu poslova treba otvoriti mogućnost korištenja metodama iz područja istraživanja akcije, kulturne antropologije, edukacijskih studija ili organizacijskog razvoja, kao što su: </w:t>
      </w:r>
    </w:p>
    <w:p w:rsidR="00867290" w:rsidRPr="000D1D32" w:rsidRDefault="00867290" w:rsidP="00E57366">
      <w:pPr>
        <w:pStyle w:val="Hlistbullet2"/>
        <w:rPr>
          <w:highlight w:val="yellow"/>
        </w:rPr>
      </w:pPr>
      <w:r>
        <w:rPr>
          <w:highlight w:val="yellow"/>
        </w:rPr>
        <w:t>slikovna analiza (interpretacija videomaterijala i fotografija kojom ruralni dionici izražavaju vlastito viđenje događaja koji se odvijaju u njihovu kraju);</w:t>
      </w:r>
    </w:p>
    <w:p w:rsidR="00867290" w:rsidRPr="000D1D32" w:rsidRDefault="00867290" w:rsidP="00E57366">
      <w:pPr>
        <w:pStyle w:val="Hlistbullet2"/>
        <w:rPr>
          <w:highlight w:val="yellow"/>
        </w:rPr>
      </w:pPr>
      <w:r>
        <w:rPr>
          <w:highlight w:val="yellow"/>
        </w:rPr>
        <w:t>tekstualna analiza (lingvistička i kulturna interpretacija jezičnih obrazaca koji se upotrebljavaju u internoj komunikaciji i izdanjima);</w:t>
      </w:r>
    </w:p>
    <w:p w:rsidR="00867290" w:rsidRPr="000D1D32" w:rsidRDefault="00867290" w:rsidP="00E57366">
      <w:pPr>
        <w:pStyle w:val="Hlistbullet2"/>
        <w:rPr>
          <w:highlight w:val="yellow"/>
        </w:rPr>
      </w:pPr>
      <w:r>
        <w:rPr>
          <w:highlight w:val="yellow"/>
        </w:rPr>
        <w:t xml:space="preserve">metoda kritičnih incidenata (primijenjena u fokusnim skupinama, tekstualnoj analizi itd.); </w:t>
      </w:r>
    </w:p>
    <w:p w:rsidR="00867290" w:rsidRPr="000D1D32" w:rsidRDefault="00867290" w:rsidP="00E57366">
      <w:pPr>
        <w:pStyle w:val="Hlistbullet2"/>
        <w:rPr>
          <w:highlight w:val="yellow"/>
        </w:rPr>
      </w:pPr>
      <w:r>
        <w:rPr>
          <w:highlight w:val="yellow"/>
        </w:rPr>
        <w:lastRenderedPageBreak/>
        <w:t>sistematske konstelacije</w:t>
      </w:r>
      <w:r>
        <w:rPr>
          <w:rFonts w:ascii="ZWAdobeF" w:hAnsi="ZWAdobeF"/>
          <w:color w:val="auto"/>
          <w:sz w:val="2"/>
        </w:rPr>
        <w:t>108F</w:t>
      </w:r>
      <w:r>
        <w:rPr>
          <w:rStyle w:val="FootnoteReference"/>
          <w:highlight w:val="yellow"/>
        </w:rPr>
        <w:footnoteReference w:id="109"/>
      </w:r>
      <w:r>
        <w:rPr>
          <w:highlight w:val="yellow"/>
        </w:rPr>
        <w:t>, igranje uloga</w:t>
      </w:r>
      <w:r>
        <w:rPr>
          <w:rFonts w:ascii="ZWAdobeF" w:hAnsi="ZWAdobeF"/>
          <w:color w:val="auto"/>
          <w:sz w:val="2"/>
        </w:rPr>
        <w:t>109F</w:t>
      </w:r>
      <w:r>
        <w:rPr>
          <w:rStyle w:val="FootnoteReference"/>
          <w:highlight w:val="yellow"/>
        </w:rPr>
        <w:footnoteReference w:id="110"/>
      </w:r>
      <w:r>
        <w:rPr>
          <w:highlight w:val="yellow"/>
        </w:rPr>
        <w:t xml:space="preserve"> i druge sociometričke metode</w:t>
      </w:r>
      <w:r>
        <w:rPr>
          <w:rFonts w:ascii="ZWAdobeF" w:hAnsi="ZWAdobeF"/>
          <w:color w:val="auto"/>
          <w:sz w:val="2"/>
        </w:rPr>
        <w:t>110F</w:t>
      </w:r>
      <w:r>
        <w:rPr>
          <w:rStyle w:val="FootnoteReference"/>
          <w:highlight w:val="yellow"/>
        </w:rPr>
        <w:footnoteReference w:id="111"/>
      </w:r>
      <w:r>
        <w:rPr>
          <w:highlight w:val="yellow"/>
        </w:rPr>
        <w:t>.</w:t>
      </w:r>
    </w:p>
    <w:p w:rsidR="00867290" w:rsidRPr="002809CE" w:rsidRDefault="00867290" w:rsidP="00E57366">
      <w:pPr>
        <w:pStyle w:val="HStandard"/>
      </w:pPr>
      <w:r>
        <w:rPr>
          <w:highlight w:val="yellow"/>
        </w:rPr>
        <w:t>Sve navedene, ali i druge nekonvencionalne metode mogu se ugraditi u cjelokupnu strukturu praćenja i evaluacije, npr. u obliku postupaka samoocjenjivanja.</w:t>
      </w:r>
    </w:p>
    <w:p w:rsidR="00867290" w:rsidRPr="002809CE" w:rsidRDefault="00867290" w:rsidP="00E57366">
      <w:pPr>
        <w:pStyle w:val="Heading6"/>
      </w:pPr>
      <w:bookmarkStart w:id="216" w:name="_Toc433481231"/>
      <w:bookmarkStart w:id="217" w:name="_Toc433718139"/>
      <w:bookmarkStart w:id="218" w:name="_Toc434744516"/>
      <w:bookmarkStart w:id="219" w:name="_Toc436140058"/>
      <w:r>
        <w:rPr>
          <w:highlight w:val="yellow"/>
        </w:rPr>
        <w:t>Koji su glavni koraci u odabiru metoda evaluacije za NRM-ove</w:t>
      </w:r>
      <w:bookmarkEnd w:id="216"/>
      <w:bookmarkEnd w:id="217"/>
      <w:bookmarkEnd w:id="218"/>
      <w:bookmarkEnd w:id="219"/>
      <w:r>
        <w:rPr>
          <w:highlight w:val="yellow"/>
        </w:rPr>
        <w:t>?</w:t>
      </w:r>
    </w:p>
    <w:p w:rsidR="00867290" w:rsidRPr="000A700F" w:rsidRDefault="00867290" w:rsidP="00E57366">
      <w:pPr>
        <w:pStyle w:val="HStandard"/>
        <w:rPr>
          <w:highlight w:val="yellow"/>
        </w:rPr>
      </w:pPr>
      <w:r>
        <w:t xml:space="preserve">Following the selection of the evaluation approach and the review of different evaluation methods, the evaluator should select the evaluation methods. </w:t>
      </w:r>
      <w:r>
        <w:rPr>
          <w:highlight w:val="yellow"/>
        </w:rPr>
        <w:t>Preporučeni su koraci u radu i očekivani ishod sljedeći:</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46"/>
        <w:gridCol w:w="8170"/>
      </w:tblGrid>
      <w:tr w:rsidR="00867290" w:rsidRPr="000A700F" w:rsidTr="00E57366">
        <w:tc>
          <w:tcPr>
            <w:tcW w:w="846" w:type="dxa"/>
            <w:shd w:val="clear" w:color="auto" w:fill="E7E6E6" w:themeFill="background2"/>
          </w:tcPr>
          <w:p w:rsidR="00867290" w:rsidRPr="000A700F" w:rsidRDefault="0086729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1.</w:t>
            </w:r>
          </w:p>
        </w:tc>
        <w:tc>
          <w:tcPr>
            <w:tcW w:w="8170" w:type="dxa"/>
          </w:tcPr>
          <w:p w:rsidR="00867290" w:rsidRPr="000A700F" w:rsidRDefault="00867290" w:rsidP="00E57366">
            <w:pPr>
              <w:pStyle w:val="Hlistbullet"/>
              <w:numPr>
                <w:ilvl w:val="0"/>
                <w:numId w:val="0"/>
              </w:numPr>
              <w:spacing w:before="0" w:line="280" w:lineRule="atLeast"/>
              <w:rPr>
                <w:sz w:val="18"/>
                <w:szCs w:val="18"/>
                <w:highlight w:val="yellow"/>
              </w:rPr>
            </w:pPr>
            <w:r>
              <w:rPr>
                <w:sz w:val="18"/>
                <w:highlight w:val="yellow"/>
              </w:rPr>
              <w:t>Provjeriti primjenjivost metode;</w:t>
            </w:r>
          </w:p>
        </w:tc>
      </w:tr>
      <w:tr w:rsidR="00867290" w:rsidRPr="000A700F" w:rsidTr="00E57366">
        <w:tc>
          <w:tcPr>
            <w:tcW w:w="846" w:type="dxa"/>
            <w:shd w:val="clear" w:color="auto" w:fill="E7E6E6" w:themeFill="background2"/>
          </w:tcPr>
          <w:p w:rsidR="00867290" w:rsidRPr="000A700F" w:rsidRDefault="0086729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2.</w:t>
            </w:r>
          </w:p>
        </w:tc>
        <w:tc>
          <w:tcPr>
            <w:tcW w:w="8170" w:type="dxa"/>
          </w:tcPr>
          <w:p w:rsidR="00867290" w:rsidRPr="000A700F" w:rsidRDefault="00867290" w:rsidP="0079102D">
            <w:pPr>
              <w:pStyle w:val="Hlistbullet"/>
              <w:numPr>
                <w:ilvl w:val="0"/>
                <w:numId w:val="0"/>
              </w:numPr>
              <w:spacing w:before="0" w:line="280" w:lineRule="atLeast"/>
              <w:rPr>
                <w:sz w:val="18"/>
                <w:szCs w:val="18"/>
                <w:highlight w:val="yellow"/>
              </w:rPr>
            </w:pPr>
            <w:r>
              <w:rPr>
                <w:sz w:val="18"/>
                <w:highlight w:val="yellow"/>
              </w:rPr>
              <w:t>Preispitati sposobnost metode da zadovolji standarde evaluacije (strogost, vjerodostojnost, pouzdanost, konzistentnost, valjanost i transparentnost);</w:t>
            </w:r>
          </w:p>
        </w:tc>
      </w:tr>
      <w:tr w:rsidR="00867290" w:rsidRPr="000A700F" w:rsidTr="00E57366">
        <w:tc>
          <w:tcPr>
            <w:tcW w:w="846" w:type="dxa"/>
            <w:shd w:val="clear" w:color="auto" w:fill="E7E6E6" w:themeFill="background2"/>
          </w:tcPr>
          <w:p w:rsidR="00867290" w:rsidRPr="000A700F" w:rsidRDefault="0086729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3.</w:t>
            </w:r>
          </w:p>
        </w:tc>
        <w:tc>
          <w:tcPr>
            <w:tcW w:w="8170" w:type="dxa"/>
          </w:tcPr>
          <w:p w:rsidR="00867290" w:rsidRPr="000A700F" w:rsidRDefault="00867290" w:rsidP="004C05DD">
            <w:pPr>
              <w:pStyle w:val="Hlistbullet"/>
              <w:numPr>
                <w:ilvl w:val="0"/>
                <w:numId w:val="0"/>
              </w:numPr>
              <w:spacing w:before="0" w:line="280" w:lineRule="atLeast"/>
              <w:ind w:left="644" w:hanging="360"/>
              <w:rPr>
                <w:sz w:val="18"/>
                <w:szCs w:val="18"/>
                <w:highlight w:val="yellow"/>
              </w:rPr>
            </w:pPr>
            <w:r>
              <w:rPr>
                <w:sz w:val="18"/>
                <w:highlight w:val="yellow"/>
              </w:rPr>
              <w:t>Preispitati pojedine kriterije za NRM u vezi s odabirom metoda evaluacije, kao što je sposobnost da:</w:t>
            </w:r>
          </w:p>
          <w:p w:rsidR="00867290" w:rsidRPr="000A700F" w:rsidRDefault="00867290" w:rsidP="00867290">
            <w:pPr>
              <w:pStyle w:val="Hlistbullet"/>
              <w:numPr>
                <w:ilvl w:val="1"/>
                <w:numId w:val="18"/>
              </w:numPr>
              <w:tabs>
                <w:tab w:val="left" w:pos="567"/>
              </w:tabs>
              <w:spacing w:before="0" w:line="280" w:lineRule="atLeast"/>
              <w:rPr>
                <w:sz w:val="18"/>
                <w:szCs w:val="18"/>
                <w:highlight w:val="yellow"/>
              </w:rPr>
            </w:pPr>
            <w:r>
              <w:rPr>
                <w:sz w:val="18"/>
                <w:highlight w:val="yellow"/>
              </w:rPr>
              <w:t>osigura konzistentne odgovore na pitanja za evaluaciju koja je odredio javni naručitelj (UT/NRM/JPM);</w:t>
            </w:r>
          </w:p>
          <w:p w:rsidR="00867290" w:rsidRPr="000A700F" w:rsidRDefault="00867290" w:rsidP="00867290">
            <w:pPr>
              <w:pStyle w:val="Hlistbullet"/>
              <w:numPr>
                <w:ilvl w:val="1"/>
                <w:numId w:val="18"/>
              </w:numPr>
              <w:tabs>
                <w:tab w:val="left" w:pos="567"/>
              </w:tabs>
              <w:spacing w:before="0" w:line="280" w:lineRule="atLeast"/>
              <w:rPr>
                <w:sz w:val="18"/>
                <w:szCs w:val="18"/>
                <w:highlight w:val="yellow"/>
              </w:rPr>
            </w:pPr>
            <w:r>
              <w:rPr>
                <w:sz w:val="18"/>
                <w:highlight w:val="yellow"/>
              </w:rPr>
              <w:t>obuhvati doprinos NRM-a ruralnom razvoju;</w:t>
            </w:r>
          </w:p>
          <w:p w:rsidR="00867290" w:rsidRPr="000A700F" w:rsidRDefault="00867290" w:rsidP="00867290">
            <w:pPr>
              <w:pStyle w:val="Hlistbullet"/>
              <w:numPr>
                <w:ilvl w:val="1"/>
                <w:numId w:val="18"/>
              </w:numPr>
              <w:tabs>
                <w:tab w:val="left" w:pos="567"/>
              </w:tabs>
              <w:spacing w:before="0" w:line="280" w:lineRule="atLeast"/>
              <w:rPr>
                <w:sz w:val="18"/>
                <w:szCs w:val="18"/>
                <w:highlight w:val="yellow"/>
              </w:rPr>
            </w:pPr>
            <w:r>
              <w:rPr>
                <w:sz w:val="18"/>
                <w:highlight w:val="yellow"/>
              </w:rPr>
              <w:t>razgraniči postignuća NRM-a od postignuća PRR-a;</w:t>
            </w:r>
          </w:p>
          <w:p w:rsidR="00867290" w:rsidRPr="000A700F" w:rsidRDefault="00867290" w:rsidP="00867290">
            <w:pPr>
              <w:pStyle w:val="Hlistbullet"/>
              <w:numPr>
                <w:ilvl w:val="1"/>
                <w:numId w:val="18"/>
              </w:numPr>
              <w:tabs>
                <w:tab w:val="left" w:pos="567"/>
              </w:tabs>
              <w:spacing w:before="0" w:line="280" w:lineRule="atLeast"/>
              <w:rPr>
                <w:sz w:val="18"/>
                <w:szCs w:val="18"/>
                <w:highlight w:val="yellow"/>
              </w:rPr>
            </w:pPr>
            <w:r>
              <w:rPr>
                <w:sz w:val="18"/>
                <w:highlight w:val="yellow"/>
              </w:rPr>
              <w:t>obuhvati rezultate, učinke te u konačnici i dodanu vrijednost NRM-a;</w:t>
            </w:r>
          </w:p>
          <w:p w:rsidR="00867290" w:rsidRPr="000A700F" w:rsidRDefault="00867290" w:rsidP="00867290">
            <w:pPr>
              <w:pStyle w:val="Hlistbullet"/>
              <w:numPr>
                <w:ilvl w:val="1"/>
                <w:numId w:val="18"/>
              </w:numPr>
              <w:tabs>
                <w:tab w:val="left" w:pos="567"/>
              </w:tabs>
              <w:spacing w:before="0" w:line="280" w:lineRule="atLeast"/>
              <w:rPr>
                <w:sz w:val="18"/>
                <w:szCs w:val="18"/>
                <w:highlight w:val="yellow"/>
              </w:rPr>
            </w:pPr>
            <w:r>
              <w:rPr>
                <w:sz w:val="18"/>
                <w:highlight w:val="yellow"/>
              </w:rPr>
              <w:t>izmjeri učinkovitost i djelotvornost ruralnog umrežavanja.</w:t>
            </w:r>
          </w:p>
        </w:tc>
      </w:tr>
      <w:tr w:rsidR="00867290" w:rsidRPr="000A700F" w:rsidTr="00E57366">
        <w:tc>
          <w:tcPr>
            <w:tcW w:w="846" w:type="dxa"/>
            <w:shd w:val="clear" w:color="auto" w:fill="E7E6E6" w:themeFill="background2"/>
          </w:tcPr>
          <w:p w:rsidR="00867290" w:rsidRPr="000A700F" w:rsidRDefault="0086729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4.</w:t>
            </w:r>
          </w:p>
        </w:tc>
        <w:tc>
          <w:tcPr>
            <w:tcW w:w="8170" w:type="dxa"/>
          </w:tcPr>
          <w:p w:rsidR="00867290" w:rsidRPr="000A700F" w:rsidRDefault="00867290" w:rsidP="00E57366">
            <w:pPr>
              <w:pStyle w:val="Hlistbullet"/>
              <w:numPr>
                <w:ilvl w:val="0"/>
                <w:numId w:val="0"/>
              </w:numPr>
              <w:spacing w:before="0" w:line="280" w:lineRule="atLeast"/>
              <w:rPr>
                <w:sz w:val="18"/>
                <w:szCs w:val="18"/>
                <w:highlight w:val="yellow"/>
              </w:rPr>
            </w:pPr>
            <w:r>
              <w:rPr>
                <w:sz w:val="18"/>
                <w:highlight w:val="yellow"/>
              </w:rPr>
              <w:t>Razmotriti proračunska, podatkovna i vremenska ograničenja;</w:t>
            </w:r>
          </w:p>
        </w:tc>
      </w:tr>
      <w:tr w:rsidR="00867290" w:rsidRPr="000A700F" w:rsidTr="00E57366">
        <w:tc>
          <w:tcPr>
            <w:tcW w:w="846" w:type="dxa"/>
            <w:shd w:val="clear" w:color="auto" w:fill="E7E6E6" w:themeFill="background2"/>
          </w:tcPr>
          <w:p w:rsidR="00867290" w:rsidRPr="000A700F" w:rsidRDefault="00867290" w:rsidP="00E57366">
            <w:pPr>
              <w:pStyle w:val="Hlistbullet"/>
              <w:numPr>
                <w:ilvl w:val="0"/>
                <w:numId w:val="0"/>
              </w:numPr>
              <w:spacing w:before="0" w:line="280" w:lineRule="atLeast"/>
              <w:jc w:val="center"/>
              <w:rPr>
                <w:b/>
                <w:color w:val="5B9BD5" w:themeColor="accent1"/>
                <w:sz w:val="18"/>
                <w:szCs w:val="18"/>
                <w:highlight w:val="yellow"/>
              </w:rPr>
            </w:pPr>
            <w:r>
              <w:rPr>
                <w:b/>
                <w:color w:val="5B9BD5" w:themeColor="accent1"/>
                <w:sz w:val="18"/>
                <w:highlight w:val="yellow"/>
              </w:rPr>
              <w:t>5.</w:t>
            </w:r>
          </w:p>
        </w:tc>
        <w:tc>
          <w:tcPr>
            <w:tcW w:w="8170" w:type="dxa"/>
          </w:tcPr>
          <w:p w:rsidR="00867290" w:rsidRPr="000A700F" w:rsidRDefault="00867290" w:rsidP="004C05DD">
            <w:pPr>
              <w:pStyle w:val="Hlistbullet"/>
              <w:numPr>
                <w:ilvl w:val="0"/>
                <w:numId w:val="0"/>
              </w:numPr>
              <w:spacing w:before="0" w:line="280" w:lineRule="atLeast"/>
              <w:rPr>
                <w:sz w:val="18"/>
                <w:szCs w:val="18"/>
                <w:highlight w:val="yellow"/>
              </w:rPr>
            </w:pPr>
            <w:r>
              <w:rPr>
                <w:sz w:val="18"/>
                <w:highlight w:val="yellow"/>
              </w:rPr>
              <w:t>Odabrati odgovarajući skup metoda</w:t>
            </w:r>
            <w:r>
              <w:rPr>
                <w:rFonts w:ascii="ZWAdobeF" w:hAnsi="ZWAdobeF"/>
                <w:color w:val="auto"/>
                <w:sz w:val="2"/>
                <w:highlight w:val="yellow"/>
              </w:rPr>
              <w:t>111F</w:t>
            </w:r>
            <w:r>
              <w:rPr>
                <w:rStyle w:val="FootnoteReference"/>
                <w:highlight w:val="yellow"/>
              </w:rPr>
              <w:footnoteReference w:id="112"/>
            </w:r>
            <w:r>
              <w:rPr>
                <w:sz w:val="18"/>
                <w:highlight w:val="yellow"/>
              </w:rPr>
              <w:t>. Osim toga, odabir metode treba biti izvršen na temelju sposobnosti metode da objasni uzročnost, eliminira možebitnu selekcijsku pristranost, izolira učinke programa od ostalih čimbenika itd.</w:t>
            </w:r>
          </w:p>
        </w:tc>
      </w:tr>
      <w:tr w:rsidR="00867290" w:rsidRPr="002809CE" w:rsidTr="00E57366">
        <w:tc>
          <w:tcPr>
            <w:tcW w:w="9016" w:type="dxa"/>
            <w:gridSpan w:val="2"/>
          </w:tcPr>
          <w:p w:rsidR="00867290" w:rsidRPr="002809CE" w:rsidRDefault="00867290" w:rsidP="0079102D">
            <w:pPr>
              <w:pStyle w:val="Hlistbullet"/>
              <w:numPr>
                <w:ilvl w:val="0"/>
                <w:numId w:val="0"/>
              </w:numPr>
              <w:spacing w:before="0" w:line="280" w:lineRule="atLeast"/>
              <w:rPr>
                <w:b/>
                <w:sz w:val="18"/>
                <w:szCs w:val="18"/>
              </w:rPr>
            </w:pPr>
            <w:r>
              <w:rPr>
                <w:b/>
                <w:sz w:val="18"/>
                <w:highlight w:val="yellow"/>
              </w:rPr>
              <w:t xml:space="preserve">Očekivani ishod: </w:t>
            </w:r>
            <w:r w:rsidRPr="0079102D">
              <w:rPr>
                <w:sz w:val="18"/>
                <w:highlight w:val="yellow"/>
              </w:rPr>
              <w:t>odabir</w:t>
            </w:r>
            <w:r>
              <w:rPr>
                <w:sz w:val="18"/>
                <w:highlight w:val="yellow"/>
              </w:rPr>
              <w:t xml:space="preserve"> metoda evaluacije</w:t>
            </w:r>
          </w:p>
        </w:tc>
      </w:tr>
    </w:tbl>
    <w:p w:rsidR="00867290" w:rsidRPr="002809CE" w:rsidRDefault="00867290" w:rsidP="00E57366">
      <w:pPr>
        <w:pStyle w:val="HStandard"/>
        <w:spacing w:after="240"/>
      </w:pPr>
      <w:r>
        <w:rPr>
          <w:color w:val="E7E6E6" w:themeColor="background2"/>
        </w:rPr>
        <w:sym w:font="Wingdings" w:char="F046"/>
      </w:r>
      <w:r>
        <w:t xml:space="preserve"> </w:t>
      </w:r>
      <w:r>
        <w:rPr>
          <w:b/>
          <w:color w:val="E7E6E6" w:themeColor="background2"/>
        </w:rPr>
        <w:t>PART III</w:t>
      </w:r>
      <w:r>
        <w:t xml:space="preserve"> of the guidelines provides a more detailed description of less well-known methods, such as network function analysis, stakeholder analysis, and social network analysis.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8D0759" w:rsidTr="00E57366">
        <w:tc>
          <w:tcPr>
            <w:tcW w:w="9016" w:type="dxa"/>
            <w:shd w:val="clear" w:color="auto" w:fill="F5F4F4" w:themeFill="background2" w:themeFillTint="66"/>
          </w:tcPr>
          <w:p w:rsidR="00867290" w:rsidRPr="000A700F" w:rsidRDefault="00867290" w:rsidP="00E57366">
            <w:pPr>
              <w:pStyle w:val="HStandard"/>
              <w:rPr>
                <w:highlight w:val="yellow"/>
              </w:rPr>
            </w:pPr>
            <w:r>
              <w:rPr>
                <w:highlight w:val="yellow"/>
              </w:rPr>
              <w:t>Usmjeravajuća pitanja pri odabiru odgovarajućeg pristupa i odgovarajućih metoda evaluacije:</w:t>
            </w:r>
          </w:p>
          <w:p w:rsidR="00867290" w:rsidRPr="000A700F" w:rsidRDefault="00867290" w:rsidP="00867290">
            <w:pPr>
              <w:pStyle w:val="Hlistbullet2"/>
              <w:rPr>
                <w:highlight w:val="yellow"/>
              </w:rPr>
            </w:pPr>
            <w:r>
              <w:rPr>
                <w:highlight w:val="yellow"/>
              </w:rPr>
              <w:t>Koji je pristup i koje su metode evaluacije u najvećoj mjeri usklađeni s potrebama evaluacije povezanima s NRM-om?</w:t>
            </w:r>
          </w:p>
          <w:p w:rsidR="00867290" w:rsidRPr="000A700F" w:rsidRDefault="00867290" w:rsidP="00867290">
            <w:pPr>
              <w:pStyle w:val="Hlistbullet2"/>
              <w:rPr>
                <w:highlight w:val="yellow"/>
              </w:rPr>
            </w:pPr>
            <w:r>
              <w:rPr>
                <w:highlight w:val="yellow"/>
              </w:rPr>
              <w:t>Kojim se pristupom i kojim metodama najbolje može obuhvatiti dodanu vrijednost stvorenu NRM-ovima, nadilazeći predviđene zajedničke ciljeve i ciljeve pojedinih programa?</w:t>
            </w:r>
          </w:p>
          <w:p w:rsidR="00867290" w:rsidRPr="000A700F" w:rsidRDefault="00867290" w:rsidP="00867290">
            <w:pPr>
              <w:pStyle w:val="Hlistbullet2"/>
              <w:rPr>
                <w:highlight w:val="yellow"/>
              </w:rPr>
            </w:pPr>
            <w:r>
              <w:rPr>
                <w:highlight w:val="yellow"/>
              </w:rPr>
              <w:t>Koji pristup i koje metode najbolje odgovaraju procjeni nematerijalnih učinaka NRM-ova?</w:t>
            </w:r>
          </w:p>
          <w:p w:rsidR="00867290" w:rsidRPr="000A700F" w:rsidRDefault="00867290" w:rsidP="00867290">
            <w:pPr>
              <w:pStyle w:val="Hlistbullet2"/>
              <w:rPr>
                <w:highlight w:val="yellow"/>
              </w:rPr>
            </w:pPr>
            <w:r>
              <w:rPr>
                <w:highlight w:val="yellow"/>
              </w:rPr>
              <w:t>Koji pristup i koje metode omogućavaju uključivanje ključnih dionika i ojačavaju njihovu umreženost?</w:t>
            </w:r>
          </w:p>
          <w:p w:rsidR="00867290" w:rsidRPr="000A700F" w:rsidRDefault="00867290" w:rsidP="00867290">
            <w:pPr>
              <w:pStyle w:val="Hlistbullet2"/>
              <w:rPr>
                <w:highlight w:val="yellow"/>
              </w:rPr>
            </w:pPr>
            <w:r>
              <w:rPr>
                <w:highlight w:val="yellow"/>
              </w:rPr>
              <w:t>Koji pristup i koje metode najviše doprinose ostvarivanju najpouzdanijih rezultata evaluacije, uzimajući u obzir krajnje nematerijalnu prirodu ljudskog i socijalnog kapitala?</w:t>
            </w:r>
          </w:p>
        </w:tc>
      </w:tr>
    </w:tbl>
    <w:p w:rsidR="00867290" w:rsidRPr="000A700F" w:rsidRDefault="00867290" w:rsidP="00320BBA">
      <w:pPr>
        <w:pStyle w:val="HHeading5"/>
        <w:rPr>
          <w:highlight w:val="yellow"/>
        </w:rPr>
      </w:pPr>
      <w:r>
        <w:rPr>
          <w:highlight w:val="yellow"/>
        </w:rPr>
        <w:lastRenderedPageBreak/>
        <w:t>Što treba činiti, a što izbjegavati?</w:t>
      </w:r>
    </w:p>
    <w:tbl>
      <w:tblPr>
        <w:tblStyle w:val="LightList-Accent5"/>
        <w:tblW w:w="0" w:type="auto"/>
        <w:tblLook w:val="04A0" w:firstRow="1" w:lastRow="0" w:firstColumn="1" w:lastColumn="0" w:noHBand="0" w:noVBand="1"/>
      </w:tblPr>
      <w:tblGrid>
        <w:gridCol w:w="4505"/>
        <w:gridCol w:w="4501"/>
      </w:tblGrid>
      <w:tr w:rsidR="0086729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7290" w:rsidRPr="000A700F" w:rsidRDefault="00867290" w:rsidP="000A3387">
            <w:pPr>
              <w:pStyle w:val="HHeading5"/>
              <w:jc w:val="center"/>
              <w:rPr>
                <w:sz w:val="18"/>
                <w:szCs w:val="18"/>
                <w:highlight w:val="yellow"/>
              </w:rPr>
            </w:pPr>
            <w:r>
              <w:rPr>
                <w:noProof/>
                <w:sz w:val="18"/>
                <w:szCs w:val="18"/>
                <w:highlight w:val="yellow"/>
                <w:lang w:val="en-GB" w:eastAsia="en-GB" w:bidi="ar-SA"/>
              </w:rPr>
              <w:drawing>
                <wp:inline distT="0" distB="0" distL="0" distR="0" wp14:anchorId="1CD0C0FF" wp14:editId="0F88CA8F">
                  <wp:extent cx="360000" cy="360000"/>
                  <wp:effectExtent l="0" t="0" r="254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7290" w:rsidRPr="000A700F" w:rsidRDefault="00867290" w:rsidP="000A3387">
            <w:pPr>
              <w:pStyle w:val="HHeading5"/>
              <w:jc w:val="center"/>
              <w:cnfStyle w:val="100000000000" w:firstRow="1" w:lastRow="0" w:firstColumn="0" w:lastColumn="0" w:oddVBand="0" w:evenVBand="0" w:oddHBand="0" w:evenHBand="0" w:firstRowFirstColumn="0" w:firstRowLastColumn="0" w:lastRowFirstColumn="0" w:lastRowLastColumn="0"/>
              <w:rPr>
                <w:sz w:val="18"/>
                <w:szCs w:val="18"/>
                <w:highlight w:val="yellow"/>
              </w:rPr>
            </w:pPr>
            <w:r>
              <w:rPr>
                <w:noProof/>
                <w:sz w:val="18"/>
                <w:szCs w:val="18"/>
                <w:highlight w:val="yellow"/>
                <w:lang w:val="en-GB" w:eastAsia="en-GB" w:bidi="ar-SA"/>
              </w:rPr>
              <w:drawing>
                <wp:inline distT="0" distB="0" distL="0" distR="0" wp14:anchorId="0DCF9436" wp14:editId="6F75A14C">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729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7290" w:rsidRPr="000A700F" w:rsidRDefault="0086729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Usvojiti mješoviti kvalitativno-kvantitativni pristup koji uključuje mnogo različitih metoda i integraciju različitih perspektiva.</w:t>
            </w:r>
          </w:p>
          <w:p w:rsidR="00867290" w:rsidRPr="000A700F" w:rsidRDefault="0086729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Uskladiti napor i trošak evaluacije s opsegom i razmjerom aktivnosti NRM-ova.</w:t>
            </w:r>
          </w:p>
          <w:p w:rsidR="00867290" w:rsidRPr="000A700F" w:rsidRDefault="0086729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Razmotriti praćenje, samoocjenjivanje i evaluaciju kao sastavne dijelove sveobuhvatne strukture učenja.</w:t>
            </w:r>
          </w:p>
          <w:p w:rsidR="00867290" w:rsidRPr="000A700F" w:rsidRDefault="00867290" w:rsidP="000A3387">
            <w:pPr>
              <w:pStyle w:val="HStandard"/>
              <w:rPr>
                <w:color w:val="FFC000" w:themeColor="accent4"/>
                <w:sz w:val="18"/>
                <w:szCs w:val="18"/>
                <w:highlight w:val="yellow"/>
              </w:rPr>
            </w:pPr>
            <w:r>
              <w:rPr>
                <w:b w:val="0"/>
                <w:color w:val="FFC000" w:themeColor="accent4"/>
                <w:sz w:val="18"/>
                <w:highlight w:val="yellow"/>
              </w:rPr>
              <w:t>Eksperimentirati s nekonvencionalnim metodama kao dodatak upotrebi etabliranih metoda.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7290" w:rsidRPr="000A700F" w:rsidRDefault="00867290" w:rsidP="000A3387">
            <w:pPr>
              <w:pStyle w:val="HHeading5"/>
              <w:spacing w:before="120" w:after="120" w:line="240" w:lineRule="atLeast"/>
              <w:cnfStyle w:val="000000100000" w:firstRow="0" w:lastRow="0" w:firstColumn="0" w:lastColumn="0" w:oddVBand="0" w:evenVBand="0" w:oddHBand="1" w:evenHBand="0" w:firstRowFirstColumn="0" w:firstRowLastColumn="0" w:lastRowFirstColumn="0" w:lastRowLastColumn="0"/>
              <w:rPr>
                <w:b w:val="0"/>
                <w:color w:val="ED7D31" w:themeColor="accent2"/>
                <w:sz w:val="18"/>
                <w:szCs w:val="18"/>
                <w:highlight w:val="yellow"/>
              </w:rPr>
            </w:pPr>
            <w:r>
              <w:rPr>
                <w:b w:val="0"/>
                <w:color w:val="ED7D31" w:themeColor="accent2"/>
                <w:sz w:val="18"/>
                <w:highlight w:val="yellow"/>
              </w:rPr>
              <w:t>Prenaglašavati isključivo kvantitativna mjerenja.</w:t>
            </w:r>
          </w:p>
          <w:p w:rsidR="00867290" w:rsidRPr="000A700F" w:rsidRDefault="00867290" w:rsidP="000A338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Opisivati jednostavne uzročno-posljedične odnose bez povezivanja tih odnosa sa sveobuhvatnom „teorijom promjene” koja se nalazi u pozadini intervencijske logike.</w:t>
            </w:r>
          </w:p>
          <w:p w:rsidR="00867290" w:rsidRPr="008D0759" w:rsidRDefault="00867290" w:rsidP="000A3387">
            <w:pPr>
              <w:pStyle w:val="HStandard"/>
              <w:cnfStyle w:val="000000100000" w:firstRow="0" w:lastRow="0" w:firstColumn="0" w:lastColumn="0" w:oddVBand="0" w:evenVBand="0" w:oddHBand="1" w:evenHBand="0" w:firstRowFirstColumn="0" w:firstRowLastColumn="0" w:lastRowFirstColumn="0" w:lastRowLastColumn="0"/>
              <w:rPr>
                <w:sz w:val="18"/>
                <w:szCs w:val="18"/>
              </w:rPr>
            </w:pPr>
            <w:r>
              <w:rPr>
                <w:color w:val="ED7D31" w:themeColor="accent2"/>
                <w:sz w:val="18"/>
                <w:highlight w:val="yellow"/>
              </w:rPr>
              <w:t>Ignorirati rezultate proizišle iz postupaka samoocjenjivanja ili povezanih studija.</w:t>
            </w:r>
          </w:p>
        </w:tc>
      </w:tr>
    </w:tbl>
    <w:p w:rsidR="00867290" w:rsidRPr="008D0759" w:rsidRDefault="00867290" w:rsidP="00320BBA">
      <w:pPr>
        <w:pStyle w:val="HHeading5"/>
      </w:pPr>
      <w:r>
        <w:t>Više o temi</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867290" w:rsidRPr="008D0759" w:rsidTr="004C05DD">
        <w:tc>
          <w:tcPr>
            <w:tcW w:w="9918" w:type="dxa"/>
            <w:shd w:val="clear" w:color="auto" w:fill="FAF9F9" w:themeFill="background2" w:themeFillTint="33"/>
          </w:tcPr>
          <w:p w:rsidR="00867290" w:rsidRPr="008D0759" w:rsidRDefault="00867290" w:rsidP="00E57366">
            <w:pPr>
              <w:pStyle w:val="HStandard"/>
              <w:rPr>
                <w:sz w:val="16"/>
                <w:szCs w:val="16"/>
              </w:rPr>
            </w:pPr>
            <w:r>
              <w:rPr>
                <w:sz w:val="16"/>
              </w:rPr>
              <w:t xml:space="preserve">For all other methods mentioned and more, see the  extensive presentation of qualitative (e.g. interviews, focus groups, surveys, case studies and others) and quantitative methods (e.g. difference in difference, propensity score matching, their combinations) in: </w:t>
            </w:r>
            <w:hyperlink r:id="rId47">
              <w:r>
                <w:rPr>
                  <w:rStyle w:val="Hyperlink"/>
                  <w:sz w:val="16"/>
                </w:rPr>
                <w:t>The Guidelines for ex post evaluation of RDP 2007 - 2013</w:t>
              </w:r>
            </w:hyperlink>
            <w:r>
              <w:rPr>
                <w:sz w:val="16"/>
              </w:rPr>
              <w:t>, Evaluation Helpdesk, Brussels, 2014.</w:t>
            </w:r>
          </w:p>
          <w:p w:rsidR="00867290" w:rsidRPr="008D0759" w:rsidRDefault="00867290" w:rsidP="00E57366">
            <w:pPr>
              <w:pStyle w:val="HStandard"/>
              <w:rPr>
                <w:sz w:val="16"/>
                <w:szCs w:val="16"/>
              </w:rPr>
            </w:pPr>
            <w:r>
              <w:rPr>
                <w:sz w:val="16"/>
              </w:rPr>
              <w:t>Concerning the assessment of impacts:</w:t>
            </w:r>
          </w:p>
          <w:p w:rsidR="00867290" w:rsidRPr="008D0759" w:rsidRDefault="00867290" w:rsidP="00E57366">
            <w:pPr>
              <w:pStyle w:val="HStandard"/>
              <w:rPr>
                <w:sz w:val="16"/>
                <w:szCs w:val="16"/>
              </w:rPr>
            </w:pPr>
            <w:r>
              <w:rPr>
                <w:sz w:val="16"/>
              </w:rPr>
              <w:t>Working Paper of the Rural Evaluation Helpdesk (July 2010): Approaches for assessing the impacts of the Rural Development Programmes in the context of multiple intervening factors, p. 26 ff.</w:t>
            </w:r>
          </w:p>
          <w:p w:rsidR="00867290" w:rsidRPr="008D0759" w:rsidRDefault="00867290" w:rsidP="00E57366">
            <w:pPr>
              <w:pStyle w:val="HStandard"/>
              <w:rPr>
                <w:sz w:val="16"/>
                <w:szCs w:val="16"/>
              </w:rPr>
            </w:pPr>
            <w:r>
              <w:rPr>
                <w:sz w:val="16"/>
              </w:rPr>
              <w:t>Assessment of RDP results: How to prepare for reporting on evaluation in 2017, Evaluation Helpdesk, April 2016</w:t>
            </w:r>
          </w:p>
        </w:tc>
      </w:tr>
    </w:tbl>
    <w:p w:rsidR="00867290" w:rsidRPr="000D1D32" w:rsidRDefault="00867290" w:rsidP="00B55106">
      <w:pPr>
        <w:pStyle w:val="HHeading3"/>
        <w:numPr>
          <w:ilvl w:val="0"/>
          <w:numId w:val="0"/>
        </w:numPr>
        <w:rPr>
          <w:highlight w:val="yellow"/>
        </w:rPr>
      </w:pPr>
      <w:bookmarkStart w:id="220" w:name="_Toc434744517"/>
      <w:bookmarkStart w:id="221" w:name="_Toc436140059"/>
      <w:bookmarkStart w:id="222" w:name="_Toc443491684"/>
      <w:bookmarkStart w:id="223" w:name="_Toc453079768"/>
      <w:r>
        <w:rPr>
          <w:highlight w:val="yellow"/>
        </w:rPr>
        <w:t>1.1.4. Uspostaviti sustav za prikupljanje dokaza za evaluaciju</w:t>
      </w:r>
      <w:bookmarkEnd w:id="220"/>
      <w:bookmarkEnd w:id="221"/>
      <w:bookmarkEnd w:id="222"/>
      <w:bookmarkEnd w:id="223"/>
      <w:r>
        <w:rPr>
          <w:highlight w:val="yellow"/>
        </w:rPr>
        <w:t xml:space="preserve"> </w:t>
      </w:r>
    </w:p>
    <w:p w:rsidR="00867290" w:rsidRPr="008D0759" w:rsidRDefault="00867290" w:rsidP="00216BE4">
      <w:pPr>
        <w:pStyle w:val="HStandard"/>
      </w:pPr>
      <w:r>
        <w:t>The existing set of indicators and the choice of the evaluation methods determine which kind of data and information is needed. Some of the data and information will already exist, albeit not necessarily in the appropriate format for the evaluator, and some has to be collected explicitly for the evaluation. The allocated budget might also influence this decision, since cost-efficiency is often a key factor in selecting methods, sometimes to the detriment of their appropriateness for the specific evaluation.</w:t>
      </w:r>
    </w:p>
    <w:p w:rsidR="00867290" w:rsidRPr="008D0759" w:rsidRDefault="00867290" w:rsidP="00216BE4">
      <w:pPr>
        <w:pStyle w:val="HStandard"/>
      </w:pPr>
      <w:r>
        <w:t xml:space="preserve">There are four discernible options concerning available data sources for NRNs: </w:t>
      </w:r>
    </w:p>
    <w:p w:rsidR="00867290" w:rsidRPr="008D0759" w:rsidRDefault="00867290" w:rsidP="007517DC">
      <w:pPr>
        <w:pStyle w:val="Hlistabc"/>
        <w:numPr>
          <w:ilvl w:val="0"/>
          <w:numId w:val="19"/>
        </w:numPr>
      </w:pPr>
      <w:r>
        <w:t>The available data on the NRN(P) action plan implementation is usually kept at output level (number of events, number of participants, newsletters produced, beneficiaries' profiles, information on results achieved, etc.) through the monitoring system (operations database).</w:t>
      </w:r>
    </w:p>
    <w:p w:rsidR="00867290" w:rsidRPr="008D0759" w:rsidRDefault="00867290" w:rsidP="00216BE4">
      <w:pPr>
        <w:pStyle w:val="Hlistabc2"/>
      </w:pPr>
      <w:r>
        <w:t>In cases where programme authorities have developed NRN(P)-specific result and impact indicators at the RDP design phase, relevant data can be incorporated in the data infrastructure developed for monitoring purposes by the MA. This would become the basis for the collection, storage and management of all programme data.</w:t>
      </w:r>
    </w:p>
    <w:p w:rsidR="00867290" w:rsidRPr="008D0759" w:rsidRDefault="00867290" w:rsidP="00216BE4">
      <w:pPr>
        <w:pStyle w:val="Hlistabc2"/>
      </w:pPr>
      <w:r>
        <w:t xml:space="preserve">Data and information for NRN(P)-specific result and impact indicators may also have to be collected by the evaluator or on an ad hoc basis by the NSU (e.g. tracking of feedback on user satisfaction, uptake of good practices by event participants over the programming period, etc.). </w:t>
      </w:r>
    </w:p>
    <w:p w:rsidR="00867290" w:rsidRPr="008D0759" w:rsidRDefault="00867290" w:rsidP="00216BE4">
      <w:pPr>
        <w:pStyle w:val="Hlistabc2"/>
      </w:pPr>
      <w:r>
        <w:t>There are also cases of NRNs which have developed their own monitoring system (separately from that of the MA) to collect information on their operations through their own database.</w:t>
      </w:r>
    </w:p>
    <w:p w:rsidR="00867290" w:rsidRPr="008D0759" w:rsidRDefault="00867290" w:rsidP="00216BE4">
      <w:pPr>
        <w:pStyle w:val="HStandard"/>
      </w:pPr>
      <w:r>
        <w:t>Whatever the chosen or available option for collecting and storing data, there should be some harmonisation and coordination of all of the above to avoid duplication of data and effort.</w:t>
      </w:r>
    </w:p>
    <w:p w:rsidR="00867290" w:rsidRPr="008D0759" w:rsidRDefault="00867290" w:rsidP="00216BE4">
      <w:pPr>
        <w:pStyle w:val="HStandard"/>
      </w:pPr>
      <w:r>
        <w:lastRenderedPageBreak/>
        <w:t>More and more NRNs practice self-assessment or make use of other mechanisms providing expedited feedback (e.g. expert panels). Having such mechanisms built into the steering structure of the NRN does not only support the management but also constitutes a valuable interface between monitoring and evaluation. Some elements used for the self-assessment can be taken up and utilised by the evaluation team (e.g. the minutes of periodic focus groups, or certain judgment criteria for programme-specific indicators). External evaluations of LAGs and other survey studies (ranging from thematic surveys to student’s theses) will feed into the evaluation of NRN(P) as well</w:t>
      </w:r>
      <w:r>
        <w:rPr>
          <w:rFonts w:ascii="ZWAdobeF" w:hAnsi="ZWAdobeF"/>
          <w:color w:val="auto"/>
          <w:sz w:val="2"/>
        </w:rPr>
        <w:t>112F</w:t>
      </w:r>
      <w:r>
        <w:rPr>
          <w:rStyle w:val="FootnoteReference"/>
        </w:rPr>
        <w:footnoteReference w:id="113"/>
      </w:r>
      <w:r>
        <w:t>.</w:t>
      </w:r>
    </w:p>
    <w:p w:rsidR="00867290" w:rsidRPr="008D0759" w:rsidRDefault="00867290" w:rsidP="00216BE4">
      <w:pPr>
        <w:pStyle w:val="HStandard"/>
      </w:pPr>
      <w:r>
        <w:t>The results of these self-assessments, external evaluations and accompanying research activities should be stored by the NSU as part of its monitoring system. It is advisable that the monitoring system foresees for the collection and management of qualitative data in relation to NRN activities, in addition to quantitative data.</w:t>
      </w:r>
    </w:p>
    <w:p w:rsidR="00867290" w:rsidRPr="008D0759" w:rsidRDefault="00867290" w:rsidP="000A3387">
      <w:pPr>
        <w:pStyle w:val="Heading6"/>
      </w:pPr>
      <w:bookmarkStart w:id="224" w:name="_Toc434744518"/>
      <w:bookmarkStart w:id="225" w:name="_Toc436140060"/>
      <w:r>
        <w:t>What are the issues to be considered in relation to data/information needs and sources for NRNs</w:t>
      </w:r>
      <w:bookmarkEnd w:id="224"/>
      <w:bookmarkEnd w:id="225"/>
      <w:r>
        <w:t>?</w:t>
      </w:r>
    </w:p>
    <w:p w:rsidR="00867290" w:rsidRPr="008D0759" w:rsidRDefault="00867290" w:rsidP="00216BE4">
      <w:pPr>
        <w:pStyle w:val="HStandard"/>
      </w:pPr>
      <w:r>
        <w:t xml:space="preserve">Information for NRN results and impacts should be captured where NRN effects are expected: </w:t>
      </w:r>
    </w:p>
    <w:p w:rsidR="00867290" w:rsidRPr="008D0759" w:rsidRDefault="00867290" w:rsidP="000A3387">
      <w:pPr>
        <w:pStyle w:val="Hlistbullet2"/>
      </w:pPr>
      <w:r>
        <w:t>At the level of individuals (micro level) participating in the network activities, where they acquire knowledge and information in order to conduct their work more effectively;</w:t>
      </w:r>
    </w:p>
    <w:p w:rsidR="00867290" w:rsidRPr="008D0759" w:rsidRDefault="00867290" w:rsidP="000A3387">
      <w:pPr>
        <w:pStyle w:val="Hlistbullet2"/>
      </w:pPr>
      <w:r>
        <w:t xml:space="preserve">At the level of NRN groups of stakeholders and their organisations (meso level), where effects in relation to building capacities to achieve the NRN and RDP objectives can be expected; </w:t>
      </w:r>
    </w:p>
    <w:p w:rsidR="00867290" w:rsidRPr="008D0759" w:rsidRDefault="00867290" w:rsidP="000A3387">
      <w:pPr>
        <w:pStyle w:val="Hlistbullet2"/>
      </w:pPr>
      <w:r>
        <w:t>At the level of rural areas (macro level), where effects for example on the improvement of the governance in the rural areas in a broader sense can be expected.</w:t>
      </w:r>
    </w:p>
    <w:p w:rsidR="00867290" w:rsidRPr="008D0759" w:rsidRDefault="00867290" w:rsidP="00216BE4">
      <w:pPr>
        <w:pStyle w:val="HStandard"/>
      </w:pPr>
      <w:r>
        <w:t xml:space="preserve">Each type of information requires specific collection methods, for instance: </w:t>
      </w:r>
    </w:p>
    <w:p w:rsidR="00867290" w:rsidRPr="008D0759" w:rsidRDefault="00867290" w:rsidP="00216BE4">
      <w:pPr>
        <w:pStyle w:val="Hlistbullet2"/>
      </w:pPr>
      <w:r>
        <w:t xml:space="preserve">Data &amp; information relating to participation and satisfaction, e.g. via assessment sheets, questionnaires, etc. directly or almost directly at network activities; </w:t>
      </w:r>
    </w:p>
    <w:p w:rsidR="00867290" w:rsidRPr="008D0759" w:rsidRDefault="00867290" w:rsidP="00216BE4">
      <w:pPr>
        <w:pStyle w:val="Hlistbullet2"/>
      </w:pPr>
      <w:r>
        <w:t>Data &amp; information relating to opinions and social relationships, e.g. via interviews, surveys, self-assessment tools, focus groups, etc. in the course of the routine work of stakeholders and involved actors, or via social network analysis and socio-metric methods in the course of particular investigations;</w:t>
      </w:r>
    </w:p>
    <w:p w:rsidR="00867290" w:rsidRPr="008D0759" w:rsidRDefault="00867290" w:rsidP="00216BE4">
      <w:pPr>
        <w:pStyle w:val="Hlistbullet2"/>
      </w:pPr>
      <w:r>
        <w:t>Data &amp; information relating to governance issues, e.g. either through social network analysis, visualising the change in the network relations, or through indirect evidence, e.g. through an increase in cooperation becoming manifest in a new institution or a memorandum of understanding induced by network activities.</w:t>
      </w:r>
    </w:p>
    <w:p w:rsidR="00867290" w:rsidRPr="008D0759" w:rsidRDefault="00867290" w:rsidP="00216BE4">
      <w:pPr>
        <w:pStyle w:val="HStandard"/>
      </w:pPr>
      <w:r>
        <w:t xml:space="preserve">In a schematic way the following data needs and sources can be discerned: </w:t>
      </w:r>
    </w:p>
    <w:p w:rsidR="00867290" w:rsidRPr="008D0759" w:rsidRDefault="00867290" w:rsidP="00216BE4">
      <w:pPr>
        <w:pStyle w:val="Hlistbullet2"/>
      </w:pPr>
      <w:r>
        <w:t>Quantitative data for input and output indicators (monitoring based on the operations database). Data on result indicators already defined during the programme design phase may also be included in the monitoring system.</w:t>
      </w:r>
    </w:p>
    <w:p w:rsidR="00867290" w:rsidRPr="008D0759" w:rsidRDefault="00867290" w:rsidP="00216BE4">
      <w:pPr>
        <w:pStyle w:val="Hlistbullet2"/>
      </w:pPr>
      <w:r>
        <w:t>Quantitative data and qualitative information for result indicators collected from NRN beneficiaries (surveys, focus groups, case studies, etc.) by the NSU (self-assessment) or during the evaluation.</w:t>
      </w:r>
    </w:p>
    <w:p w:rsidR="00867290" w:rsidRPr="008D0759" w:rsidRDefault="00867290" w:rsidP="00216BE4">
      <w:pPr>
        <w:pStyle w:val="Hlistbullet2"/>
      </w:pPr>
      <w:r>
        <w:t xml:space="preserve">Quantitative data and qualitative information for result and impact indicators collected from both beneficiaries and non-beneficiaries of the NRN(P) in order to conduct counterfactual analysis (surveys using questionnaires, interviews, focus groups or case studies, etc.); for example, for the result indicator </w:t>
      </w:r>
      <w:r>
        <w:rPr>
          <w:i/>
        </w:rPr>
        <w:t>‘Number of actors (by type) participating in the implementation of RDPs as a consequence of the NRN activities’</w:t>
      </w:r>
      <w:r>
        <w:t xml:space="preserve"> developed for the Spanish NRN).</w:t>
      </w:r>
    </w:p>
    <w:p w:rsidR="00867290" w:rsidRPr="000A700F" w:rsidRDefault="00867290" w:rsidP="000A3387">
      <w:pPr>
        <w:pStyle w:val="Heading6"/>
        <w:rPr>
          <w:highlight w:val="yellow"/>
        </w:rPr>
      </w:pPr>
      <w:bookmarkStart w:id="226" w:name="_Toc434744519"/>
      <w:bookmarkStart w:id="227" w:name="_Toc436140061"/>
      <w:r>
        <w:rPr>
          <w:highlight w:val="yellow"/>
        </w:rPr>
        <w:lastRenderedPageBreak/>
        <w:t xml:space="preserve">Koji su glavni koraci u uspostavljanju sustava za prikupljanje podataka i informacija? </w:t>
      </w:r>
      <w:bookmarkEnd w:id="226"/>
      <w:bookmarkEnd w:id="227"/>
    </w:p>
    <w:p w:rsidR="00867290" w:rsidRPr="000A700F" w:rsidRDefault="00867290" w:rsidP="00216BE4">
      <w:pPr>
        <w:pStyle w:val="HStandard"/>
        <w:rPr>
          <w:highlight w:val="yellow"/>
        </w:rPr>
      </w:pPr>
      <w:r>
        <w:t xml:space="preserve">High quality and timely available data and information are essential for calculating and filling the indicators and applying the selected evaluation methods. Therefore, emphasis should be put on the proper establishment of data and information collection systems. </w:t>
      </w:r>
      <w:r>
        <w:rPr>
          <w:highlight w:val="yellow"/>
        </w:rPr>
        <w:t>Preporučeni su koraci u radu i očekivani ishod sljedeći:</w:t>
      </w:r>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88"/>
        <w:gridCol w:w="8028"/>
      </w:tblGrid>
      <w:tr w:rsidR="00867290" w:rsidRPr="000A700F" w:rsidTr="00C2517E">
        <w:tc>
          <w:tcPr>
            <w:tcW w:w="988" w:type="dxa"/>
            <w:shd w:val="clear" w:color="auto" w:fill="E7E6E6" w:themeFill="background2"/>
          </w:tcPr>
          <w:p w:rsidR="00867290" w:rsidRPr="000A700F" w:rsidRDefault="00867290" w:rsidP="00C2517E">
            <w:pPr>
              <w:pStyle w:val="HStandard"/>
              <w:spacing w:after="0"/>
              <w:jc w:val="center"/>
              <w:rPr>
                <w:b/>
                <w:color w:val="5B9BD5" w:themeColor="accent1"/>
                <w:sz w:val="18"/>
                <w:szCs w:val="18"/>
                <w:highlight w:val="yellow"/>
              </w:rPr>
            </w:pPr>
            <w:r>
              <w:rPr>
                <w:b/>
                <w:color w:val="5B9BD5" w:themeColor="accent1"/>
                <w:sz w:val="18"/>
                <w:highlight w:val="yellow"/>
              </w:rPr>
              <w:t>1.</w:t>
            </w:r>
          </w:p>
        </w:tc>
        <w:tc>
          <w:tcPr>
            <w:tcW w:w="8028" w:type="dxa"/>
          </w:tcPr>
          <w:p w:rsidR="00867290" w:rsidRPr="000A700F" w:rsidRDefault="00867290" w:rsidP="007046A4">
            <w:pPr>
              <w:pStyle w:val="Hlistbullet"/>
              <w:numPr>
                <w:ilvl w:val="0"/>
                <w:numId w:val="0"/>
              </w:numPr>
              <w:spacing w:before="0" w:line="280" w:lineRule="atLeast"/>
              <w:ind w:left="284"/>
              <w:rPr>
                <w:highlight w:val="yellow"/>
              </w:rPr>
            </w:pPr>
            <w:r>
              <w:rPr>
                <w:sz w:val="18"/>
                <w:highlight w:val="yellow"/>
              </w:rPr>
              <w:t>Odrediti potrebne podatke i izvore (u skladu s pokazateljima i odabranim metodama evaluacije)</w:t>
            </w:r>
          </w:p>
        </w:tc>
      </w:tr>
      <w:tr w:rsidR="00867290" w:rsidRPr="000A700F" w:rsidTr="00C2517E">
        <w:tc>
          <w:tcPr>
            <w:tcW w:w="988" w:type="dxa"/>
            <w:shd w:val="clear" w:color="auto" w:fill="E7E6E6" w:themeFill="background2"/>
          </w:tcPr>
          <w:p w:rsidR="00867290" w:rsidRPr="000A700F" w:rsidRDefault="00867290" w:rsidP="00C2517E">
            <w:pPr>
              <w:pStyle w:val="HStandard"/>
              <w:spacing w:after="0"/>
              <w:jc w:val="center"/>
              <w:rPr>
                <w:b/>
                <w:color w:val="5B9BD5" w:themeColor="accent1"/>
                <w:sz w:val="18"/>
                <w:szCs w:val="18"/>
                <w:highlight w:val="yellow"/>
              </w:rPr>
            </w:pPr>
            <w:r>
              <w:rPr>
                <w:b/>
                <w:color w:val="5B9BD5" w:themeColor="accent1"/>
                <w:sz w:val="18"/>
                <w:highlight w:val="yellow"/>
              </w:rPr>
              <w:t>2.</w:t>
            </w:r>
          </w:p>
        </w:tc>
        <w:tc>
          <w:tcPr>
            <w:tcW w:w="8028" w:type="dxa"/>
          </w:tcPr>
          <w:p w:rsidR="00867290" w:rsidRPr="000A700F" w:rsidRDefault="00867290" w:rsidP="007046A4">
            <w:pPr>
              <w:pStyle w:val="Hlistbullet"/>
              <w:numPr>
                <w:ilvl w:val="0"/>
                <w:numId w:val="0"/>
              </w:numPr>
              <w:spacing w:before="0" w:line="280" w:lineRule="atLeast"/>
              <w:ind w:left="644" w:hanging="360"/>
              <w:rPr>
                <w:highlight w:val="yellow"/>
              </w:rPr>
            </w:pPr>
            <w:r>
              <w:rPr>
                <w:sz w:val="18"/>
                <w:highlight w:val="yellow"/>
              </w:rPr>
              <w:t>Preispitati postojeće podatke i izvore</w:t>
            </w:r>
          </w:p>
        </w:tc>
      </w:tr>
      <w:tr w:rsidR="00867290" w:rsidRPr="000A700F" w:rsidTr="00C2517E">
        <w:tc>
          <w:tcPr>
            <w:tcW w:w="988" w:type="dxa"/>
            <w:shd w:val="clear" w:color="auto" w:fill="E7E6E6" w:themeFill="background2"/>
          </w:tcPr>
          <w:p w:rsidR="00867290" w:rsidRPr="000A700F" w:rsidRDefault="00867290" w:rsidP="00C2517E">
            <w:pPr>
              <w:pStyle w:val="HStandard"/>
              <w:spacing w:after="0"/>
              <w:jc w:val="center"/>
              <w:rPr>
                <w:b/>
                <w:color w:val="5B9BD5" w:themeColor="accent1"/>
                <w:sz w:val="18"/>
                <w:szCs w:val="18"/>
                <w:highlight w:val="yellow"/>
              </w:rPr>
            </w:pPr>
            <w:r>
              <w:rPr>
                <w:b/>
                <w:color w:val="5B9BD5" w:themeColor="accent1"/>
                <w:sz w:val="18"/>
                <w:highlight w:val="yellow"/>
              </w:rPr>
              <w:t>3.</w:t>
            </w:r>
          </w:p>
        </w:tc>
        <w:tc>
          <w:tcPr>
            <w:tcW w:w="8028" w:type="dxa"/>
          </w:tcPr>
          <w:p w:rsidR="00867290" w:rsidRPr="000A700F" w:rsidRDefault="00867290" w:rsidP="007046A4">
            <w:pPr>
              <w:pStyle w:val="Hlistbullet2"/>
              <w:numPr>
                <w:ilvl w:val="0"/>
                <w:numId w:val="0"/>
              </w:numPr>
              <w:spacing w:before="0" w:after="0" w:line="280" w:lineRule="atLeast"/>
              <w:ind w:left="644" w:hanging="360"/>
              <w:rPr>
                <w:highlight w:val="yellow"/>
              </w:rPr>
            </w:pPr>
            <w:r>
              <w:rPr>
                <w:sz w:val="18"/>
                <w:highlight w:val="yellow"/>
              </w:rPr>
              <w:t>Odlučiti koje dodatne podatke treba prikupiti</w:t>
            </w:r>
          </w:p>
        </w:tc>
      </w:tr>
      <w:tr w:rsidR="00867290" w:rsidRPr="008D0759" w:rsidTr="00216BE4">
        <w:tc>
          <w:tcPr>
            <w:tcW w:w="9016" w:type="dxa"/>
            <w:gridSpan w:val="2"/>
          </w:tcPr>
          <w:p w:rsidR="00867290" w:rsidRPr="008D0759" w:rsidRDefault="00867290" w:rsidP="00D200AE">
            <w:pPr>
              <w:pStyle w:val="HStandard"/>
              <w:spacing w:after="0"/>
              <w:rPr>
                <w:sz w:val="18"/>
                <w:szCs w:val="18"/>
              </w:rPr>
            </w:pPr>
            <w:r>
              <w:rPr>
                <w:b/>
                <w:sz w:val="18"/>
                <w:highlight w:val="yellow"/>
              </w:rPr>
              <w:t>Očekivani ishod:</w:t>
            </w:r>
            <w:r>
              <w:rPr>
                <w:sz w:val="18"/>
                <w:highlight w:val="yellow"/>
              </w:rPr>
              <w:t xml:space="preserve"> popis postojećih podataka i izvora informacija, utvrđenih praznina u podacima i planiranih postupaka za popunjavanje tih praznina</w:t>
            </w:r>
          </w:p>
        </w:tc>
      </w:tr>
    </w:tbl>
    <w:p w:rsidR="00867290" w:rsidRPr="008D0759" w:rsidRDefault="00867290" w:rsidP="00C2517E">
      <w:pPr>
        <w:pStyle w:val="HStandard"/>
      </w:pPr>
      <w:r>
        <w:t>The steps in establishing the system for collection of data and information is detailed below.</w:t>
      </w:r>
    </w:p>
    <w:p w:rsidR="00867290" w:rsidRPr="008D0759" w:rsidRDefault="00867290" w:rsidP="007046A4">
      <w:pPr>
        <w:pStyle w:val="HStandard"/>
        <w:rPr>
          <w:b/>
          <w:color w:val="ED7D31" w:themeColor="accent2"/>
        </w:rPr>
      </w:pPr>
      <w:r>
        <w:rPr>
          <w:b/>
          <w:color w:val="ED7D31" w:themeColor="accent2"/>
        </w:rPr>
        <w:t>Step 1 - Identify data needs and sources</w:t>
      </w:r>
    </w:p>
    <w:p w:rsidR="00867290" w:rsidRPr="008D0759" w:rsidRDefault="00867290" w:rsidP="00C2517E">
      <w:pPr>
        <w:pStyle w:val="HStandard"/>
      </w:pPr>
      <w:r>
        <w:t xml:space="preserve">In cases were the commissioning party (MA or NSU) has defined the NRN related evaluation questions, indicators and evaluation approach and methodology already in the preparation phase, data needs and sources may have already been identified (see step 4, chapter 2.2.6 in </w:t>
      </w:r>
      <w:r>
        <w:rPr>
          <w:b/>
          <w:color w:val="E7E6E6" w:themeColor="background2"/>
        </w:rPr>
        <w:t>PART I</w:t>
      </w:r>
      <w:r>
        <w:t xml:space="preserve"> of this document). In this case the evaluator should get access to all available data and information from the MA or the NSU. </w:t>
      </w:r>
    </w:p>
    <w:p w:rsidR="00867290" w:rsidRPr="008D0759" w:rsidRDefault="00867290" w:rsidP="00C2517E">
      <w:pPr>
        <w:pStyle w:val="HStandard"/>
      </w:pPr>
      <w:r>
        <w:t>In cases were the evaluator is supposed to choose the evaluation approach and methodology, the probability that data needs are covered by the available information will be lower.</w:t>
      </w:r>
    </w:p>
    <w:p w:rsidR="00867290" w:rsidRPr="008D0759" w:rsidRDefault="00867290" w:rsidP="00320BBA">
      <w:pPr>
        <w:pStyle w:val="HStandard"/>
        <w:spacing w:after="0"/>
      </w:pPr>
      <w:r>
        <w:fldChar w:fldCharType="begin" w:fldLock="1"/>
      </w:r>
      <w:r>
        <w:instrText xml:space="preserve"> REF _Ref451785052 \r \h </w:instrText>
      </w:r>
      <w:r>
        <w:fldChar w:fldCharType="separate"/>
      </w:r>
      <w:r>
        <w:t>Table 12</w:t>
      </w:r>
      <w:r>
        <w:fldChar w:fldCharType="end"/>
      </w:r>
      <w:r>
        <w:t xml:space="preserve"> gives an indicative overview of which data are needed for which types of methods. </w:t>
      </w:r>
    </w:p>
    <w:p w:rsidR="00867290" w:rsidRPr="008D0759" w:rsidRDefault="00867290">
      <w:pPr>
        <w:spacing w:after="0" w:line="240" w:lineRule="auto"/>
        <w:rPr>
          <w:rFonts w:cs="Arial"/>
          <w:color w:val="576C88" w:themeColor="text2" w:themeTint="D9"/>
          <w:sz w:val="20"/>
          <w:szCs w:val="20"/>
        </w:rPr>
      </w:pPr>
      <w:r>
        <w:br w:type="page"/>
      </w:r>
    </w:p>
    <w:p w:rsidR="00867290" w:rsidRPr="008D0759" w:rsidRDefault="00867290" w:rsidP="00C2517E">
      <w:pPr>
        <w:pStyle w:val="HHeadingtables"/>
      </w:pPr>
      <w:bookmarkStart w:id="228" w:name="_Toc436140068"/>
      <w:bookmarkStart w:id="229" w:name="_Toc436383154"/>
      <w:bookmarkStart w:id="230" w:name="_Toc451781916"/>
      <w:bookmarkStart w:id="231" w:name="_Ref451785052"/>
      <w:r>
        <w:lastRenderedPageBreak/>
        <w:t>Type of data required for different evaluation methods</w:t>
      </w:r>
      <w:bookmarkEnd w:id="228"/>
      <w:bookmarkEnd w:id="229"/>
      <w:bookmarkEnd w:id="230"/>
      <w:bookmarkEnd w:id="231"/>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63"/>
        <w:gridCol w:w="2392"/>
        <w:gridCol w:w="2264"/>
        <w:gridCol w:w="2653"/>
      </w:tblGrid>
      <w:tr w:rsidR="00867290" w:rsidRPr="008D0759" w:rsidTr="004C05DD">
        <w:tc>
          <w:tcPr>
            <w:tcW w:w="1763" w:type="dxa"/>
            <w:shd w:val="clear" w:color="auto" w:fill="E7E6E6" w:themeFill="background2"/>
          </w:tcPr>
          <w:p w:rsidR="00867290" w:rsidRPr="008D0759" w:rsidRDefault="00867290" w:rsidP="00C2517E">
            <w:pPr>
              <w:pStyle w:val="Htableleftbolt"/>
              <w:jc w:val="center"/>
              <w:rPr>
                <w:color w:val="5B9BD5" w:themeColor="accent1"/>
                <w:sz w:val="18"/>
                <w:szCs w:val="18"/>
              </w:rPr>
            </w:pPr>
            <w:r>
              <w:rPr>
                <w:color w:val="5B9BD5" w:themeColor="accent1"/>
                <w:sz w:val="18"/>
              </w:rPr>
              <w:t>Method</w:t>
            </w:r>
          </w:p>
        </w:tc>
        <w:tc>
          <w:tcPr>
            <w:tcW w:w="2392" w:type="dxa"/>
            <w:shd w:val="clear" w:color="auto" w:fill="E7E6E6" w:themeFill="background2"/>
          </w:tcPr>
          <w:p w:rsidR="00867290" w:rsidRPr="008D0759" w:rsidRDefault="00867290" w:rsidP="00C2517E">
            <w:pPr>
              <w:pStyle w:val="Htableleftbolt"/>
              <w:jc w:val="center"/>
              <w:rPr>
                <w:color w:val="5B9BD5" w:themeColor="accent1"/>
                <w:sz w:val="18"/>
                <w:szCs w:val="18"/>
              </w:rPr>
            </w:pPr>
            <w:r>
              <w:rPr>
                <w:color w:val="5B9BD5" w:themeColor="accent1"/>
                <w:sz w:val="18"/>
              </w:rPr>
              <w:t>Type of data</w:t>
            </w:r>
          </w:p>
        </w:tc>
        <w:tc>
          <w:tcPr>
            <w:tcW w:w="2264" w:type="dxa"/>
            <w:shd w:val="clear" w:color="auto" w:fill="E7E6E6" w:themeFill="background2"/>
          </w:tcPr>
          <w:p w:rsidR="00867290" w:rsidRPr="008D0759" w:rsidRDefault="00867290" w:rsidP="00C2517E">
            <w:pPr>
              <w:pStyle w:val="Htableleftbolt"/>
              <w:jc w:val="center"/>
              <w:rPr>
                <w:color w:val="5B9BD5" w:themeColor="accent1"/>
                <w:sz w:val="18"/>
                <w:szCs w:val="18"/>
              </w:rPr>
            </w:pPr>
            <w:r>
              <w:rPr>
                <w:color w:val="5B9BD5" w:themeColor="accent1"/>
                <w:sz w:val="18"/>
              </w:rPr>
              <w:t>Collection</w:t>
            </w:r>
          </w:p>
        </w:tc>
        <w:tc>
          <w:tcPr>
            <w:tcW w:w="2653" w:type="dxa"/>
            <w:shd w:val="clear" w:color="auto" w:fill="E7E6E6" w:themeFill="background2"/>
          </w:tcPr>
          <w:p w:rsidR="00867290" w:rsidRPr="008D0759" w:rsidRDefault="00867290" w:rsidP="00C2517E">
            <w:pPr>
              <w:pStyle w:val="Htableleftbolt"/>
              <w:jc w:val="center"/>
              <w:rPr>
                <w:color w:val="5B9BD5" w:themeColor="accent1"/>
                <w:sz w:val="18"/>
                <w:szCs w:val="18"/>
              </w:rPr>
            </w:pPr>
            <w:r>
              <w:rPr>
                <w:color w:val="5B9BD5" w:themeColor="accent1"/>
                <w:sz w:val="18"/>
              </w:rPr>
              <w:t>Possible boundaries</w:t>
            </w:r>
          </w:p>
        </w:tc>
      </w:tr>
      <w:tr w:rsidR="00867290" w:rsidRPr="008D0759" w:rsidTr="004C05DD">
        <w:tc>
          <w:tcPr>
            <w:tcW w:w="1763"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Surveys (interviews)</w:t>
            </w:r>
          </w:p>
        </w:tc>
        <w:tc>
          <w:tcPr>
            <w:tcW w:w="2392"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Relevant interviewees (stakeholders, beneficiaries, experts, witnesses)</w:t>
            </w:r>
          </w:p>
        </w:tc>
        <w:tc>
          <w:tcPr>
            <w:tcW w:w="2264"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Desk research, information from stakeholders</w:t>
            </w:r>
          </w:p>
        </w:tc>
        <w:tc>
          <w:tcPr>
            <w:tcW w:w="2653"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It is essential to reflect on the boundaries of the system and the number of interviewees; “witnesses” can be valuable as control groups.</w:t>
            </w:r>
          </w:p>
        </w:tc>
      </w:tr>
      <w:tr w:rsidR="00867290" w:rsidRPr="008D0759" w:rsidTr="004C05DD">
        <w:tc>
          <w:tcPr>
            <w:tcW w:w="1763"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Dialogue-based methods (self-assessment methods and focus groups)</w:t>
            </w:r>
          </w:p>
        </w:tc>
        <w:tc>
          <w:tcPr>
            <w:tcW w:w="2392"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Potential participants and contributors</w:t>
            </w:r>
          </w:p>
        </w:tc>
        <w:tc>
          <w:tcPr>
            <w:tcW w:w="2264"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Desk research, information from stakeholders</w:t>
            </w:r>
          </w:p>
        </w:tc>
        <w:tc>
          <w:tcPr>
            <w:tcW w:w="2653"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Diversity of participants and modularity of dialogue settings are paramount.</w:t>
            </w:r>
          </w:p>
        </w:tc>
      </w:tr>
      <w:tr w:rsidR="00867290" w:rsidRPr="008D0759" w:rsidTr="004C05DD">
        <w:tc>
          <w:tcPr>
            <w:tcW w:w="1763"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Analytical methods (cost-benefit and cost-effectiveness analysis)</w:t>
            </w:r>
          </w:p>
        </w:tc>
        <w:tc>
          <w:tcPr>
            <w:tcW w:w="2392"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Quantitative data (volumes and funding)  on specific interventions;  beneficiaries and non-beneficiaries</w:t>
            </w:r>
          </w:p>
        </w:tc>
        <w:tc>
          <w:tcPr>
            <w:tcW w:w="2264"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Reports and monitoring data (from NRN(P) operation database but also from RDP implementation); project managers and beneficiaries</w:t>
            </w:r>
          </w:p>
        </w:tc>
        <w:tc>
          <w:tcPr>
            <w:tcW w:w="2653" w:type="dxa"/>
            <w:shd w:val="clear" w:color="auto" w:fill="auto"/>
          </w:tcPr>
          <w:p w:rsidR="00867290" w:rsidRPr="008D0759" w:rsidRDefault="00867290" w:rsidP="00BF3A20">
            <w:pPr>
              <w:pStyle w:val="Htableleft"/>
              <w:rPr>
                <w:color w:val="576C88" w:themeColor="text2" w:themeTint="D9"/>
                <w:szCs w:val="18"/>
              </w:rPr>
            </w:pPr>
            <w:r>
              <w:rPr>
                <w:color w:val="576C88" w:themeColor="text2" w:themeTint="D9"/>
              </w:rPr>
              <w:t>Qualitative data complement quantitative data on the effectiveness side; RDP monitoring data is needed if the effects of NRN interventions are used to assess the quality of project implementation.</w:t>
            </w:r>
          </w:p>
        </w:tc>
      </w:tr>
      <w:tr w:rsidR="00867290" w:rsidRPr="008D0759" w:rsidTr="004C05DD">
        <w:tc>
          <w:tcPr>
            <w:tcW w:w="1763"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Diagnostic methods (Different network and organization diagnosis methods and Social Network Analysis)</w:t>
            </w:r>
          </w:p>
        </w:tc>
        <w:tc>
          <w:tcPr>
            <w:tcW w:w="2392"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Network participants, NSU team and non-members;</w:t>
            </w:r>
          </w:p>
          <w:p w:rsidR="00867290" w:rsidRPr="008D0759" w:rsidRDefault="00867290" w:rsidP="004C05DD">
            <w:pPr>
              <w:pStyle w:val="Htableleft"/>
              <w:rPr>
                <w:color w:val="576C88" w:themeColor="text2" w:themeTint="D9"/>
                <w:szCs w:val="18"/>
              </w:rPr>
            </w:pPr>
            <w:r>
              <w:rPr>
                <w:color w:val="576C88" w:themeColor="text2" w:themeTint="D9"/>
              </w:rPr>
              <w:t>For the SNA: relational data</w:t>
            </w:r>
          </w:p>
        </w:tc>
        <w:tc>
          <w:tcPr>
            <w:tcW w:w="2264" w:type="dxa"/>
            <w:shd w:val="clear" w:color="auto" w:fill="auto"/>
          </w:tcPr>
          <w:p w:rsidR="00867290" w:rsidRPr="00C85637" w:rsidRDefault="00867290" w:rsidP="004C05DD">
            <w:pPr>
              <w:pStyle w:val="Htableleft"/>
              <w:rPr>
                <w:color w:val="576C88" w:themeColor="text2" w:themeTint="D9"/>
                <w:szCs w:val="18"/>
              </w:rPr>
            </w:pPr>
            <w:r>
              <w:rPr>
                <w:color w:val="576C88" w:themeColor="text2" w:themeTint="D9"/>
              </w:rPr>
              <w:t>Questionnaire; exploitation of written documents (statutes, rules, minutes…)</w:t>
            </w:r>
          </w:p>
        </w:tc>
        <w:tc>
          <w:tcPr>
            <w:tcW w:w="2653"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For the SNA: The boundary should be well considered. It has to cover most of the network, otherwise it would be unreliable.</w:t>
            </w:r>
          </w:p>
        </w:tc>
      </w:tr>
      <w:tr w:rsidR="00867290" w:rsidRPr="008D0759" w:rsidTr="004C05DD">
        <w:tc>
          <w:tcPr>
            <w:tcW w:w="1763"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Case studies</w:t>
            </w:r>
          </w:p>
        </w:tc>
        <w:tc>
          <w:tcPr>
            <w:tcW w:w="2392"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All kinds of relevant  quantitative and qualitative data</w:t>
            </w:r>
          </w:p>
        </w:tc>
        <w:tc>
          <w:tcPr>
            <w:tcW w:w="2264"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Desk research, interviews, participatory observation</w:t>
            </w:r>
          </w:p>
        </w:tc>
        <w:tc>
          <w:tcPr>
            <w:tcW w:w="2653" w:type="dxa"/>
            <w:shd w:val="clear" w:color="auto" w:fill="auto"/>
          </w:tcPr>
          <w:p w:rsidR="00867290" w:rsidRPr="008D0759" w:rsidRDefault="00867290" w:rsidP="004C05DD">
            <w:pPr>
              <w:pStyle w:val="Htableleft"/>
              <w:rPr>
                <w:color w:val="576C88" w:themeColor="text2" w:themeTint="D9"/>
                <w:szCs w:val="18"/>
              </w:rPr>
            </w:pPr>
            <w:r>
              <w:rPr>
                <w:color w:val="576C88" w:themeColor="text2" w:themeTint="D9"/>
              </w:rPr>
              <w:t>Collection of data time-consuming; could be commissioned to a study team prior to evaluation.</w:t>
            </w:r>
          </w:p>
        </w:tc>
      </w:tr>
    </w:tbl>
    <w:p w:rsidR="00867290" w:rsidRPr="008D0759" w:rsidRDefault="00867290" w:rsidP="007046A4">
      <w:pPr>
        <w:pStyle w:val="HStandard"/>
        <w:rPr>
          <w:b/>
          <w:color w:val="ED7D31" w:themeColor="accent2"/>
        </w:rPr>
      </w:pPr>
      <w:r>
        <w:rPr>
          <w:b/>
          <w:color w:val="ED7D31" w:themeColor="accent2"/>
        </w:rPr>
        <w:t>Step 2 - Review existing data and sources</w:t>
      </w:r>
    </w:p>
    <w:p w:rsidR="00867290" w:rsidRPr="008D0759" w:rsidRDefault="00867290" w:rsidP="00C2517E">
      <w:pPr>
        <w:pStyle w:val="HStandard"/>
      </w:pPr>
      <w:r>
        <w:t>The evaluator will review the existing data and information and their sources for the evaluation of NRN activities including:</w:t>
      </w:r>
    </w:p>
    <w:p w:rsidR="00867290" w:rsidRPr="008D0759" w:rsidRDefault="00867290" w:rsidP="00C2517E">
      <w:pPr>
        <w:pStyle w:val="Hlistbullet2"/>
      </w:pPr>
      <w:r>
        <w:t xml:space="preserve">NRN action plans: for types of activities and their beneficiaries </w:t>
      </w:r>
    </w:p>
    <w:p w:rsidR="00867290" w:rsidRPr="008D0759" w:rsidRDefault="00867290" w:rsidP="00C2517E">
      <w:pPr>
        <w:pStyle w:val="Hlistbullet2"/>
      </w:pPr>
      <w:r>
        <w:t>Reports: Periodic progress reports based on monitoring data, information on the implementation of NRN action plans;</w:t>
      </w:r>
    </w:p>
    <w:p w:rsidR="00867290" w:rsidRPr="008D0759" w:rsidRDefault="00867290" w:rsidP="00C2517E">
      <w:pPr>
        <w:pStyle w:val="Hlistbullet2"/>
      </w:pPr>
      <w:r>
        <w:t>NRN self-assessment documentation;</w:t>
      </w:r>
    </w:p>
    <w:p w:rsidR="00867290" w:rsidRPr="008D0759" w:rsidRDefault="00867290" w:rsidP="00C2517E">
      <w:pPr>
        <w:pStyle w:val="Hlistbullet2"/>
      </w:pPr>
      <w:r>
        <w:t>Thematic studies and evaluations of programmes that may include NRN activities: for instance, the example above on innovation can be subject to a thematic evaluation and the NRN contribution would be one component of such an evaluation;</w:t>
      </w:r>
    </w:p>
    <w:p w:rsidR="00867290" w:rsidRPr="008D0759" w:rsidRDefault="00867290" w:rsidP="00C2517E">
      <w:pPr>
        <w:pStyle w:val="Hlistbullet2"/>
      </w:pPr>
      <w:r>
        <w:t>Readers and reports from events (conferences, workshops) organised by the NRN;</w:t>
      </w:r>
    </w:p>
    <w:p w:rsidR="00867290" w:rsidRPr="008D0759" w:rsidRDefault="00867290" w:rsidP="00C2517E">
      <w:pPr>
        <w:pStyle w:val="Hlistbullet2"/>
      </w:pPr>
      <w:r>
        <w:t>Publications (journals, newsletters, circular e-mails, press releases, web-based communication);</w:t>
      </w:r>
    </w:p>
    <w:p w:rsidR="00867290" w:rsidRPr="008D0759" w:rsidRDefault="00867290" w:rsidP="00C2517E">
      <w:pPr>
        <w:pStyle w:val="Hlistbullet2"/>
      </w:pPr>
      <w:r>
        <w:t>Minutes of network management meetings, written regulations;</w:t>
      </w:r>
    </w:p>
    <w:p w:rsidR="00867290" w:rsidRPr="008D0759" w:rsidRDefault="00867290" w:rsidP="00C2517E">
      <w:pPr>
        <w:pStyle w:val="Hlistbullet2"/>
      </w:pPr>
      <w:r>
        <w:t>Use of the website (visits, % new visits, user submissions, user registrations, newsletter opt-ins, support incidents raised, projects added, new consultations, social media activity, content, countries)</w:t>
      </w:r>
      <w:r>
        <w:rPr>
          <w:rFonts w:ascii="ZWAdobeF" w:hAnsi="ZWAdobeF"/>
          <w:color w:val="auto"/>
          <w:sz w:val="2"/>
        </w:rPr>
        <w:t>113F</w:t>
      </w:r>
      <w:r>
        <w:rPr>
          <w:rStyle w:val="FootnoteReference"/>
        </w:rPr>
        <w:footnoteReference w:id="114"/>
      </w:r>
      <w:r>
        <w:t>;</w:t>
      </w:r>
    </w:p>
    <w:p w:rsidR="00867290" w:rsidRPr="008D0759" w:rsidRDefault="00867290" w:rsidP="00C2517E">
      <w:pPr>
        <w:pStyle w:val="Hlistbullet2"/>
      </w:pPr>
      <w:r>
        <w:lastRenderedPageBreak/>
        <w:t>Composition of the steering structure and role descriptions of stakeholders involved; i</w:t>
      </w:r>
    </w:p>
    <w:p w:rsidR="00867290" w:rsidRPr="008D0759" w:rsidRDefault="00867290" w:rsidP="00C2517E">
      <w:pPr>
        <w:pStyle w:val="Hlistbullet2"/>
      </w:pPr>
      <w:r>
        <w:t>Budget sheets and financial monitoring data.</w:t>
      </w:r>
    </w:p>
    <w:p w:rsidR="00867290" w:rsidRPr="008D0759" w:rsidRDefault="00867290" w:rsidP="007046A4">
      <w:pPr>
        <w:pStyle w:val="HStandard"/>
        <w:rPr>
          <w:b/>
          <w:color w:val="ED7D31" w:themeColor="accent2"/>
        </w:rPr>
      </w:pPr>
      <w:r>
        <w:rPr>
          <w:b/>
          <w:color w:val="ED7D31" w:themeColor="accent2"/>
        </w:rPr>
        <w:t>Step 3 - Decide on additional data to be collected</w:t>
      </w:r>
    </w:p>
    <w:p w:rsidR="00867290" w:rsidRPr="008D0759" w:rsidRDefault="00867290" w:rsidP="00C2517E">
      <w:pPr>
        <w:pStyle w:val="HStandard"/>
      </w:pPr>
      <w:r>
        <w:t xml:space="preserve">The review of the data and information will enable the evaluator to identify data gaps for the NRN related common and programme-specific indicators and applied methods. Based on the gaps identified, the evaluator will propose additional data to be collected. </w:t>
      </w:r>
    </w:p>
    <w:p w:rsidR="00867290" w:rsidRPr="008D0759" w:rsidRDefault="00867290" w:rsidP="00C2517E">
      <w:pPr>
        <w:pStyle w:val="HStandard"/>
      </w:pPr>
      <w:r>
        <w:t xml:space="preserve">The collection of additional data implies additional costs. The cost-effectiveness ratio of additional data collection may be a matter of concern; however, the added value of this data on the quality of the evaluation should also be considered. Ideally, there should not be any trade-off between cost and evaluation quality. If possible, priority should be given to methods and information/data that can generate robust evaluation results. Na primjer: </w:t>
      </w:r>
    </w:p>
    <w:p w:rsidR="00867290" w:rsidRPr="008D0759" w:rsidRDefault="00867290" w:rsidP="00C2517E">
      <w:pPr>
        <w:pStyle w:val="Hlistbullet2"/>
      </w:pPr>
      <w:r>
        <w:t>Survey data based on personal interviews (either in the context of a standardised survey or as written notes or transcripts) including scorings (quantified qualitative information);</w:t>
      </w:r>
    </w:p>
    <w:p w:rsidR="00867290" w:rsidRPr="008D0759" w:rsidRDefault="00867290" w:rsidP="00C2517E">
      <w:pPr>
        <w:pStyle w:val="Hlistbullet2"/>
      </w:pPr>
      <w:r>
        <w:t>Focus group records;</w:t>
      </w:r>
    </w:p>
    <w:p w:rsidR="00867290" w:rsidRPr="008D0759" w:rsidRDefault="00867290" w:rsidP="00C2517E">
      <w:pPr>
        <w:pStyle w:val="Hlistbullet2"/>
      </w:pPr>
      <w:r>
        <w:t>RDP project monitoring data (in case the effect of the NRN interventions on projects shall be assessed);</w:t>
      </w:r>
    </w:p>
    <w:p w:rsidR="00867290" w:rsidRPr="008D0759" w:rsidRDefault="00867290" w:rsidP="00C2517E">
      <w:pPr>
        <w:pStyle w:val="Hlistbullet2"/>
      </w:pPr>
      <w:r>
        <w:t>Social network diagrams, visualising the processed answers to socio-metric questionnaires (frequency and intensity of interactions, key roles in the network, etc.);</w:t>
      </w:r>
    </w:p>
    <w:p w:rsidR="00867290" w:rsidRPr="008D0759" w:rsidRDefault="00867290" w:rsidP="00C2517E">
      <w:pPr>
        <w:pStyle w:val="Hlistbullet2"/>
      </w:pPr>
      <w:r>
        <w:t>Heuristic narratives (network or organisation diagnosis, picture and text analysis, stories of critical incidents, etc.);</w:t>
      </w:r>
    </w:p>
    <w:p w:rsidR="00867290" w:rsidRPr="008D0759" w:rsidRDefault="00867290" w:rsidP="00C2517E">
      <w:pPr>
        <w:pStyle w:val="Hlistbullet2"/>
      </w:pPr>
      <w:r>
        <w:t>Pictures and videos;</w:t>
      </w:r>
    </w:p>
    <w:p w:rsidR="00867290" w:rsidRPr="008D0759" w:rsidRDefault="00867290" w:rsidP="00C2517E">
      <w:pPr>
        <w:pStyle w:val="Hlistbullet2"/>
      </w:pPr>
      <w:r>
        <w:t>Case studies.</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2809CE" w:rsidTr="00C2517E">
        <w:tc>
          <w:tcPr>
            <w:tcW w:w="9016" w:type="dxa"/>
            <w:shd w:val="clear" w:color="auto" w:fill="F5F4F4" w:themeFill="background2" w:themeFillTint="66"/>
          </w:tcPr>
          <w:p w:rsidR="00867290" w:rsidRPr="000A700F" w:rsidRDefault="00867290" w:rsidP="00C2517E">
            <w:pPr>
              <w:pStyle w:val="HStandard"/>
              <w:rPr>
                <w:highlight w:val="yellow"/>
              </w:rPr>
            </w:pPr>
            <w:r>
              <w:rPr>
                <w:highlight w:val="yellow"/>
              </w:rPr>
              <w:t>Usmjeravajuća pitanja za utvrđivanje sustava prikupljanja podataka:</w:t>
            </w:r>
          </w:p>
          <w:p w:rsidR="00867290" w:rsidRPr="000A700F" w:rsidRDefault="00867290" w:rsidP="00867290">
            <w:pPr>
              <w:pStyle w:val="Hlistbullet2"/>
              <w:rPr>
                <w:highlight w:val="yellow"/>
              </w:rPr>
            </w:pPr>
            <w:r>
              <w:rPr>
                <w:highlight w:val="yellow"/>
              </w:rPr>
              <w:t>Kakvi su nam podaci i informacije potrebni za uspješno korištenje odabranom metodom?</w:t>
            </w:r>
          </w:p>
          <w:p w:rsidR="00867290" w:rsidRPr="000A700F" w:rsidRDefault="00867290" w:rsidP="00867290">
            <w:pPr>
              <w:pStyle w:val="Hlistbullet2"/>
              <w:rPr>
                <w:highlight w:val="yellow"/>
              </w:rPr>
            </w:pPr>
            <w:r>
              <w:rPr>
                <w:highlight w:val="yellow"/>
              </w:rPr>
              <w:t>Do koje su mjere podaci dobiveni od JPM-a i UT-a pouzdani i potpuni?</w:t>
            </w:r>
          </w:p>
          <w:p w:rsidR="00867290" w:rsidRPr="000A700F" w:rsidRDefault="00867290" w:rsidP="00867290">
            <w:pPr>
              <w:pStyle w:val="Hlistbullet2"/>
              <w:rPr>
                <w:highlight w:val="yellow"/>
              </w:rPr>
            </w:pPr>
            <w:r>
              <w:rPr>
                <w:highlight w:val="yellow"/>
              </w:rPr>
              <w:t>Ako ti podaci nisu u potpunosti dostupni ili nisu dovoljno pouzdani, kojim opcijama raspolažemo za prikupljanje dodatnih podataka ili u pogledu prilagođavanja metodologije?</w:t>
            </w:r>
          </w:p>
          <w:p w:rsidR="00867290" w:rsidRPr="000A700F" w:rsidRDefault="00867290" w:rsidP="00867290">
            <w:pPr>
              <w:pStyle w:val="Hlistbullet2"/>
              <w:rPr>
                <w:highlight w:val="yellow"/>
              </w:rPr>
            </w:pPr>
            <w:r>
              <w:rPr>
                <w:highlight w:val="yellow"/>
              </w:rPr>
              <w:t>Postoji li troškovno učinkovit način za prikupljanje potrebnih podataka i informacija?</w:t>
            </w:r>
          </w:p>
          <w:p w:rsidR="00867290" w:rsidRPr="000A700F" w:rsidRDefault="00867290" w:rsidP="00867290">
            <w:pPr>
              <w:pStyle w:val="Hlistbullet2"/>
              <w:rPr>
                <w:highlight w:val="yellow"/>
              </w:rPr>
            </w:pPr>
            <w:r>
              <w:rPr>
                <w:highlight w:val="yellow"/>
              </w:rPr>
              <w:t>Koje je teme moguće istraživati protučinjeničnom analizom i gdje bismo trebali tražiti okvirne načine za procjenu neto učinaka?</w:t>
            </w:r>
          </w:p>
        </w:tc>
      </w:tr>
    </w:tbl>
    <w:p w:rsidR="00867290" w:rsidRPr="000A700F" w:rsidRDefault="00867290" w:rsidP="00320BBA">
      <w:pPr>
        <w:pStyle w:val="HHeading5"/>
        <w:rPr>
          <w:highlight w:val="yellow"/>
        </w:rPr>
      </w:pPr>
      <w:r>
        <w:rPr>
          <w:highlight w:val="yellow"/>
        </w:rPr>
        <w:t>Što treba činiti, a što izbjegavati?</w:t>
      </w:r>
    </w:p>
    <w:tbl>
      <w:tblPr>
        <w:tblStyle w:val="LightList-Accent5"/>
        <w:tblW w:w="0" w:type="auto"/>
        <w:tblLook w:val="04A0" w:firstRow="1" w:lastRow="0" w:firstColumn="1" w:lastColumn="0" w:noHBand="0" w:noVBand="1"/>
      </w:tblPr>
      <w:tblGrid>
        <w:gridCol w:w="4505"/>
        <w:gridCol w:w="4501"/>
      </w:tblGrid>
      <w:tr w:rsidR="0086729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7290" w:rsidRPr="000A700F" w:rsidRDefault="00867290" w:rsidP="000A3387">
            <w:pPr>
              <w:pStyle w:val="HHeading5"/>
              <w:jc w:val="center"/>
              <w:rPr>
                <w:highlight w:val="yellow"/>
              </w:rPr>
            </w:pPr>
            <w:r>
              <w:rPr>
                <w:noProof/>
                <w:highlight w:val="yellow"/>
                <w:lang w:val="en-GB" w:eastAsia="en-GB" w:bidi="ar-SA"/>
              </w:rPr>
              <w:drawing>
                <wp:inline distT="0" distB="0" distL="0" distR="0" wp14:anchorId="0EB9DDF8" wp14:editId="0B85223A">
                  <wp:extent cx="360000" cy="360000"/>
                  <wp:effectExtent l="0" t="0" r="254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7290" w:rsidRPr="000A700F" w:rsidRDefault="00867290"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0D7EC837" wp14:editId="53D3A1D9">
                  <wp:extent cx="360000" cy="36000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729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7290" w:rsidRPr="000A700F" w:rsidRDefault="0086729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Usvojiti mješoviti pristup, koristeći se mnoštvom različitih vrsta (kvalitativnih i kvantitativnih) podataka i informacija.</w:t>
            </w:r>
          </w:p>
          <w:p w:rsidR="00867290" w:rsidRPr="000A700F" w:rsidRDefault="00867290" w:rsidP="003F3078">
            <w:pPr>
              <w:pStyle w:val="HStandard"/>
              <w:rPr>
                <w:color w:val="FFC000" w:themeColor="accent4"/>
                <w:highlight w:val="yellow"/>
              </w:rPr>
            </w:pPr>
            <w:r>
              <w:rPr>
                <w:b w:val="0"/>
                <w:color w:val="FFC000" w:themeColor="accent4"/>
                <w:sz w:val="18"/>
                <w:highlight w:val="yellow"/>
              </w:rPr>
              <w:t xml:space="preserve">Razlikovati „fokusirani” proces prikupljanja podataka (radi stvaranja znanja o pojedinim pitanjima za evaluaciju i pokazateljima) od „difuznog” procesa </w:t>
            </w:r>
            <w:r>
              <w:rPr>
                <w:b w:val="0"/>
                <w:color w:val="FFC000" w:themeColor="accent4"/>
                <w:sz w:val="18"/>
                <w:highlight w:val="yellow"/>
              </w:rPr>
              <w:lastRenderedPageBreak/>
              <w:t>analitičkog pregleda radi otkrivanja važnih pomaka i trendova unutar konteksta.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7290" w:rsidRPr="000A700F" w:rsidRDefault="00867290"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Udvostručiti napore oko prikupljanja podataka ignoriranjem već postojećih baza podataka i informacija.</w:t>
            </w:r>
          </w:p>
          <w:p w:rsidR="00867290" w:rsidRPr="008D0759" w:rsidRDefault="00867290" w:rsidP="000A3387">
            <w:pPr>
              <w:pStyle w:val="HStandard"/>
              <w:cnfStyle w:val="000000100000" w:firstRow="0" w:lastRow="0" w:firstColumn="0" w:lastColumn="0" w:oddVBand="0" w:evenVBand="0" w:oddHBand="1" w:evenHBand="0" w:firstRowFirstColumn="0" w:firstRowLastColumn="0" w:lastRowFirstColumn="0" w:lastRowLastColumn="0"/>
            </w:pPr>
            <w:r>
              <w:rPr>
                <w:color w:val="ED7D31" w:themeColor="accent2"/>
                <w:sz w:val="18"/>
                <w:highlight w:val="yellow"/>
              </w:rPr>
              <w:t>„Usisati” sve podatke i informacije neovisno o njihovu vjerojatnom značenju za evaluacijska pitanja i pokazatelje.</w:t>
            </w:r>
          </w:p>
        </w:tc>
      </w:tr>
    </w:tbl>
    <w:p w:rsidR="00867290" w:rsidRPr="008D0759" w:rsidRDefault="00867290" w:rsidP="00320BBA">
      <w:pPr>
        <w:pStyle w:val="HHeading5"/>
      </w:pPr>
      <w:r>
        <w:t>Više o temi</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867290" w:rsidRPr="008D0759" w:rsidTr="004C05DD">
        <w:tc>
          <w:tcPr>
            <w:tcW w:w="9918" w:type="dxa"/>
            <w:shd w:val="clear" w:color="auto" w:fill="FAF9F9" w:themeFill="background2" w:themeFillTint="33"/>
          </w:tcPr>
          <w:p w:rsidR="00867290" w:rsidRPr="008D0759" w:rsidRDefault="00867290" w:rsidP="00C2517E">
            <w:pPr>
              <w:pStyle w:val="HStandard"/>
              <w:rPr>
                <w:sz w:val="16"/>
                <w:szCs w:val="16"/>
              </w:rPr>
            </w:pPr>
            <w:r>
              <w:rPr>
                <w:sz w:val="16"/>
              </w:rPr>
              <w:t>Guidelines: Assessment of RDP results: How to prepare for reporting on evaluation in 2017, Chapter 6.2, Evaluation Helpdesk, April 2016</w:t>
            </w:r>
          </w:p>
          <w:p w:rsidR="00867290" w:rsidRPr="008D0759" w:rsidRDefault="00867290" w:rsidP="00C2517E">
            <w:pPr>
              <w:pStyle w:val="HStandard"/>
              <w:rPr>
                <w:rStyle w:val="Hyperlink"/>
                <w:rFonts w:eastAsiaTheme="majorEastAsia"/>
                <w:color w:val="262626"/>
                <w:sz w:val="16"/>
                <w:szCs w:val="16"/>
              </w:rPr>
            </w:pPr>
            <w:r>
              <w:rPr>
                <w:rStyle w:val="Hyperlink"/>
                <w:rFonts w:eastAsiaTheme="majorEastAsia"/>
                <w:color w:val="262626"/>
                <w:sz w:val="16"/>
              </w:rPr>
              <w:t>On the integration of self-assessment and evaluation:</w:t>
            </w:r>
          </w:p>
          <w:p w:rsidR="00867290" w:rsidRPr="008D0759" w:rsidRDefault="00867290" w:rsidP="00C2517E">
            <w:pPr>
              <w:pStyle w:val="HStandard"/>
              <w:rPr>
                <w:rStyle w:val="Hyperlink"/>
                <w:rFonts w:eastAsiaTheme="majorEastAsia"/>
                <w:color w:val="262626"/>
                <w:sz w:val="16"/>
                <w:szCs w:val="16"/>
              </w:rPr>
            </w:pPr>
            <w:r>
              <w:rPr>
                <w:rStyle w:val="Hyperlink"/>
                <w:rFonts w:eastAsiaTheme="majorEastAsia"/>
                <w:color w:val="262626"/>
                <w:sz w:val="16"/>
              </w:rPr>
              <w:t>ENRD 2014: NRN Guidebook, 4</w:t>
            </w:r>
            <w:r>
              <w:rPr>
                <w:rStyle w:val="Hyperlink"/>
                <w:rFonts w:eastAsiaTheme="majorEastAsia"/>
                <w:color w:val="262626"/>
                <w:sz w:val="16"/>
                <w:vertAlign w:val="superscript"/>
              </w:rPr>
              <w:t xml:space="preserve">th </w:t>
            </w:r>
            <w:r>
              <w:rPr>
                <w:rStyle w:val="Hyperlink"/>
                <w:rFonts w:eastAsiaTheme="majorEastAsia"/>
                <w:color w:val="262626"/>
                <w:sz w:val="16"/>
              </w:rPr>
              <w:t xml:space="preserve">chapter on NRN Self-assessment and Evaluation. </w:t>
            </w:r>
            <w:hyperlink r:id="rId48">
              <w:r>
                <w:rPr>
                  <w:rStyle w:val="Hyperlink"/>
                  <w:rFonts w:eastAsiaTheme="majorEastAsia"/>
                  <w:sz w:val="16"/>
                </w:rPr>
                <w:t>http://enrd.ec.europa.eu/enrd-static/app_templates/enrd_assets/pdf/guidebook/nrn_handbook_webversion.pdf</w:t>
              </w:r>
            </w:hyperlink>
            <w:r>
              <w:rPr>
                <w:rStyle w:val="Hyperlink"/>
                <w:rFonts w:eastAsiaTheme="majorEastAsia"/>
                <w:color w:val="262626"/>
                <w:sz w:val="16"/>
              </w:rPr>
              <w:t xml:space="preserve"> </w:t>
            </w:r>
          </w:p>
          <w:p w:rsidR="00867290" w:rsidRPr="008D0759" w:rsidRDefault="00867290" w:rsidP="00C2517E">
            <w:pPr>
              <w:pStyle w:val="HStandard"/>
              <w:rPr>
                <w:sz w:val="16"/>
                <w:szCs w:val="16"/>
              </w:rPr>
            </w:pPr>
            <w:r>
              <w:rPr>
                <w:sz w:val="16"/>
              </w:rPr>
              <w:t>See also the ENRD website on NRN self-assessment tools:</w:t>
            </w:r>
          </w:p>
          <w:p w:rsidR="00867290" w:rsidRPr="008D0759" w:rsidRDefault="00867290" w:rsidP="00C2517E">
            <w:pPr>
              <w:pStyle w:val="HStandard"/>
              <w:rPr>
                <w:sz w:val="16"/>
                <w:szCs w:val="16"/>
              </w:rPr>
            </w:pPr>
            <w:hyperlink r:id="rId49">
              <w:r>
                <w:rPr>
                  <w:rStyle w:val="Hyperlink"/>
                  <w:sz w:val="16"/>
                </w:rPr>
                <w:t>http://enrd.ec.europa.eu/enrd-static/networks-and-networking/nrn-self-assessment-tool-kit/practical-tools-for-nrn-self-assessment/en/practical-tools-for-nrn-self-assessment_en.html</w:t>
              </w:r>
            </w:hyperlink>
            <w:r>
              <w:rPr>
                <w:sz w:val="16"/>
              </w:rPr>
              <w:t xml:space="preserve"> </w:t>
            </w:r>
          </w:p>
        </w:tc>
      </w:tr>
    </w:tbl>
    <w:p w:rsidR="00867290" w:rsidRPr="000A700F" w:rsidRDefault="00867290" w:rsidP="00B55106">
      <w:pPr>
        <w:pStyle w:val="HHeading2"/>
        <w:numPr>
          <w:ilvl w:val="0"/>
          <w:numId w:val="0"/>
        </w:numPr>
        <w:rPr>
          <w:highlight w:val="yellow"/>
        </w:rPr>
      </w:pPr>
      <w:bookmarkStart w:id="232" w:name="_Toc434744520"/>
      <w:bookmarkStart w:id="233" w:name="_Toc436140062"/>
      <w:bookmarkStart w:id="234" w:name="_Toc443491685"/>
      <w:bookmarkStart w:id="235" w:name="_Toc453079769"/>
      <w:r>
        <w:rPr>
          <w:highlight w:val="yellow"/>
        </w:rPr>
        <w:t>1.2. PROMATRANJE: Prikupljanje dokaza za evaluaciju NRM-a</w:t>
      </w:r>
      <w:bookmarkEnd w:id="232"/>
      <w:bookmarkEnd w:id="233"/>
      <w:bookmarkEnd w:id="234"/>
      <w:bookmarkEnd w:id="235"/>
    </w:p>
    <w:p w:rsidR="00867290" w:rsidRPr="008D0759" w:rsidRDefault="00867290" w:rsidP="00C2517E">
      <w:pPr>
        <w:pStyle w:val="HStandard"/>
      </w:pPr>
      <w:r>
        <w:t>In the observing phase the evaluators collect and aggregate all the necessary data and information identified in the previous structuring phase.</w:t>
      </w:r>
    </w:p>
    <w:p w:rsidR="00867290" w:rsidRPr="008D0759" w:rsidRDefault="00867290" w:rsidP="00C2517E">
      <w:pPr>
        <w:pStyle w:val="HStandard"/>
      </w:pPr>
      <w:r>
        <w:t>During the observing phase the evaluators should go through the following steps (</w:t>
      </w:r>
      <w:r>
        <w:fldChar w:fldCharType="begin" w:fldLock="1"/>
      </w:r>
      <w:r>
        <w:instrText xml:space="preserve"> REF _Ref451784748 \r \h </w:instrText>
      </w:r>
      <w:r>
        <w:fldChar w:fldCharType="separate"/>
      </w:r>
      <w:r>
        <w:t>Figure 20</w:t>
      </w:r>
      <w:r>
        <w:fldChar w:fldCharType="end"/>
      </w:r>
      <w:r>
        <w:t>):</w:t>
      </w:r>
    </w:p>
    <w:p w:rsidR="00867290" w:rsidRPr="008D0759" w:rsidRDefault="00867290" w:rsidP="00C2517E">
      <w:pPr>
        <w:pStyle w:val="Hlistbullet2"/>
      </w:pPr>
      <w:r>
        <w:t>Development and application of tools needed for the collection of quantitative and qualitative data</w:t>
      </w:r>
    </w:p>
    <w:p w:rsidR="00867290" w:rsidRPr="008D0759" w:rsidRDefault="00867290" w:rsidP="00C2517E">
      <w:pPr>
        <w:pStyle w:val="Hlistbullet2"/>
      </w:pPr>
      <w:r>
        <w:t>Description of the process of NRN implementation</w:t>
      </w:r>
    </w:p>
    <w:p w:rsidR="00867290" w:rsidRPr="008D0759" w:rsidRDefault="00867290" w:rsidP="00C2517E">
      <w:pPr>
        <w:pStyle w:val="Hlistbullet2"/>
      </w:pPr>
      <w:r>
        <w:t>Consistency and completeness check</w:t>
      </w:r>
    </w:p>
    <w:p w:rsidR="00867290" w:rsidRPr="008D0759" w:rsidRDefault="00867290" w:rsidP="00C2517E">
      <w:pPr>
        <w:pStyle w:val="HHeadingfigures"/>
      </w:pPr>
      <w:bookmarkStart w:id="236" w:name="_Toc436383169"/>
      <w:bookmarkStart w:id="237" w:name="_Toc436140077"/>
      <w:bookmarkStart w:id="238" w:name="_Toc451781939"/>
      <w:bookmarkStart w:id="239" w:name="_Ref451784748"/>
      <w:r>
        <w:t>The observing phase</w:t>
      </w:r>
      <w:bookmarkEnd w:id="236"/>
      <w:bookmarkEnd w:id="237"/>
      <w:bookmarkEnd w:id="238"/>
      <w:bookmarkEnd w:id="239"/>
    </w:p>
    <w:p w:rsidR="00867290" w:rsidRPr="008D0759" w:rsidRDefault="00867290" w:rsidP="00320BBA">
      <w:pPr>
        <w:jc w:val="center"/>
      </w:pPr>
      <w:r>
        <w:rPr>
          <w:noProof/>
          <w:lang w:eastAsia="en-GB"/>
        </w:rPr>
        <w:drawing>
          <wp:inline distT="0" distB="0" distL="0" distR="0" wp14:anchorId="78F4E0B0" wp14:editId="655CBE7D">
            <wp:extent cx="5731510" cy="2755900"/>
            <wp:effectExtent l="0" t="0" r="254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serving.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1510" cy="2755900"/>
                    </a:xfrm>
                    <a:prstGeom prst="rect">
                      <a:avLst/>
                    </a:prstGeom>
                  </pic:spPr>
                </pic:pic>
              </a:graphicData>
            </a:graphic>
          </wp:inline>
        </w:drawing>
      </w:r>
    </w:p>
    <w:p w:rsidR="00867290" w:rsidRPr="008D0759" w:rsidRDefault="00867290" w:rsidP="00320BBA">
      <w:pPr>
        <w:pStyle w:val="HSource"/>
      </w:pPr>
      <w:r>
        <w:t>Izvor: Europski centar za pomoć pri evaluaciji za ruralni razvoj, 2016.</w:t>
      </w:r>
    </w:p>
    <w:p w:rsidR="00867290" w:rsidRPr="000A700F" w:rsidRDefault="00867290" w:rsidP="00B55106">
      <w:pPr>
        <w:pStyle w:val="HHeading3"/>
        <w:numPr>
          <w:ilvl w:val="0"/>
          <w:numId w:val="0"/>
        </w:numPr>
        <w:rPr>
          <w:highlight w:val="yellow"/>
        </w:rPr>
      </w:pPr>
      <w:bookmarkStart w:id="240" w:name="_Toc433481235"/>
      <w:bookmarkStart w:id="241" w:name="_Toc443491686"/>
      <w:bookmarkStart w:id="242" w:name="_Toc453079770"/>
      <w:bookmarkEnd w:id="240"/>
      <w:r>
        <w:rPr>
          <w:highlight w:val="yellow"/>
        </w:rPr>
        <w:t>1.2.1. Razvoj i primjena alata potrebnih za prikupljanje kvantitativnih i kvalitativnih podataka</w:t>
      </w:r>
      <w:bookmarkEnd w:id="241"/>
      <w:bookmarkEnd w:id="242"/>
    </w:p>
    <w:p w:rsidR="00867290" w:rsidRPr="008D0759" w:rsidRDefault="00867290" w:rsidP="00C2517E">
      <w:pPr>
        <w:pStyle w:val="HStandard"/>
      </w:pPr>
      <w:r>
        <w:t xml:space="preserve">The monitoring system will provide the basic quantitative data with respect to output indicators for NRNs. For further programme-specific NRN-related output, result and impact indicators, a combination </w:t>
      </w:r>
      <w:r>
        <w:lastRenderedPageBreak/>
        <w:t xml:space="preserve">of qualitative information and quantitative data will be collected. Due to the nature of NRN activities, the majority of information will consist of qualitative inputs, such as opinions and perceptions of rural actors and qualitative assessments by the evaluator. </w:t>
      </w:r>
    </w:p>
    <w:p w:rsidR="00867290" w:rsidRPr="008D0759" w:rsidRDefault="00867290" w:rsidP="00C2517E">
      <w:pPr>
        <w:pStyle w:val="HStandard"/>
      </w:pPr>
      <w:r>
        <w:t>Let us take the example of fostering innovation in rural areas (one of the objectives of NRNs). The participation of innovation project partners in NRN activities does not necessarily imply a direct cause-effect relationship between participation in the network and the emergence of new products and markets, processes or forms of organization. Therefore, the opinions of rural actors and experts with a broader knowledge of the sectorial and territorial specificities may shed light on the actual contribution of NRN activities to the observed changes in the programme area.</w:t>
      </w:r>
    </w:p>
    <w:p w:rsidR="00867290" w:rsidRPr="008D0759" w:rsidRDefault="00867290" w:rsidP="00C2517E">
      <w:pPr>
        <w:pStyle w:val="HStandard"/>
      </w:pPr>
      <w:r>
        <w:t>Notwithstanding the high complexity of phenomena linked to network interventions it will be useful to break it into manageable chunks. In many cases the NRN(P) strategy or action plan foresees thematic divisions, which can in principle be followed in the observing and analysis phases of the evaluation</w:t>
      </w:r>
      <w:r>
        <w:rPr>
          <w:rFonts w:ascii="ZWAdobeF" w:hAnsi="ZWAdobeF"/>
          <w:color w:val="auto"/>
          <w:sz w:val="2"/>
        </w:rPr>
        <w:t>114F</w:t>
      </w:r>
      <w:r>
        <w:rPr>
          <w:rStyle w:val="FootnoteReference"/>
        </w:rPr>
        <w:footnoteReference w:id="115"/>
      </w:r>
      <w:r>
        <w:t xml:space="preserve">. If the thematic clustering of the NRN(P) action plan is not sufficiently discernible or practicable for the evaluation, the evaluator has to design a proper partition. </w:t>
      </w:r>
    </w:p>
    <w:p w:rsidR="00867290" w:rsidRPr="008D0759" w:rsidRDefault="00867290" w:rsidP="00320BBA">
      <w:pPr>
        <w:pStyle w:val="HStandard"/>
      </w:pPr>
      <w:r>
        <w:t xml:space="preserve">The recommended data and information collected for each group of indicators are presented in </w:t>
      </w:r>
      <w:r>
        <w:fldChar w:fldCharType="begin" w:fldLock="1"/>
      </w:r>
      <w:r>
        <w:instrText xml:space="preserve"> REF _Ref451785067 \r \h </w:instrText>
      </w:r>
      <w:r>
        <w:fldChar w:fldCharType="separate"/>
      </w:r>
      <w:r>
        <w:t>Table 13</w:t>
      </w:r>
      <w:r>
        <w:fldChar w:fldCharType="end"/>
      </w:r>
      <w:r>
        <w:t>.</w:t>
      </w:r>
    </w:p>
    <w:p w:rsidR="00867290" w:rsidRPr="000A700F" w:rsidRDefault="00867290" w:rsidP="00A915A3">
      <w:pPr>
        <w:pStyle w:val="HHeadingtables"/>
        <w:numPr>
          <w:ilvl w:val="0"/>
          <w:numId w:val="0"/>
        </w:numPr>
        <w:rPr>
          <w:highlight w:val="yellow"/>
        </w:rPr>
      </w:pPr>
      <w:bookmarkStart w:id="243" w:name="_Toc436140069"/>
      <w:bookmarkStart w:id="244" w:name="_Toc436383155"/>
      <w:bookmarkStart w:id="245" w:name="_Toc451781917"/>
      <w:bookmarkStart w:id="246" w:name="_Ref451785067"/>
      <w:r>
        <w:rPr>
          <w:highlight w:val="yellow"/>
        </w:rPr>
        <w:t>Tablica 3. Preporučeni podaci i informacije koje treba prikupiti za evaluaciju NRM-a</w:t>
      </w:r>
      <w:bookmarkEnd w:id="243"/>
      <w:bookmarkEnd w:id="244"/>
      <w:r>
        <w:rPr>
          <w:highlight w:val="yellow"/>
        </w:rPr>
        <w:t>, u skladu s različitim korištenim metodama</w:t>
      </w:r>
      <w:bookmarkEnd w:id="245"/>
      <w:bookmarkEnd w:id="246"/>
    </w:p>
    <w:tbl>
      <w:tblPr>
        <w:tblStyle w:val="Mriekatabuky1"/>
        <w:tblW w:w="907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8"/>
        <w:gridCol w:w="7359"/>
      </w:tblGrid>
      <w:tr w:rsidR="00867290" w:rsidRPr="000A700F" w:rsidTr="004C05DD">
        <w:tc>
          <w:tcPr>
            <w:tcW w:w="1718" w:type="dxa"/>
            <w:shd w:val="clear" w:color="auto" w:fill="E7E6E6" w:themeFill="background2"/>
            <w:vAlign w:val="center"/>
          </w:tcPr>
          <w:p w:rsidR="00867290" w:rsidRPr="000A700F" w:rsidRDefault="00867290" w:rsidP="00C2517E">
            <w:pPr>
              <w:pStyle w:val="Htableleftbolt"/>
              <w:jc w:val="center"/>
              <w:rPr>
                <w:color w:val="5B9BD5" w:themeColor="accent1"/>
                <w:highlight w:val="yellow"/>
              </w:rPr>
            </w:pPr>
            <w:r>
              <w:rPr>
                <w:color w:val="5B9BD5" w:themeColor="accent1"/>
                <w:highlight w:val="yellow"/>
              </w:rPr>
              <w:t>Skupine pokazatelja</w:t>
            </w:r>
          </w:p>
        </w:tc>
        <w:tc>
          <w:tcPr>
            <w:tcW w:w="7359" w:type="dxa"/>
            <w:shd w:val="clear" w:color="auto" w:fill="E7E6E6" w:themeFill="background2"/>
          </w:tcPr>
          <w:p w:rsidR="00867290" w:rsidRPr="000A700F" w:rsidRDefault="00867290" w:rsidP="00C2517E">
            <w:pPr>
              <w:pStyle w:val="Htableleftbolt"/>
              <w:jc w:val="center"/>
              <w:rPr>
                <w:color w:val="5B9BD5" w:themeColor="accent1"/>
                <w:highlight w:val="yellow"/>
              </w:rPr>
            </w:pPr>
            <w:r>
              <w:rPr>
                <w:color w:val="5B9BD5" w:themeColor="accent1"/>
                <w:highlight w:val="yellow"/>
              </w:rPr>
              <w:t>Postojeći i preporučeni alati za prikupljanje podataka i informacija</w:t>
            </w:r>
          </w:p>
        </w:tc>
      </w:tr>
      <w:tr w:rsidR="00867290" w:rsidRPr="000A700F" w:rsidTr="004C05DD">
        <w:tc>
          <w:tcPr>
            <w:tcW w:w="1718" w:type="dxa"/>
            <w:shd w:val="clear" w:color="auto" w:fill="auto"/>
            <w:vAlign w:val="center"/>
          </w:tcPr>
          <w:p w:rsidR="00867290" w:rsidRPr="000A700F" w:rsidRDefault="00867290" w:rsidP="004C05DD">
            <w:pPr>
              <w:pStyle w:val="Htableleft"/>
              <w:rPr>
                <w:color w:val="576C88" w:themeColor="text2" w:themeTint="D9"/>
                <w:highlight w:val="yellow"/>
              </w:rPr>
            </w:pPr>
            <w:r>
              <w:rPr>
                <w:color w:val="576C88" w:themeColor="text2" w:themeTint="D9"/>
                <w:highlight w:val="yellow"/>
              </w:rPr>
              <w:t>Pokazatelji ulaganja</w:t>
            </w:r>
          </w:p>
        </w:tc>
        <w:tc>
          <w:tcPr>
            <w:tcW w:w="7359" w:type="dxa"/>
            <w:shd w:val="clear" w:color="auto" w:fill="auto"/>
          </w:tcPr>
          <w:p w:rsidR="00867290" w:rsidRPr="000A700F" w:rsidRDefault="00867290"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Dostupno na: Pokazatelji ulaganja povezani su s financijskim izdvajanjima PRR-a/PNRM-a i plaćanjima za aktivnosti NRM-a. </w:t>
            </w:r>
          </w:p>
          <w:p w:rsidR="00867290" w:rsidRPr="000A700F" w:rsidRDefault="00867290" w:rsidP="00947DF6">
            <w:pPr>
              <w:pStyle w:val="Htableleft"/>
              <w:spacing w:before="0" w:after="0" w:line="240" w:lineRule="atLeast"/>
              <w:rPr>
                <w:color w:val="576C88" w:themeColor="text2" w:themeTint="D9"/>
                <w:highlight w:val="yellow"/>
              </w:rPr>
            </w:pPr>
            <w:r>
              <w:rPr>
                <w:color w:val="576C88" w:themeColor="text2" w:themeTint="D9"/>
                <w:highlight w:val="yellow"/>
              </w:rPr>
              <w:t>Podaci se prikupljaju iz postojećih sustava financijskog praćenja.</w:t>
            </w:r>
          </w:p>
        </w:tc>
      </w:tr>
      <w:tr w:rsidR="00867290" w:rsidRPr="000A700F" w:rsidTr="004C05DD">
        <w:tc>
          <w:tcPr>
            <w:tcW w:w="1718" w:type="dxa"/>
            <w:shd w:val="clear" w:color="auto" w:fill="auto"/>
            <w:vAlign w:val="center"/>
          </w:tcPr>
          <w:p w:rsidR="00867290" w:rsidRPr="000A700F" w:rsidRDefault="00867290" w:rsidP="004C05DD">
            <w:pPr>
              <w:pStyle w:val="Htableleft"/>
              <w:rPr>
                <w:color w:val="576C88" w:themeColor="text2" w:themeTint="D9"/>
                <w:highlight w:val="yellow"/>
              </w:rPr>
            </w:pPr>
            <w:r>
              <w:rPr>
                <w:color w:val="576C88" w:themeColor="text2" w:themeTint="D9"/>
                <w:highlight w:val="yellow"/>
              </w:rPr>
              <w:t xml:space="preserve">Pokazatelji ostvarenja </w:t>
            </w:r>
          </w:p>
        </w:tc>
        <w:tc>
          <w:tcPr>
            <w:tcW w:w="7359" w:type="dxa"/>
            <w:shd w:val="clear" w:color="auto" w:fill="auto"/>
          </w:tcPr>
          <w:p w:rsidR="00867290" w:rsidRPr="000A700F" w:rsidRDefault="00867290" w:rsidP="004C05DD">
            <w:pPr>
              <w:pStyle w:val="Htableleft"/>
              <w:spacing w:before="0" w:after="0" w:line="240" w:lineRule="atLeast"/>
              <w:rPr>
                <w:color w:val="576C88" w:themeColor="text2" w:themeTint="D9"/>
                <w:highlight w:val="yellow"/>
              </w:rPr>
            </w:pPr>
            <w:r>
              <w:rPr>
                <w:color w:val="576C88" w:themeColor="text2" w:themeTint="D9"/>
                <w:highlight w:val="yellow"/>
              </w:rPr>
              <w:t>Dostupno na: Podaci za tri uobičajena pokazatelja ostvarenja iz sustava praćenja (baze podataka za operacije).</w:t>
            </w:r>
          </w:p>
          <w:p w:rsidR="00867290" w:rsidRPr="000A700F" w:rsidRDefault="00867290" w:rsidP="004C05DD">
            <w:pPr>
              <w:pStyle w:val="Htableleft"/>
              <w:spacing w:before="0" w:after="0" w:line="240" w:lineRule="atLeast"/>
              <w:rPr>
                <w:color w:val="576C88" w:themeColor="text2" w:themeTint="D9"/>
                <w:highlight w:val="yellow"/>
              </w:rPr>
            </w:pPr>
            <w:r>
              <w:rPr>
                <w:color w:val="576C88" w:themeColor="text2" w:themeTint="D9"/>
                <w:highlight w:val="yellow"/>
              </w:rPr>
              <w:t>Preporučeno:</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raščlanjeni podaci o praćenju, prema vrsti (npr. po tematskim područjima, kao što su inovacije, komunikacija, okoliš, šumarstvo itd.); </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komunikacijski alati, prema vrsti (npr. publikacije, bilteni, događaji, promidžbeni materijal itd.); </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t>aktivnosti Europske mreže za ruralni razvoj (EMRR) u kojima je NRM sudjelovao, prema vrsti (događanja, radionice, konferencije itd.);</w:t>
            </w:r>
          </w:p>
          <w:p w:rsidR="00867290" w:rsidRPr="000A700F" w:rsidRDefault="00867290" w:rsidP="00241A15">
            <w:pPr>
              <w:pStyle w:val="Htablebullet"/>
              <w:spacing w:before="0" w:after="0" w:line="240" w:lineRule="atLeast"/>
              <w:rPr>
                <w:color w:val="576C88" w:themeColor="text2" w:themeTint="D9"/>
                <w:highlight w:val="yellow"/>
              </w:rPr>
            </w:pPr>
            <w:r>
              <w:rPr>
                <w:color w:val="576C88" w:themeColor="text2" w:themeTint="D9"/>
                <w:highlight w:val="yellow"/>
              </w:rPr>
              <w:t>podaci i informacije prikupljeni u sklopu drugih studija (monografije, studije slučaja, suradnja sa sveučilištima/školama).</w:t>
            </w:r>
          </w:p>
        </w:tc>
      </w:tr>
      <w:tr w:rsidR="00867290" w:rsidRPr="000A700F" w:rsidTr="004C05DD">
        <w:tc>
          <w:tcPr>
            <w:tcW w:w="1718" w:type="dxa"/>
            <w:shd w:val="clear" w:color="auto" w:fill="auto"/>
            <w:vAlign w:val="center"/>
          </w:tcPr>
          <w:p w:rsidR="00867290" w:rsidRPr="000A700F" w:rsidRDefault="00867290" w:rsidP="004C05DD">
            <w:pPr>
              <w:pStyle w:val="Htableleft"/>
              <w:rPr>
                <w:color w:val="576C88" w:themeColor="text2" w:themeTint="D9"/>
                <w:highlight w:val="yellow"/>
              </w:rPr>
            </w:pPr>
            <w:r>
              <w:rPr>
                <w:color w:val="576C88" w:themeColor="text2" w:themeTint="D9"/>
                <w:highlight w:val="yellow"/>
              </w:rPr>
              <w:t xml:space="preserve">Pokazatelji rezultata </w:t>
            </w:r>
          </w:p>
        </w:tc>
        <w:tc>
          <w:tcPr>
            <w:tcW w:w="7359" w:type="dxa"/>
            <w:shd w:val="clear" w:color="auto" w:fill="auto"/>
          </w:tcPr>
          <w:p w:rsidR="00867290" w:rsidRPr="000A700F" w:rsidRDefault="00867290" w:rsidP="004C05DD">
            <w:pPr>
              <w:pStyle w:val="Htableleft"/>
              <w:spacing w:before="0" w:after="0" w:line="240" w:lineRule="atLeast"/>
              <w:rPr>
                <w:color w:val="576C88" w:themeColor="text2" w:themeTint="D9"/>
                <w:highlight w:val="yellow"/>
              </w:rPr>
            </w:pPr>
            <w:r>
              <w:rPr>
                <w:color w:val="576C88" w:themeColor="text2" w:themeTint="D9"/>
                <w:highlight w:val="yellow"/>
              </w:rPr>
              <w:t xml:space="preserve">Možda dostupni za dodatne pokazatelje rezultata (razvijene za odgovaranje na zajednička evaluacijska pitanja) i pokazatelje rezultata za pojedine programe NRM-a za mjerenje rezultata NRM-ova povezanih s promjenama u ponašanju dionika NRM-a:  </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t>kvantitativni podaci: npr. projekti i partnerstva za lokalne prehrambene lance utvrđene na temelju preporuka tematskog rada NRM-a;</w:t>
            </w:r>
          </w:p>
          <w:p w:rsidR="00867290" w:rsidRPr="000A700F" w:rsidRDefault="00867290" w:rsidP="004C05DD">
            <w:pPr>
              <w:pStyle w:val="Htablebullet"/>
              <w:spacing w:line="240" w:lineRule="atLeast"/>
              <w:rPr>
                <w:color w:val="576C88" w:themeColor="text2" w:themeTint="D9"/>
                <w:highlight w:val="yellow"/>
              </w:rPr>
            </w:pPr>
            <w:r>
              <w:rPr>
                <w:color w:val="576C88" w:themeColor="text2" w:themeTint="D9"/>
                <w:highlight w:val="yellow"/>
              </w:rPr>
              <w:t>kvalitativne informacije: npr. svijest o ključnim javnopolitičkim pitanjima koja su bila postavljena.</w:t>
            </w:r>
          </w:p>
          <w:p w:rsidR="00867290" w:rsidRPr="000A700F" w:rsidRDefault="00867290"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(vidi i </w:t>
            </w:r>
            <w:r>
              <w:rPr>
                <w:b/>
                <w:color w:val="E7E6E6" w:themeColor="background2"/>
                <w:highlight w:val="yellow"/>
              </w:rPr>
              <w:t>DIO III.</w:t>
            </w:r>
            <w:r>
              <w:rPr>
                <w:color w:val="576C88" w:themeColor="text2" w:themeTint="D9"/>
                <w:highlight w:val="yellow"/>
              </w:rPr>
              <w:t xml:space="preserve">, Primjeri lanca rezultata i učinaka NRM-a) </w:t>
            </w:r>
          </w:p>
          <w:p w:rsidR="00867290" w:rsidRPr="000A700F" w:rsidRDefault="00867290" w:rsidP="004C05DD">
            <w:pPr>
              <w:pStyle w:val="Htableleft"/>
              <w:spacing w:before="0" w:after="0" w:line="240" w:lineRule="atLeast"/>
              <w:rPr>
                <w:color w:val="576C88" w:themeColor="text2" w:themeTint="D9"/>
                <w:highlight w:val="yellow"/>
              </w:rPr>
            </w:pPr>
            <w:r>
              <w:rPr>
                <w:color w:val="576C88" w:themeColor="text2" w:themeTint="D9"/>
                <w:highlight w:val="yellow"/>
              </w:rPr>
              <w:t>Preporučeno:</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t>Prikupljanje kvantitativnih podataka može biti uključeno u sustav praćenja.</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lastRenderedPageBreak/>
              <w:t xml:space="preserve">Kvalitativne informacije mogu biti prikupljane na </w:t>
            </w:r>
            <w:r w:rsidRPr="00241A15">
              <w:rPr>
                <w:i/>
                <w:color w:val="576C88" w:themeColor="text2" w:themeTint="D9"/>
                <w:highlight w:val="yellow"/>
              </w:rPr>
              <w:t>ad hoc</w:t>
            </w:r>
            <w:r>
              <w:rPr>
                <w:color w:val="576C88" w:themeColor="text2" w:themeTint="D9"/>
                <w:highlight w:val="yellow"/>
              </w:rPr>
              <w:t xml:space="preserve"> osnovi, anketama o zadovoljstvu stručnjaka, sudionika i nesudionika u aktivnostima NRM-a, dubinskim intervjuima, fokusnim skupinama ili povremenim samoocjenjivanjima NRM-a. </w:t>
            </w:r>
          </w:p>
          <w:p w:rsidR="00867290" w:rsidRPr="000A700F" w:rsidRDefault="00867290" w:rsidP="00922106">
            <w:pPr>
              <w:pStyle w:val="Htablebullet"/>
              <w:spacing w:before="0" w:after="0" w:line="240" w:lineRule="atLeast"/>
              <w:rPr>
                <w:color w:val="576C88" w:themeColor="text2" w:themeTint="D9"/>
                <w:highlight w:val="yellow"/>
              </w:rPr>
            </w:pPr>
            <w:r>
              <w:rPr>
                <w:color w:val="576C88" w:themeColor="text2" w:themeTint="D9"/>
                <w:highlight w:val="yellow"/>
              </w:rPr>
              <w:t>Podaci i informacije prikupljeni u sklopu drugih studija (monografije, studije slučaja, suradnja sa sveučilištima/školama).</w:t>
            </w:r>
          </w:p>
        </w:tc>
      </w:tr>
      <w:tr w:rsidR="00867290" w:rsidRPr="008D0759" w:rsidTr="004C05DD">
        <w:tc>
          <w:tcPr>
            <w:tcW w:w="1718" w:type="dxa"/>
            <w:shd w:val="clear" w:color="auto" w:fill="auto"/>
            <w:vAlign w:val="center"/>
          </w:tcPr>
          <w:p w:rsidR="00867290" w:rsidRPr="000A700F" w:rsidDel="00091BD6" w:rsidRDefault="00867290" w:rsidP="004C05DD">
            <w:pPr>
              <w:pStyle w:val="Htableleft"/>
              <w:rPr>
                <w:color w:val="576C88" w:themeColor="text2" w:themeTint="D9"/>
                <w:highlight w:val="yellow"/>
              </w:rPr>
            </w:pPr>
            <w:r>
              <w:rPr>
                <w:color w:val="576C88" w:themeColor="text2" w:themeTint="D9"/>
                <w:highlight w:val="yellow"/>
              </w:rPr>
              <w:lastRenderedPageBreak/>
              <w:t>Pokazatelji učinka</w:t>
            </w:r>
          </w:p>
        </w:tc>
        <w:tc>
          <w:tcPr>
            <w:tcW w:w="7359" w:type="dxa"/>
            <w:shd w:val="clear" w:color="auto" w:fill="auto"/>
          </w:tcPr>
          <w:p w:rsidR="00867290" w:rsidRPr="000A700F" w:rsidRDefault="00867290" w:rsidP="004C05DD">
            <w:pPr>
              <w:pStyle w:val="Htableleft"/>
              <w:spacing w:before="0" w:after="0" w:line="240" w:lineRule="atLeast"/>
              <w:rPr>
                <w:color w:val="576C88" w:themeColor="text2" w:themeTint="D9"/>
                <w:highlight w:val="yellow"/>
              </w:rPr>
            </w:pPr>
            <w:r>
              <w:rPr>
                <w:color w:val="576C88" w:themeColor="text2" w:themeTint="D9"/>
                <w:highlight w:val="yellow"/>
              </w:rPr>
              <w:t>Dodatni pokazatelji učinka i pokazatelji učinka pojedinih programa NRM-a za mjerenje učinaka NRM-a povezanih s:</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t>doprinosima NRM-a rezultatima PRR-a, koji će biti prvenstveno kvantitativne prirode, npr. broj novih proizvoda temeljenih na inovativnim projektima (uglavnom dodatni pokazatelji!);</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t>ljudskim i socijalnim kapitalom proizvedenim NRM-ovima u ruralnim područjima, koji će biti prvenstveno kvalitativne prirode (npr. stupanj poboljšanja u upravljanju PRR-om kao posljedica aktivnosti NRM-a ili stupanj poboljšanja suradnje u ruralnim područjima kao posljedica aktivnosti NRM-a) (prvenstveno pokazatelji za pojedine programe!).</w:t>
            </w:r>
          </w:p>
          <w:p w:rsidR="00867290" w:rsidRPr="000A700F" w:rsidRDefault="00867290" w:rsidP="004C05DD">
            <w:pPr>
              <w:pStyle w:val="Htablebullet"/>
              <w:numPr>
                <w:ilvl w:val="0"/>
                <w:numId w:val="0"/>
              </w:numPr>
              <w:spacing w:before="0" w:after="0" w:line="240" w:lineRule="atLeast"/>
              <w:ind w:left="360"/>
              <w:rPr>
                <w:color w:val="576C88" w:themeColor="text2" w:themeTint="D9"/>
                <w:highlight w:val="yellow"/>
              </w:rPr>
            </w:pPr>
            <w:r>
              <w:rPr>
                <w:color w:val="576C88" w:themeColor="text2" w:themeTint="D9"/>
                <w:highlight w:val="yellow"/>
              </w:rPr>
              <w:t xml:space="preserve">(vidi i </w:t>
            </w:r>
            <w:r>
              <w:rPr>
                <w:b/>
                <w:color w:val="E7E6E6" w:themeColor="background2"/>
                <w:highlight w:val="yellow"/>
              </w:rPr>
              <w:t>DIO III.</w:t>
            </w:r>
            <w:r>
              <w:rPr>
                <w:color w:val="576C88" w:themeColor="text2" w:themeTint="D9"/>
                <w:highlight w:val="yellow"/>
              </w:rPr>
              <w:t xml:space="preserve">, Primjeri lanca rezultata i učinaka NRM-a) </w:t>
            </w:r>
          </w:p>
          <w:p w:rsidR="00867290" w:rsidRPr="000A700F" w:rsidRDefault="00867290" w:rsidP="004C05DD">
            <w:pPr>
              <w:pStyle w:val="Htableleft"/>
              <w:spacing w:before="0" w:after="0" w:line="240" w:lineRule="atLeast"/>
              <w:rPr>
                <w:color w:val="576C88" w:themeColor="text2" w:themeTint="D9"/>
                <w:highlight w:val="yellow"/>
              </w:rPr>
            </w:pPr>
            <w:r>
              <w:rPr>
                <w:color w:val="576C88" w:themeColor="text2" w:themeTint="D9"/>
                <w:highlight w:val="yellow"/>
              </w:rPr>
              <w:t>Preporučeno:</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t xml:space="preserve">Glavni alati za prikupljanje podataka i informacija uključuju ankete, intervjue i fokusne skupine. Fokusne su skupine osobito prikladne za prikupljanje podataka povezanih s neto učincima NRM-a, s obzirom na to da ih je moguće sastaviti i od sudionika i od nesudionika u aktivnostima NRM-a. </w:t>
            </w:r>
          </w:p>
          <w:p w:rsidR="00867290" w:rsidRPr="000A700F" w:rsidRDefault="00867290" w:rsidP="004C05DD">
            <w:pPr>
              <w:pStyle w:val="Htablebullet"/>
              <w:spacing w:before="0" w:after="0" w:line="240" w:lineRule="atLeast"/>
              <w:rPr>
                <w:color w:val="576C88" w:themeColor="text2" w:themeTint="D9"/>
                <w:highlight w:val="yellow"/>
              </w:rPr>
            </w:pPr>
            <w:r>
              <w:rPr>
                <w:color w:val="576C88" w:themeColor="text2" w:themeTint="D9"/>
                <w:highlight w:val="yellow"/>
              </w:rPr>
              <w:t>Podaci i informacije prikupljene u sklopu drugih studija (monografije, studije slučaja, suradnja sa sveučilištima/školama).</w:t>
            </w:r>
          </w:p>
        </w:tc>
      </w:tr>
    </w:tbl>
    <w:p w:rsidR="00867290" w:rsidRPr="008D0759" w:rsidRDefault="00867290" w:rsidP="000A3387">
      <w:pPr>
        <w:pStyle w:val="HStandard"/>
      </w:pPr>
      <w:r>
        <w:t>It is recommended to conduct counterfactuals for both NRN results and impacts when two conditions are fulfilled: (i) when a determinable group of beneficiaries and non-beneficiaries, or an applicable algorithm to differentiate between degrees of involvement of beneficiaries exists; (ii) when a recognisable difference in outcomes (behavioural changes) can be clearly attributed to the NRN intervention. It is important to ensure the baselines data and information.</w:t>
      </w:r>
      <w:bookmarkStart w:id="247" w:name="_Toc443491687"/>
      <w:bookmarkEnd w:id="247"/>
    </w:p>
    <w:p w:rsidR="00867290" w:rsidRPr="008D0759" w:rsidRDefault="00867290" w:rsidP="00320535">
      <w:pPr>
        <w:pStyle w:val="HHeading3"/>
      </w:pPr>
      <w:bookmarkStart w:id="248" w:name="_Toc443491688"/>
      <w:bookmarkStart w:id="249" w:name="_Toc453079771"/>
      <w:r>
        <w:t>Description of the process of NRN implementation</w:t>
      </w:r>
      <w:bookmarkEnd w:id="248"/>
      <w:bookmarkEnd w:id="249"/>
    </w:p>
    <w:p w:rsidR="00867290" w:rsidRPr="008D0759" w:rsidRDefault="00867290" w:rsidP="000A3387">
      <w:pPr>
        <w:pStyle w:val="HStandard"/>
      </w:pPr>
      <w:r>
        <w:t>Evaluators should also recall and analyse the process of implementation of the NRN(P) intervention, with active participation of NRN stakeholders, contributors and beneficiaries. This reflection should take into account the relational aspects of NRN(P)s (communication links and channels, issues concerning differences in the access to information and resources, reach out and retreat, shrinking and growth, critical incidents, etc.), as well as managerial aspects such as budgetary issues and the financial and physical execution of NRN activities. This reflection should be underpinned by adequate information on the subjects discussed, e.g. the written documentation and information raised from interviews held during the initial phase of NRN(P) evaluation with the MA and NSU representatives and other core network members.</w:t>
      </w:r>
    </w:p>
    <w:p w:rsidR="00867290" w:rsidRPr="008D0759" w:rsidRDefault="00867290" w:rsidP="00320535">
      <w:pPr>
        <w:pStyle w:val="HHeading3"/>
      </w:pPr>
      <w:bookmarkStart w:id="250" w:name="_Toc443491689"/>
      <w:bookmarkStart w:id="251" w:name="_Toc453079772"/>
      <w:r>
        <w:t>Consistency and completeness check</w:t>
      </w:r>
      <w:bookmarkEnd w:id="250"/>
      <w:bookmarkEnd w:id="251"/>
    </w:p>
    <w:p w:rsidR="00867290" w:rsidRPr="008D0759" w:rsidRDefault="00867290" w:rsidP="000A3387">
      <w:pPr>
        <w:pStyle w:val="HStandard"/>
      </w:pPr>
      <w:r>
        <w:t>The collected data and information should be scrupulously checked. Key questions are:</w:t>
      </w:r>
    </w:p>
    <w:p w:rsidR="00867290" w:rsidRPr="008D0759" w:rsidRDefault="00867290" w:rsidP="000A3387">
      <w:pPr>
        <w:pStyle w:val="Hlistbullet2"/>
      </w:pPr>
      <w:bookmarkStart w:id="252" w:name="_Toc434744521"/>
      <w:r>
        <w:t>Is the collected data sufficient to answer the evaluation questions to the extent required for the respective evaluation task (AIR 2017, AIR 2019, ex post evaluation or other, and stand-alone NRN evaluations)?</w:t>
      </w:r>
      <w:bookmarkEnd w:id="252"/>
    </w:p>
    <w:p w:rsidR="00867290" w:rsidRPr="008D0759" w:rsidRDefault="00867290" w:rsidP="000A3387">
      <w:pPr>
        <w:pStyle w:val="Hlistbullet2"/>
      </w:pPr>
      <w:bookmarkStart w:id="253" w:name="_Toc434744522"/>
      <w:r>
        <w:t>Is there sufficient redundancy in the database (for data on output indicators and if developed, any data on other indicators) in order to fill possible gaps with information from other sources (= triangulation)?</w:t>
      </w:r>
      <w:bookmarkEnd w:id="253"/>
    </w:p>
    <w:p w:rsidR="00867290" w:rsidRPr="008D0759" w:rsidRDefault="00867290" w:rsidP="000A3387">
      <w:pPr>
        <w:pStyle w:val="Hlistbullet2"/>
      </w:pPr>
      <w:r>
        <w:t>Is there sufficient qualitative data and information available given the highly intangible nature of the expected results and impacts?</w:t>
      </w:r>
    </w:p>
    <w:p w:rsidR="00867290" w:rsidRPr="008D0759" w:rsidRDefault="00867290" w:rsidP="000A3387">
      <w:pPr>
        <w:pStyle w:val="Hlistbullet2"/>
      </w:pPr>
      <w:bookmarkStart w:id="254" w:name="_Toc434744523"/>
      <w:r>
        <w:lastRenderedPageBreak/>
        <w:t>Are the information sources reliable?</w:t>
      </w:r>
      <w:bookmarkEnd w:id="254"/>
    </w:p>
    <w:p w:rsidR="00867290" w:rsidRPr="008D0759" w:rsidRDefault="00867290" w:rsidP="000A3387">
      <w:pPr>
        <w:pStyle w:val="HStandard"/>
      </w:pPr>
      <w:r>
        <w:t xml:space="preserve">If it turns out that it is necessary to collect additional data and information from sources which have not been considered from the outset, there should be enough flexibility to go back to the structuring phase and investigate for additional data. This loop-wise movement is indicated by the green double-headed arrow in </w:t>
      </w:r>
      <w:r>
        <w:fldChar w:fldCharType="begin" w:fldLock="1"/>
      </w:r>
      <w:r>
        <w:instrText xml:space="preserve"> REF _Ref440033578 \r \h </w:instrText>
      </w:r>
      <w:r>
        <w:fldChar w:fldCharType="separate"/>
      </w:r>
      <w:r>
        <w:t>Figure 21</w:t>
      </w:r>
      <w:r>
        <w:fldChar w:fldCharType="end"/>
      </w:r>
      <w:r>
        <w:t>. However, such loops require additional time and budget reserves to be accounted for in the overall evaluation architecture.</w:t>
      </w:r>
    </w:p>
    <w:p w:rsidR="00867290" w:rsidRPr="008D0759" w:rsidRDefault="00867290" w:rsidP="000A3387">
      <w:pPr>
        <w:pStyle w:val="HHeadingfigures"/>
      </w:pPr>
      <w:bookmarkStart w:id="255" w:name="_Ref439933603"/>
      <w:bookmarkStart w:id="256" w:name="_Ref440033578"/>
      <w:bookmarkStart w:id="257" w:name="_Toc451781940"/>
      <w:r>
        <w:t>A</w:t>
      </w:r>
      <w:bookmarkEnd w:id="255"/>
      <w:r>
        <w:t>dvancing loopwise</w:t>
      </w:r>
      <w:bookmarkEnd w:id="256"/>
      <w:bookmarkEnd w:id="257"/>
    </w:p>
    <w:p w:rsidR="00867290" w:rsidRPr="008D0759" w:rsidRDefault="00867290" w:rsidP="00320BBA">
      <w:pPr>
        <w:pStyle w:val="HStandard"/>
        <w:spacing w:after="0"/>
        <w:jc w:val="center"/>
      </w:pPr>
      <w:r>
        <w:rPr>
          <w:noProof/>
          <w:lang w:val="en-GB" w:eastAsia="en-GB" w:bidi="ar-SA"/>
        </w:rPr>
        <w:drawing>
          <wp:inline distT="0" distB="0" distL="0" distR="0" wp14:anchorId="3204B9AC" wp14:editId="7A53C36A">
            <wp:extent cx="4575135" cy="16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val_Process.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5135" cy="1620000"/>
                    </a:xfrm>
                    <a:prstGeom prst="rect">
                      <a:avLst/>
                    </a:prstGeom>
                  </pic:spPr>
                </pic:pic>
              </a:graphicData>
            </a:graphic>
          </wp:inline>
        </w:drawing>
      </w:r>
    </w:p>
    <w:p w:rsidR="00867290" w:rsidRPr="008D0759" w:rsidRDefault="00867290" w:rsidP="00320BBA">
      <w:pPr>
        <w:pStyle w:val="HSource"/>
      </w:pPr>
      <w:r>
        <w:t>Izvor: Europski centar za pomoć pri evaluaciji za ruralni razvoj, 2016.</w:t>
      </w:r>
    </w:p>
    <w:p w:rsidR="00867290" w:rsidRPr="008D0759" w:rsidRDefault="00867290" w:rsidP="000A3387">
      <w:pPr>
        <w:pStyle w:val="HStandard"/>
      </w:pPr>
      <w:r>
        <w:t xml:space="preserve">In practice, budgetary and time restrictions will limit this flexibility throughout the whole process. The most important thing is to keep this possibility open for the first two phases (where the green double-headed arrow is set in </w:t>
      </w:r>
      <w:r>
        <w:fldChar w:fldCharType="begin" w:fldLock="1"/>
      </w:r>
      <w:r>
        <w:instrText xml:space="preserve"> REF _Ref440033578 \r \h </w:instrText>
      </w:r>
      <w:r>
        <w:fldChar w:fldCharType="separate"/>
      </w:r>
      <w:r>
        <w:t>Figure 21</w:t>
      </w:r>
      <w:r>
        <w:fldChar w:fldCharType="end"/>
      </w:r>
      <w:r>
        <w:t>). Drugim riječima: If new, unforeseen facts surface, there should be room to readjust the evaluation setup accordingly.</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2809CE" w:rsidTr="000A3387">
        <w:tc>
          <w:tcPr>
            <w:tcW w:w="9016" w:type="dxa"/>
            <w:shd w:val="clear" w:color="auto" w:fill="F5F4F4" w:themeFill="background2" w:themeFillTint="66"/>
          </w:tcPr>
          <w:p w:rsidR="00867290" w:rsidRPr="000A700F" w:rsidRDefault="00867290" w:rsidP="000A3387">
            <w:pPr>
              <w:pStyle w:val="HStandard"/>
              <w:rPr>
                <w:highlight w:val="yellow"/>
              </w:rPr>
            </w:pPr>
            <w:r>
              <w:rPr>
                <w:highlight w:val="yellow"/>
              </w:rPr>
              <w:t>Usmjeravajuća pitanja za fazu promatranja:</w:t>
            </w:r>
          </w:p>
          <w:p w:rsidR="00867290" w:rsidRPr="000A700F" w:rsidRDefault="00867290" w:rsidP="00867290">
            <w:pPr>
              <w:pStyle w:val="Hlistbullet2"/>
              <w:rPr>
                <w:highlight w:val="yellow"/>
              </w:rPr>
            </w:pPr>
            <w:r>
              <w:rPr>
                <w:highlight w:val="yellow"/>
              </w:rPr>
              <w:t>Koji podaci postoje, a koje je podatke potrebno prikupiti tijekom evaluacijskog postupka?</w:t>
            </w:r>
          </w:p>
          <w:p w:rsidR="00867290" w:rsidRPr="000A700F" w:rsidRDefault="00867290" w:rsidP="00867290">
            <w:pPr>
              <w:pStyle w:val="Hlistbullet2"/>
              <w:rPr>
                <w:highlight w:val="yellow"/>
              </w:rPr>
            </w:pPr>
            <w:r>
              <w:rPr>
                <w:highlight w:val="yellow"/>
              </w:rPr>
              <w:t>Koji su podaci najvažniji za prikupljanje radi očuvanja održivosti procesa prikupljanja podataka u smislu vremena i troškova?</w:t>
            </w:r>
          </w:p>
          <w:p w:rsidR="00867290" w:rsidRPr="000A700F" w:rsidRDefault="00867290" w:rsidP="00867290">
            <w:pPr>
              <w:pStyle w:val="Hlistbullet2"/>
              <w:rPr>
                <w:highlight w:val="yellow"/>
              </w:rPr>
            </w:pPr>
            <w:r>
              <w:rPr>
                <w:highlight w:val="yellow"/>
              </w:rPr>
              <w:t>Postoji li dovoljna redundantnost podataka, tj. mogu li se glavni zaključci unakrsno potvrditi iz različitih empirijskih izvora?</w:t>
            </w:r>
          </w:p>
          <w:p w:rsidR="00867290" w:rsidRPr="000A700F" w:rsidRDefault="00867290" w:rsidP="00867290">
            <w:pPr>
              <w:pStyle w:val="Hlistbullet2"/>
              <w:rPr>
                <w:highlight w:val="yellow"/>
              </w:rPr>
            </w:pPr>
            <w:r>
              <w:rPr>
                <w:highlight w:val="yellow"/>
              </w:rPr>
              <w:t>Je li učinjeno sve što je potrebno radi izbjegavanja pristranosti kod promatranja (selekcijska pristranost, pristranost kod odgovaranja, halo-efekt...)?</w:t>
            </w:r>
          </w:p>
          <w:p w:rsidR="00867290" w:rsidRPr="000A700F" w:rsidRDefault="00867290" w:rsidP="00867290">
            <w:pPr>
              <w:pStyle w:val="Hlistbullet2"/>
              <w:rPr>
                <w:highlight w:val="yellow"/>
              </w:rPr>
            </w:pPr>
            <w:r>
              <w:rPr>
                <w:highlight w:val="yellow"/>
              </w:rPr>
              <w:t>Što bi moglo biti razlogom dvaju međusobno proturječnih ishoda? Je li riječ o tome da je samo jedan zaključak točan ili su oba zaključka donekle točna, ili se pravi odgovor nalazi izvan obaju zaključaka?</w:t>
            </w:r>
          </w:p>
        </w:tc>
      </w:tr>
    </w:tbl>
    <w:p w:rsidR="00867290" w:rsidRPr="000A700F" w:rsidRDefault="00867290" w:rsidP="00D35287">
      <w:pPr>
        <w:pStyle w:val="HHeading5"/>
        <w:rPr>
          <w:highlight w:val="yellow"/>
        </w:rPr>
      </w:pPr>
      <w:r>
        <w:rPr>
          <w:highlight w:val="yellow"/>
        </w:rPr>
        <w:t>Što treba činiti, a što izbjegavati?</w:t>
      </w:r>
    </w:p>
    <w:tbl>
      <w:tblPr>
        <w:tblStyle w:val="LightList-Accent5"/>
        <w:tblW w:w="0" w:type="auto"/>
        <w:tblLook w:val="04A0" w:firstRow="1" w:lastRow="0" w:firstColumn="1" w:lastColumn="0" w:noHBand="0" w:noVBand="1"/>
      </w:tblPr>
      <w:tblGrid>
        <w:gridCol w:w="4506"/>
        <w:gridCol w:w="4500"/>
      </w:tblGrid>
      <w:tr w:rsidR="00867290" w:rsidRPr="000A700F" w:rsidTr="000A33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7290" w:rsidRPr="000A700F" w:rsidRDefault="00867290" w:rsidP="000A3387">
            <w:pPr>
              <w:pStyle w:val="HHeading5"/>
              <w:jc w:val="center"/>
              <w:rPr>
                <w:highlight w:val="yellow"/>
              </w:rPr>
            </w:pPr>
            <w:r>
              <w:rPr>
                <w:noProof/>
                <w:highlight w:val="yellow"/>
                <w:lang w:val="en-GB" w:eastAsia="en-GB" w:bidi="ar-SA"/>
              </w:rPr>
              <w:drawing>
                <wp:inline distT="0" distB="0" distL="0" distR="0" wp14:anchorId="7A7CA1BB" wp14:editId="1A557640">
                  <wp:extent cx="360000" cy="360000"/>
                  <wp:effectExtent l="0" t="0" r="254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7290" w:rsidRPr="000A700F" w:rsidRDefault="00867290" w:rsidP="000A338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5BA63DB4" wp14:editId="139A1509">
                  <wp:extent cx="360000" cy="360000"/>
                  <wp:effectExtent l="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7290" w:rsidRPr="008D0759" w:rsidTr="000A33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7290" w:rsidRPr="000A700F" w:rsidRDefault="0086729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Odrediti područja u kojima je provediva protučinjenična analiza i pripremiti se u skladu s time (npr. odrediti kontrolne skupine ili barem algoritam diferencijacije utvrđivanjem osnove).</w:t>
            </w:r>
          </w:p>
          <w:p w:rsidR="00867290" w:rsidRPr="00241A15" w:rsidRDefault="00867290" w:rsidP="000A3387">
            <w:pPr>
              <w:pStyle w:val="HStandard"/>
              <w:spacing w:before="120" w:line="240" w:lineRule="atLeast"/>
              <w:rPr>
                <w:b w:val="0"/>
                <w:color w:val="FFC000" w:themeColor="accent4"/>
                <w:sz w:val="18"/>
                <w:szCs w:val="18"/>
                <w:highlight w:val="yellow"/>
              </w:rPr>
            </w:pPr>
            <w:r w:rsidRPr="00241A15">
              <w:rPr>
                <w:b w:val="0"/>
                <w:color w:val="FFC000" w:themeColor="accent4"/>
                <w:sz w:val="18"/>
                <w:highlight w:val="yellow"/>
              </w:rPr>
              <w:lastRenderedPageBreak/>
              <w:t>Oslanjati se na različite izvore informacija (kvalitativne i kvantitativne, interne i eksterne, emske</w:t>
            </w:r>
            <w:r w:rsidRPr="00241A15">
              <w:rPr>
                <w:rFonts w:ascii="ZWAdobeF" w:hAnsi="ZWAdobeF"/>
                <w:b w:val="0"/>
                <w:color w:val="auto"/>
                <w:sz w:val="2"/>
                <w:highlight w:val="yellow"/>
              </w:rPr>
              <w:t>115F</w:t>
            </w:r>
            <w:r w:rsidRPr="00241A15">
              <w:rPr>
                <w:rStyle w:val="FootnoteReference"/>
                <w:b w:val="0"/>
                <w:highlight w:val="yellow"/>
              </w:rPr>
              <w:footnoteReference w:id="116"/>
            </w:r>
            <w:r w:rsidRPr="00241A15">
              <w:rPr>
                <w:b w:val="0"/>
                <w:color w:val="FFC000" w:themeColor="accent4"/>
                <w:sz w:val="18"/>
                <w:highlight w:val="yellow"/>
              </w:rPr>
              <w:t xml:space="preserve"> i etske</w:t>
            </w:r>
            <w:r w:rsidRPr="00241A15">
              <w:rPr>
                <w:rFonts w:ascii="ZWAdobeF" w:hAnsi="ZWAdobeF"/>
                <w:b w:val="0"/>
                <w:color w:val="auto"/>
                <w:sz w:val="2"/>
                <w:highlight w:val="yellow"/>
              </w:rPr>
              <w:t>116F</w:t>
            </w:r>
            <w:r w:rsidRPr="00241A15">
              <w:rPr>
                <w:rStyle w:val="FootnoteReference"/>
                <w:b w:val="0"/>
                <w:highlight w:val="yellow"/>
              </w:rPr>
              <w:footnoteReference w:id="117"/>
            </w:r>
            <w:r w:rsidRPr="00241A15">
              <w:rPr>
                <w:b w:val="0"/>
                <w:color w:val="FFC000" w:themeColor="accent4"/>
                <w:sz w:val="18"/>
                <w:highlight w:val="yellow"/>
              </w:rPr>
              <w:t>).</w:t>
            </w:r>
          </w:p>
          <w:p w:rsidR="00867290" w:rsidRPr="000A700F" w:rsidRDefault="00867290" w:rsidP="000A3387">
            <w:pPr>
              <w:pStyle w:val="HStandard"/>
              <w:spacing w:before="120" w:line="240" w:lineRule="atLeast"/>
              <w:rPr>
                <w:b w:val="0"/>
                <w:color w:val="FFC000" w:themeColor="accent4"/>
                <w:sz w:val="18"/>
                <w:szCs w:val="18"/>
                <w:highlight w:val="yellow"/>
              </w:rPr>
            </w:pPr>
            <w:r>
              <w:rPr>
                <w:b w:val="0"/>
                <w:color w:val="FFC000" w:themeColor="accent4"/>
                <w:sz w:val="18"/>
                <w:highlight w:val="yellow"/>
              </w:rPr>
              <w:t>Restrukturirati proces evaluacije u slučaju pojave neočekivanih pitanja, što zahtijeva daljnje istraživanje.</w:t>
            </w:r>
          </w:p>
          <w:p w:rsidR="00867290" w:rsidRPr="000A700F" w:rsidRDefault="00867290" w:rsidP="000A3387">
            <w:pPr>
              <w:pStyle w:val="HStandard"/>
              <w:rPr>
                <w:color w:val="FFC000" w:themeColor="accent4"/>
                <w:sz w:val="18"/>
                <w:szCs w:val="18"/>
                <w:highlight w:val="yellow"/>
              </w:rPr>
            </w:pPr>
            <w:r>
              <w:rPr>
                <w:b w:val="0"/>
                <w:color w:val="FFC000" w:themeColor="accent4"/>
                <w:sz w:val="18"/>
                <w:highlight w:val="yellow"/>
              </w:rPr>
              <w:t>Provjeravati potpunost podataka i stupanj u kojem određeni dostavljeni podaci proturječe rezultatima. Proučiti pozadinu takvih očitih proturječnosti.</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7290" w:rsidRPr="000A700F" w:rsidRDefault="00867290" w:rsidP="000A3387">
            <w:pPr>
              <w:pStyle w:val="HStandard"/>
              <w:spacing w:before="120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Biti zadovoljan jednim jedinim izvorom informacija za bilo koje tematsko pitanje.</w:t>
            </w:r>
          </w:p>
          <w:p w:rsidR="00867290" w:rsidRPr="000A700F" w:rsidRDefault="00867290" w:rsidP="000A338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lastRenderedPageBreak/>
              <w:t xml:space="preserve">Kopirati vlastiti opis aktivnosti NRM-a bez propitivanja ičega te ne razlikovati između više i manje bitnih pitanja.  </w:t>
            </w:r>
          </w:p>
          <w:p w:rsidR="00867290" w:rsidRPr="008D0759" w:rsidRDefault="00867290" w:rsidP="00DD7C07">
            <w:pPr>
              <w:pStyle w:val="HStandard"/>
              <w:cnfStyle w:val="000000100000" w:firstRow="0" w:lastRow="0" w:firstColumn="0" w:lastColumn="0" w:oddVBand="0" w:evenVBand="0" w:oddHBand="1" w:evenHBand="0" w:firstRowFirstColumn="0" w:firstRowLastColumn="0" w:lastRowFirstColumn="0" w:lastRowLastColumn="0"/>
              <w:rPr>
                <w:color w:val="ED7D31" w:themeColor="accent2"/>
                <w:sz w:val="18"/>
                <w:szCs w:val="18"/>
              </w:rPr>
            </w:pPr>
            <w:r>
              <w:rPr>
                <w:color w:val="ED7D31" w:themeColor="accent2"/>
                <w:sz w:val="18"/>
                <w:highlight w:val="yellow"/>
              </w:rPr>
              <w:t>Držati nepouzdane podatke u tajnosti, posebno ako ste sami svjesni toga.</w:t>
            </w:r>
            <w:r>
              <w:rPr>
                <w:color w:val="ED7D31" w:themeColor="accent2"/>
                <w:sz w:val="18"/>
              </w:rPr>
              <w:t xml:space="preserve">  </w:t>
            </w:r>
          </w:p>
        </w:tc>
      </w:tr>
    </w:tbl>
    <w:p w:rsidR="00867290" w:rsidRPr="008D0759" w:rsidRDefault="00867290" w:rsidP="00D35287">
      <w:pPr>
        <w:pStyle w:val="HHeading5"/>
      </w:pPr>
      <w:r>
        <w:lastRenderedPageBreak/>
        <w:t>Više o temi</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867290" w:rsidRPr="008D0759" w:rsidTr="00112F30">
        <w:tc>
          <w:tcPr>
            <w:tcW w:w="9072" w:type="dxa"/>
            <w:shd w:val="clear" w:color="auto" w:fill="F5F4F4" w:themeFill="background2" w:themeFillTint="66"/>
          </w:tcPr>
          <w:p w:rsidR="00867290" w:rsidRPr="008D0759" w:rsidRDefault="00867290" w:rsidP="00112F30">
            <w:pPr>
              <w:pStyle w:val="HStandard"/>
              <w:spacing w:line="240" w:lineRule="atLeast"/>
              <w:rPr>
                <w:sz w:val="16"/>
                <w:szCs w:val="16"/>
              </w:rPr>
            </w:pPr>
            <w:r>
              <w:rPr>
                <w:sz w:val="16"/>
              </w:rPr>
              <w:t>Concerning the assessment of impacts:</w:t>
            </w:r>
          </w:p>
          <w:p w:rsidR="00867290" w:rsidRPr="008D0759" w:rsidRDefault="00867290" w:rsidP="00112F30">
            <w:pPr>
              <w:pStyle w:val="HStandard"/>
              <w:spacing w:line="240" w:lineRule="atLeast"/>
              <w:rPr>
                <w:sz w:val="16"/>
                <w:szCs w:val="16"/>
              </w:rPr>
            </w:pPr>
            <w:r>
              <w:rPr>
                <w:sz w:val="16"/>
              </w:rPr>
              <w:t>Working Paper of the Rural Evaluation Helpdesk (July 2010): Approaches for assessing the impacts of the Rural Development Programmes in the context of multiple intervening factors, p. 26 ff.</w:t>
            </w:r>
          </w:p>
          <w:p w:rsidR="00867290" w:rsidRPr="008D0759" w:rsidRDefault="00867290" w:rsidP="00112F30">
            <w:pPr>
              <w:pStyle w:val="HStandard"/>
              <w:spacing w:line="240" w:lineRule="atLeast"/>
              <w:rPr>
                <w:sz w:val="16"/>
                <w:szCs w:val="16"/>
              </w:rPr>
            </w:pPr>
            <w:r>
              <w:rPr>
                <w:sz w:val="16"/>
              </w:rPr>
              <w:t>On bias in evaluation (the source is from the US Centres of Disease Control and Prevention and deals with health themes, but it is very useful for social research in general):</w:t>
            </w:r>
          </w:p>
          <w:p w:rsidR="00867290" w:rsidRPr="008D0759" w:rsidRDefault="00867290" w:rsidP="00112F30">
            <w:pPr>
              <w:pStyle w:val="HStandard"/>
              <w:spacing w:line="240" w:lineRule="atLeast"/>
              <w:rPr>
                <w:sz w:val="16"/>
                <w:szCs w:val="16"/>
              </w:rPr>
            </w:pPr>
            <w:r>
              <w:rPr>
                <w:sz w:val="16"/>
              </w:rPr>
              <w:t xml:space="preserve">Bernard C.K.Choi and Anita W.P.Pak (Jan 2005): A Catalog of Biases in Questionnaires. </w:t>
            </w:r>
            <w:hyperlink r:id="rId52">
              <w:r>
                <w:rPr>
                  <w:rStyle w:val="Hyperlink"/>
                  <w:sz w:val="16"/>
                </w:rPr>
                <w:t>http://www.cdc.gov/pcd/issues/2005/jan/04_0050.htm</w:t>
              </w:r>
            </w:hyperlink>
            <w:r>
              <w:rPr>
                <w:sz w:val="16"/>
              </w:rPr>
              <w:t xml:space="preserve"> </w:t>
            </w:r>
          </w:p>
        </w:tc>
      </w:tr>
    </w:tbl>
    <w:p w:rsidR="00867290" w:rsidRPr="000A700F" w:rsidRDefault="00867290" w:rsidP="00A915A3">
      <w:pPr>
        <w:pStyle w:val="HHeading2"/>
        <w:numPr>
          <w:ilvl w:val="0"/>
          <w:numId w:val="0"/>
        </w:numPr>
        <w:rPr>
          <w:highlight w:val="yellow"/>
        </w:rPr>
      </w:pPr>
      <w:bookmarkStart w:id="258" w:name="_Toc434744524"/>
      <w:bookmarkStart w:id="259" w:name="_Toc436140063"/>
      <w:bookmarkStart w:id="260" w:name="_Toc443491690"/>
      <w:bookmarkStart w:id="261" w:name="_Toc453079773"/>
      <w:r>
        <w:rPr>
          <w:highlight w:val="yellow"/>
        </w:rPr>
        <w:t>1.3. ANALIZIRANJE</w:t>
      </w:r>
      <w:bookmarkEnd w:id="258"/>
      <w:bookmarkEnd w:id="259"/>
      <w:r>
        <w:rPr>
          <w:highlight w:val="yellow"/>
        </w:rPr>
        <w:t>: Ispitivanje dostupnih informacija</w:t>
      </w:r>
      <w:bookmarkEnd w:id="260"/>
      <w:bookmarkEnd w:id="261"/>
    </w:p>
    <w:p w:rsidR="00867290" w:rsidRPr="008D0759" w:rsidRDefault="00867290" w:rsidP="00112F30">
      <w:pPr>
        <w:pStyle w:val="HStandard"/>
      </w:pPr>
      <w:r>
        <w:t>In the analysing phase, all available information is systematically processed and synthesized. Different tools and techniques are applied to measure outputs, results and impacts against objectives and targets. Ideally, in this phase the main task would be to separate the effects of the NRN interventions from the host of other possible influences on the outcomes. This means to analyse the collected qualitative and quantitative evidence, and assess the NRN’s achievements towards objectives and effects in the form of net values of result indicators (in 2017 and 2019) and impact indicators (in 2019 and in the ex post evaluation).</w:t>
      </w:r>
      <w:r>
        <w:rPr>
          <w:rFonts w:ascii="ZWAdobeF" w:hAnsi="ZWAdobeF"/>
          <w:color w:val="auto"/>
          <w:sz w:val="2"/>
        </w:rPr>
        <w:t>117F</w:t>
      </w:r>
      <w:r>
        <w:rPr>
          <w:rStyle w:val="FootnoteReference"/>
        </w:rPr>
        <w:footnoteReference w:id="118"/>
      </w:r>
    </w:p>
    <w:p w:rsidR="00867290" w:rsidRPr="008D0759" w:rsidRDefault="00867290" w:rsidP="00112F30">
      <w:pPr>
        <w:pStyle w:val="HStandard"/>
      </w:pPr>
      <w:r>
        <w:t>In any case the evaluators try to answer the question: “To what extent did the change happen due to the NRN intervention?”</w:t>
      </w:r>
    </w:p>
    <w:p w:rsidR="00867290" w:rsidRPr="008D0759" w:rsidRDefault="00867290" w:rsidP="00112F30">
      <w:pPr>
        <w:pStyle w:val="HStandard"/>
      </w:pPr>
      <w:r>
        <w:t>The evaluator’s task in the analysis of NRN effects is to establish a logical series of steps that enable the analysis of the data and information collected during the observing phase.</w:t>
      </w:r>
    </w:p>
    <w:p w:rsidR="00867290" w:rsidRPr="008D0759" w:rsidRDefault="00867290" w:rsidP="00112F30">
      <w:pPr>
        <w:pStyle w:val="HHeadingfigures"/>
      </w:pPr>
      <w:bookmarkStart w:id="262" w:name="_Toc436383170"/>
      <w:bookmarkStart w:id="263" w:name="_Toc436140078"/>
      <w:bookmarkStart w:id="264" w:name="_Toc451781941"/>
      <w:r>
        <w:t>The analysing phase</w:t>
      </w:r>
      <w:bookmarkEnd w:id="262"/>
      <w:bookmarkEnd w:id="263"/>
      <w:bookmarkEnd w:id="264"/>
    </w:p>
    <w:p w:rsidR="00867290" w:rsidRPr="008D0759" w:rsidRDefault="00867290" w:rsidP="00112F30">
      <w:pPr>
        <w:jc w:val="center"/>
      </w:pPr>
      <w:r>
        <w:rPr>
          <w:noProof/>
          <w:lang w:eastAsia="en-GB"/>
        </w:rPr>
        <w:lastRenderedPageBreak/>
        <w:drawing>
          <wp:inline distT="0" distB="0" distL="0" distR="0" wp14:anchorId="1925AA4D" wp14:editId="55031002">
            <wp:extent cx="5091163" cy="2448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nalysing.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91163" cy="2448000"/>
                    </a:xfrm>
                    <a:prstGeom prst="rect">
                      <a:avLst/>
                    </a:prstGeom>
                  </pic:spPr>
                </pic:pic>
              </a:graphicData>
            </a:graphic>
          </wp:inline>
        </w:drawing>
      </w:r>
    </w:p>
    <w:p w:rsidR="00867290" w:rsidRPr="008D0759" w:rsidRDefault="00867290" w:rsidP="00320BBA">
      <w:pPr>
        <w:pStyle w:val="HSource"/>
      </w:pPr>
      <w:r>
        <w:t>Izvor: Europski centar za pomoć pri evaluaciji za ruralni razvoj, 2016.</w:t>
      </w:r>
    </w:p>
    <w:p w:rsidR="00867290" w:rsidRPr="008D0759" w:rsidRDefault="00867290" w:rsidP="00320535">
      <w:pPr>
        <w:pStyle w:val="HHeading3"/>
      </w:pPr>
      <w:bookmarkStart w:id="265" w:name="_Toc433481250"/>
      <w:bookmarkStart w:id="266" w:name="_Toc433718156"/>
      <w:bookmarkStart w:id="267" w:name="_Toc434744530"/>
      <w:bookmarkStart w:id="268" w:name="_Toc443491691"/>
      <w:bookmarkStart w:id="269" w:name="_Toc453079774"/>
      <w:r>
        <w:t>Introductory qualitative analysis and formulation of testable hypotheses</w:t>
      </w:r>
      <w:bookmarkEnd w:id="265"/>
      <w:bookmarkEnd w:id="266"/>
      <w:bookmarkEnd w:id="267"/>
      <w:bookmarkEnd w:id="268"/>
      <w:bookmarkEnd w:id="269"/>
    </w:p>
    <w:p w:rsidR="00867290" w:rsidRPr="008D0759" w:rsidRDefault="00867290" w:rsidP="00112F30">
      <w:pPr>
        <w:pStyle w:val="HStandard"/>
      </w:pPr>
      <w:r>
        <w:t xml:space="preserve">A preliminary qualitative analysis should be carried out at the beginning of an evaluation process in order to reflect on various possible expected or unexpected, positive or negative effects of the NRN. The main aim of this introductory qualitative analysis should be the formulation of hypotheses on potential effects, most notably those which, in view of the RD stakeholders and policy makers, are expected to make the biggest “change” in comparison with a situation “without” the NRN interventions. </w:t>
      </w:r>
    </w:p>
    <w:p w:rsidR="00867290" w:rsidRPr="008D0759" w:rsidRDefault="00867290" w:rsidP="00112F30">
      <w:pPr>
        <w:pStyle w:val="HStandard"/>
      </w:pPr>
      <w:r>
        <w:t>The provision of stakeholders’, beneficiaries’ and associated experts’ perspectives on the NRN’s performance is valuable, particularly with regard to unintended or indirect effects.</w:t>
      </w:r>
    </w:p>
    <w:p w:rsidR="00867290" w:rsidRPr="008D0759" w:rsidRDefault="00867290" w:rsidP="00112F30">
      <w:pPr>
        <w:pStyle w:val="HStandard"/>
      </w:pPr>
      <w:r>
        <w:t>This step will culminate in the formulation of testable hypotheses based on the single common evaluation question for NRNs and its related judgment criteria, and on the NRN-specific evaluation questions and judgment criteria.</w:t>
      </w:r>
    </w:p>
    <w:p w:rsidR="00867290" w:rsidRPr="008D0759" w:rsidRDefault="00867290" w:rsidP="00320535">
      <w:pPr>
        <w:pStyle w:val="HHeading3"/>
        <w:rPr>
          <w:rFonts w:eastAsia="Calibri"/>
        </w:rPr>
      </w:pPr>
      <w:bookmarkStart w:id="270" w:name="_Toc443491692"/>
      <w:bookmarkStart w:id="271" w:name="_Toc433481251"/>
      <w:bookmarkStart w:id="272" w:name="_Toc433718157"/>
      <w:bookmarkStart w:id="273" w:name="_Toc434744531"/>
      <w:bookmarkStart w:id="274" w:name="_Toc443491693"/>
      <w:bookmarkStart w:id="275" w:name="_Toc453079775"/>
      <w:bookmarkEnd w:id="270"/>
      <w:r>
        <w:t>Testing and verification of hypotheses</w:t>
      </w:r>
      <w:bookmarkEnd w:id="271"/>
      <w:bookmarkEnd w:id="272"/>
      <w:bookmarkEnd w:id="273"/>
      <w:bookmarkEnd w:id="274"/>
      <w:bookmarkEnd w:id="275"/>
    </w:p>
    <w:p w:rsidR="00867290" w:rsidRPr="008D0759" w:rsidRDefault="00867290" w:rsidP="00112F30">
      <w:pPr>
        <w:pStyle w:val="HStandard"/>
        <w:rPr>
          <w:rFonts w:eastAsia="Calibri"/>
        </w:rPr>
      </w:pPr>
      <w:r>
        <w:t>Under this step, the above hypotheses are empirically tested using various methods to obtain different perspectives on the same phenomena. For NRN evaluation, where most of the data and information will be of qualitative nature, it is important to use this information to analyse expected or unexpected, positive or negative aspects of NRN effects. This step is the first attempt to test the theory of change behind the intervention logic, the assumptions which are symbolised by the arrows leading from inputs to outputs, from outputs to results, and from results to impacts.</w:t>
      </w:r>
    </w:p>
    <w:p w:rsidR="00867290" w:rsidRPr="008D0759" w:rsidRDefault="00867290" w:rsidP="00112F30">
      <w:pPr>
        <w:pStyle w:val="HStandard"/>
        <w:rPr>
          <w:rFonts w:eastAsia="Calibri"/>
        </w:rPr>
      </w:pPr>
      <w:r>
        <w:t xml:space="preserve">As explained before, NRN results are linked to the changes in NRN stakeholders´ behaviour, while NRN impacts are expected, on one hand, to contribute to RDP results and, on the other, to generate changes in the human and social capital in rural areas, which also might affect the RDP impacts (See </w:t>
      </w:r>
      <w:r>
        <w:rPr>
          <w:rFonts w:eastAsia="Calibri"/>
        </w:rPr>
        <w:fldChar w:fldCharType="begin" w:fldLock="1"/>
      </w:r>
      <w:r>
        <w:rPr>
          <w:rFonts w:eastAsia="Calibri"/>
        </w:rPr>
        <w:instrText xml:space="preserve"> REF _Ref451784787 \r \h </w:instrText>
      </w:r>
      <w:r>
        <w:rPr>
          <w:rFonts w:eastAsia="Calibri"/>
        </w:rPr>
      </w:r>
      <w:r>
        <w:rPr>
          <w:rFonts w:eastAsia="Calibri"/>
        </w:rPr>
        <w:fldChar w:fldCharType="separate"/>
      </w:r>
      <w:r>
        <w:rPr>
          <w:rFonts w:eastAsia="Calibri"/>
        </w:rPr>
        <w:t>Figure 8</w:t>
      </w:r>
      <w:r>
        <w:rPr>
          <w:rFonts w:eastAsia="Calibri"/>
        </w:rPr>
        <w:fldChar w:fldCharType="end"/>
      </w:r>
      <w:r>
        <w:t xml:space="preserve"> in chapter 1.4.2).</w:t>
      </w:r>
    </w:p>
    <w:p w:rsidR="00867290" w:rsidRPr="008D0759" w:rsidRDefault="00867290" w:rsidP="00112F30">
      <w:pPr>
        <w:pStyle w:val="HStandard"/>
        <w:rPr>
          <w:rFonts w:eastAsia="Calibri"/>
        </w:rPr>
      </w:pPr>
      <w:r>
        <w:t xml:space="preserve">While the NRN’s contribution to the RDP’s results can be appraised in a more straightforward fashion via the NRN’s direct and indirect beneficiaries, the analysis of behavioural changes, and in general changes in human and social capital, is specifically subject to biases (the researcher’s cognitive filters, the social desirability of certain answers, respondents’ hidden agenda, etc.). It is therefore recommended not only to differentiate between actors invited to participate as internal and external observers, but also to attribute specific roles to members of the evaluation team: as participating observers and outside observers (although we know that there is no such thing as a genuinely “neutral” </w:t>
      </w:r>
      <w:r>
        <w:lastRenderedPageBreak/>
        <w:t>observation point). This can be very helpful in focus group settings, validating the preliminary evaluation outcomes.</w:t>
      </w:r>
    </w:p>
    <w:p w:rsidR="00867290" w:rsidRPr="008D0759" w:rsidRDefault="00867290" w:rsidP="00112F30">
      <w:pPr>
        <w:pStyle w:val="Heading6"/>
      </w:pPr>
      <w:r>
        <w:t>Who is an ‘actor’?</w:t>
      </w:r>
    </w:p>
    <w:p w:rsidR="00867290" w:rsidRPr="008D0759" w:rsidRDefault="00867290" w:rsidP="00112F30">
      <w:pPr>
        <w:pStyle w:val="HStandard"/>
      </w:pPr>
      <w:r>
        <w:t>Changes in human and social capital can only be investigated by social analysis. A crude distinction between social actors in the realm of RDP networking would identify stakeholders and beneficiaries as actors on whom the investigation should focus. But this distinction is not sufficient for a sound analysis of the results and impacts of social interventions.</w:t>
      </w:r>
    </w:p>
    <w:p w:rsidR="00867290" w:rsidRPr="008D0759" w:rsidRDefault="00867290" w:rsidP="00112F30">
      <w:pPr>
        <w:pStyle w:val="HStandard"/>
      </w:pPr>
      <w:r>
        <w:t>The methodology of Critical Systems Heuristics may help us to make a better choice of actors (when it comes to selecting interview partners, focus group participants, etc.) for evaluation purposes.</w:t>
      </w:r>
    </w:p>
    <w:p w:rsidR="00867290" w:rsidRPr="008D0759" w:rsidRDefault="00867290" w:rsidP="00112F30">
      <w:pPr>
        <w:pStyle w:val="HStandard"/>
      </w:pPr>
      <w:r>
        <w:t xml:space="preserve">Critical Systems Heuristics, originally developed by Werner Ulrich and Martin Reynolds, distinguishes between: </w:t>
      </w:r>
    </w:p>
    <w:p w:rsidR="00867290" w:rsidRPr="008D0759" w:rsidRDefault="00867290" w:rsidP="00112F30">
      <w:pPr>
        <w:pStyle w:val="Hlistbullet2"/>
      </w:pPr>
      <w:r>
        <w:rPr>
          <w:b/>
        </w:rPr>
        <w:t>Clients</w:t>
      </w:r>
      <w:r>
        <w:t xml:space="preserve"> (in our terminology ‘beneficiaries’); they are the sources of motivation for any Rural Development Programme; they stand for the purpose of RDPs/NRN(P)s.</w:t>
      </w:r>
    </w:p>
    <w:p w:rsidR="00867290" w:rsidRPr="008D0759" w:rsidRDefault="00867290" w:rsidP="00112F30">
      <w:pPr>
        <w:pStyle w:val="Hlistbullet2"/>
      </w:pPr>
      <w:r>
        <w:rPr>
          <w:b/>
        </w:rPr>
        <w:t>Decision-makers</w:t>
      </w:r>
      <w:r>
        <w:t xml:space="preserve"> (usually addressed as ‘stakeholders’); they are the sources of power in the design, implementation and evaluation of any Rural Development Programme; they stand for the provision of resources of RDPs/NRN(P)s.</w:t>
      </w:r>
    </w:p>
    <w:p w:rsidR="00867290" w:rsidRPr="008D0759" w:rsidRDefault="00867290" w:rsidP="00112F30">
      <w:pPr>
        <w:pStyle w:val="Hlistbullet2"/>
      </w:pPr>
      <w:r>
        <w:rPr>
          <w:b/>
        </w:rPr>
        <w:t xml:space="preserve">Professionals </w:t>
      </w:r>
      <w:r>
        <w:t>(mostly addressed as ‘experts’, but also as ‘stakeholders’); they are the sources and hubs of knowledge; they stand for the expertise (in terms of content and strategizing) necessary to make the RDPs/NRN(P)s work. Many actors which will multiply the knowledge/skills can be found within this category</w:t>
      </w:r>
      <w:r>
        <w:rPr>
          <w:rFonts w:ascii="ZWAdobeF" w:hAnsi="ZWAdobeF"/>
          <w:color w:val="auto"/>
          <w:sz w:val="2"/>
        </w:rPr>
        <w:t>118F</w:t>
      </w:r>
      <w:r>
        <w:rPr>
          <w:rStyle w:val="FootnoteReference"/>
        </w:rPr>
        <w:footnoteReference w:id="119"/>
      </w:r>
      <w:r>
        <w:t>, although they also play a role among the others.</w:t>
      </w:r>
    </w:p>
    <w:p w:rsidR="00867290" w:rsidRPr="008D0759" w:rsidRDefault="00867290" w:rsidP="00112F30">
      <w:pPr>
        <w:pStyle w:val="Hlistbullet2"/>
      </w:pPr>
      <w:r>
        <w:rPr>
          <w:b/>
        </w:rPr>
        <w:t>Witnesses</w:t>
      </w:r>
      <w:r>
        <w:t xml:space="preserve"> (anyone not included in the former groups, but part of the wider system, e.g. taxpayers, food consumers, rural dwellers, etc.); they provide legitimacy against the backdrop of the society as a whole and of higher societal principles; they connect the specific results to the long-term perspective, the probability of lasting changes (impact level).</w:t>
      </w:r>
    </w:p>
    <w:p w:rsidR="00867290" w:rsidRPr="008D0759" w:rsidRDefault="00867290" w:rsidP="00320535">
      <w:pPr>
        <w:pStyle w:val="HHeading3"/>
      </w:pPr>
      <w:bookmarkStart w:id="276" w:name="_Toc443491694"/>
      <w:bookmarkStart w:id="277" w:name="_Toc433481252"/>
      <w:bookmarkStart w:id="278" w:name="_Toc433718158"/>
      <w:bookmarkStart w:id="279" w:name="_Toc434744532"/>
      <w:bookmarkStart w:id="280" w:name="_Toc443491695"/>
      <w:bookmarkStart w:id="281" w:name="_Toc453079776"/>
      <w:bookmarkEnd w:id="276"/>
      <w:r>
        <w:t>Identifying net results of NRN interventions</w:t>
      </w:r>
      <w:bookmarkEnd w:id="277"/>
      <w:bookmarkEnd w:id="278"/>
      <w:bookmarkEnd w:id="279"/>
      <w:bookmarkEnd w:id="280"/>
      <w:bookmarkEnd w:id="281"/>
    </w:p>
    <w:p w:rsidR="00867290" w:rsidRPr="008D0759" w:rsidRDefault="00867290" w:rsidP="00112F30">
      <w:pPr>
        <w:pStyle w:val="HStandard"/>
      </w:pPr>
      <w:r>
        <w:t>Whenever possible, the results and impacts of NRN interventions should be expressed in net terms, which means after taking into account the effects that cannot be attributed to the NRN activities, and by taking into account indirect effects</w:t>
      </w:r>
      <w:r>
        <w:rPr>
          <w:rFonts w:ascii="ZWAdobeF" w:hAnsi="ZWAdobeF"/>
          <w:color w:val="auto"/>
          <w:sz w:val="2"/>
        </w:rPr>
        <w:t>119F</w:t>
      </w:r>
      <w:r>
        <w:rPr>
          <w:rStyle w:val="FootnoteReference"/>
        </w:rPr>
        <w:footnoteReference w:id="120"/>
      </w:r>
      <w:r>
        <w:t xml:space="preserve"> (e.g. multiplier effects of activities which go beyond the group of direct and indirect NRN beneficiaries). The evaluator should specify in detail what elements have been accounted for when calculating programme net effects. </w:t>
      </w:r>
    </w:p>
    <w:p w:rsidR="00867290" w:rsidRPr="008D0759" w:rsidRDefault="00867290" w:rsidP="00112F30">
      <w:pPr>
        <w:pStyle w:val="HStandard"/>
        <w:rPr>
          <w:rFonts w:eastAsia="Calibri"/>
        </w:rPr>
      </w:pPr>
      <w:r>
        <w:t>Counterfactuals are the recommended approach for netting out NRN effects, although its use is rather limited for several NRN interventions, often relying on qualitative information and conducted in a  simulative way, e.g. using specific focus group settings, such as MAPP method</w:t>
      </w:r>
      <w:r>
        <w:rPr>
          <w:rFonts w:ascii="ZWAdobeF" w:hAnsi="ZWAdobeF"/>
          <w:color w:val="auto"/>
          <w:sz w:val="2"/>
        </w:rPr>
        <w:t>120F</w:t>
      </w:r>
      <w:r>
        <w:rPr>
          <w:rStyle w:val="FootnoteReference"/>
        </w:rPr>
        <w:footnoteReference w:id="121"/>
      </w:r>
      <w:r>
        <w:t xml:space="preserve">. These focus groups would involve representatives of beneficiaries and non-beneficiaries and relevant institutional stakeholders whose knowledge may be relevant for an estimation of the net impacts, taking into consideration the NRN indirect effects, intended or unintended ones, and the wider context of rural development. Horizontal CAP objectives should be considered as well, looking at the complementarities with other networking-type interventions (e.g. EIP OPs; ERDF smart specialisation programme). </w:t>
      </w:r>
    </w:p>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8D0759" w:rsidTr="00112F30">
        <w:tc>
          <w:tcPr>
            <w:tcW w:w="9016" w:type="dxa"/>
            <w:shd w:val="clear" w:color="auto" w:fill="F5F4F4" w:themeFill="background2" w:themeFillTint="66"/>
          </w:tcPr>
          <w:p w:rsidR="00867290" w:rsidRPr="000A700F" w:rsidRDefault="00867290" w:rsidP="00112F30">
            <w:pPr>
              <w:pStyle w:val="HStandard"/>
              <w:rPr>
                <w:highlight w:val="yellow"/>
              </w:rPr>
            </w:pPr>
            <w:r>
              <w:rPr>
                <w:highlight w:val="yellow"/>
              </w:rPr>
              <w:t>Usmjeravajuća pitanja za fazu analiziranja:</w:t>
            </w:r>
          </w:p>
          <w:p w:rsidR="00867290" w:rsidRPr="000A700F" w:rsidRDefault="00867290" w:rsidP="00867290">
            <w:pPr>
              <w:pStyle w:val="Hlistbullet2"/>
              <w:rPr>
                <w:highlight w:val="yellow"/>
              </w:rPr>
            </w:pPr>
            <w:r>
              <w:rPr>
                <w:highlight w:val="yellow"/>
              </w:rPr>
              <w:lastRenderedPageBreak/>
              <w:t xml:space="preserve">Kako možemo procijeniti doprinos NRM-a ciljevima politike ruralnog razvoja?  </w:t>
            </w:r>
          </w:p>
          <w:p w:rsidR="00867290" w:rsidRPr="000A700F" w:rsidRDefault="00867290" w:rsidP="00867290">
            <w:pPr>
              <w:pStyle w:val="Hlistbullet2"/>
              <w:rPr>
                <w:highlight w:val="yellow"/>
              </w:rPr>
            </w:pPr>
            <w:r>
              <w:rPr>
                <w:highlight w:val="yellow"/>
              </w:rPr>
              <w:t>Kako opažene promjene u ljudskom i socijalnom kapitalu možemo na individualnoj, organizacijskoj i društvenoj razini pripisati intervencijama NRM-a (npr. promjene u ponašanju, znanju, vještinama i sposobnostima, u sposobnostima umrežavanja i komunikacije, u upravljanju ruralnim područjima itd.)?</w:t>
            </w:r>
          </w:p>
          <w:p w:rsidR="00867290" w:rsidRPr="000A700F" w:rsidRDefault="00867290" w:rsidP="00867290">
            <w:pPr>
              <w:pStyle w:val="Hlistbullet2"/>
              <w:rPr>
                <w:highlight w:val="yellow"/>
              </w:rPr>
            </w:pPr>
            <w:r>
              <w:rPr>
                <w:highlight w:val="yellow"/>
              </w:rPr>
              <w:t>Koje su glavne razlike između teorije promjene koja se nalazi u temeljima intervencijske logike i toga kako se stvari zapravo najvjerojatnije odvijaju u stvarnosti?</w:t>
            </w:r>
          </w:p>
          <w:p w:rsidR="00867290" w:rsidRPr="000A700F" w:rsidRDefault="00867290" w:rsidP="00867290">
            <w:pPr>
              <w:pStyle w:val="Hlistbullet2"/>
              <w:rPr>
                <w:highlight w:val="yellow"/>
              </w:rPr>
            </w:pPr>
            <w:r>
              <w:rPr>
                <w:highlight w:val="yellow"/>
              </w:rPr>
              <w:t>Koji su neočekivani učinci intervencija NRM-a? Koji su takvi učinci poželjni, a koji nisu? Kako ih možemo otkriti i objasniti njihovo pojavljivanje?</w:t>
            </w:r>
          </w:p>
        </w:tc>
      </w:tr>
    </w:tbl>
    <w:p w:rsidR="00867290" w:rsidRPr="000A700F" w:rsidRDefault="00867290" w:rsidP="00D35287">
      <w:pPr>
        <w:pStyle w:val="HHeading5"/>
        <w:rPr>
          <w:highlight w:val="yellow"/>
        </w:rPr>
      </w:pPr>
      <w:r>
        <w:rPr>
          <w:highlight w:val="yellow"/>
        </w:rPr>
        <w:lastRenderedPageBreak/>
        <w:t xml:space="preserve">Što treba činiti, a što izbjegavati? </w:t>
      </w:r>
    </w:p>
    <w:tbl>
      <w:tblPr>
        <w:tblStyle w:val="LightList-Accent5"/>
        <w:tblW w:w="0" w:type="auto"/>
        <w:tblLook w:val="04A0" w:firstRow="1" w:lastRow="0" w:firstColumn="1" w:lastColumn="0" w:noHBand="0" w:noVBand="1"/>
      </w:tblPr>
      <w:tblGrid>
        <w:gridCol w:w="4503"/>
        <w:gridCol w:w="4503"/>
      </w:tblGrid>
      <w:tr w:rsidR="00867290"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7290" w:rsidRPr="000A700F" w:rsidRDefault="00867290" w:rsidP="00445E97">
            <w:pPr>
              <w:pStyle w:val="HHeading5"/>
              <w:jc w:val="center"/>
              <w:rPr>
                <w:highlight w:val="yellow"/>
              </w:rPr>
            </w:pPr>
            <w:r>
              <w:rPr>
                <w:noProof/>
                <w:highlight w:val="yellow"/>
                <w:lang w:val="en-GB" w:eastAsia="en-GB" w:bidi="ar-SA"/>
              </w:rPr>
              <w:drawing>
                <wp:inline distT="0" distB="0" distL="0" distR="0" wp14:anchorId="7189F3DE" wp14:editId="545D6F01">
                  <wp:extent cx="360000" cy="360000"/>
                  <wp:effectExtent l="0" t="0" r="254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7290" w:rsidRPr="000A700F" w:rsidRDefault="00867290"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1F784DCF" wp14:editId="654DCCDF">
                  <wp:extent cx="360000" cy="360000"/>
                  <wp:effectExtent l="0" t="0" r="254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7290"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7290" w:rsidRPr="000A700F" w:rsidRDefault="0086729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Koristiti se intervencijskom logikom i pitanjima za evaluaciju kao pozadinom za hipoteze. </w:t>
            </w:r>
          </w:p>
          <w:p w:rsidR="00867290" w:rsidRPr="000A700F" w:rsidRDefault="0086729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 xml:space="preserve">Razmotriti doprinos NRM-a postizanju ciljeva ruralne politike. </w:t>
            </w:r>
          </w:p>
          <w:p w:rsidR="00867290" w:rsidRPr="000A700F" w:rsidRDefault="0086729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Usredotočiti se na promjene u ljudskom i socijalnom kapitalu, tj. na promjene u ponašanju graničnih partnera i učinke proizišle iz toga.</w:t>
            </w:r>
          </w:p>
          <w:p w:rsidR="00867290" w:rsidRPr="000A700F" w:rsidRDefault="0086729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Razmotriti protučinjeničnu analizu kao važan alat za pripisivanje opaženih promjena intervencijama NRM-a.</w:t>
            </w:r>
          </w:p>
          <w:p w:rsidR="00867290" w:rsidRPr="000A700F" w:rsidRDefault="00867290" w:rsidP="00445E97">
            <w:pPr>
              <w:pStyle w:val="HStandard"/>
              <w:rPr>
                <w:color w:val="FFC000" w:themeColor="accent4"/>
                <w:highlight w:val="yellow"/>
              </w:rPr>
            </w:pPr>
            <w:r>
              <w:rPr>
                <w:b w:val="0"/>
                <w:color w:val="FFC000" w:themeColor="accent4"/>
                <w:sz w:val="18"/>
                <w:highlight w:val="yellow"/>
              </w:rPr>
              <w:t>Čak i ako protučinjenična analiza nije moguća, treba nastojati aproksimirati taj pristup postavljanjem odgovarajućih pitanja i upotrebom višestrukih izvora da bi se došlo do rezultata i učinaka NRM-a.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7290" w:rsidRPr="000A700F" w:rsidRDefault="0086729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Oslanjati se isključivo na vlastitu interpretaciju činjenica.</w:t>
            </w:r>
          </w:p>
          <w:p w:rsidR="00867290" w:rsidRPr="000A700F" w:rsidRDefault="0086729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Izvoditi zaključke na temelju rezultata dobivenih samo jednom metodom.</w:t>
            </w:r>
          </w:p>
          <w:p w:rsidR="00867290" w:rsidRPr="000A700F" w:rsidRDefault="0086729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Prolaziti mehanički kroz pitanja za evaluaciju bez podrobnog proučavanja informacija. </w:t>
            </w:r>
          </w:p>
          <w:p w:rsidR="00867290" w:rsidRPr="008D0759" w:rsidRDefault="00867290"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Naivno postaviti usporedbu o stanju prije i poslije bez prave rasprave o drugim mogućim intervenirajućim čimbenicima.</w:t>
            </w:r>
          </w:p>
        </w:tc>
      </w:tr>
    </w:tbl>
    <w:p w:rsidR="00867290" w:rsidRPr="008D0759" w:rsidRDefault="00867290" w:rsidP="00D35287">
      <w:pPr>
        <w:pStyle w:val="HHeading5"/>
      </w:pPr>
      <w:r>
        <w:t>Više o temi</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F5F4F4" w:themeFill="background2" w:themeFillTint="66"/>
        <w:tblLook w:val="04A0" w:firstRow="1" w:lastRow="0" w:firstColumn="1" w:lastColumn="0" w:noHBand="0" w:noVBand="1"/>
      </w:tblPr>
      <w:tblGrid>
        <w:gridCol w:w="9072"/>
      </w:tblGrid>
      <w:tr w:rsidR="00867290" w:rsidRPr="008D0759" w:rsidTr="00112F30">
        <w:tc>
          <w:tcPr>
            <w:tcW w:w="9918" w:type="dxa"/>
            <w:shd w:val="clear" w:color="auto" w:fill="F5F4F4" w:themeFill="background2" w:themeFillTint="66"/>
          </w:tcPr>
          <w:p w:rsidR="00867290" w:rsidRPr="008D0759" w:rsidRDefault="00867290" w:rsidP="00112F30">
            <w:pPr>
              <w:pStyle w:val="HStandard"/>
              <w:rPr>
                <w:sz w:val="16"/>
                <w:szCs w:val="16"/>
              </w:rPr>
            </w:pPr>
            <w:r>
              <w:rPr>
                <w:sz w:val="16"/>
              </w:rPr>
              <w:t>EU Rural Evaluation Helpdesk: Working Paper on Approaches for assessing the impacts of the Rural Development Programmes in the context of multiple intervening factors. March 2010. Chapter 3.3.3.3 starting on page 31 specifically deals with ‘possibilities to deal with apparent non-availability of control groups’.</w:t>
            </w:r>
          </w:p>
          <w:p w:rsidR="00867290" w:rsidRPr="008D0759" w:rsidRDefault="00867290" w:rsidP="00112F30">
            <w:pPr>
              <w:pStyle w:val="HStandard"/>
              <w:rPr>
                <w:sz w:val="16"/>
                <w:szCs w:val="16"/>
              </w:rPr>
            </w:pPr>
            <w:r>
              <w:rPr>
                <w:sz w:val="16"/>
              </w:rPr>
              <w:t xml:space="preserve">There is a brief description of the Critical Systems Heuristics approach on the BetterEvaluation website: </w:t>
            </w:r>
            <w:hyperlink r:id="rId54">
              <w:r>
                <w:rPr>
                  <w:rStyle w:val="Hyperlink"/>
                  <w:sz w:val="16"/>
                </w:rPr>
                <w:t>http://betterevaluation.org/plan/approach/critical_system_heuristics</w:t>
              </w:r>
            </w:hyperlink>
            <w:r>
              <w:rPr>
                <w:sz w:val="16"/>
              </w:rPr>
              <w:t xml:space="preserve"> </w:t>
            </w:r>
          </w:p>
          <w:p w:rsidR="00867290" w:rsidRPr="008D0759" w:rsidRDefault="00867290" w:rsidP="00112F30">
            <w:pPr>
              <w:pStyle w:val="HStandard"/>
              <w:rPr>
                <w:sz w:val="16"/>
                <w:szCs w:val="16"/>
              </w:rPr>
            </w:pPr>
            <w:r>
              <w:rPr>
                <w:sz w:val="16"/>
              </w:rPr>
              <w:t xml:space="preserve">For the basics of the CSH approach see: </w:t>
            </w:r>
            <w:r>
              <w:rPr>
                <w:color w:val="000000"/>
                <w:sz w:val="16"/>
              </w:rPr>
              <w:t>Reynolds, M (2007). “Evaluation based on critical systems heuristics.” In Using Systems Concepts in Evaluation: An Expert Anthology, edited by Bob Williams and Iraj Imam, 101-122. Point Reyes, CA: EdgePress. Available online at: </w:t>
            </w:r>
            <w:hyperlink r:id="rId55">
              <w:r>
                <w:rPr>
                  <w:rStyle w:val="Hyperlink"/>
                  <w:sz w:val="16"/>
                </w:rPr>
                <w:t>http://oro.open.ac.uk/3464/</w:t>
              </w:r>
            </w:hyperlink>
          </w:p>
        </w:tc>
      </w:tr>
    </w:tbl>
    <w:p w:rsidR="00867290" w:rsidRPr="000A700F" w:rsidRDefault="00867290" w:rsidP="00A915A3">
      <w:pPr>
        <w:pStyle w:val="HHeading2"/>
        <w:numPr>
          <w:ilvl w:val="0"/>
          <w:numId w:val="0"/>
        </w:numPr>
        <w:rPr>
          <w:highlight w:val="yellow"/>
        </w:rPr>
      </w:pPr>
      <w:bookmarkStart w:id="282" w:name="_Toc433481253"/>
      <w:bookmarkStart w:id="283" w:name="_Toc433718159"/>
      <w:bookmarkStart w:id="284" w:name="_Toc434744533"/>
      <w:bookmarkStart w:id="285" w:name="_Toc433481254"/>
      <w:bookmarkStart w:id="286" w:name="_Toc433718160"/>
      <w:bookmarkStart w:id="287" w:name="_Toc434744534"/>
      <w:bookmarkStart w:id="288" w:name="_Toc433481255"/>
      <w:bookmarkStart w:id="289" w:name="_Toc433718161"/>
      <w:bookmarkStart w:id="290" w:name="_Toc434744535"/>
      <w:bookmarkStart w:id="291" w:name="_Toc433481256"/>
      <w:bookmarkStart w:id="292" w:name="_Toc433718162"/>
      <w:bookmarkStart w:id="293" w:name="_Toc434744536"/>
      <w:bookmarkStart w:id="294" w:name="_Toc433481257"/>
      <w:bookmarkStart w:id="295" w:name="_Toc433718163"/>
      <w:bookmarkStart w:id="296" w:name="_Toc434744537"/>
      <w:bookmarkStart w:id="297" w:name="_Toc433481258"/>
      <w:bookmarkStart w:id="298" w:name="_Toc433718164"/>
      <w:bookmarkStart w:id="299" w:name="_Toc434744538"/>
      <w:bookmarkStart w:id="300" w:name="_Toc433481259"/>
      <w:bookmarkStart w:id="301" w:name="_Toc433718165"/>
      <w:bookmarkStart w:id="302" w:name="_Toc434744539"/>
      <w:bookmarkStart w:id="303" w:name="_Toc434744638"/>
      <w:bookmarkStart w:id="304" w:name="_Toc436140064"/>
      <w:bookmarkStart w:id="305" w:name="_Toc443491696"/>
      <w:bookmarkStart w:id="306" w:name="_Toc453079777"/>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r>
        <w:rPr>
          <w:highlight w:val="yellow"/>
        </w:rPr>
        <w:t>1.4. PROSUDBA: Odgovaranje na pitanja za evaluaciju</w:t>
      </w:r>
      <w:bookmarkEnd w:id="303"/>
      <w:bookmarkEnd w:id="304"/>
      <w:bookmarkEnd w:id="305"/>
      <w:bookmarkEnd w:id="306"/>
    </w:p>
    <w:p w:rsidR="00867290" w:rsidRPr="008D0759" w:rsidRDefault="00867290" w:rsidP="00112F30">
      <w:pPr>
        <w:pStyle w:val="HStandard"/>
      </w:pPr>
      <w:r>
        <w:t xml:space="preserve">In the judging phase, the evaluator interprets evaluation findings, answers all evaluation questions and draws conclusions from the analysis regarding the judgement criteria defined in the structuring phase. In any event, the answers to the evaluation questions should be accompanied by a critical discussion of the evidence of findings. The answers to evaluation questions, conclusions and recommendations </w:t>
      </w:r>
      <w:r>
        <w:lastRenderedPageBreak/>
        <w:t xml:space="preserve">relate inter alia to the NRN(P) achievements and added value, the functioning and processes of NRNs. The answer to each evaluation question must reflect the common indicators, any additional NRN-specific indicators and any additional qualitative information obtained on the implementation of the NRN’s activities through the evaluation process. In all types of NRN evaluations, the evaluation needs to consider the NRN action plan or the NRNP evaluation plan and the context within which NRN activities are implemented. </w:t>
      </w:r>
    </w:p>
    <w:p w:rsidR="00867290" w:rsidRPr="008D0759" w:rsidRDefault="00867290" w:rsidP="00112F30">
      <w:pPr>
        <w:pStyle w:val="HStandard"/>
      </w:pPr>
      <w:r>
        <w:t>The judgment should include a critical discussion of furthering and hindering factors. If certain activities have not delivered the expected results and impacts, an analysis of the reasons is necessary.</w:t>
      </w:r>
    </w:p>
    <w:p w:rsidR="00867290" w:rsidRPr="008D0759" w:rsidRDefault="00867290" w:rsidP="00112F30">
      <w:pPr>
        <w:pStyle w:val="HStandard"/>
      </w:pPr>
      <w:r>
        <w:t>During this phase, evaluators have to accomplish four steps:</w:t>
      </w:r>
    </w:p>
    <w:p w:rsidR="00867290" w:rsidRPr="008D0759" w:rsidRDefault="00867290" w:rsidP="00112F30">
      <w:pPr>
        <w:pStyle w:val="Hlistbullet2"/>
      </w:pPr>
      <w:r>
        <w:t>Judge on the effectiveness and efficiency of the NSU and NRN(P) activities and the degree to which the NRN(P) contributed to achieving rural development policy/RDP objectives and their own objectives;</w:t>
      </w:r>
    </w:p>
    <w:p w:rsidR="00867290" w:rsidRPr="008D0759" w:rsidRDefault="00867290" w:rsidP="00112F30">
      <w:pPr>
        <w:pStyle w:val="Hlistbullet2"/>
      </w:pPr>
      <w:r>
        <w:t>Identify the factors which contributed to the success or failure in achieving the NRN’s objectives;</w:t>
      </w:r>
    </w:p>
    <w:p w:rsidR="00867290" w:rsidRPr="008D0759" w:rsidRDefault="00867290" w:rsidP="00112F30">
      <w:pPr>
        <w:pStyle w:val="Hlistbullet2"/>
      </w:pPr>
      <w:r>
        <w:t>Answer all evaluation questions (common and NRN-specific);</w:t>
      </w:r>
    </w:p>
    <w:p w:rsidR="00867290" w:rsidRPr="008D0759" w:rsidRDefault="00867290" w:rsidP="00112F30">
      <w:pPr>
        <w:pStyle w:val="Hlistbullet2"/>
      </w:pPr>
      <w:r>
        <w:t>Draft conclusions and recommendations based on the findings, including proposing possible adjustments necessary to improve the design, content and implementation of NRN activities.</w:t>
      </w:r>
    </w:p>
    <w:p w:rsidR="00867290" w:rsidRPr="008D0759" w:rsidRDefault="00867290" w:rsidP="00112F30">
      <w:pPr>
        <w:pStyle w:val="HHeadingfigures"/>
      </w:pPr>
      <w:bookmarkStart w:id="307" w:name="_Toc436383171"/>
      <w:bookmarkStart w:id="308" w:name="_Toc436140079"/>
      <w:bookmarkStart w:id="309" w:name="_Toc451781942"/>
      <w:bookmarkStart w:id="310" w:name="_Ref451784802"/>
      <w:r>
        <w:t>The judging phase</w:t>
      </w:r>
      <w:bookmarkEnd w:id="307"/>
      <w:bookmarkEnd w:id="308"/>
      <w:bookmarkEnd w:id="309"/>
      <w:bookmarkEnd w:id="310"/>
    </w:p>
    <w:p w:rsidR="00867290" w:rsidRPr="008D0759" w:rsidRDefault="00867290" w:rsidP="00C0080B">
      <w:pPr>
        <w:jc w:val="center"/>
      </w:pPr>
      <w:r>
        <w:rPr>
          <w:rFonts w:eastAsia="Arial Unicode MS"/>
          <w:noProof/>
          <w:lang w:eastAsia="en-GB"/>
        </w:rPr>
        <w:drawing>
          <wp:inline distT="0" distB="0" distL="0" distR="0" wp14:anchorId="74B97C92" wp14:editId="0AECED05">
            <wp:extent cx="5731510" cy="2613025"/>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Judging.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2613025"/>
                    </a:xfrm>
                    <a:prstGeom prst="rect">
                      <a:avLst/>
                    </a:prstGeom>
                  </pic:spPr>
                </pic:pic>
              </a:graphicData>
            </a:graphic>
          </wp:inline>
        </w:drawing>
      </w:r>
    </w:p>
    <w:p w:rsidR="00867290" w:rsidRPr="008D0759" w:rsidRDefault="00867290" w:rsidP="00320BBA">
      <w:pPr>
        <w:pStyle w:val="HSource"/>
      </w:pPr>
      <w:r>
        <w:t>Izvor: Europski centar za pomoć pri evaluaciji za ruralni razvoj, 2016.</w:t>
      </w:r>
    </w:p>
    <w:p w:rsidR="00867290" w:rsidRPr="008D0759" w:rsidRDefault="00867290" w:rsidP="00112F30">
      <w:pPr>
        <w:pStyle w:val="HStandard"/>
      </w:pPr>
      <w:r>
        <w:t>The judging phase delivers answers to:</w:t>
      </w:r>
    </w:p>
    <w:p w:rsidR="00867290" w:rsidRPr="008D0759" w:rsidRDefault="00867290" w:rsidP="00112F30">
      <w:pPr>
        <w:pStyle w:val="Hlistbullet2"/>
      </w:pPr>
      <w:r>
        <w:t>the common evaluation question addressing the NRN’s activities: “To what extent has the national rural network contributed to achieving the objectives laid down in Regulation (EU) No 1305/2013, Art.54 (2)”?</w:t>
      </w:r>
      <w:r>
        <w:rPr>
          <w:rFonts w:ascii="ZWAdobeF" w:hAnsi="ZWAdobeF"/>
          <w:color w:val="auto"/>
          <w:sz w:val="2"/>
        </w:rPr>
        <w:t>121F</w:t>
      </w:r>
      <w:r>
        <w:rPr>
          <w:rStyle w:val="FootnoteReference"/>
        </w:rPr>
        <w:footnoteReference w:id="122"/>
      </w:r>
    </w:p>
    <w:p w:rsidR="00867290" w:rsidRPr="008D0759" w:rsidRDefault="00867290" w:rsidP="00112F30">
      <w:pPr>
        <w:pStyle w:val="Hlistbullet2"/>
      </w:pPr>
      <w:r>
        <w:t>NRN-related programme-specific evaluation questions formulated by the NSU and/or Managing Authority (with or without collaboration with NRN stakeholders) in the preparatory phase or by the evaluators in agreement with the NSU/MA during the structuring phase.</w:t>
      </w:r>
    </w:p>
    <w:p w:rsidR="00867290" w:rsidRPr="008D0759" w:rsidRDefault="00867290" w:rsidP="005F5B2D">
      <w:pPr>
        <w:pStyle w:val="HStandard"/>
      </w:pPr>
      <w:r>
        <w:lastRenderedPageBreak/>
        <w:fldChar w:fldCharType="begin" w:fldLock="1"/>
      </w:r>
      <w:r>
        <w:instrText xml:space="preserve"> REF _Ref451784802 \r \h </w:instrText>
      </w:r>
      <w:r>
        <w:fldChar w:fldCharType="separate"/>
      </w:r>
      <w:r>
        <w:t>Figure 23</w:t>
      </w:r>
      <w:r>
        <w:fldChar w:fldCharType="end"/>
      </w:r>
      <w:r>
        <w:t xml:space="preserve"> shows how the findings are clustered to answer the evaluation questions and feed into conclusions and recommendations. The inferred, i.e. aggregated findings relate to the policy objectives for the NRN.</w:t>
      </w:r>
    </w:p>
    <w:p w:rsidR="00867290" w:rsidRPr="008D0759" w:rsidRDefault="00867290">
      <w:pPr>
        <w:spacing w:after="0" w:line="240" w:lineRule="auto"/>
        <w:rPr>
          <w:rFonts w:cs="Arial"/>
          <w:color w:val="576C88" w:themeColor="text2" w:themeTint="D9"/>
          <w:sz w:val="20"/>
          <w:szCs w:val="20"/>
        </w:rPr>
      </w:pPr>
      <w:r>
        <w:br w:type="page"/>
      </w:r>
    </w:p>
    <w:p w:rsidR="00867290" w:rsidRPr="008D0759" w:rsidRDefault="00867290" w:rsidP="005F5B2D">
      <w:pPr>
        <w:pStyle w:val="HHeadingfigures"/>
      </w:pPr>
      <w:bookmarkStart w:id="311" w:name="_Ref436138850"/>
      <w:bookmarkStart w:id="312" w:name="_Toc436140080"/>
      <w:bookmarkStart w:id="313" w:name="_Toc436383172"/>
      <w:bookmarkStart w:id="314" w:name="_Toc451781943"/>
      <w:r>
        <w:lastRenderedPageBreak/>
        <w:t>Transparent inference ladder from findings to conclusions and recommendations</w:t>
      </w:r>
      <w:bookmarkEnd w:id="311"/>
      <w:bookmarkEnd w:id="312"/>
      <w:bookmarkEnd w:id="313"/>
      <w:bookmarkEnd w:id="314"/>
    </w:p>
    <w:p w:rsidR="00867290" w:rsidRPr="008D0759" w:rsidRDefault="00867290" w:rsidP="00320BBA">
      <w:r>
        <w:rPr>
          <w:noProof/>
          <w:lang w:eastAsia="en-GB"/>
        </w:rPr>
        <w:drawing>
          <wp:inline distT="0" distB="0" distL="0" distR="0" wp14:anchorId="3E4D9595" wp14:editId="41705AE2">
            <wp:extent cx="5731510" cy="322643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ferenc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226435"/>
                    </a:xfrm>
                    <a:prstGeom prst="rect">
                      <a:avLst/>
                    </a:prstGeom>
                  </pic:spPr>
                </pic:pic>
              </a:graphicData>
            </a:graphic>
          </wp:inline>
        </w:drawing>
      </w:r>
    </w:p>
    <w:p w:rsidR="00867290" w:rsidRPr="008D0759" w:rsidRDefault="00867290" w:rsidP="00320BBA">
      <w:pPr>
        <w:pStyle w:val="HSource"/>
      </w:pPr>
      <w:r>
        <w:t>Izvor: Europski centar za pomoć pri evaluaciji za ruralni razvoj, 2016.</w:t>
      </w:r>
    </w:p>
    <w:p w:rsidR="00867290" w:rsidRPr="008F4DBD" w:rsidRDefault="00867290" w:rsidP="005133B2">
      <w:pPr>
        <w:pStyle w:val="HHeading3"/>
      </w:pPr>
      <w:bookmarkStart w:id="315" w:name="_Toc433481360"/>
      <w:bookmarkStart w:id="316" w:name="_Toc443491698"/>
      <w:bookmarkStart w:id="317" w:name="_Toc453079778"/>
      <w:r>
        <w:t>Judge on effectiveness and efficiency of the NRN, results/</w:t>
      </w:r>
      <w:bookmarkEnd w:id="315"/>
      <w:r>
        <w:t>impacts and the degree of achievement of objectives</w:t>
      </w:r>
      <w:bookmarkEnd w:id="316"/>
      <w:bookmarkEnd w:id="317"/>
    </w:p>
    <w:p w:rsidR="00867290" w:rsidRPr="008D0759" w:rsidRDefault="00867290" w:rsidP="005F5B2D">
      <w:pPr>
        <w:pStyle w:val="HStandard"/>
      </w:pPr>
      <w:r>
        <w:t>The various findings on the effectiveness of network activities towards NRN related policy objectives (programme, national, EU), NRN results/impacts and on the efficiency of the NRN in terms of achieving the best value for money are interpreted and judged upon.</w:t>
      </w:r>
    </w:p>
    <w:p w:rsidR="00867290" w:rsidRPr="008F4DBD" w:rsidRDefault="00867290" w:rsidP="005133B2">
      <w:pPr>
        <w:pStyle w:val="HHeading3"/>
      </w:pPr>
      <w:bookmarkStart w:id="318" w:name="_Toc433481362"/>
      <w:bookmarkStart w:id="319" w:name="_Toc433718265"/>
      <w:bookmarkStart w:id="320" w:name="_Toc434744639"/>
      <w:bookmarkStart w:id="321" w:name="_Toc443491699"/>
      <w:bookmarkStart w:id="322" w:name="_Toc453079779"/>
      <w:r>
        <w:t>Identify factors of success and failure</w:t>
      </w:r>
      <w:bookmarkEnd w:id="318"/>
      <w:bookmarkEnd w:id="319"/>
      <w:bookmarkEnd w:id="320"/>
      <w:bookmarkEnd w:id="321"/>
      <w:bookmarkEnd w:id="322"/>
    </w:p>
    <w:p w:rsidR="00867290" w:rsidRPr="008D0759" w:rsidRDefault="00867290" w:rsidP="00320BBA">
      <w:pPr>
        <w:pStyle w:val="HStandard"/>
        <w:spacing w:after="0"/>
      </w:pPr>
      <w:bookmarkStart w:id="323" w:name="_Toc433718266"/>
      <w:bookmarkStart w:id="324" w:name="_Toc434744640"/>
      <w:r>
        <w:t>If the previous step has brought forth answers to the question: “What has been achieved? What has not been achieved?”, the main learning value of the next step consists of exploring the question: “How has it been achieved?” or “Why has it not been achieved?”  Questions like these address the links (i.e. the arrows) connecting the outputs, results and impacts in the intervention logic. The arrows stand for more or less explicit assumptions on how the NRN’s beneficiaries/target groups would make use of the output, or on the ways the results achieved by beneficiaries/target groups would take effect in the context of the rural society. They have already been put under scrutiny in the analysing phase. Now, in the judgment phase, it is the time to point out to what extent the findings confirm or contradict these assumptions, and to elicit the identified factors of success and failure</w:t>
      </w:r>
      <w:bookmarkEnd w:id="323"/>
      <w:r>
        <w:t>: Lessons for the future.</w:t>
      </w:r>
      <w:bookmarkEnd w:id="324"/>
    </w:p>
    <w:p w:rsidR="00867290" w:rsidRPr="008D0759" w:rsidRDefault="00867290" w:rsidP="005133B2">
      <w:pPr>
        <w:pStyle w:val="HHeading3"/>
      </w:pPr>
      <w:bookmarkStart w:id="325" w:name="_Toc443491700"/>
      <w:bookmarkStart w:id="326" w:name="_Toc443491701"/>
      <w:bookmarkStart w:id="327" w:name="_Toc453079780"/>
      <w:bookmarkEnd w:id="325"/>
      <w:r>
        <w:t>Answer all evaluation questions</w:t>
      </w:r>
      <w:bookmarkEnd w:id="326"/>
      <w:bookmarkEnd w:id="327"/>
    </w:p>
    <w:p w:rsidR="00867290" w:rsidRPr="008D0759" w:rsidRDefault="00867290" w:rsidP="005F5B2D">
      <w:pPr>
        <w:pStyle w:val="HStandard"/>
      </w:pPr>
      <w:r>
        <w:t xml:space="preserve">The evaluation findings provide the basis for answering the common and programme-specific NRN-related evaluation questions. </w:t>
      </w:r>
    </w:p>
    <w:p w:rsidR="00867290" w:rsidRPr="008D0759" w:rsidRDefault="00867290" w:rsidP="005F5B2D">
      <w:pPr>
        <w:pStyle w:val="HStandard"/>
      </w:pPr>
      <w:r>
        <w:t xml:space="preserve">In the case of NRNs embedded in RDPs, the evaluation findings can also show how the NRN has contributed to the achievement of rural development objectives in terms of focus areas and priority levels. These findings might be used while answering other non NRN related evaluation questions. For example, the CEQ addressing Focus Area 2a: “To what extent have RDP interventions contributed to improving the economic performance, restructuring and modernization of supported farms in particular </w:t>
      </w:r>
      <w:r>
        <w:lastRenderedPageBreak/>
        <w:t xml:space="preserve">through increasing their market participation and agricultural diversification?” can be related to the interventions of the NRN geared towards fostering innovation and increasing access to markets. </w:t>
      </w:r>
    </w:p>
    <w:p w:rsidR="00867290" w:rsidRPr="008D0759" w:rsidRDefault="00867290" w:rsidP="005F5B2D">
      <w:pPr>
        <w:pStyle w:val="HStandard"/>
      </w:pPr>
      <w:r>
        <w:t>To make it easier to track the derivation of the answers to the EQs, it is recommended to present the findings using a table with three columns. The upper column exhibits the respective evaluation question, in the central column the means to answer the evaluation question should be explained, and in the bottom column the answer to the evaluation question is placed.</w:t>
      </w:r>
    </w:p>
    <w:p w:rsidR="00867290" w:rsidRPr="008D0759" w:rsidRDefault="00867290" w:rsidP="005F5B2D">
      <w:pPr>
        <w:pStyle w:val="HHeadingtables"/>
      </w:pPr>
      <w:bookmarkStart w:id="328" w:name="_Toc451781918"/>
      <w:r>
        <w:t>Depicting the answers to evaluation questions</w:t>
      </w:r>
      <w:bookmarkEnd w:id="328"/>
    </w:p>
    <w:tbl>
      <w:tblPr>
        <w:tblStyle w:val="TableGrid"/>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9016"/>
      </w:tblGrid>
      <w:tr w:rsidR="00867290" w:rsidRPr="008D0759" w:rsidTr="005F5B2D">
        <w:trPr>
          <w:trHeight w:val="390"/>
        </w:trPr>
        <w:tc>
          <w:tcPr>
            <w:tcW w:w="9016" w:type="dxa"/>
          </w:tcPr>
          <w:p w:rsidR="00867290" w:rsidRPr="008D0759" w:rsidRDefault="00867290" w:rsidP="004C05DD">
            <w:r>
              <w:t>Pitanje za evaluaciju</w:t>
            </w:r>
          </w:p>
        </w:tc>
      </w:tr>
      <w:tr w:rsidR="00867290" w:rsidRPr="008D0759" w:rsidTr="005F5B2D">
        <w:trPr>
          <w:trHeight w:val="390"/>
        </w:trPr>
        <w:tc>
          <w:tcPr>
            <w:tcW w:w="9016" w:type="dxa"/>
          </w:tcPr>
          <w:p w:rsidR="00867290" w:rsidRPr="008D0759" w:rsidRDefault="00867290" w:rsidP="004C05DD">
            <w:r>
              <w:t>Means to answer the evaluation question, e.g. information sources, indicators used, outcomes of qualitative research, etc.</w:t>
            </w:r>
          </w:p>
        </w:tc>
      </w:tr>
      <w:tr w:rsidR="00867290" w:rsidRPr="008D0759" w:rsidTr="005F5B2D">
        <w:tc>
          <w:tcPr>
            <w:tcW w:w="9016" w:type="dxa"/>
          </w:tcPr>
          <w:p w:rsidR="00867290" w:rsidRPr="008D0759" w:rsidRDefault="00867290" w:rsidP="004C05DD">
            <w:r>
              <w:t>Answer to the evaluation question</w:t>
            </w:r>
          </w:p>
        </w:tc>
      </w:tr>
    </w:tbl>
    <w:p w:rsidR="00867290" w:rsidRPr="008D0759" w:rsidRDefault="00867290" w:rsidP="005F5B2D">
      <w:pPr>
        <w:pStyle w:val="HStandard"/>
      </w:pPr>
      <w:bookmarkStart w:id="329" w:name="_Toc433481363"/>
      <w:bookmarkStart w:id="330" w:name="_Toc433718267"/>
      <w:bookmarkStart w:id="331" w:name="_Toc434744641"/>
      <w:bookmarkStart w:id="332" w:name="_Toc443491703"/>
      <w:r>
        <w:t>In the AIRs 2017 and 2019, the MA will use the SFC template to answer each evaluation question, in a similar structure as the table above.</w:t>
      </w:r>
    </w:p>
    <w:p w:rsidR="00867290" w:rsidRPr="008D0759" w:rsidRDefault="00867290" w:rsidP="005133B2">
      <w:pPr>
        <w:pStyle w:val="HHeading3"/>
      </w:pPr>
      <w:bookmarkStart w:id="333" w:name="_Toc453079781"/>
      <w:r>
        <w:t>Draft conclusions and recommendations</w:t>
      </w:r>
      <w:bookmarkEnd w:id="329"/>
      <w:bookmarkEnd w:id="330"/>
      <w:bookmarkEnd w:id="331"/>
      <w:bookmarkEnd w:id="332"/>
      <w:bookmarkEnd w:id="333"/>
    </w:p>
    <w:p w:rsidR="00867290" w:rsidRPr="008D0759" w:rsidRDefault="00867290" w:rsidP="005F5B2D">
      <w:pPr>
        <w:pStyle w:val="HStandard"/>
      </w:pPr>
      <w:r>
        <w:t xml:space="preserve">The findings and answers to the evaluation questions constitute the basis for the conclusions which lead to recommendations to the MA, NSU and other NRN stakeholders to improve the NRN activities and overall performance.  </w:t>
      </w:r>
    </w:p>
    <w:p w:rsidR="00867290" w:rsidRPr="008D0759" w:rsidRDefault="00867290" w:rsidP="005F5B2D">
      <w:pPr>
        <w:pStyle w:val="HStandard"/>
      </w:pPr>
      <w:r>
        <w:t>The answers to the evaluation questions are published in the enhanced AIRs 2017 and 2019. In the   ex post evaluation reports, and other reports envisaged by programme authorities conclusions and recommendations are also published. A possible format for the succinct presentation of evaluation results is shown below (</w:t>
      </w:r>
      <w:r>
        <w:fldChar w:fldCharType="begin" w:fldLock="1"/>
      </w:r>
      <w:r>
        <w:instrText xml:space="preserve"> REF _Ref451785094 \r \h </w:instrText>
      </w:r>
      <w:r>
        <w:fldChar w:fldCharType="separate"/>
      </w:r>
      <w:r>
        <w:t>Table 15</w:t>
      </w:r>
      <w:r>
        <w:fldChar w:fldCharType="end"/>
      </w:r>
      <w:r>
        <w:t>).</w:t>
      </w:r>
    </w:p>
    <w:p w:rsidR="00867290" w:rsidRPr="008D0759" w:rsidRDefault="00867290" w:rsidP="005F5B2D">
      <w:pPr>
        <w:pStyle w:val="HHeadingtables"/>
      </w:pPr>
      <w:bookmarkStart w:id="334" w:name="_Toc436140070"/>
      <w:bookmarkStart w:id="335" w:name="_Toc436383156"/>
      <w:bookmarkStart w:id="336" w:name="_Ref440055456"/>
      <w:bookmarkStart w:id="337" w:name="_Toc451781919"/>
      <w:bookmarkStart w:id="338" w:name="_Ref451785094"/>
      <w:r>
        <w:t>Proposed structure for summarising findings, conclusions and recommendations consistently</w:t>
      </w:r>
      <w:bookmarkEnd w:id="334"/>
      <w:bookmarkEnd w:id="335"/>
      <w:bookmarkEnd w:id="336"/>
      <w:bookmarkEnd w:id="337"/>
      <w:bookmarkEnd w:id="338"/>
    </w:p>
    <w:tbl>
      <w:tblPr>
        <w:tblStyle w:val="TableGrid"/>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111"/>
        <w:gridCol w:w="2261"/>
        <w:gridCol w:w="1971"/>
        <w:gridCol w:w="2729"/>
      </w:tblGrid>
      <w:tr w:rsidR="00867290" w:rsidRPr="008D0759" w:rsidTr="004C05DD">
        <w:tc>
          <w:tcPr>
            <w:tcW w:w="2252" w:type="dxa"/>
            <w:shd w:val="clear" w:color="auto" w:fill="E7E6E6" w:themeFill="background2"/>
          </w:tcPr>
          <w:p w:rsidR="00867290" w:rsidRPr="008D0759" w:rsidRDefault="00867290" w:rsidP="005F5B2D">
            <w:pPr>
              <w:pStyle w:val="Htableleftbolt"/>
              <w:jc w:val="center"/>
              <w:rPr>
                <w:color w:val="5B9BD5" w:themeColor="accent1"/>
              </w:rPr>
            </w:pPr>
            <w:r>
              <w:rPr>
                <w:color w:val="5B9BD5" w:themeColor="accent1"/>
              </w:rPr>
              <w:t>Major evaluation finding</w:t>
            </w:r>
          </w:p>
        </w:tc>
        <w:tc>
          <w:tcPr>
            <w:tcW w:w="2421" w:type="dxa"/>
            <w:shd w:val="clear" w:color="auto" w:fill="E7E6E6" w:themeFill="background2"/>
          </w:tcPr>
          <w:p w:rsidR="00867290" w:rsidRPr="008D0759" w:rsidRDefault="00867290" w:rsidP="005F5B2D">
            <w:pPr>
              <w:pStyle w:val="Htableleftbolt"/>
              <w:jc w:val="center"/>
              <w:rPr>
                <w:color w:val="5B9BD5" w:themeColor="accent1"/>
              </w:rPr>
            </w:pPr>
            <w:r>
              <w:rPr>
                <w:color w:val="5B9BD5" w:themeColor="accent1"/>
              </w:rPr>
              <w:t>Answer to relevant evaluation question</w:t>
            </w:r>
          </w:p>
        </w:tc>
        <w:tc>
          <w:tcPr>
            <w:tcW w:w="2083" w:type="dxa"/>
            <w:shd w:val="clear" w:color="auto" w:fill="E7E6E6" w:themeFill="background2"/>
          </w:tcPr>
          <w:p w:rsidR="00867290" w:rsidRPr="008D0759" w:rsidRDefault="00867290" w:rsidP="005F5B2D">
            <w:pPr>
              <w:pStyle w:val="Htableleftbolt"/>
              <w:jc w:val="center"/>
              <w:rPr>
                <w:color w:val="5B9BD5" w:themeColor="accent1"/>
              </w:rPr>
            </w:pPr>
            <w:r>
              <w:rPr>
                <w:color w:val="5B9BD5" w:themeColor="accent1"/>
              </w:rPr>
              <w:t>Conclusion</w:t>
            </w:r>
          </w:p>
        </w:tc>
        <w:tc>
          <w:tcPr>
            <w:tcW w:w="2878" w:type="dxa"/>
            <w:shd w:val="clear" w:color="auto" w:fill="E7E6E6" w:themeFill="background2"/>
          </w:tcPr>
          <w:p w:rsidR="00867290" w:rsidRPr="008D0759" w:rsidRDefault="00867290" w:rsidP="005F5B2D">
            <w:pPr>
              <w:pStyle w:val="Htableleftbolt"/>
              <w:jc w:val="center"/>
              <w:rPr>
                <w:color w:val="5B9BD5" w:themeColor="accent1"/>
              </w:rPr>
            </w:pPr>
            <w:r>
              <w:rPr>
                <w:color w:val="5B9BD5" w:themeColor="accent1"/>
              </w:rPr>
              <w:t>Recommendation for future NRNs</w:t>
            </w:r>
          </w:p>
        </w:tc>
      </w:tr>
      <w:tr w:rsidR="00867290" w:rsidRPr="008D0759" w:rsidTr="004C05DD">
        <w:tc>
          <w:tcPr>
            <w:tcW w:w="2252" w:type="dxa"/>
            <w:shd w:val="clear" w:color="auto" w:fill="auto"/>
          </w:tcPr>
          <w:p w:rsidR="00867290" w:rsidRPr="008D0759" w:rsidRDefault="00867290" w:rsidP="004C05DD">
            <w:pPr>
              <w:pStyle w:val="Htableleft"/>
              <w:rPr>
                <w:color w:val="576C88" w:themeColor="text2" w:themeTint="D9"/>
              </w:rPr>
            </w:pPr>
          </w:p>
        </w:tc>
        <w:tc>
          <w:tcPr>
            <w:tcW w:w="2421" w:type="dxa"/>
            <w:shd w:val="clear" w:color="auto" w:fill="auto"/>
          </w:tcPr>
          <w:p w:rsidR="00867290" w:rsidRPr="008D0759" w:rsidRDefault="00867290" w:rsidP="004C05DD">
            <w:pPr>
              <w:pStyle w:val="Htableleft"/>
              <w:rPr>
                <w:color w:val="576C88" w:themeColor="text2" w:themeTint="D9"/>
              </w:rPr>
            </w:pPr>
          </w:p>
        </w:tc>
        <w:tc>
          <w:tcPr>
            <w:tcW w:w="2083" w:type="dxa"/>
            <w:shd w:val="clear" w:color="auto" w:fill="auto"/>
          </w:tcPr>
          <w:p w:rsidR="00867290" w:rsidRPr="008D0759" w:rsidRDefault="00867290" w:rsidP="004C05DD">
            <w:pPr>
              <w:pStyle w:val="Htableleft"/>
              <w:rPr>
                <w:color w:val="576C88" w:themeColor="text2" w:themeTint="D9"/>
              </w:rPr>
            </w:pPr>
          </w:p>
        </w:tc>
        <w:tc>
          <w:tcPr>
            <w:tcW w:w="2878" w:type="dxa"/>
            <w:shd w:val="clear" w:color="auto" w:fill="auto"/>
          </w:tcPr>
          <w:p w:rsidR="00867290" w:rsidRPr="008D0759" w:rsidRDefault="00867290" w:rsidP="004C05DD">
            <w:pPr>
              <w:pStyle w:val="Htableleft"/>
              <w:rPr>
                <w:color w:val="576C88" w:themeColor="text2" w:themeTint="D9"/>
              </w:rPr>
            </w:pPr>
          </w:p>
        </w:tc>
      </w:tr>
      <w:tr w:rsidR="00867290" w:rsidRPr="008D0759" w:rsidTr="004C05DD">
        <w:tc>
          <w:tcPr>
            <w:tcW w:w="2252" w:type="dxa"/>
            <w:shd w:val="clear" w:color="auto" w:fill="auto"/>
          </w:tcPr>
          <w:p w:rsidR="00867290" w:rsidRPr="008D0759" w:rsidRDefault="00867290" w:rsidP="004C05DD">
            <w:pPr>
              <w:pStyle w:val="Htableleft"/>
              <w:rPr>
                <w:color w:val="576C88" w:themeColor="text2" w:themeTint="D9"/>
              </w:rPr>
            </w:pPr>
          </w:p>
        </w:tc>
        <w:tc>
          <w:tcPr>
            <w:tcW w:w="2421" w:type="dxa"/>
            <w:shd w:val="clear" w:color="auto" w:fill="auto"/>
          </w:tcPr>
          <w:p w:rsidR="00867290" w:rsidRPr="008D0759" w:rsidRDefault="00867290" w:rsidP="004C05DD">
            <w:pPr>
              <w:pStyle w:val="Htableleft"/>
              <w:rPr>
                <w:color w:val="576C88" w:themeColor="text2" w:themeTint="D9"/>
              </w:rPr>
            </w:pPr>
          </w:p>
        </w:tc>
        <w:tc>
          <w:tcPr>
            <w:tcW w:w="2083" w:type="dxa"/>
            <w:shd w:val="clear" w:color="auto" w:fill="auto"/>
          </w:tcPr>
          <w:p w:rsidR="00867290" w:rsidRPr="008D0759" w:rsidRDefault="00867290" w:rsidP="004C05DD">
            <w:pPr>
              <w:pStyle w:val="Htableleft"/>
              <w:rPr>
                <w:color w:val="576C88" w:themeColor="text2" w:themeTint="D9"/>
              </w:rPr>
            </w:pPr>
          </w:p>
        </w:tc>
        <w:tc>
          <w:tcPr>
            <w:tcW w:w="2878" w:type="dxa"/>
            <w:shd w:val="clear" w:color="auto" w:fill="auto"/>
          </w:tcPr>
          <w:p w:rsidR="00867290" w:rsidRPr="008D0759" w:rsidRDefault="00867290" w:rsidP="004C05DD">
            <w:pPr>
              <w:pStyle w:val="Htableleft"/>
              <w:rPr>
                <w:color w:val="576C88" w:themeColor="text2" w:themeTint="D9"/>
              </w:rPr>
            </w:pPr>
          </w:p>
        </w:tc>
      </w:tr>
    </w:tbl>
    <w:p w:rsidR="00867290" w:rsidRPr="008D0759" w:rsidRDefault="00867290" w:rsidP="00320BBA"/>
    <w:tbl>
      <w:tblPr>
        <w:tblStyle w:val="TableGrid"/>
        <w:tblW w:w="0" w:type="auto"/>
        <w:tblBorders>
          <w:top w:val="single" w:sz="4" w:space="0" w:color="E7E6E6" w:themeColor="background2"/>
          <w:left w:val="single" w:sz="4" w:space="0" w:color="E7E6E6" w:themeColor="background2"/>
          <w:bottom w:val="single" w:sz="4" w:space="0" w:color="E7E6E6" w:themeColor="background2"/>
          <w:right w:val="single" w:sz="4" w:space="0" w:color="E7E6E6" w:themeColor="background2"/>
          <w:insideH w:val="single" w:sz="4" w:space="0" w:color="E7E6E6" w:themeColor="background2"/>
          <w:insideV w:val="single" w:sz="4" w:space="0" w:color="E7E6E6" w:themeColor="background2"/>
        </w:tblBorders>
        <w:shd w:val="clear" w:color="auto" w:fill="F5F4F4" w:themeFill="background2" w:themeFillTint="66"/>
        <w:tblLook w:val="04A0" w:firstRow="1" w:lastRow="0" w:firstColumn="1" w:lastColumn="0" w:noHBand="0" w:noVBand="1"/>
      </w:tblPr>
      <w:tblGrid>
        <w:gridCol w:w="9016"/>
      </w:tblGrid>
      <w:tr w:rsidR="00867290" w:rsidRPr="008D0759" w:rsidTr="005F5B2D">
        <w:tc>
          <w:tcPr>
            <w:tcW w:w="9016" w:type="dxa"/>
            <w:shd w:val="clear" w:color="auto" w:fill="F5F4F4" w:themeFill="background2" w:themeFillTint="66"/>
          </w:tcPr>
          <w:p w:rsidR="00867290" w:rsidRPr="000A700F" w:rsidRDefault="00867290" w:rsidP="005F5B2D">
            <w:pPr>
              <w:pStyle w:val="HStandard"/>
              <w:rPr>
                <w:highlight w:val="yellow"/>
              </w:rPr>
            </w:pPr>
            <w:r>
              <w:rPr>
                <w:highlight w:val="yellow"/>
              </w:rPr>
              <w:t>Usmjeravajuća pitanja za fazu prosudbe:</w:t>
            </w:r>
          </w:p>
          <w:p w:rsidR="00867290" w:rsidRPr="000A700F" w:rsidRDefault="00867290" w:rsidP="00867290">
            <w:pPr>
              <w:pStyle w:val="Hlistbullet2"/>
              <w:rPr>
                <w:highlight w:val="yellow"/>
              </w:rPr>
            </w:pPr>
            <w:r>
              <w:rPr>
                <w:highlight w:val="yellow"/>
              </w:rPr>
              <w:t>U kojoj smo mjeri pronašli pronicljive odgovore na sva pitanja za evaluaciju?</w:t>
            </w:r>
          </w:p>
          <w:p w:rsidR="00867290" w:rsidRPr="000A700F" w:rsidRDefault="00867290" w:rsidP="00867290">
            <w:pPr>
              <w:pStyle w:val="Hlistbullet2"/>
              <w:rPr>
                <w:highlight w:val="yellow"/>
              </w:rPr>
            </w:pPr>
            <w:r>
              <w:rPr>
                <w:highlight w:val="yellow"/>
              </w:rPr>
              <w:t>U kojoj su mjeri prikupljeni dokazi olakšali davanje konzistentnih odgovora na pitanja prijenosa znanja o politikama?</w:t>
            </w:r>
          </w:p>
          <w:p w:rsidR="00867290" w:rsidRPr="000A700F" w:rsidRDefault="00867290" w:rsidP="00867290">
            <w:pPr>
              <w:pStyle w:val="Hlistbullet2"/>
              <w:rPr>
                <w:highlight w:val="yellow"/>
              </w:rPr>
            </w:pPr>
            <w:r>
              <w:rPr>
                <w:highlight w:val="yellow"/>
              </w:rPr>
              <w:t>Koja bi pitanja trebalo podrobnije proučiti u daljnjim studijama i evaluacijama?</w:t>
            </w:r>
          </w:p>
          <w:p w:rsidR="00867290" w:rsidRPr="000A700F" w:rsidRDefault="00867290" w:rsidP="00867290">
            <w:pPr>
              <w:pStyle w:val="Hlistbullet2"/>
              <w:rPr>
                <w:highlight w:val="yellow"/>
              </w:rPr>
            </w:pPr>
            <w:r>
              <w:rPr>
                <w:highlight w:val="yellow"/>
              </w:rPr>
              <w:t>Koja su područja osobito bitna za daljnje poboljšanje djelotvornosti i učinkovitosti mrežnog djelovanja?</w:t>
            </w:r>
          </w:p>
          <w:p w:rsidR="00867290" w:rsidRPr="000A700F" w:rsidRDefault="00867290" w:rsidP="00867290">
            <w:pPr>
              <w:pStyle w:val="Hlistbullet2"/>
              <w:rPr>
                <w:highlight w:val="yellow"/>
              </w:rPr>
            </w:pPr>
            <w:r>
              <w:rPr>
                <w:highlight w:val="yellow"/>
              </w:rPr>
              <w:t>Tko bi trebao i što bi trebalo učiniti za poboljšanje rada Jedinice za potporu mreži te za poboljšanje doprinosa NRM-a ruralnom razvoju, uključujući i horizontalne ciljeve zajedničke poljoprivredne politike?</w:t>
            </w:r>
          </w:p>
          <w:p w:rsidR="00867290" w:rsidRPr="000A700F" w:rsidRDefault="00867290" w:rsidP="00867290">
            <w:pPr>
              <w:pStyle w:val="Hlistbullet2"/>
              <w:rPr>
                <w:highlight w:val="yellow"/>
              </w:rPr>
            </w:pPr>
            <w:r>
              <w:rPr>
                <w:highlight w:val="yellow"/>
              </w:rPr>
              <w:t>U kojoj mjeri NRM može dugoročno učvrstiti koristi nastale povećanim ljudskim i socijalnim kapitalom?</w:t>
            </w:r>
          </w:p>
        </w:tc>
      </w:tr>
    </w:tbl>
    <w:p w:rsidR="00867290" w:rsidRPr="000A700F" w:rsidRDefault="00867290" w:rsidP="00D35287">
      <w:pPr>
        <w:pStyle w:val="HHeading5"/>
        <w:rPr>
          <w:highlight w:val="yellow"/>
        </w:rPr>
      </w:pPr>
      <w:r>
        <w:rPr>
          <w:highlight w:val="yellow"/>
        </w:rPr>
        <w:lastRenderedPageBreak/>
        <w:t xml:space="preserve">Što treba činiti, a što izbjegavati? </w:t>
      </w:r>
    </w:p>
    <w:tbl>
      <w:tblPr>
        <w:tblStyle w:val="LightList-Accent5"/>
        <w:tblW w:w="0" w:type="auto"/>
        <w:tblLook w:val="04A0" w:firstRow="1" w:lastRow="0" w:firstColumn="1" w:lastColumn="0" w:noHBand="0" w:noVBand="1"/>
      </w:tblPr>
      <w:tblGrid>
        <w:gridCol w:w="4504"/>
        <w:gridCol w:w="4502"/>
      </w:tblGrid>
      <w:tr w:rsidR="00867290" w:rsidRPr="000A700F" w:rsidTr="00445E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shd w:val="clear" w:color="auto" w:fill="FFF2CC" w:themeFill="accent4" w:themeFillTint="33"/>
            <w:vAlign w:val="center"/>
          </w:tcPr>
          <w:p w:rsidR="00867290" w:rsidRPr="000A700F" w:rsidRDefault="00867290" w:rsidP="00445E97">
            <w:pPr>
              <w:pStyle w:val="HHeading5"/>
              <w:jc w:val="center"/>
              <w:rPr>
                <w:highlight w:val="yellow"/>
              </w:rPr>
            </w:pPr>
            <w:r>
              <w:rPr>
                <w:noProof/>
                <w:highlight w:val="yellow"/>
                <w:lang w:val="en-GB" w:eastAsia="en-GB" w:bidi="ar-SA"/>
              </w:rPr>
              <w:drawing>
                <wp:inline distT="0" distB="0" distL="0" distR="0" wp14:anchorId="0E5B5D35" wp14:editId="62136A35">
                  <wp:extent cx="360000" cy="360000"/>
                  <wp:effectExtent l="0" t="0" r="254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tif"/>
                          <pic:cNvPicPr/>
                        </pic:nvPicPr>
                        <pic:blipFill>
                          <a:blip r:embed="rId3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shd w:val="clear" w:color="auto" w:fill="F3D9D5"/>
            <w:vAlign w:val="center"/>
          </w:tcPr>
          <w:p w:rsidR="00867290" w:rsidRPr="000A700F" w:rsidRDefault="00867290" w:rsidP="00445E97">
            <w:pPr>
              <w:pStyle w:val="HHeading5"/>
              <w:jc w:val="center"/>
              <w:cnfStyle w:val="100000000000" w:firstRow="1" w:lastRow="0" w:firstColumn="0" w:lastColumn="0" w:oddVBand="0" w:evenVBand="0" w:oddHBand="0" w:evenHBand="0" w:firstRowFirstColumn="0" w:firstRowLastColumn="0" w:lastRowFirstColumn="0" w:lastRowLastColumn="0"/>
              <w:rPr>
                <w:highlight w:val="yellow"/>
              </w:rPr>
            </w:pPr>
            <w:r>
              <w:rPr>
                <w:noProof/>
                <w:highlight w:val="yellow"/>
                <w:lang w:val="en-GB" w:eastAsia="en-GB" w:bidi="ar-SA"/>
              </w:rPr>
              <w:drawing>
                <wp:inline distT="0" distB="0" distL="0" distR="0" wp14:anchorId="1DDE56B0" wp14:editId="75B052D5">
                  <wp:extent cx="360000" cy="360000"/>
                  <wp:effectExtent l="0" t="0" r="254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nt.tif"/>
                          <pic:cNvPicPr/>
                        </pic:nvPicPr>
                        <pic:blipFill>
                          <a:blip r:embed="rId39">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r>
      <w:tr w:rsidR="00867290" w:rsidRPr="008D0759" w:rsidTr="00445E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3" w:type="dxa"/>
            <w:tcBorders>
              <w:top w:val="single" w:sz="8" w:space="0" w:color="FFC000" w:themeColor="accent4"/>
              <w:left w:val="single" w:sz="8" w:space="0" w:color="FFC000" w:themeColor="accent4"/>
              <w:bottom w:val="single" w:sz="8" w:space="0" w:color="FFC000" w:themeColor="accent4"/>
              <w:right w:val="single" w:sz="8" w:space="0" w:color="000000" w:themeColor="text1"/>
            </w:tcBorders>
          </w:tcPr>
          <w:p w:rsidR="00867290" w:rsidRPr="000A700F" w:rsidRDefault="0086729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Pokušati utvrditi, iz (etske) perspektive vanjskog promatrača, prevladavajuće obrasce opaženih društvenih interakcija i iskoristiti bogatstvo (emskih) narativa koji su prikupljeni intervjuima i u fokusnim skupinama.</w:t>
            </w:r>
          </w:p>
          <w:p w:rsidR="00867290" w:rsidRPr="000A700F" w:rsidRDefault="0086729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Proći sva pitanja za evaluaciju te odgovoriti i na nepostavljena pitanja ako postoji nešto relevantno, možda i iznenađujuće, za reći.</w:t>
            </w:r>
          </w:p>
          <w:p w:rsidR="00867290" w:rsidRPr="000A700F" w:rsidRDefault="0086729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Izvući zaključke iz nalaza evaluacije poštujući relevantnost, učinkovitost, djelotvornost, rezultate, učinke i održivost takve intervencije, pri čemu treba biti jasan oko stupnja valjanosti i konzistentnosti takvih zaključaka.</w:t>
            </w:r>
          </w:p>
          <w:p w:rsidR="00867290" w:rsidRPr="000A700F" w:rsidRDefault="00867290" w:rsidP="00445E97">
            <w:pPr>
              <w:pStyle w:val="HStandard"/>
              <w:spacing w:before="120" w:line="240" w:lineRule="atLeast"/>
              <w:rPr>
                <w:b w:val="0"/>
                <w:color w:val="FFC000" w:themeColor="accent4"/>
                <w:sz w:val="18"/>
                <w:szCs w:val="18"/>
                <w:highlight w:val="yellow"/>
              </w:rPr>
            </w:pPr>
            <w:r>
              <w:rPr>
                <w:b w:val="0"/>
                <w:color w:val="FFC000" w:themeColor="accent4"/>
                <w:sz w:val="18"/>
                <w:highlight w:val="yellow"/>
              </w:rPr>
              <w:t>Izraditi preporuke za svakog relevantnog dionika i pritom nastojati ostvariti maksimalnu praktičnost i realističnost tih preporuka.</w:t>
            </w:r>
          </w:p>
          <w:p w:rsidR="00867290" w:rsidRPr="000A700F" w:rsidRDefault="00867290" w:rsidP="00445E97">
            <w:pPr>
              <w:pStyle w:val="HStandard"/>
              <w:rPr>
                <w:color w:val="FFC000" w:themeColor="accent4"/>
                <w:highlight w:val="yellow"/>
              </w:rPr>
            </w:pPr>
            <w:r>
              <w:rPr>
                <w:b w:val="0"/>
                <w:color w:val="FFC000" w:themeColor="accent4"/>
                <w:sz w:val="18"/>
                <w:highlight w:val="yellow"/>
              </w:rPr>
              <w:t>Uključiti različite dionike pri interpretiranju nalaza evaluacije i pri raspravi o zaključcima i preporukama.</w:t>
            </w:r>
          </w:p>
        </w:tc>
        <w:tc>
          <w:tcPr>
            <w:tcW w:w="4583" w:type="dxa"/>
            <w:tcBorders>
              <w:top w:val="single" w:sz="8" w:space="0" w:color="ED7D31" w:themeColor="accent2"/>
              <w:left w:val="single" w:sz="8" w:space="0" w:color="000000" w:themeColor="text1"/>
              <w:bottom w:val="single" w:sz="8" w:space="0" w:color="ED7D31" w:themeColor="accent2"/>
              <w:right w:val="single" w:sz="8" w:space="0" w:color="ED7D31" w:themeColor="accent2"/>
            </w:tcBorders>
          </w:tcPr>
          <w:p w:rsidR="00867290" w:rsidRPr="000A700F" w:rsidRDefault="0086729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 xml:space="preserve">Odgovarati na pitanja za evaluaciju isključivo na osnovi pretpostavki evaluatora bez prikupljanja dokaza. </w:t>
            </w:r>
          </w:p>
          <w:p w:rsidR="00867290" w:rsidRPr="000A700F" w:rsidRDefault="0086729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Miješati konzistentne nalaze s nejasnim nalazima pri odgovaranju na pitanja za evaluaciju.</w:t>
            </w:r>
          </w:p>
          <w:p w:rsidR="00867290" w:rsidRPr="000A700F" w:rsidRDefault="0086729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Formulirati očigledno istinite fraze za sve prigode uz izbjegavanje dublje analize pojedinih obilježja i potencijala NRM-a.</w:t>
            </w:r>
          </w:p>
          <w:p w:rsidR="00867290" w:rsidRPr="000A700F" w:rsidRDefault="00867290" w:rsidP="00445E97">
            <w:pPr>
              <w:pStyle w:val="HStandard"/>
              <w:spacing w:before="120" w:line="240" w:lineRule="atLeast"/>
              <w:cnfStyle w:val="000000100000" w:firstRow="0" w:lastRow="0" w:firstColumn="0" w:lastColumn="0" w:oddVBand="0" w:evenVBand="0" w:oddHBand="1" w:evenHBand="0" w:firstRowFirstColumn="0" w:firstRowLastColumn="0" w:lastRowFirstColumn="0" w:lastRowLastColumn="0"/>
              <w:rPr>
                <w:color w:val="ED7D31" w:themeColor="accent2"/>
                <w:sz w:val="18"/>
                <w:szCs w:val="18"/>
                <w:highlight w:val="yellow"/>
              </w:rPr>
            </w:pPr>
            <w:r>
              <w:rPr>
                <w:color w:val="ED7D31" w:themeColor="accent2"/>
                <w:sz w:val="18"/>
                <w:highlight w:val="yellow"/>
              </w:rPr>
              <w:t>Odgovarati na pitanja za evaluaciju bez uključivanja neočekivanih učinaka u analizu.</w:t>
            </w:r>
          </w:p>
          <w:p w:rsidR="00867290" w:rsidRPr="008D0759" w:rsidRDefault="00867290" w:rsidP="00445E97">
            <w:pPr>
              <w:pStyle w:val="HStandard"/>
              <w:cnfStyle w:val="000000100000" w:firstRow="0" w:lastRow="0" w:firstColumn="0" w:lastColumn="0" w:oddVBand="0" w:evenVBand="0" w:oddHBand="1" w:evenHBand="0" w:firstRowFirstColumn="0" w:firstRowLastColumn="0" w:lastRowFirstColumn="0" w:lastRowLastColumn="0"/>
              <w:rPr>
                <w:color w:val="ED7D31" w:themeColor="accent2"/>
              </w:rPr>
            </w:pPr>
            <w:r>
              <w:rPr>
                <w:color w:val="ED7D31" w:themeColor="accent2"/>
                <w:sz w:val="18"/>
                <w:highlight w:val="yellow"/>
              </w:rPr>
              <w:t>Jednostavno formulirati općenite preporuke bez obraćanja pažnje na pojedine dionike i zaobilaženjem potencijalnih tabu-tema.</w:t>
            </w:r>
          </w:p>
        </w:tc>
      </w:tr>
    </w:tbl>
    <w:p w:rsidR="00867290" w:rsidRPr="008D0759" w:rsidRDefault="00867290" w:rsidP="00D35287">
      <w:pPr>
        <w:pStyle w:val="HHeading5"/>
      </w:pPr>
      <w:r>
        <w:t>Više o temi</w:t>
      </w:r>
    </w:p>
    <w:tbl>
      <w:tblPr>
        <w:tblStyle w:val="TableGrid"/>
        <w:tblW w:w="9072" w:type="dxa"/>
        <w:tblBorders>
          <w:top w:val="single" w:sz="2" w:space="0" w:color="E7E6E6" w:themeColor="background2"/>
          <w:left w:val="single" w:sz="2" w:space="0" w:color="E7E6E6" w:themeColor="background2"/>
          <w:bottom w:val="single" w:sz="2" w:space="0" w:color="E7E6E6" w:themeColor="background2"/>
          <w:right w:val="single" w:sz="2" w:space="0" w:color="E7E6E6" w:themeColor="background2"/>
          <w:insideH w:val="single" w:sz="2" w:space="0" w:color="E7E6E6" w:themeColor="background2"/>
          <w:insideV w:val="single" w:sz="2" w:space="0" w:color="E7E6E6" w:themeColor="background2"/>
        </w:tblBorders>
        <w:shd w:val="clear" w:color="auto" w:fill="DDDDDD"/>
        <w:tblLook w:val="04A0" w:firstRow="1" w:lastRow="0" w:firstColumn="1" w:lastColumn="0" w:noHBand="0" w:noVBand="1"/>
      </w:tblPr>
      <w:tblGrid>
        <w:gridCol w:w="9072"/>
      </w:tblGrid>
      <w:tr w:rsidR="00867290" w:rsidRPr="008D0759" w:rsidTr="005F5B2D">
        <w:tc>
          <w:tcPr>
            <w:tcW w:w="9918" w:type="dxa"/>
            <w:shd w:val="clear" w:color="auto" w:fill="F5F4F4" w:themeFill="background2" w:themeFillTint="66"/>
          </w:tcPr>
          <w:p w:rsidR="00867290" w:rsidRPr="008D0759" w:rsidRDefault="00867290" w:rsidP="005F5B2D">
            <w:pPr>
              <w:pStyle w:val="HStandard"/>
              <w:rPr>
                <w:sz w:val="16"/>
                <w:szCs w:val="16"/>
              </w:rPr>
            </w:pPr>
            <w:r>
              <w:rPr>
                <w:sz w:val="16"/>
              </w:rPr>
              <w:t xml:space="preserve">Ray Pawson and Nick Tilley, 2004: Realist Evaluation. </w:t>
            </w:r>
            <w:hyperlink r:id="rId58">
              <w:r>
                <w:rPr>
                  <w:rStyle w:val="Hyperlink"/>
                  <w:sz w:val="16"/>
                </w:rPr>
                <w:t>http://www.communitymatters.com.au/RE_chapter.pdf</w:t>
              </w:r>
            </w:hyperlink>
            <w:r>
              <w:rPr>
                <w:sz w:val="16"/>
              </w:rPr>
              <w:t xml:space="preserve"> </w:t>
            </w:r>
          </w:p>
        </w:tc>
      </w:tr>
    </w:tbl>
    <w:p w:rsidR="00867290" w:rsidRDefault="00867290" w:rsidP="00320BBA">
      <w:pPr>
        <w:pStyle w:val="HStandard"/>
        <w:rPr>
          <w:rFonts w:eastAsia="Calibri"/>
        </w:rPr>
      </w:pPr>
    </w:p>
    <w:p w:rsidR="00867290" w:rsidRDefault="00867290">
      <w:pPr>
        <w:spacing w:after="0" w:line="240" w:lineRule="auto"/>
        <w:rPr>
          <w:rFonts w:eastAsia="Calibri" w:cs="Arial"/>
          <w:color w:val="576C88" w:themeColor="text2" w:themeTint="D9"/>
          <w:sz w:val="20"/>
          <w:szCs w:val="20"/>
        </w:rPr>
      </w:pPr>
      <w:r>
        <w:br w:type="page"/>
      </w:r>
    </w:p>
    <w:p w:rsidR="00867290" w:rsidRPr="008D0759" w:rsidRDefault="00867290" w:rsidP="00320BBA">
      <w:pPr>
        <w:pStyle w:val="HStandard"/>
        <w:rPr>
          <w:rFonts w:eastAsia="Calibri"/>
        </w:rPr>
      </w:pPr>
    </w:p>
    <w:p w:rsidR="00867290" w:rsidRPr="000A700F" w:rsidRDefault="00867290" w:rsidP="00CC485B">
      <w:pPr>
        <w:pStyle w:val="HHeading1"/>
        <w:numPr>
          <w:ilvl w:val="0"/>
          <w:numId w:val="0"/>
        </w:numPr>
        <w:rPr>
          <w:highlight w:val="yellow"/>
        </w:rPr>
      </w:pPr>
      <w:bookmarkStart w:id="339" w:name="_Toc453079782"/>
      <w:r>
        <w:rPr>
          <w:highlight w:val="yellow"/>
        </w:rPr>
        <w:lastRenderedPageBreak/>
        <w:t xml:space="preserve">1. </w:t>
      </w:r>
      <w:r>
        <w:rPr>
          <w:highlight w:val="yellow"/>
        </w:rPr>
        <w:tab/>
        <w:t>DIO III. – PRIBOR</w:t>
      </w:r>
      <w:bookmarkEnd w:id="339"/>
    </w:p>
    <w:p w:rsidR="00867290" w:rsidRPr="000A700F" w:rsidRDefault="00867290" w:rsidP="00CC485B">
      <w:pPr>
        <w:pStyle w:val="HHeading2"/>
        <w:numPr>
          <w:ilvl w:val="0"/>
          <w:numId w:val="0"/>
        </w:numPr>
        <w:rPr>
          <w:highlight w:val="yellow"/>
        </w:rPr>
      </w:pPr>
      <w:bookmarkStart w:id="340" w:name="_Toc453079783"/>
      <w:r>
        <w:rPr>
          <w:highlight w:val="yellow"/>
        </w:rPr>
        <w:t>1.1.</w:t>
      </w:r>
      <w:r>
        <w:rPr>
          <w:highlight w:val="yellow"/>
        </w:rPr>
        <w:tab/>
        <w:t>Indikativni obrazac za Opis poslova za evaluaciju tijekom programskog razdoblja</w:t>
      </w:r>
      <w:bookmarkEnd w:id="340"/>
    </w:p>
    <w:p w:rsidR="00867290" w:rsidRPr="000A700F" w:rsidRDefault="00867290" w:rsidP="00C4370D">
      <w:pPr>
        <w:pStyle w:val="HHeading5"/>
        <w:rPr>
          <w:highlight w:val="yellow"/>
        </w:rPr>
      </w:pPr>
      <w:r>
        <w:rPr>
          <w:highlight w:val="yellow"/>
        </w:rPr>
        <w:t>Uvod</w:t>
      </w:r>
    </w:p>
    <w:p w:rsidR="00867290" w:rsidRPr="000A700F" w:rsidRDefault="00867290" w:rsidP="00C4370D">
      <w:pPr>
        <w:pStyle w:val="HStandard"/>
        <w:rPr>
          <w:highlight w:val="yellow"/>
        </w:rPr>
      </w:pPr>
      <w:r>
        <w:rPr>
          <w:highlight w:val="yellow"/>
        </w:rPr>
        <w:t xml:space="preserve">Opis poslova (OP) za evaluaciju NRM-a izrađuje Upravljačko tijelo (UT) i tijekom poziva za podnošenje prijedloga pruža važne informacije za potencijalne vanjske evaluatore. OP odražava aktivnosti definirane u planu evaluacije (PE) i pomaže strukturirati evaluaciju NRM-a koju izvode vanjski evaluatori. Vanjski evaluatori na opis poslova reagiraju ponudom. Oba elementa (OP i ponuda) kombiniraju se i tvore temelj ugovora za obavljanje evaluacije. </w:t>
      </w:r>
    </w:p>
    <w:p w:rsidR="00867290" w:rsidRPr="000A700F" w:rsidRDefault="00867290" w:rsidP="00C4370D">
      <w:pPr>
        <w:pStyle w:val="HStandard"/>
        <w:rPr>
          <w:highlight w:val="yellow"/>
        </w:rPr>
      </w:pPr>
      <w:r>
        <w:rPr>
          <w:highlight w:val="yellow"/>
        </w:rPr>
        <w:t>OP za evaluaciju NRM-a precizira zahtjeve evaluacije, aktivnosti i očekivane ishode te pojašnjava način na koji će različite stranke surađivati. Obično se sastoji od općenitog uvoda za konzultanta, specifikacija tehničkih zahtjeva te raznih priloga (npr. referenci na ključne dokumente, evaluacijskih pitanja, obrazaca za cjenovnu ponudu, nacrta ugovora o uslugama).</w:t>
      </w:r>
    </w:p>
    <w:p w:rsidR="00867290" w:rsidRPr="000A700F" w:rsidRDefault="00867290" w:rsidP="00C4370D">
      <w:pPr>
        <w:pStyle w:val="HStandard"/>
        <w:rPr>
          <w:highlight w:val="yellow"/>
        </w:rPr>
      </w:pPr>
      <w:r>
        <w:rPr>
          <w:highlight w:val="yellow"/>
        </w:rPr>
        <w:t xml:space="preserve">U sljedećem okvirnom prikazu dane su neke preporuke za izradu OP-a za evaluaciju NRM-a, posebno za njegove tehničke dijelove. OP je izrađen u skladu sa zahtjevima utvrđenima u okviru Zajedničkog sustava za praćenje i evaluaciju (ZSPE). OP se može odnositi na program NRM-a ili na samostalnu evaluaciju NRM-a uključenu u jedan PRR. Kad je NRM uključen u evaluaciju PRR-a, nema zasebnog OP-a za evaluaciju NRM-a. </w:t>
      </w:r>
    </w:p>
    <w:p w:rsidR="00867290" w:rsidRPr="000A700F" w:rsidRDefault="00867290" w:rsidP="00C4370D">
      <w:pPr>
        <w:pStyle w:val="HStandard"/>
        <w:rPr>
          <w:highlight w:val="yellow"/>
        </w:rPr>
      </w:pPr>
      <w:r>
        <w:rPr>
          <w:highlight w:val="yellow"/>
        </w:rPr>
        <w:t>Javni naručitelji moraju osigurati usklađenost OP-a s postupcima javne nabave u državi članici. Moraju se uzeti u obzir sljedeći elementi tehničkih specifikacija OP-a.</w:t>
      </w:r>
    </w:p>
    <w:p w:rsidR="00867290" w:rsidRPr="000A700F" w:rsidRDefault="00867290" w:rsidP="006A099F">
      <w:pPr>
        <w:pStyle w:val="HHeading5"/>
        <w:rPr>
          <w:highlight w:val="yellow"/>
        </w:rPr>
      </w:pPr>
      <w:bookmarkStart w:id="341" w:name="_Toc422307927"/>
      <w:r>
        <w:rPr>
          <w:highlight w:val="yellow"/>
        </w:rPr>
        <w:t>Kontekst, cilj i svrha evaluacije</w:t>
      </w:r>
      <w:bookmarkEnd w:id="341"/>
    </w:p>
    <w:p w:rsidR="00867290" w:rsidRPr="000A700F" w:rsidRDefault="00867290" w:rsidP="00C4370D">
      <w:pPr>
        <w:pStyle w:val="HStandard"/>
        <w:rPr>
          <w:highlight w:val="yellow"/>
        </w:rPr>
      </w:pPr>
      <w:r>
        <w:rPr>
          <w:highlight w:val="yellow"/>
        </w:rPr>
        <w:t>U uvodnom dijelu trebalo bi izložiti zakonske zahtjeve i okvir za evaluaciju (npr. pravnu osnovu na razini EU-a i nacionalnoj razini). Trebalo bi dati opis pozadine i svrhu evaluacije. Trebalo bi pojasniti i temu evaluacije.</w:t>
      </w:r>
    </w:p>
    <w:p w:rsidR="00867290" w:rsidRPr="000A700F" w:rsidRDefault="00867290" w:rsidP="00C4370D">
      <w:pPr>
        <w:pStyle w:val="HStandard"/>
        <w:rPr>
          <w:i/>
          <w:highlight w:val="yellow"/>
        </w:rPr>
      </w:pPr>
      <w:r>
        <w:rPr>
          <w:i/>
          <w:highlight w:val="yellow"/>
        </w:rPr>
        <w:t>Primjer:</w:t>
      </w:r>
    </w:p>
    <w:p w:rsidR="00867290" w:rsidRPr="000A700F" w:rsidRDefault="00867290" w:rsidP="00C4370D">
      <w:pPr>
        <w:pStyle w:val="HStandard"/>
        <w:rPr>
          <w:i/>
          <w:highlight w:val="yellow"/>
        </w:rPr>
      </w:pPr>
      <w:r>
        <w:rPr>
          <w:i/>
          <w:highlight w:val="yellow"/>
        </w:rPr>
        <w:t>Evaluacija kao cjelina, a posebno evaluacija mreže, pojačana je u okviru politike ruralnog razvoja za razdoblje 2014. – 2020. Veći je naglasak stavljen na evaluaciju mreža i umrežavanje radi boljeg razumijevanja rezultata i učinka tih aktivnosti.</w:t>
      </w:r>
    </w:p>
    <w:p w:rsidR="00867290" w:rsidRPr="000A700F" w:rsidRDefault="00867290" w:rsidP="00C4370D">
      <w:pPr>
        <w:pStyle w:val="HStandard"/>
        <w:rPr>
          <w:i/>
          <w:highlight w:val="yellow"/>
        </w:rPr>
      </w:pPr>
      <w:r>
        <w:rPr>
          <w:i/>
          <w:highlight w:val="yellow"/>
        </w:rPr>
        <w:t>Glavni zahtjevi u pogledu evaluacije PRR-a za programsko razdoblje 2014. – 2020. utvrđeni su Uredbom (EU) br. 1303/2013, člancima 54. do 57. i Uredbom (EU) br. 1305/2013, člancima 76. do 79. Potonja uključuje četiri opća cilja NRM-a i zajednički skup aktivnosti koje mreže trebaju obaviti.</w:t>
      </w:r>
    </w:p>
    <w:p w:rsidR="00867290" w:rsidRPr="000A700F" w:rsidRDefault="00867290" w:rsidP="00C4370D">
      <w:pPr>
        <w:pStyle w:val="HStandard"/>
        <w:rPr>
          <w:i/>
          <w:highlight w:val="yellow"/>
        </w:rPr>
      </w:pPr>
      <w:r>
        <w:rPr>
          <w:i/>
          <w:highlight w:val="yellow"/>
        </w:rPr>
        <w:t>Provedbenom uredbom Komisije određena su tri zajednička pokazatelja ostvarenja i jedno zajedničko evaluacijsko pitanje (kao dio ZSPE-a). Smjernice za evaluaciju NRM-ova daju informacije o tome kako razviti dodatne pokazatelje i pokazatelje koji se odnose na NRM za pojedine programe.</w:t>
      </w:r>
    </w:p>
    <w:p w:rsidR="00867290" w:rsidRPr="000A700F" w:rsidRDefault="00867290" w:rsidP="00C4370D">
      <w:pPr>
        <w:pStyle w:val="HStandard"/>
        <w:rPr>
          <w:i/>
          <w:highlight w:val="yellow"/>
        </w:rPr>
      </w:pPr>
      <w:r>
        <w:rPr>
          <w:i/>
          <w:highlight w:val="yellow"/>
        </w:rPr>
        <w:t>Plan evaluacije PRR-a određuje NRM kao glavnu temu evaluacije tijekom programskog razdoblja.</w:t>
      </w:r>
    </w:p>
    <w:p w:rsidR="00867290" w:rsidRPr="000A700F" w:rsidRDefault="00867290" w:rsidP="00C4370D">
      <w:pPr>
        <w:pStyle w:val="HStandard"/>
        <w:rPr>
          <w:i/>
          <w:highlight w:val="yellow"/>
        </w:rPr>
      </w:pPr>
      <w:r>
        <w:rPr>
          <w:i/>
          <w:highlight w:val="yellow"/>
        </w:rPr>
        <w:t>NRM sa svojom konkretnom ulogom i naravi mreže politika trebao bi biti pokretačka snaga za poboljšanje učinkovitog funkcioniranja Programa ruralnog razvoja (PRR). NRM bi trebao ispuniti praznine u uslugama koje nude ostale javne ili privatne institucije i težiti sinergiji s drugim mrežama na nacionalnoj i europskoj razini. Kako se NRM financira putem proračuna Tehničke pomoći PRR-a, važno je izvući maksimum iz korištenih resursa.</w:t>
      </w:r>
    </w:p>
    <w:p w:rsidR="00867290" w:rsidRPr="000A700F" w:rsidRDefault="00867290" w:rsidP="00C4370D">
      <w:pPr>
        <w:pStyle w:val="HStandard"/>
        <w:rPr>
          <w:i/>
          <w:highlight w:val="yellow"/>
        </w:rPr>
      </w:pPr>
      <w:r>
        <w:rPr>
          <w:i/>
          <w:highlight w:val="yellow"/>
        </w:rPr>
        <w:lastRenderedPageBreak/>
        <w:t>Evaluacijom NRM-a namjerava se pokazati ostvarenja JPM-a (tajništva mreže) i njegove mreže (šire skupine sudionika NRM-a) i procijeniti njegove rezultate, učinke, djelotvornost, učinkovitost i relevantnost te pridonijeti boljoj ciljanoj potpori za ruralni razvoj.</w:t>
      </w:r>
    </w:p>
    <w:p w:rsidR="00867290" w:rsidRPr="000A700F" w:rsidRDefault="00867290" w:rsidP="00C4370D">
      <w:pPr>
        <w:pStyle w:val="HStandard"/>
        <w:rPr>
          <w:i/>
          <w:highlight w:val="yellow"/>
        </w:rPr>
      </w:pPr>
      <w:r>
        <w:rPr>
          <w:i/>
          <w:highlight w:val="yellow"/>
        </w:rPr>
        <w:t>Evaluacijom bi se trebalo pridonijeti i ažuriranju Akcijskog plana NRM-a kako bi se za vrijeme provedbe PRR-a odgovorilo na potrebe koje se kontinuirano mijenjaju.</w:t>
      </w:r>
    </w:p>
    <w:p w:rsidR="00867290" w:rsidRPr="000A700F" w:rsidRDefault="00867290" w:rsidP="00C4370D">
      <w:pPr>
        <w:pStyle w:val="HStandard"/>
        <w:rPr>
          <w:i/>
          <w:highlight w:val="yellow"/>
        </w:rPr>
      </w:pPr>
      <w:r>
        <w:rPr>
          <w:i/>
          <w:highlight w:val="yellow"/>
        </w:rPr>
        <w:t>Ciljna skupina evaluacije jest klijent i širi krug dionika uključenih u NRM.</w:t>
      </w:r>
    </w:p>
    <w:p w:rsidR="00867290" w:rsidRPr="000A700F" w:rsidRDefault="00867290" w:rsidP="00C4370D">
      <w:pPr>
        <w:pStyle w:val="HStandard"/>
        <w:rPr>
          <w:i/>
          <w:highlight w:val="yellow"/>
        </w:rPr>
      </w:pPr>
      <w:r>
        <w:rPr>
          <w:i/>
          <w:highlight w:val="yellow"/>
        </w:rPr>
        <w:t>Na evaluaciju može utjecati samoocjenjivanje NRM-a koje je važan alat za poboljšavanje uspješnosti NRM-a.</w:t>
      </w:r>
    </w:p>
    <w:p w:rsidR="00867290" w:rsidRPr="000A700F" w:rsidRDefault="00867290" w:rsidP="00C4370D">
      <w:pPr>
        <w:pStyle w:val="HStandard"/>
        <w:rPr>
          <w:i/>
          <w:highlight w:val="yellow"/>
        </w:rPr>
      </w:pPr>
      <w:r>
        <w:rPr>
          <w:i/>
          <w:highlight w:val="yellow"/>
        </w:rPr>
        <w:t xml:space="preserve">Procjena rezultata NRM-a i odgovor na zajedničko evaluacijsko pitanje o NRM-u očekuje se u nadopunjenim GIP-ovima podnesenima do 30. lipnja 2017. Procjena rezultata NRM-a i odgovor na zajedničko evaluacijsko pitanje o NRM-u bit će uključeni u nadopunjeni GIP podnesen u 2019. i </w:t>
      </w:r>
      <w:r w:rsidRPr="00453ABC">
        <w:rPr>
          <w:highlight w:val="yellow"/>
        </w:rPr>
        <w:t>ex post</w:t>
      </w:r>
      <w:r>
        <w:rPr>
          <w:i/>
          <w:highlight w:val="yellow"/>
        </w:rPr>
        <w:t xml:space="preserve"> evaluaciju, koja se predaje do 31. prosinca 2024.</w:t>
      </w:r>
    </w:p>
    <w:p w:rsidR="00867290" w:rsidRPr="000A700F" w:rsidRDefault="00867290" w:rsidP="006A099F">
      <w:pPr>
        <w:pStyle w:val="HHeading5"/>
        <w:rPr>
          <w:highlight w:val="yellow"/>
        </w:rPr>
      </w:pPr>
      <w:bookmarkStart w:id="342" w:name="_Toc422307928"/>
      <w:r>
        <w:rPr>
          <w:highlight w:val="yellow"/>
        </w:rPr>
        <w:t>Opseg i zadaci evaluacije NRM-a</w:t>
      </w:r>
      <w:bookmarkEnd w:id="342"/>
      <w:r>
        <w:rPr>
          <w:highlight w:val="yellow"/>
        </w:rPr>
        <w:t xml:space="preserve"> </w:t>
      </w:r>
    </w:p>
    <w:p w:rsidR="00867290" w:rsidRPr="000A700F" w:rsidRDefault="00867290" w:rsidP="00C4370D">
      <w:pPr>
        <w:pStyle w:val="HStandard"/>
        <w:rPr>
          <w:highlight w:val="yellow"/>
        </w:rPr>
      </w:pPr>
      <w:r>
        <w:rPr>
          <w:highlight w:val="yellow"/>
        </w:rPr>
        <w:t>U ovom dijelu u okviru OP-a precizira se opseg i sadržaj evaluacije u skladu s ciljevima evaluacije. Pojedinosti mogu uključivati razdoblje ispitivanja, zemljopisni i tematski obuhvat evaluacije, ciljne skupine i zadatke koje treba razmotriti. Opseg evaluacije mora biti realističan s obzirom na dostupno vrijeme i resurse.</w:t>
      </w:r>
    </w:p>
    <w:p w:rsidR="00867290" w:rsidRPr="000A700F" w:rsidRDefault="00867290" w:rsidP="00C4370D">
      <w:pPr>
        <w:pStyle w:val="HStandard"/>
        <w:rPr>
          <w:i/>
          <w:highlight w:val="yellow"/>
        </w:rPr>
      </w:pPr>
      <w:r>
        <w:rPr>
          <w:i/>
          <w:highlight w:val="yellow"/>
        </w:rPr>
        <w:t>Primjer</w:t>
      </w:r>
    </w:p>
    <w:p w:rsidR="00867290" w:rsidRPr="000A700F" w:rsidRDefault="00867290" w:rsidP="00C4370D">
      <w:pPr>
        <w:pStyle w:val="HStandard"/>
        <w:rPr>
          <w:i/>
          <w:highlight w:val="yellow"/>
        </w:rPr>
      </w:pPr>
      <w:r>
        <w:rPr>
          <w:i/>
          <w:highlight w:val="yellow"/>
        </w:rPr>
        <w:t>Cilj je ove sveobuhvatne studije evaluacije sljedeći:</w:t>
      </w:r>
    </w:p>
    <w:p w:rsidR="00867290" w:rsidRPr="000A700F" w:rsidRDefault="00867290" w:rsidP="00C4370D">
      <w:pPr>
        <w:pStyle w:val="Hlistbullet2"/>
        <w:rPr>
          <w:i/>
          <w:highlight w:val="yellow"/>
        </w:rPr>
      </w:pPr>
      <w:r>
        <w:rPr>
          <w:i/>
          <w:highlight w:val="yellow"/>
        </w:rPr>
        <w:t xml:space="preserve">pokazati ostvarenja JPM-a (tajništva mreže), NRM-a (šire skupine članova NRM-a) i dionika mreže,  </w:t>
      </w:r>
    </w:p>
    <w:p w:rsidR="00867290" w:rsidRPr="000A700F" w:rsidRDefault="00867290" w:rsidP="00C4370D">
      <w:pPr>
        <w:pStyle w:val="Hlistbullet2"/>
        <w:rPr>
          <w:i/>
          <w:highlight w:val="yellow"/>
        </w:rPr>
      </w:pPr>
      <w:r>
        <w:rPr>
          <w:i/>
          <w:highlight w:val="yellow"/>
        </w:rPr>
        <w:t xml:space="preserve">procijeniti njegove rezultate, učinke, djelotvornost, učinkovitost, relevantnost i </w:t>
      </w:r>
    </w:p>
    <w:p w:rsidR="00867290" w:rsidRPr="000A700F" w:rsidRDefault="00867290" w:rsidP="00C4370D">
      <w:pPr>
        <w:pStyle w:val="Hlistbullet2"/>
        <w:rPr>
          <w:i/>
          <w:highlight w:val="yellow"/>
        </w:rPr>
      </w:pPr>
      <w:r>
        <w:rPr>
          <w:i/>
          <w:highlight w:val="yellow"/>
        </w:rPr>
        <w:t>pridonijeti boljoj ciljanoj potpori za ruralni razvoj.</w:t>
      </w:r>
    </w:p>
    <w:p w:rsidR="00867290" w:rsidRPr="000A700F" w:rsidRDefault="00867290" w:rsidP="00C4370D">
      <w:pPr>
        <w:pStyle w:val="HStandard"/>
        <w:rPr>
          <w:i/>
          <w:highlight w:val="yellow"/>
        </w:rPr>
      </w:pPr>
      <w:r>
        <w:rPr>
          <w:i/>
          <w:highlight w:val="yellow"/>
        </w:rPr>
        <w:t>Glavni su zadaci evaluacije:</w:t>
      </w:r>
    </w:p>
    <w:p w:rsidR="00867290" w:rsidRPr="000A700F" w:rsidRDefault="00867290" w:rsidP="00B51C05">
      <w:pPr>
        <w:pStyle w:val="Hlistbullet2"/>
        <w:rPr>
          <w:i/>
          <w:highlight w:val="yellow"/>
        </w:rPr>
      </w:pPr>
      <w:r>
        <w:rPr>
          <w:i/>
          <w:highlight w:val="yellow"/>
        </w:rPr>
        <w:t>procijeniti relevantnost intervencija ruralne mreže u odnosu na potrebe i uvjete okvira koji se kontinuirano mijenjaju,</w:t>
      </w:r>
    </w:p>
    <w:p w:rsidR="00867290" w:rsidRPr="000A700F" w:rsidRDefault="00867290" w:rsidP="00B51C05">
      <w:pPr>
        <w:pStyle w:val="Hlistbullet2"/>
        <w:rPr>
          <w:i/>
          <w:highlight w:val="yellow"/>
        </w:rPr>
      </w:pPr>
      <w:r>
        <w:rPr>
          <w:i/>
          <w:highlight w:val="yellow"/>
        </w:rPr>
        <w:t>procijeniti uspješnost, rezultate i učinke aktivnosti NRM-a, ciljeva NRM-a, ostvarenja i doprinosa ciljevima PRR-a,</w:t>
      </w:r>
    </w:p>
    <w:p w:rsidR="00867290" w:rsidRPr="000A700F" w:rsidRDefault="00867290" w:rsidP="00B51C05">
      <w:pPr>
        <w:pStyle w:val="Hlistbullet2"/>
        <w:rPr>
          <w:i/>
          <w:highlight w:val="yellow"/>
        </w:rPr>
      </w:pPr>
      <w:r>
        <w:rPr>
          <w:i/>
          <w:highlight w:val="yellow"/>
        </w:rPr>
        <w:t xml:space="preserve">elaborirati preporuke o tome kako poboljšati oblikovanje i provedbu NRM-a, </w:t>
      </w:r>
    </w:p>
    <w:p w:rsidR="00867290" w:rsidRPr="000A700F" w:rsidRDefault="00867290" w:rsidP="00B51C05">
      <w:pPr>
        <w:pStyle w:val="Hlistbullet2"/>
        <w:rPr>
          <w:i/>
          <w:highlight w:val="yellow"/>
        </w:rPr>
      </w:pPr>
      <w:r>
        <w:rPr>
          <w:i/>
          <w:highlight w:val="yellow"/>
        </w:rPr>
        <w:t>predložiti učinkovit pristup o tome kako poboljšati praćenje i evaluaciju NRM-a.</w:t>
      </w:r>
    </w:p>
    <w:p w:rsidR="00867290" w:rsidRPr="000A700F" w:rsidRDefault="00867290" w:rsidP="00B51C05">
      <w:pPr>
        <w:pStyle w:val="HStandard"/>
        <w:rPr>
          <w:i/>
          <w:highlight w:val="yellow"/>
        </w:rPr>
      </w:pPr>
      <w:r>
        <w:rPr>
          <w:i/>
          <w:highlight w:val="yellow"/>
        </w:rPr>
        <w:t>Vanjska evaluacija tijekom programskog razdoblja obuhvaćat će sve aktivnosti NRM-a u razdoblju 2014. – 2020., počevši s osnivanjem NRM-a pa sve do njegova svršetka.</w:t>
      </w:r>
    </w:p>
    <w:p w:rsidR="00867290" w:rsidRPr="000A700F" w:rsidRDefault="00867290" w:rsidP="00B51C05">
      <w:pPr>
        <w:pStyle w:val="HStandard"/>
        <w:rPr>
          <w:i/>
          <w:highlight w:val="yellow"/>
        </w:rPr>
      </w:pPr>
      <w:r>
        <w:rPr>
          <w:i/>
          <w:highlight w:val="yellow"/>
        </w:rPr>
        <w:t xml:space="preserve">Zemljopisni obuhvat  čitav je teritorij PRR-a. Glavni zadaci evaluacije moraju se provesti u odnosu na ključne etape (2017., 2019. i </w:t>
      </w:r>
      <w:r w:rsidRPr="00412344">
        <w:rPr>
          <w:highlight w:val="yellow"/>
        </w:rPr>
        <w:t>ex post</w:t>
      </w:r>
      <w:r>
        <w:rPr>
          <w:i/>
          <w:highlight w:val="yellow"/>
        </w:rPr>
        <w:t>). Važno je aktivnosti evaluacije povezati s ciklusom oblikovanja politike i izvješćivanja. To pomaže osigurati da se nalazi evaluacije na vrijeme dostave i prenesu relevantnoj ciljnoj skupini (klijentu, upravljačkoj skupini dionika NRM-a i Europskoj komisiji).</w:t>
      </w:r>
    </w:p>
    <w:p w:rsidR="00867290" w:rsidRPr="000A700F" w:rsidRDefault="00867290" w:rsidP="00B51C05">
      <w:pPr>
        <w:pStyle w:val="HStandard"/>
        <w:rPr>
          <w:i/>
          <w:highlight w:val="yellow"/>
        </w:rPr>
      </w:pPr>
      <w:r>
        <w:rPr>
          <w:i/>
          <w:highlight w:val="yellow"/>
        </w:rPr>
        <w:t xml:space="preserve">Nadopunjeni GIP 2017. i 2019. trebao bi u točki 2. izvijestiti o upravljanju evaluacijom NRM-a i aktivnostima provedenima u odnosu na evaluaciju NRM-a (uključenoj u PRR ili kao samostalna evaluacija), uključujući aktivnosti vezane za prikupljanje podataka, širenje informacija, komunikaciju i popratne aktivnosti u vezi s nalazima evaluacije. </w:t>
      </w:r>
    </w:p>
    <w:p w:rsidR="00867290" w:rsidRPr="000A700F" w:rsidRDefault="00867290" w:rsidP="00B51C05">
      <w:pPr>
        <w:pStyle w:val="HStandard"/>
        <w:rPr>
          <w:i/>
          <w:highlight w:val="yellow"/>
        </w:rPr>
      </w:pPr>
      <w:r>
        <w:rPr>
          <w:i/>
          <w:highlight w:val="yellow"/>
        </w:rPr>
        <w:lastRenderedPageBreak/>
        <w:t>Točka 7. GIP-a 2017. daje informacije o kontekstualnim promjenama NRM-a, rezultatima NRM-a (putem dodatnih pokazatelja rezultata i pokazatelja za pojedine programe) i odgovor na zajedničko evaluacijsko pitanje br. 21. te bilo koja evaluacijska pitanja za pojedine programe razvijene u državi članici</w:t>
      </w:r>
      <w:r w:rsidRPr="00412344">
        <w:rPr>
          <w:i/>
          <w:highlight w:val="yellow"/>
        </w:rPr>
        <w:t xml:space="preserve"> </w:t>
      </w:r>
      <w:r>
        <w:rPr>
          <w:i/>
          <w:highlight w:val="yellow"/>
        </w:rPr>
        <w:t xml:space="preserve">koja se odnose na NRM. Evaluatori bi trebali upotrebljavati dodatne pokazatelje rezultata kako bi odgovorili na zajedničko evaluacijsko pitanje. Na evaluacijska pitanja NRM-a za pojedine programe trebalo bi odgovoriti pokazateljima NRM-a za pojedine programe, koje je isto tako razvila država članica (vidi poglavlje 2.2.2. smjernica). </w:t>
      </w:r>
    </w:p>
    <w:p w:rsidR="00867290" w:rsidRPr="000A700F" w:rsidRDefault="00867290" w:rsidP="00B51C05">
      <w:pPr>
        <w:pStyle w:val="HStandard"/>
        <w:rPr>
          <w:i/>
          <w:highlight w:val="yellow"/>
        </w:rPr>
      </w:pPr>
      <w:r>
        <w:rPr>
          <w:i/>
          <w:highlight w:val="yellow"/>
        </w:rPr>
        <w:t xml:space="preserve">Točka 7. nadopunjenog GIP-a 2019. trebala bi, uz informacije dane u GIP-u 2017., uključivati i informacije o učincima NRM-a, procijenjenima upotrebom pokazatelja učinka, kako dodatnih tako i pokazatelja za pojedine programe (vidi poglavlje 2.2.2. smjernica). U oba izvješća trebale bi se nalaziti preporuke kako optimizirati intervencije NRM-a. </w:t>
      </w:r>
    </w:p>
    <w:p w:rsidR="00867290" w:rsidRPr="000A700F" w:rsidRDefault="00867290" w:rsidP="00B51C05">
      <w:pPr>
        <w:pStyle w:val="HStandard"/>
        <w:rPr>
          <w:i/>
          <w:highlight w:val="yellow"/>
        </w:rPr>
      </w:pPr>
      <w:r w:rsidRPr="006B77F4">
        <w:rPr>
          <w:highlight w:val="yellow"/>
        </w:rPr>
        <w:t>Ex post</w:t>
      </w:r>
      <w:r>
        <w:rPr>
          <w:i/>
          <w:highlight w:val="yellow"/>
        </w:rPr>
        <w:t xml:space="preserve"> evaluacija 2024. trebala bi uključivati zaključke evaluacije o sljedećim temama:</w:t>
      </w:r>
    </w:p>
    <w:p w:rsidR="00867290" w:rsidRPr="000A700F" w:rsidRDefault="00867290" w:rsidP="00B51C05">
      <w:pPr>
        <w:pStyle w:val="Hlistbullet2"/>
        <w:rPr>
          <w:i/>
          <w:highlight w:val="yellow"/>
        </w:rPr>
      </w:pPr>
      <w:r>
        <w:rPr>
          <w:i/>
          <w:highlight w:val="yellow"/>
        </w:rPr>
        <w:t>Učinci aktivnosti NRM-a, mehanizmi ostvarivanja učinaka, atribucija promjena unutar mreže i neočekivani učinci</w:t>
      </w:r>
    </w:p>
    <w:p w:rsidR="00867290" w:rsidRPr="000A700F" w:rsidRDefault="00867290" w:rsidP="00B51C05">
      <w:pPr>
        <w:pStyle w:val="Hlistbullet2"/>
        <w:rPr>
          <w:i/>
          <w:highlight w:val="yellow"/>
        </w:rPr>
      </w:pPr>
      <w:r>
        <w:rPr>
          <w:i/>
          <w:highlight w:val="yellow"/>
        </w:rPr>
        <w:t>Preporuke o tome kako optimizirati usluge i aktivnosti NRM-a u budućnosti</w:t>
      </w:r>
    </w:p>
    <w:p w:rsidR="00867290" w:rsidRPr="000A700F" w:rsidRDefault="00867290" w:rsidP="006A099F">
      <w:pPr>
        <w:pStyle w:val="HHeading5"/>
        <w:rPr>
          <w:highlight w:val="yellow"/>
        </w:rPr>
      </w:pPr>
      <w:bookmarkStart w:id="343" w:name="_Toc422307929"/>
      <w:r>
        <w:rPr>
          <w:highlight w:val="yellow"/>
        </w:rPr>
        <w:t>Evaluacijska pitanja</w:t>
      </w:r>
      <w:bookmarkEnd w:id="343"/>
      <w:r>
        <w:rPr>
          <w:highlight w:val="yellow"/>
        </w:rPr>
        <w:t xml:space="preserve"> </w:t>
      </w:r>
    </w:p>
    <w:p w:rsidR="00867290" w:rsidRPr="000A700F" w:rsidRDefault="00867290" w:rsidP="00B51C05">
      <w:pPr>
        <w:pStyle w:val="HStandard"/>
        <w:rPr>
          <w:highlight w:val="yellow"/>
        </w:rPr>
      </w:pPr>
      <w:r>
        <w:rPr>
          <w:highlight w:val="yellow"/>
        </w:rPr>
        <w:t xml:space="preserve">Evaluacijska pitanja u OP-u preciziraju fokus evaluacije i pridonose ciljanijim aktivnostima evaluacije. OP-om bi se trebalo precizirati na koju se vrstu evaluacijskih pitanja očekuje odgovor: </w:t>
      </w:r>
    </w:p>
    <w:p w:rsidR="00867290" w:rsidRPr="000A700F" w:rsidRDefault="00867290" w:rsidP="00867290">
      <w:pPr>
        <w:pStyle w:val="Hlistabc"/>
        <w:numPr>
          <w:ilvl w:val="0"/>
          <w:numId w:val="19"/>
        </w:numPr>
        <w:rPr>
          <w:highlight w:val="yellow"/>
        </w:rPr>
      </w:pPr>
      <w:r>
        <w:rPr>
          <w:highlight w:val="yellow"/>
        </w:rPr>
        <w:t>Zajedničko evaluacijsko pitanje br. 21.</w:t>
      </w:r>
      <w:r>
        <w:rPr>
          <w:rFonts w:ascii="ZWAdobeF" w:hAnsi="ZWAdobeF"/>
          <w:color w:val="auto"/>
          <w:sz w:val="2"/>
        </w:rPr>
        <w:t>122F</w:t>
      </w:r>
      <w:r>
        <w:rPr>
          <w:rStyle w:val="FootnoteReference"/>
          <w:highlight w:val="yellow"/>
        </w:rPr>
        <w:footnoteReference w:id="123"/>
      </w:r>
      <w:r>
        <w:rPr>
          <w:highlight w:val="yellow"/>
        </w:rPr>
        <w:t xml:space="preserve"> povezano je s četirima zajedničkim općim ciljevima NRM-a</w:t>
      </w:r>
    </w:p>
    <w:p w:rsidR="00867290" w:rsidRPr="000A700F" w:rsidRDefault="00867290" w:rsidP="00B51C05">
      <w:pPr>
        <w:pStyle w:val="Hlistabc2"/>
        <w:rPr>
          <w:highlight w:val="yellow"/>
        </w:rPr>
      </w:pPr>
      <w:r>
        <w:rPr>
          <w:highlight w:val="yellow"/>
        </w:rPr>
        <w:t xml:space="preserve">Evaluacijska pitanja za pojedine programe (EPPP) povezana su s ciljevima NRM-a za pojedine programe kako je definirano u državi članici </w:t>
      </w:r>
    </w:p>
    <w:p w:rsidR="00867290" w:rsidRPr="000A700F" w:rsidRDefault="00867290" w:rsidP="00B51C05">
      <w:pPr>
        <w:pStyle w:val="HStandard"/>
        <w:rPr>
          <w:highlight w:val="yellow"/>
        </w:rPr>
      </w:pPr>
      <w:r>
        <w:rPr>
          <w:highlight w:val="yellow"/>
        </w:rPr>
        <w:t>Evaluacijska pitanja definiraju ključna pitanja koja bi evaluacija trebala istražiti. Razvijaju ih i kao prioritet određuju Upravljačko tijelo i drugi dionici. U okviru svakog evaluacijskog zadatka (opisanog u prethodnom dijelu) bit će jedno ili dva evaluacijska pitanja.</w:t>
      </w:r>
    </w:p>
    <w:p w:rsidR="00867290" w:rsidRPr="000A700F" w:rsidRDefault="00867290" w:rsidP="00B51C05">
      <w:pPr>
        <w:pStyle w:val="HStandard"/>
        <w:rPr>
          <w:highlight w:val="yellow"/>
        </w:rPr>
      </w:pPr>
      <w:r>
        <w:rPr>
          <w:highlight w:val="yellow"/>
        </w:rPr>
        <w:t xml:space="preserve">Evaluacijska pitanja pomažu fokusirati evaluaciju i dati joj strukturu, usmjeriti proces planiranja evaluacije, olakšati donošenje odluke o tome kojim se evaluacijskim metodama koristiti te oblikovati raspravu o tome kako se rezultati evaluacije mogu upotrebljavati za poboljšanje intervencije. Evaluacijska pitanja povezana su s ciljevima NRM-a ili s pojedinom temom koju treba evaluirati. Evaluacijska pitanja treba dalje precizirati kriterijima prosudbe, koji su povezani s pokazateljima koje treba upotrebljavati pri odgovaranju na evaluacijska pitanja. Evaluatori su pozvani predložiti dodatne kriterije prosudbe i pokazatelje za postojeća evaluacijska pitanja i razviti više evaluacijskih pitanja za NRM za pojedine programe, ako je to korisno za kvalitetu evaluacije.  </w:t>
      </w:r>
    </w:p>
    <w:p w:rsidR="00867290" w:rsidRPr="000A700F" w:rsidRDefault="00867290" w:rsidP="00B51C05">
      <w:pPr>
        <w:pStyle w:val="HStandard"/>
        <w:rPr>
          <w:i/>
          <w:highlight w:val="yellow"/>
        </w:rPr>
      </w:pPr>
      <w:r>
        <w:rPr>
          <w:b/>
          <w:i/>
          <w:highlight w:val="yellow"/>
        </w:rPr>
        <w:t>Primjer evaluacijskih pitanja za pojedine programe povezanih s ciljevima NRM-a za pojedine programe.</w:t>
      </w:r>
    </w:p>
    <w:p w:rsidR="00867290" w:rsidRPr="000A700F" w:rsidRDefault="00867290" w:rsidP="00B51C05">
      <w:pPr>
        <w:pStyle w:val="HStandard"/>
        <w:rPr>
          <w:i/>
          <w:highlight w:val="yellow"/>
        </w:rPr>
      </w:pPr>
      <w:r>
        <w:rPr>
          <w:i/>
          <w:highlight w:val="yellow"/>
        </w:rPr>
        <w:t>Cilj NRM-a za pojedini program jest: „Poboljšati suradnju među sudionicima u ruralnim područjima aktivnostima NRM-a”</w:t>
      </w:r>
    </w:p>
    <w:p w:rsidR="00867290" w:rsidRPr="000A700F" w:rsidRDefault="00867290" w:rsidP="00B51C05">
      <w:pPr>
        <w:pStyle w:val="HStandard"/>
        <w:rPr>
          <w:i/>
          <w:highlight w:val="yellow"/>
        </w:rPr>
      </w:pPr>
      <w:r>
        <w:rPr>
          <w:i/>
          <w:highlight w:val="yellow"/>
        </w:rPr>
        <w:t xml:space="preserve">Evaluacijsko pitanje NRM-a za pojedini program: „U kojoj su mjeri aktivnosti NRM-a poboljšale komunikaciju među dionicima u ruralnim područjima?”  </w:t>
      </w:r>
    </w:p>
    <w:p w:rsidR="00867290" w:rsidRPr="000A700F" w:rsidRDefault="00867290" w:rsidP="00B51C05">
      <w:pPr>
        <w:pStyle w:val="HStandard"/>
        <w:rPr>
          <w:i/>
          <w:highlight w:val="yellow"/>
        </w:rPr>
      </w:pPr>
      <w:r>
        <w:rPr>
          <w:i/>
          <w:highlight w:val="yellow"/>
        </w:rPr>
        <w:t>Kriteriji za prosudbu: Poboljšala se suradnja među dionicima</w:t>
      </w:r>
    </w:p>
    <w:p w:rsidR="00867290" w:rsidRPr="000A700F" w:rsidRDefault="00867290" w:rsidP="00B51C05">
      <w:pPr>
        <w:pStyle w:val="HStandard"/>
        <w:rPr>
          <w:i/>
          <w:highlight w:val="yellow"/>
        </w:rPr>
      </w:pPr>
      <w:r>
        <w:rPr>
          <w:i/>
          <w:highlight w:val="yellow"/>
        </w:rPr>
        <w:t>Pokazatelj: broj projekata suradnje utvrđenih/provedenih zbog aktivnosti NRM-a</w:t>
      </w:r>
    </w:p>
    <w:p w:rsidR="00867290" w:rsidRPr="000A700F" w:rsidRDefault="00867290" w:rsidP="00B51C05">
      <w:pPr>
        <w:pStyle w:val="HStandard"/>
        <w:rPr>
          <w:i/>
          <w:highlight w:val="yellow"/>
        </w:rPr>
      </w:pPr>
      <w:r>
        <w:rPr>
          <w:i/>
          <w:highlight w:val="yellow"/>
        </w:rPr>
        <w:lastRenderedPageBreak/>
        <w:t xml:space="preserve">Primjeri </w:t>
      </w:r>
      <w:r>
        <w:rPr>
          <w:b/>
          <w:i/>
          <w:highlight w:val="yellow"/>
        </w:rPr>
        <w:t>evaluacijskih pitanja za pojedine programe povezanih s pojedinim temama evaluacije:</w:t>
      </w:r>
    </w:p>
    <w:p w:rsidR="00867290" w:rsidRPr="000A700F" w:rsidRDefault="00867290" w:rsidP="00B51C05">
      <w:pPr>
        <w:pStyle w:val="HStandard"/>
        <w:rPr>
          <w:i/>
          <w:highlight w:val="yellow"/>
        </w:rPr>
      </w:pPr>
      <w:r>
        <w:rPr>
          <w:i/>
          <w:highlight w:val="yellow"/>
        </w:rPr>
        <w:t>Tema: Upravljanje NRM-om i ostvarenje NRM-a</w:t>
      </w:r>
    </w:p>
    <w:p w:rsidR="00867290" w:rsidRPr="000A700F" w:rsidRDefault="00867290" w:rsidP="00B51C05">
      <w:pPr>
        <w:pStyle w:val="HStandard"/>
        <w:rPr>
          <w:i/>
          <w:highlight w:val="yellow"/>
        </w:rPr>
      </w:pPr>
      <w:r>
        <w:rPr>
          <w:i/>
          <w:highlight w:val="yellow"/>
        </w:rPr>
        <w:t>Evaluacijsko pitanje NRM-a za pojedini program: „Jesu li upravljanje NRM-om i sustav ostvarenja NRM-a učinkoviti?”</w:t>
      </w:r>
    </w:p>
    <w:p w:rsidR="00867290" w:rsidRPr="000A700F" w:rsidRDefault="00867290" w:rsidP="00B51C05">
      <w:pPr>
        <w:pStyle w:val="HStandard"/>
        <w:rPr>
          <w:i/>
          <w:highlight w:val="yellow"/>
        </w:rPr>
      </w:pPr>
      <w:r>
        <w:rPr>
          <w:i/>
          <w:highlight w:val="yellow"/>
        </w:rPr>
        <w:t xml:space="preserve">Kriterij za prosudbu: Upravljanje NRM-om i ostvarenje NRM-a omogućilo je uključivanje većeg broja dionika u aktivnosti NRM-a. </w:t>
      </w:r>
    </w:p>
    <w:p w:rsidR="00867290" w:rsidRPr="000A700F" w:rsidRDefault="00867290" w:rsidP="00B51C05">
      <w:pPr>
        <w:pStyle w:val="HStandard"/>
        <w:rPr>
          <w:i/>
          <w:highlight w:val="yellow"/>
        </w:rPr>
      </w:pPr>
      <w:r>
        <w:rPr>
          <w:i/>
          <w:highlight w:val="yellow"/>
        </w:rPr>
        <w:t xml:space="preserve">Pokazatelj: broj sudionika, prema vrsti, uključenih u aktivnosti NRM-a </w:t>
      </w:r>
    </w:p>
    <w:p w:rsidR="00867290" w:rsidRPr="000A700F" w:rsidRDefault="00867290" w:rsidP="006A099F">
      <w:pPr>
        <w:pStyle w:val="HHeading5"/>
        <w:rPr>
          <w:highlight w:val="yellow"/>
        </w:rPr>
      </w:pPr>
      <w:bookmarkStart w:id="344" w:name="_Toc422307930"/>
      <w:r>
        <w:rPr>
          <w:highlight w:val="yellow"/>
        </w:rPr>
        <w:t>Metodološki pristup</w:t>
      </w:r>
      <w:bookmarkEnd w:id="344"/>
    </w:p>
    <w:p w:rsidR="00867290" w:rsidRPr="000A700F" w:rsidRDefault="00867290" w:rsidP="00B51C05">
      <w:pPr>
        <w:pStyle w:val="HStandard"/>
        <w:rPr>
          <w:highlight w:val="yellow"/>
        </w:rPr>
      </w:pPr>
      <w:r>
        <w:rPr>
          <w:highlight w:val="yellow"/>
        </w:rPr>
        <w:t xml:space="preserve">Cilj je ovog dijela precizirati metodološki pristup za evaluaciju; to se može ostvariti tako da se od onih koji se javljaju na natječaje zatraži da u svojoj ponudi opišu svoj prijedlog pristupa temama i aktivnostima evaluacije ili pak tražeći da izvođač primijeni određenu metodologiju. Općenito se preporučuje omogućiti izvođaču fleksibilnost da predloži svoj pristup procjeni ostvarenja, rezultata i učinaka NRM-a i primijeni metode koje smatra dovoljno konzistentnima za procjenu NRM-a. Pristup i metode izvođač bi u ponudi trebao detaljno opisati. U svakom slučaju, preporučuje se da UT izgradi dovoljne kapacitete za prosudbu kvalitete konzistentnosti pristupa i metoda. </w:t>
      </w:r>
    </w:p>
    <w:p w:rsidR="00867290" w:rsidRPr="000A700F" w:rsidRDefault="00867290" w:rsidP="00B51C05">
      <w:pPr>
        <w:pStyle w:val="HStandard"/>
        <w:rPr>
          <w:i/>
          <w:highlight w:val="yellow"/>
        </w:rPr>
      </w:pPr>
      <w:r>
        <w:rPr>
          <w:i/>
          <w:highlight w:val="yellow"/>
        </w:rPr>
        <w:t>Primjer:</w:t>
      </w:r>
    </w:p>
    <w:p w:rsidR="00867290" w:rsidRPr="000A700F" w:rsidRDefault="00867290" w:rsidP="00B51C05">
      <w:pPr>
        <w:pStyle w:val="HStandard"/>
        <w:rPr>
          <w:i/>
          <w:highlight w:val="yellow"/>
        </w:rPr>
      </w:pPr>
      <w:r>
        <w:rPr>
          <w:i/>
          <w:highlight w:val="yellow"/>
        </w:rPr>
        <w:t>Važno je potvrditi da su ruralne mreže primjeri „mekanih” intervencija, čije je učinke često teško zabilježiti evaluacijom. U evaluaciji NRM-ova/(P)NRM-ova mogu se upotrebljavati sljedeće metode:</w:t>
      </w:r>
    </w:p>
    <w:p w:rsidR="00867290" w:rsidRPr="000A700F" w:rsidRDefault="00867290" w:rsidP="00B51C05">
      <w:pPr>
        <w:pStyle w:val="Hlistbullet2"/>
        <w:rPr>
          <w:i/>
          <w:highlight w:val="yellow"/>
        </w:rPr>
      </w:pPr>
      <w:r>
        <w:rPr>
          <w:i/>
          <w:highlight w:val="yellow"/>
        </w:rPr>
        <w:t>detaljna analiza podataka o praćenju;</w:t>
      </w:r>
    </w:p>
    <w:p w:rsidR="00867290" w:rsidRPr="000A700F" w:rsidRDefault="00867290" w:rsidP="00B51C05">
      <w:pPr>
        <w:pStyle w:val="Hlistbullet2"/>
        <w:rPr>
          <w:i/>
          <w:highlight w:val="yellow"/>
        </w:rPr>
      </w:pPr>
      <w:r>
        <w:rPr>
          <w:i/>
          <w:highlight w:val="yellow"/>
        </w:rPr>
        <w:t>teorijski utemeljeni pristupi za utvrđivanje intervencijske logike i evaluacijskog okvira (npr. teorija promjene);</w:t>
      </w:r>
    </w:p>
    <w:p w:rsidR="00867290" w:rsidRPr="000A700F" w:rsidRDefault="00867290" w:rsidP="00B51C05">
      <w:pPr>
        <w:pStyle w:val="Hlistbullet2"/>
        <w:rPr>
          <w:i/>
          <w:highlight w:val="yellow"/>
        </w:rPr>
      </w:pPr>
      <w:r>
        <w:rPr>
          <w:i/>
          <w:highlight w:val="yellow"/>
        </w:rPr>
        <w:t>studije slučaja</w:t>
      </w:r>
      <w:r>
        <w:rPr>
          <w:rFonts w:ascii="ZWAdobeF" w:hAnsi="ZWAdobeF"/>
          <w:color w:val="auto"/>
          <w:sz w:val="2"/>
          <w:highlight w:val="yellow"/>
        </w:rPr>
        <w:t>123F</w:t>
      </w:r>
      <w:r>
        <w:rPr>
          <w:rStyle w:val="FootnoteReference"/>
          <w:highlight w:val="yellow"/>
        </w:rPr>
        <w:footnoteReference w:id="124"/>
      </w:r>
      <w:r>
        <w:rPr>
          <w:i/>
          <w:highlight w:val="yellow"/>
        </w:rPr>
        <w:t>;</w:t>
      </w:r>
    </w:p>
    <w:p w:rsidR="00867290" w:rsidRPr="000A700F" w:rsidRDefault="00867290" w:rsidP="00B51C05">
      <w:pPr>
        <w:pStyle w:val="Hlistbullet2"/>
        <w:rPr>
          <w:i/>
          <w:highlight w:val="yellow"/>
        </w:rPr>
      </w:pPr>
      <w:r>
        <w:rPr>
          <w:i/>
          <w:highlight w:val="yellow"/>
        </w:rPr>
        <w:t>procjene na terenu koje provode sudionici, sudjelujući u promatranjima na događajima;</w:t>
      </w:r>
    </w:p>
    <w:p w:rsidR="00867290" w:rsidRPr="000A700F" w:rsidRDefault="00867290" w:rsidP="00B51C05">
      <w:pPr>
        <w:pStyle w:val="Hlistbullet2"/>
        <w:rPr>
          <w:i/>
          <w:highlight w:val="yellow"/>
        </w:rPr>
      </w:pPr>
      <w:r>
        <w:rPr>
          <w:i/>
          <w:highlight w:val="yellow"/>
        </w:rPr>
        <w:t>ankete provedene u široj skupini sudionika;</w:t>
      </w:r>
    </w:p>
    <w:p w:rsidR="00867290" w:rsidRPr="000A700F" w:rsidRDefault="00867290" w:rsidP="00B51C05">
      <w:pPr>
        <w:pStyle w:val="Hlistbullet2"/>
        <w:rPr>
          <w:i/>
          <w:highlight w:val="yellow"/>
        </w:rPr>
      </w:pPr>
      <w:r>
        <w:rPr>
          <w:i/>
          <w:highlight w:val="yellow"/>
        </w:rPr>
        <w:t>detaljni razgovori i fokusne skupine</w:t>
      </w:r>
      <w:r>
        <w:rPr>
          <w:rFonts w:ascii="ZWAdobeF" w:hAnsi="ZWAdobeF"/>
          <w:color w:val="auto"/>
          <w:sz w:val="2"/>
          <w:highlight w:val="yellow"/>
        </w:rPr>
        <w:t>124F</w:t>
      </w:r>
      <w:r>
        <w:rPr>
          <w:rStyle w:val="FootnoteReference"/>
          <w:highlight w:val="yellow"/>
        </w:rPr>
        <w:footnoteReference w:id="125"/>
      </w:r>
      <w:r>
        <w:rPr>
          <w:i/>
          <w:highlight w:val="yellow"/>
        </w:rPr>
        <w:t xml:space="preserve">; </w:t>
      </w:r>
    </w:p>
    <w:p w:rsidR="00867290" w:rsidRPr="000A700F" w:rsidRDefault="00867290" w:rsidP="00B51C05">
      <w:pPr>
        <w:pStyle w:val="Hlistbullet2"/>
        <w:rPr>
          <w:i/>
          <w:highlight w:val="yellow"/>
        </w:rPr>
      </w:pPr>
      <w:r>
        <w:rPr>
          <w:i/>
          <w:highlight w:val="yellow"/>
        </w:rPr>
        <w:t>analiza dionika</w:t>
      </w:r>
      <w:r>
        <w:rPr>
          <w:rFonts w:ascii="ZWAdobeF" w:hAnsi="ZWAdobeF"/>
          <w:color w:val="auto"/>
          <w:sz w:val="2"/>
          <w:highlight w:val="yellow"/>
        </w:rPr>
        <w:t>125F</w:t>
      </w:r>
      <w:r>
        <w:rPr>
          <w:rStyle w:val="FootnoteReference"/>
          <w:highlight w:val="yellow"/>
        </w:rPr>
        <w:footnoteReference w:id="126"/>
      </w:r>
      <w:r>
        <w:rPr>
          <w:i/>
          <w:highlight w:val="yellow"/>
        </w:rPr>
        <w:t xml:space="preserve">; </w:t>
      </w:r>
    </w:p>
    <w:p w:rsidR="00867290" w:rsidRPr="000A700F" w:rsidRDefault="00867290" w:rsidP="00B51C05">
      <w:pPr>
        <w:pStyle w:val="Hlistbullet2"/>
        <w:rPr>
          <w:i/>
          <w:highlight w:val="yellow"/>
        </w:rPr>
      </w:pPr>
      <w:r>
        <w:rPr>
          <w:i/>
          <w:highlight w:val="yellow"/>
        </w:rPr>
        <w:t>analiza funkcije mreže</w:t>
      </w:r>
      <w:r>
        <w:rPr>
          <w:rFonts w:ascii="ZWAdobeF" w:hAnsi="ZWAdobeF"/>
          <w:color w:val="auto"/>
          <w:sz w:val="2"/>
          <w:highlight w:val="yellow"/>
        </w:rPr>
        <w:t>126 F</w:t>
      </w:r>
      <w:r>
        <w:rPr>
          <w:rStyle w:val="FootnoteReference"/>
          <w:highlight w:val="yellow"/>
        </w:rPr>
        <w:footnoteReference w:id="127"/>
      </w:r>
      <w:r>
        <w:rPr>
          <w:i/>
          <w:highlight w:val="yellow"/>
        </w:rPr>
        <w:t>;</w:t>
      </w:r>
    </w:p>
    <w:p w:rsidR="00867290" w:rsidRPr="000A700F" w:rsidRDefault="00867290" w:rsidP="00B51C05">
      <w:pPr>
        <w:pStyle w:val="Hlistbullet2"/>
        <w:rPr>
          <w:i/>
          <w:highlight w:val="yellow"/>
        </w:rPr>
      </w:pPr>
      <w:r>
        <w:rPr>
          <w:i/>
          <w:highlight w:val="yellow"/>
        </w:rPr>
        <w:t>dijagnoza mreže i organizacije</w:t>
      </w:r>
      <w:r>
        <w:rPr>
          <w:rFonts w:ascii="ZWAdobeF" w:hAnsi="ZWAdobeF"/>
          <w:color w:val="auto"/>
          <w:sz w:val="2"/>
          <w:highlight w:val="yellow"/>
        </w:rPr>
        <w:t>127F</w:t>
      </w:r>
      <w:r>
        <w:rPr>
          <w:rStyle w:val="FootnoteReference"/>
          <w:highlight w:val="yellow"/>
        </w:rPr>
        <w:footnoteReference w:id="128"/>
      </w:r>
      <w:r>
        <w:rPr>
          <w:i/>
          <w:highlight w:val="yellow"/>
        </w:rPr>
        <w:t>;</w:t>
      </w:r>
    </w:p>
    <w:p w:rsidR="00867290" w:rsidRPr="000A700F" w:rsidRDefault="00867290" w:rsidP="00B51C05">
      <w:pPr>
        <w:pStyle w:val="Hlistbullet2"/>
        <w:rPr>
          <w:highlight w:val="yellow"/>
        </w:rPr>
      </w:pPr>
      <w:r>
        <w:rPr>
          <w:i/>
          <w:highlight w:val="yellow"/>
        </w:rPr>
        <w:t>analiza društvene mreže</w:t>
      </w:r>
      <w:r>
        <w:rPr>
          <w:rFonts w:ascii="ZWAdobeF" w:hAnsi="ZWAdobeF"/>
          <w:color w:val="auto"/>
          <w:sz w:val="2"/>
          <w:highlight w:val="yellow"/>
        </w:rPr>
        <w:t>128 F</w:t>
      </w:r>
      <w:r>
        <w:rPr>
          <w:rStyle w:val="FootnoteReference"/>
          <w:highlight w:val="yellow"/>
        </w:rPr>
        <w:footnoteReference w:id="129"/>
      </w:r>
      <w:r>
        <w:rPr>
          <w:i/>
          <w:highlight w:val="yellow"/>
        </w:rPr>
        <w:t>.</w:t>
      </w:r>
    </w:p>
    <w:p w:rsidR="00867290" w:rsidRPr="000A700F" w:rsidRDefault="00867290" w:rsidP="006A099F">
      <w:pPr>
        <w:pStyle w:val="HHeading5"/>
        <w:rPr>
          <w:highlight w:val="yellow"/>
        </w:rPr>
      </w:pPr>
      <w:bookmarkStart w:id="345" w:name="_Toc422307931"/>
      <w:r>
        <w:rPr>
          <w:highlight w:val="yellow"/>
        </w:rPr>
        <w:lastRenderedPageBreak/>
        <w:t>Izvori informacija</w:t>
      </w:r>
      <w:bookmarkEnd w:id="345"/>
    </w:p>
    <w:p w:rsidR="00867290" w:rsidRPr="000A700F" w:rsidRDefault="00867290" w:rsidP="00B51C05">
      <w:pPr>
        <w:pStyle w:val="H-Standard"/>
        <w:rPr>
          <w:highlight w:val="yellow"/>
        </w:rPr>
      </w:pPr>
      <w:r>
        <w:rPr>
          <w:highlight w:val="yellow"/>
        </w:rPr>
        <w:t>OP bi trebao sadržavati pregled dostupnih izvora podataka i informacija bitnih za zadatak evaluacije. To uključuje preciziranje informacija prikupljenih sustavom praćenja, drugih dostupnih baza podataka</w:t>
      </w:r>
      <w:r w:rsidRPr="001D4235">
        <w:rPr>
          <w:highlight w:val="yellow"/>
        </w:rPr>
        <w:t xml:space="preserve"> </w:t>
      </w:r>
      <w:r>
        <w:rPr>
          <w:highlight w:val="yellow"/>
        </w:rPr>
        <w:t>i dokumenata, detalja o tome tko ima informacije i kako se one mogu procijeniti te reference na sve otprije obavljene relevantne analize i istraživanja. Korisno je naglasiti i koje informacije/koji podaci nisu dostupni, a očekuje se da će ih prikupiti evaluator. Te su informacije važne i za realističnu procjenu ponude.</w:t>
      </w:r>
    </w:p>
    <w:p w:rsidR="00867290" w:rsidRPr="000A700F" w:rsidRDefault="00867290" w:rsidP="00B51C05">
      <w:pPr>
        <w:pStyle w:val="H-Standard"/>
        <w:rPr>
          <w:i/>
          <w:highlight w:val="yellow"/>
        </w:rPr>
      </w:pPr>
      <w:r>
        <w:rPr>
          <w:i/>
          <w:highlight w:val="yellow"/>
        </w:rPr>
        <w:t>Primjer dostupnih izvora podataka i informacija:</w:t>
      </w:r>
    </w:p>
    <w:p w:rsidR="00867290" w:rsidRPr="000A700F" w:rsidRDefault="00867290" w:rsidP="00B51C05">
      <w:pPr>
        <w:pStyle w:val="Hlistbullet2"/>
        <w:rPr>
          <w:i/>
          <w:highlight w:val="yellow"/>
        </w:rPr>
      </w:pPr>
      <w:r>
        <w:rPr>
          <w:i/>
          <w:highlight w:val="yellow"/>
        </w:rPr>
        <w:t>Studija izvedivosti i procjena potreba kako bi se osnovao NRM;</w:t>
      </w:r>
    </w:p>
    <w:p w:rsidR="00867290" w:rsidRPr="000A700F" w:rsidRDefault="00867290" w:rsidP="00B51C05">
      <w:pPr>
        <w:pStyle w:val="Hlistbullet2"/>
        <w:rPr>
          <w:i/>
          <w:highlight w:val="yellow"/>
        </w:rPr>
      </w:pPr>
      <w:r>
        <w:rPr>
          <w:i/>
          <w:highlight w:val="yellow"/>
        </w:rPr>
        <w:t>Akcijski plan NRM-a koji uključuje plan izgradnje kapaciteta i komunikacijski plan;</w:t>
      </w:r>
    </w:p>
    <w:p w:rsidR="00867290" w:rsidRPr="000A700F" w:rsidRDefault="00867290" w:rsidP="00B51C05">
      <w:pPr>
        <w:pStyle w:val="Hlistbullet2"/>
        <w:rPr>
          <w:i/>
          <w:highlight w:val="yellow"/>
        </w:rPr>
      </w:pPr>
      <w:r>
        <w:rPr>
          <w:i/>
          <w:highlight w:val="yellow"/>
        </w:rPr>
        <w:t>Podaci NRM-a o samoocjenjivanju;</w:t>
      </w:r>
    </w:p>
    <w:p w:rsidR="00867290" w:rsidRPr="000A700F" w:rsidRDefault="00867290" w:rsidP="00B51C05">
      <w:pPr>
        <w:pStyle w:val="Hlistbullet2"/>
        <w:rPr>
          <w:i/>
          <w:highlight w:val="yellow"/>
        </w:rPr>
      </w:pPr>
      <w:r>
        <w:rPr>
          <w:i/>
          <w:highlight w:val="yellow"/>
        </w:rPr>
        <w:t>Projektna baza podataka NRM-a;</w:t>
      </w:r>
    </w:p>
    <w:p w:rsidR="00867290" w:rsidRPr="000A700F" w:rsidRDefault="00867290" w:rsidP="00B51C05">
      <w:pPr>
        <w:pStyle w:val="Hlistbullet2"/>
        <w:rPr>
          <w:i/>
          <w:highlight w:val="yellow"/>
        </w:rPr>
      </w:pPr>
      <w:r>
        <w:rPr>
          <w:i/>
          <w:highlight w:val="yellow"/>
        </w:rPr>
        <w:t>Podaci o plaćanju za aktivnosti NRM-a;</w:t>
      </w:r>
    </w:p>
    <w:p w:rsidR="00867290" w:rsidRPr="000A700F" w:rsidRDefault="00867290" w:rsidP="00B51C05">
      <w:pPr>
        <w:pStyle w:val="Hlistbullet2"/>
        <w:rPr>
          <w:i/>
          <w:highlight w:val="yellow"/>
        </w:rPr>
      </w:pPr>
      <w:r>
        <w:rPr>
          <w:i/>
          <w:highlight w:val="yellow"/>
        </w:rPr>
        <w:t>Podaci o praćenju PRR-a (baza podataka operacija);</w:t>
      </w:r>
    </w:p>
    <w:p w:rsidR="00867290" w:rsidRPr="000A700F" w:rsidRDefault="00867290" w:rsidP="00B51C05">
      <w:pPr>
        <w:pStyle w:val="Hlistbullet2"/>
        <w:rPr>
          <w:i/>
          <w:highlight w:val="yellow"/>
        </w:rPr>
      </w:pPr>
      <w:r w:rsidRPr="001D4235">
        <w:rPr>
          <w:highlight w:val="yellow"/>
        </w:rPr>
        <w:t>Ex post</w:t>
      </w:r>
      <w:r>
        <w:rPr>
          <w:i/>
          <w:highlight w:val="yellow"/>
        </w:rPr>
        <w:t xml:space="preserve"> evaluacija NRM-a u programskom razdoblju 2007. – 2013.</w:t>
      </w:r>
    </w:p>
    <w:p w:rsidR="00867290" w:rsidRPr="000A700F" w:rsidRDefault="00867290" w:rsidP="006A099F">
      <w:pPr>
        <w:pStyle w:val="HHeading5"/>
        <w:rPr>
          <w:highlight w:val="yellow"/>
        </w:rPr>
      </w:pPr>
      <w:bookmarkStart w:id="346" w:name="_Toc422307932"/>
      <w:r>
        <w:rPr>
          <w:highlight w:val="yellow"/>
        </w:rPr>
        <w:t>Raspored i dokumenti</w:t>
      </w:r>
      <w:bookmarkEnd w:id="346"/>
    </w:p>
    <w:p w:rsidR="00867290" w:rsidRPr="000A700F" w:rsidRDefault="00867290" w:rsidP="00B51C05">
      <w:pPr>
        <w:pStyle w:val="H-Standard"/>
        <w:rPr>
          <w:highlight w:val="yellow"/>
        </w:rPr>
      </w:pPr>
      <w:r>
        <w:rPr>
          <w:highlight w:val="yellow"/>
        </w:rPr>
        <w:t>Opisom poslova precizira se trajanje ugovora o evaluaciji i vremenski raspored dokumenata. Trebalo bi navesti i fiksne ključne točke i rokove s kojima su dokumenti povezani. OP-om se dalje može precizirati svrha i ciljna skupina glavnih dokumenata.</w:t>
      </w:r>
    </w:p>
    <w:p w:rsidR="00867290" w:rsidRPr="000A700F" w:rsidRDefault="00867290" w:rsidP="00B51C05">
      <w:pPr>
        <w:pStyle w:val="H-Standard"/>
        <w:rPr>
          <w:highlight w:val="yellow"/>
        </w:rPr>
      </w:pPr>
      <w:r>
        <w:rPr>
          <w:highlight w:val="yellow"/>
        </w:rPr>
        <w:t xml:space="preserve">Očekivani dokumenti, njihova duljina, format i sadržaj trebali bi biti pažljivo opisani (npr. sadržaj izvješća o evaluaciji, doprinos standardnim i dopunjenim godišnjim izvješćima o provedbi, sažeci (na engleskom jeziku), drugi traženi dokumenti za širenje rezultata evaluacije). </w:t>
      </w:r>
    </w:p>
    <w:p w:rsidR="00867290" w:rsidRPr="000A700F" w:rsidRDefault="00867290" w:rsidP="00B51C05">
      <w:pPr>
        <w:pStyle w:val="H-Standard"/>
        <w:rPr>
          <w:highlight w:val="yellow"/>
        </w:rPr>
      </w:pPr>
      <w:r>
        <w:rPr>
          <w:highlight w:val="yellow"/>
        </w:rPr>
        <w:t>Veza između očekivanih dokumenata i (privremenih) uplata daje se u dogovoru oko izdavanja računa u okviru OP-a.</w:t>
      </w:r>
    </w:p>
    <w:p w:rsidR="00867290" w:rsidRPr="000A700F" w:rsidRDefault="00867290" w:rsidP="00B51C05">
      <w:pPr>
        <w:pStyle w:val="H-Standard"/>
        <w:rPr>
          <w:i/>
          <w:highlight w:val="yellow"/>
        </w:rPr>
      </w:pPr>
      <w:r>
        <w:rPr>
          <w:i/>
          <w:highlight w:val="yellow"/>
        </w:rPr>
        <w:t>Primjer:</w:t>
      </w:r>
    </w:p>
    <w:tbl>
      <w:tblPr>
        <w:tblStyle w:val="TableGrid"/>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555"/>
        <w:gridCol w:w="2254"/>
        <w:gridCol w:w="3699"/>
      </w:tblGrid>
      <w:tr w:rsidR="00867290" w:rsidRPr="000A700F" w:rsidTr="00754C47">
        <w:trPr>
          <w:tblHeader/>
          <w:jc w:val="center"/>
        </w:trPr>
        <w:tc>
          <w:tcPr>
            <w:tcW w:w="1555" w:type="dxa"/>
            <w:shd w:val="clear" w:color="auto" w:fill="E7E6E6" w:themeFill="background2"/>
          </w:tcPr>
          <w:p w:rsidR="00867290" w:rsidRPr="000A700F" w:rsidRDefault="00867290" w:rsidP="00B51C05">
            <w:pPr>
              <w:pStyle w:val="H-Standard"/>
              <w:jc w:val="center"/>
              <w:rPr>
                <w:b/>
                <w:i/>
                <w:color w:val="5B9BD5" w:themeColor="accent1"/>
                <w:sz w:val="18"/>
                <w:highlight w:val="yellow"/>
              </w:rPr>
            </w:pPr>
            <w:r>
              <w:rPr>
                <w:b/>
                <w:i/>
                <w:color w:val="5B9BD5" w:themeColor="accent1"/>
                <w:sz w:val="18"/>
                <w:highlight w:val="yellow"/>
              </w:rPr>
              <w:t>Vremenski raspored</w:t>
            </w:r>
          </w:p>
        </w:tc>
        <w:tc>
          <w:tcPr>
            <w:tcW w:w="2254" w:type="dxa"/>
            <w:shd w:val="clear" w:color="auto" w:fill="E7E6E6" w:themeFill="background2"/>
          </w:tcPr>
          <w:p w:rsidR="00867290" w:rsidRPr="000A700F" w:rsidRDefault="00867290" w:rsidP="00B51C05">
            <w:pPr>
              <w:pStyle w:val="H-Standard"/>
              <w:jc w:val="center"/>
              <w:rPr>
                <w:b/>
                <w:i/>
                <w:color w:val="5B9BD5" w:themeColor="accent1"/>
                <w:sz w:val="18"/>
                <w:highlight w:val="yellow"/>
              </w:rPr>
            </w:pPr>
            <w:r>
              <w:rPr>
                <w:b/>
                <w:i/>
                <w:color w:val="5B9BD5" w:themeColor="accent1"/>
                <w:sz w:val="18"/>
                <w:highlight w:val="yellow"/>
              </w:rPr>
              <w:t>Dokument</w:t>
            </w:r>
          </w:p>
        </w:tc>
        <w:tc>
          <w:tcPr>
            <w:tcW w:w="3699" w:type="dxa"/>
            <w:shd w:val="clear" w:color="auto" w:fill="E7E6E6" w:themeFill="background2"/>
          </w:tcPr>
          <w:p w:rsidR="00867290" w:rsidRPr="000A700F" w:rsidRDefault="00867290" w:rsidP="00B51C05">
            <w:pPr>
              <w:pStyle w:val="H-Standard"/>
              <w:jc w:val="center"/>
              <w:rPr>
                <w:b/>
                <w:i/>
                <w:color w:val="5B9BD5" w:themeColor="accent1"/>
                <w:sz w:val="18"/>
                <w:highlight w:val="yellow"/>
              </w:rPr>
            </w:pPr>
            <w:r>
              <w:rPr>
                <w:b/>
                <w:i/>
                <w:color w:val="5B9BD5" w:themeColor="accent1"/>
                <w:sz w:val="18"/>
                <w:highlight w:val="yellow"/>
              </w:rPr>
              <w:t>Sadržaj dokumenta</w:t>
            </w:r>
          </w:p>
        </w:tc>
      </w:tr>
      <w:tr w:rsidR="00867290" w:rsidRPr="000A700F" w:rsidTr="00754C47">
        <w:trPr>
          <w:jc w:val="center"/>
        </w:trPr>
        <w:tc>
          <w:tcPr>
            <w:tcW w:w="1555" w:type="dxa"/>
          </w:tcPr>
          <w:p w:rsidR="00867290" w:rsidRPr="000A700F" w:rsidRDefault="00867290" w:rsidP="00445E97">
            <w:pPr>
              <w:pStyle w:val="H-Standard"/>
              <w:jc w:val="left"/>
              <w:rPr>
                <w:i/>
                <w:sz w:val="18"/>
                <w:highlight w:val="yellow"/>
              </w:rPr>
            </w:pPr>
            <w:r>
              <w:rPr>
                <w:i/>
                <w:sz w:val="18"/>
                <w:highlight w:val="yellow"/>
              </w:rPr>
              <w:t>ožujak 2017.</w:t>
            </w:r>
          </w:p>
        </w:tc>
        <w:tc>
          <w:tcPr>
            <w:tcW w:w="2254" w:type="dxa"/>
          </w:tcPr>
          <w:p w:rsidR="00867290" w:rsidRPr="000A700F" w:rsidRDefault="00867290" w:rsidP="00445E97">
            <w:pPr>
              <w:pStyle w:val="H-Standard"/>
              <w:jc w:val="left"/>
              <w:rPr>
                <w:i/>
                <w:sz w:val="18"/>
                <w:highlight w:val="yellow"/>
              </w:rPr>
            </w:pPr>
            <w:r>
              <w:rPr>
                <w:i/>
                <w:sz w:val="18"/>
                <w:highlight w:val="yellow"/>
              </w:rPr>
              <w:t>Prvo izvješće (maksimalno 80 str.) koje je odobrila upravljačka skupina</w:t>
            </w:r>
          </w:p>
          <w:p w:rsidR="00867290" w:rsidRPr="000A700F" w:rsidRDefault="00867290" w:rsidP="00445E97">
            <w:pPr>
              <w:pStyle w:val="H-Standard"/>
              <w:jc w:val="left"/>
              <w:rPr>
                <w:i/>
                <w:sz w:val="18"/>
                <w:highlight w:val="yellow"/>
              </w:rPr>
            </w:pPr>
            <w:r>
              <w:rPr>
                <w:i/>
                <w:sz w:val="18"/>
                <w:highlight w:val="yellow"/>
              </w:rPr>
              <w:t>Prvo izvješće uključuje sažetak od najviše četiri stranice, s konkretnim identifikatorima navedenima na naslovnici i standardnom izjavom o odricanju od odgovornosti.</w:t>
            </w:r>
          </w:p>
          <w:p w:rsidR="00867290" w:rsidRPr="000A700F" w:rsidRDefault="00867290" w:rsidP="00B51C05">
            <w:pPr>
              <w:pStyle w:val="H-Standard"/>
              <w:jc w:val="left"/>
              <w:rPr>
                <w:i/>
                <w:sz w:val="18"/>
                <w:highlight w:val="yellow"/>
              </w:rPr>
            </w:pPr>
            <w:r>
              <w:rPr>
                <w:i/>
                <w:sz w:val="18"/>
                <w:highlight w:val="yellow"/>
              </w:rPr>
              <w:lastRenderedPageBreak/>
              <w:t>Prvo izvješće bit će u potpunosti objavljeno na mrežnoj stranici PRR-a.</w:t>
            </w:r>
          </w:p>
        </w:tc>
        <w:tc>
          <w:tcPr>
            <w:tcW w:w="3699" w:type="dxa"/>
          </w:tcPr>
          <w:p w:rsidR="00867290" w:rsidRPr="000A700F" w:rsidRDefault="00867290" w:rsidP="00445E97">
            <w:pPr>
              <w:pStyle w:val="H-Standard"/>
              <w:jc w:val="left"/>
              <w:rPr>
                <w:i/>
                <w:sz w:val="18"/>
                <w:highlight w:val="yellow"/>
              </w:rPr>
            </w:pPr>
            <w:r>
              <w:rPr>
                <w:i/>
                <w:sz w:val="18"/>
                <w:highlight w:val="yellow"/>
              </w:rPr>
              <w:lastRenderedPageBreak/>
              <w:t>Preispitivanje evaluacijskog okvira i dostupnosti izvora podataka, uključujući samoocjenjivanje</w:t>
            </w:r>
          </w:p>
          <w:p w:rsidR="00867290" w:rsidRPr="000A700F" w:rsidRDefault="00867290" w:rsidP="00445E97">
            <w:pPr>
              <w:pStyle w:val="H-Standard"/>
              <w:jc w:val="left"/>
              <w:rPr>
                <w:i/>
                <w:sz w:val="18"/>
                <w:highlight w:val="yellow"/>
              </w:rPr>
            </w:pPr>
            <w:r>
              <w:rPr>
                <w:i/>
                <w:sz w:val="18"/>
                <w:highlight w:val="yellow"/>
              </w:rPr>
              <w:t>Preispitivanje upravljanja NRM-om i sustava ostvarenja NRM-a</w:t>
            </w:r>
          </w:p>
          <w:p w:rsidR="00867290" w:rsidRPr="000A700F" w:rsidRDefault="00867290" w:rsidP="00445E97">
            <w:pPr>
              <w:pStyle w:val="H-Standard"/>
              <w:jc w:val="left"/>
              <w:rPr>
                <w:i/>
                <w:sz w:val="18"/>
                <w:highlight w:val="yellow"/>
              </w:rPr>
            </w:pPr>
            <w:r>
              <w:rPr>
                <w:i/>
                <w:sz w:val="18"/>
                <w:highlight w:val="yellow"/>
              </w:rPr>
              <w:t>Preispitivanje relevantnosti predviđenih usluga i aktivnosti NRM-a</w:t>
            </w:r>
          </w:p>
          <w:p w:rsidR="00867290" w:rsidRPr="000A700F" w:rsidRDefault="00867290" w:rsidP="00445E97">
            <w:pPr>
              <w:pStyle w:val="H-Standard"/>
              <w:jc w:val="left"/>
              <w:rPr>
                <w:i/>
                <w:sz w:val="18"/>
                <w:highlight w:val="yellow"/>
              </w:rPr>
            </w:pPr>
            <w:r>
              <w:rPr>
                <w:i/>
                <w:sz w:val="18"/>
                <w:highlight w:val="yellow"/>
              </w:rPr>
              <w:t>Usklađenost s drugim mrežama na nacionalnoj i europskoj razini</w:t>
            </w:r>
          </w:p>
          <w:p w:rsidR="00867290" w:rsidRPr="000A700F" w:rsidRDefault="00867290" w:rsidP="00445E97">
            <w:pPr>
              <w:pStyle w:val="H-Standard"/>
              <w:jc w:val="left"/>
              <w:rPr>
                <w:i/>
                <w:sz w:val="18"/>
                <w:highlight w:val="yellow"/>
              </w:rPr>
            </w:pPr>
            <w:r>
              <w:rPr>
                <w:i/>
                <w:sz w:val="18"/>
                <w:highlight w:val="yellow"/>
              </w:rPr>
              <w:t>Uspješnost i ostvarenja NRM-a (uzimajući u obzir pokazatelje ostvarenja ZSPE-a)</w:t>
            </w:r>
          </w:p>
          <w:p w:rsidR="00867290" w:rsidRPr="000A700F" w:rsidRDefault="00867290" w:rsidP="00445E97">
            <w:pPr>
              <w:pStyle w:val="H-Standard"/>
              <w:jc w:val="left"/>
              <w:rPr>
                <w:i/>
                <w:sz w:val="18"/>
                <w:highlight w:val="yellow"/>
              </w:rPr>
            </w:pPr>
            <w:r>
              <w:rPr>
                <w:i/>
                <w:sz w:val="18"/>
                <w:highlight w:val="yellow"/>
              </w:rPr>
              <w:lastRenderedPageBreak/>
              <w:t>Preporuke o tome kako u budućnosti optimizirati usluge i aktivnosti NRM-a</w:t>
            </w:r>
          </w:p>
        </w:tc>
      </w:tr>
    </w:tbl>
    <w:p w:rsidR="00867290" w:rsidRPr="000A700F" w:rsidRDefault="00867290" w:rsidP="006A099F">
      <w:pPr>
        <w:pStyle w:val="HHeading5"/>
        <w:rPr>
          <w:highlight w:val="yellow"/>
        </w:rPr>
      </w:pPr>
      <w:bookmarkStart w:id="347" w:name="_Toc422307933"/>
      <w:r>
        <w:rPr>
          <w:highlight w:val="yellow"/>
        </w:rPr>
        <w:lastRenderedPageBreak/>
        <w:t>Upravljanje ugovorom o evaluaciji</w:t>
      </w:r>
      <w:bookmarkEnd w:id="347"/>
    </w:p>
    <w:p w:rsidR="00867290" w:rsidRPr="000A700F" w:rsidRDefault="00867290" w:rsidP="00B51C05">
      <w:pPr>
        <w:pStyle w:val="H-Standard"/>
        <w:rPr>
          <w:highlight w:val="yellow"/>
        </w:rPr>
      </w:pPr>
      <w:r>
        <w:rPr>
          <w:highlight w:val="yellow"/>
        </w:rPr>
        <w:t xml:space="preserve">U ovom se dijelu opisuje kako će se upravljati ugovorom o evaluaciji. Ako postoji upravljačka skupina za evaluaciju, u OP-u mogu biti navedeni njezini članovi i opisane njihove konkretne uloge. </w:t>
      </w:r>
    </w:p>
    <w:p w:rsidR="00867290" w:rsidRPr="000A700F" w:rsidRDefault="00867290" w:rsidP="00B51C05">
      <w:pPr>
        <w:pStyle w:val="H-Standard"/>
        <w:rPr>
          <w:highlight w:val="yellow"/>
        </w:rPr>
      </w:pPr>
      <w:r>
        <w:rPr>
          <w:highlight w:val="yellow"/>
        </w:rPr>
        <w:t xml:space="preserve">Isto bi tako trebalo precizirati očekivanja o tome kakva će biti interakcija evaluatora i javnog naručitelja (npr. osobe za kontakt, učestalost sastanaka, prezentacije pojedinim ciljnim skupinama). </w:t>
      </w:r>
    </w:p>
    <w:p w:rsidR="00867290" w:rsidRPr="000A700F" w:rsidRDefault="00867290" w:rsidP="006A099F">
      <w:pPr>
        <w:pStyle w:val="HHeading5"/>
        <w:rPr>
          <w:highlight w:val="yellow"/>
        </w:rPr>
      </w:pPr>
      <w:bookmarkStart w:id="348" w:name="_Toc422307934"/>
      <w:r>
        <w:rPr>
          <w:highlight w:val="yellow"/>
        </w:rPr>
        <w:t>Proračun</w:t>
      </w:r>
      <w:bookmarkEnd w:id="348"/>
    </w:p>
    <w:p w:rsidR="00867290" w:rsidRPr="000A700F" w:rsidRDefault="00867290" w:rsidP="00B51C05">
      <w:pPr>
        <w:pStyle w:val="H-Standard"/>
        <w:rPr>
          <w:highlight w:val="yellow"/>
        </w:rPr>
      </w:pPr>
      <w:r>
        <w:rPr>
          <w:highlight w:val="yellow"/>
        </w:rPr>
        <w:t xml:space="preserve">Proračun za ugovor o evaluaciji trebao bi biti jasno preciziran (troškove za kupnju podataka trebalo bi navesti posebno). Smatra se dobrom praksom ako javni naručitelj precizira maksimalni i minimalni proračun za javna nadmetanja. To evaluatorima omogućava razviti realistične financijske ponude. </w:t>
      </w:r>
    </w:p>
    <w:p w:rsidR="00867290" w:rsidRPr="000A700F" w:rsidRDefault="00867290" w:rsidP="006A099F">
      <w:pPr>
        <w:pStyle w:val="HHeading5"/>
        <w:rPr>
          <w:highlight w:val="yellow"/>
        </w:rPr>
      </w:pPr>
      <w:bookmarkStart w:id="349" w:name="_Toc422307935"/>
      <w:r>
        <w:rPr>
          <w:highlight w:val="yellow"/>
        </w:rPr>
        <w:t>Osposobljenost ekipe</w:t>
      </w:r>
      <w:bookmarkEnd w:id="349"/>
    </w:p>
    <w:p w:rsidR="00867290" w:rsidRPr="000A700F" w:rsidRDefault="00867290" w:rsidP="00B51C05">
      <w:pPr>
        <w:pStyle w:val="H-Standard"/>
        <w:rPr>
          <w:highlight w:val="yellow"/>
        </w:rPr>
      </w:pPr>
      <w:r>
        <w:rPr>
          <w:highlight w:val="yellow"/>
        </w:rPr>
        <w:t xml:space="preserve">Zahtjevi koji se odnose na osposobljenost evaluacijske ekipe blisko su povezani s traženom metodologijom i potrebama upravljanja projektom. Često se preciziraju kategorije stručnjaka (npr. godine profesionalnog iskustva, akademske titule). Fleksibilniji OP-ovi ograničavaju se samo na preciziranje vještina i iskustava koji moraju biti dostupni u evaluacijskoj ekipi, a ne na preciziranje zahtjeva za svaku poziciju. To izvođaču daje više izbora da sastavi ekipu koja dobro funkcionira. </w:t>
      </w:r>
    </w:p>
    <w:p w:rsidR="00867290" w:rsidRPr="000A700F" w:rsidRDefault="00867290" w:rsidP="00873F38">
      <w:pPr>
        <w:pStyle w:val="HHeading5"/>
        <w:rPr>
          <w:highlight w:val="yellow"/>
        </w:rPr>
      </w:pPr>
      <w:bookmarkStart w:id="350" w:name="_Toc422307937"/>
      <w:bookmarkStart w:id="351" w:name="_Toc422307936"/>
      <w:r>
        <w:rPr>
          <w:highlight w:val="yellow"/>
        </w:rPr>
        <w:t>Izuzimanje, kriteriji za odabir i dodjelu</w:t>
      </w:r>
      <w:bookmarkEnd w:id="350"/>
    </w:p>
    <w:p w:rsidR="00867290" w:rsidRPr="000A700F" w:rsidRDefault="00867290" w:rsidP="00873F38">
      <w:pPr>
        <w:pStyle w:val="H-Standard"/>
        <w:rPr>
          <w:highlight w:val="yellow"/>
        </w:rPr>
      </w:pPr>
      <w:r>
        <w:rPr>
          <w:highlight w:val="yellow"/>
        </w:rPr>
        <w:t>U OP-u se navode detalji kriterija za odabir izvođača u skladu s nacionalnim zakonodavstvom o javnoj nabavi. Kriteriji za odabir mogu se podijeliti u tri skupine: kriteriji za izuzimanje, za odabir i za dodjelu:</w:t>
      </w:r>
    </w:p>
    <w:p w:rsidR="00867290" w:rsidRPr="000A700F" w:rsidRDefault="00867290" w:rsidP="00873F38">
      <w:pPr>
        <w:pStyle w:val="H-Standard"/>
        <w:rPr>
          <w:highlight w:val="yellow"/>
        </w:rPr>
      </w:pPr>
      <w:r>
        <w:rPr>
          <w:b/>
          <w:highlight w:val="yellow"/>
        </w:rPr>
        <w:t>Kriteriji za izuzimanje</w:t>
      </w:r>
      <w:r>
        <w:rPr>
          <w:highlight w:val="yellow"/>
        </w:rPr>
        <w:t xml:space="preserve"> odnose se na izuzimanje izvođača koji je bankrotirao, počinio težak poslovni prekršaj ili koji nije ispunio obveze prema poreznoj upravi, socijalnom osiguranju itd. U većini slučajeva kao dokaz se traži jednostavna „Izjava o časti”. Osim toga, može se tražiti i dokaz da izvođač nije u sukobu interesa (npr. da je bio uključen u provedbu PRR-a).</w:t>
      </w:r>
    </w:p>
    <w:p w:rsidR="00867290" w:rsidRPr="000A700F" w:rsidRDefault="00867290" w:rsidP="00873F38">
      <w:pPr>
        <w:pStyle w:val="H-Standard"/>
        <w:rPr>
          <w:highlight w:val="yellow"/>
        </w:rPr>
      </w:pPr>
      <w:r>
        <w:rPr>
          <w:b/>
          <w:highlight w:val="yellow"/>
        </w:rPr>
        <w:t>Kriteriji za odabir</w:t>
      </w:r>
      <w:r>
        <w:rPr>
          <w:highlight w:val="yellow"/>
        </w:rPr>
        <w:t xml:space="preserve"> obično se odnose na pravni položaj izvođača i njegov gospodarski, financijski, tehnički i profesionalni kapacitet. Ako nacionalno zakonodavstvo to dopušta, javni naručitelj može zatražiti samo preslike relevantnih dokumenata, a izvornici se prikupljaju samo od ponuditelja kojem je dodijeljen ugovor. Tako se pojednostavljuje postupak nadmetanja. </w:t>
      </w:r>
    </w:p>
    <w:p w:rsidR="00867290" w:rsidRPr="000A700F" w:rsidRDefault="00867290" w:rsidP="00873F38">
      <w:pPr>
        <w:pStyle w:val="H-Standard"/>
        <w:rPr>
          <w:highlight w:val="yellow"/>
        </w:rPr>
      </w:pPr>
      <w:r>
        <w:rPr>
          <w:highlight w:val="yellow"/>
        </w:rPr>
        <w:t>Nadalje, kategorije stručnjaka i stručnosti opisuju se u OP-u, uključujući traženu razinu kvalifikacije i profesionalnog iskustva. Na primjer, u slučaju hipotetskog osmišljavanja evaluacije OP će tražiti stručnjaka s iskustvom u tom polju. Bit će preciziran traženi dokaz o kvalifikaciji, ali traženje previše detaljnog formalnog dokaza stvorit će izvođačima nepotrebno administrativno opterećenje.</w:t>
      </w:r>
    </w:p>
    <w:p w:rsidR="00867290" w:rsidRPr="000A700F" w:rsidRDefault="00867290" w:rsidP="00873F38">
      <w:pPr>
        <w:pStyle w:val="H-Standard"/>
        <w:rPr>
          <w:highlight w:val="yellow"/>
        </w:rPr>
      </w:pPr>
      <w:r>
        <w:rPr>
          <w:b/>
          <w:highlight w:val="yellow"/>
        </w:rPr>
        <w:t>Kriteriji za dodjelu</w:t>
      </w:r>
      <w:r>
        <w:rPr>
          <w:highlight w:val="yellow"/>
        </w:rPr>
        <w:t xml:space="preserve"> odnose se na kvalitetu tehničke i financijske ponude. Osim cijene, općenito se odnose na predloženi pristup evaluaciji, razumijevanje zadatka, metodologiju, uloge članova ekipe i općenitu organizaciju / upravljanje radom. Jasna ideja javnog naručitelja o tome što čini dobru ponudu omogućit će jasnu procjenu i – što je najvažnije – bit će odabrana najbolja ponuda.</w:t>
      </w:r>
    </w:p>
    <w:p w:rsidR="00867290" w:rsidRPr="000A700F" w:rsidRDefault="00867290" w:rsidP="00873F38">
      <w:pPr>
        <w:pStyle w:val="H-Standard"/>
        <w:rPr>
          <w:highlight w:val="yellow"/>
        </w:rPr>
      </w:pPr>
      <w:r>
        <w:rPr>
          <w:highlight w:val="yellow"/>
        </w:rPr>
        <w:t xml:space="preserve">Jasnoća i transparentnost prosuđivanja kriterija za dodjelu važni su, osobito između procjene tehničke ponude (sadržaj) i financijske ponude (cijena). Važno je pažljivo razmotriti je li najniža cijena s tehničke </w:t>
      </w:r>
      <w:r>
        <w:rPr>
          <w:highlight w:val="yellow"/>
        </w:rPr>
        <w:lastRenderedPageBreak/>
        <w:t>strane i najbolja. Pažljivije prosuđivanje financijske ponude obično omogućava da se odabere najkvalitetnija tehnička ponuda. Omjer sadržaja i cijene često je između 60 : 40 i 80 : 20. Nedavna iskustva daju naslutiti da je prosudba između 20 i 25 % za cijenu prikladna. Općenito, pregledna tablica s popisom kriterija i odgovarajućih dokaza (uključujući i to gdje ih se u ponudi može naći) od pomoći je tijekom postupka procjene.</w:t>
      </w:r>
    </w:p>
    <w:p w:rsidR="00867290" w:rsidRPr="000A700F" w:rsidRDefault="00867290" w:rsidP="006A099F">
      <w:pPr>
        <w:pStyle w:val="HHeading5"/>
        <w:rPr>
          <w:highlight w:val="yellow"/>
        </w:rPr>
      </w:pPr>
      <w:r>
        <w:rPr>
          <w:highlight w:val="yellow"/>
        </w:rPr>
        <w:t>Pravila za podnošenje</w:t>
      </w:r>
      <w:bookmarkEnd w:id="351"/>
    </w:p>
    <w:p w:rsidR="00867290" w:rsidRPr="000A700F" w:rsidRDefault="00867290" w:rsidP="00B51C05">
      <w:pPr>
        <w:pStyle w:val="H-Standard"/>
        <w:rPr>
          <w:highlight w:val="yellow"/>
        </w:rPr>
      </w:pPr>
      <w:r>
        <w:rPr>
          <w:highlight w:val="yellow"/>
        </w:rPr>
        <w:t>Informacije o podnošenju ponuda uključuju:</w:t>
      </w:r>
    </w:p>
    <w:p w:rsidR="00867290" w:rsidRPr="000A700F" w:rsidRDefault="00867290" w:rsidP="00B51C05">
      <w:pPr>
        <w:pStyle w:val="Hlistbullet2"/>
        <w:rPr>
          <w:highlight w:val="yellow"/>
        </w:rPr>
      </w:pPr>
      <w:r>
        <w:rPr>
          <w:highlight w:val="yellow"/>
        </w:rPr>
        <w:t xml:space="preserve">precizan rok za podnošenje (precizan datum i vrijeme, dokazani poštanskim pečatom ili datumom dostave); </w:t>
      </w:r>
    </w:p>
    <w:p w:rsidR="00867290" w:rsidRPr="000A700F" w:rsidRDefault="00867290" w:rsidP="00B51C05">
      <w:pPr>
        <w:pStyle w:val="Hlistbullet2"/>
        <w:rPr>
          <w:highlight w:val="yellow"/>
        </w:rPr>
      </w:pPr>
      <w:r>
        <w:rPr>
          <w:highlight w:val="yellow"/>
        </w:rPr>
        <w:t>instituciju i adresu na koju se ponuda mora poslati.</w:t>
      </w:r>
    </w:p>
    <w:p w:rsidR="00867290" w:rsidRPr="008D0759" w:rsidRDefault="00867290" w:rsidP="00B51C05">
      <w:pPr>
        <w:pStyle w:val="H-Standard"/>
      </w:pPr>
      <w:r>
        <w:rPr>
          <w:highlight w:val="yellow"/>
        </w:rPr>
        <w:t>OP-om se precizira i moraju li ponude biti podnesene u jednoj ili dvjema omotnicama (s odvojenim financijskim dijelovima ili anonimnim tehničkim dijelovima), broj traženih primjeraka, datum kad će ponude biti otvorene (ako je javan) i adresu za kontakt za pitanja u vezi s OP-om.</w:t>
      </w:r>
    </w:p>
    <w:p w:rsidR="00867290" w:rsidRPr="00D90A43" w:rsidRDefault="00867290" w:rsidP="00CC485B">
      <w:pPr>
        <w:pStyle w:val="HHeading2"/>
        <w:numPr>
          <w:ilvl w:val="0"/>
          <w:numId w:val="0"/>
        </w:numPr>
      </w:pPr>
      <w:bookmarkStart w:id="352" w:name="_Toc453079784"/>
      <w:r>
        <w:t xml:space="preserve">1.2. </w:t>
      </w:r>
      <w:r>
        <w:tab/>
        <w:t>Examples of output-result-impact chains for common groups of NRN actions</w:t>
      </w:r>
      <w:bookmarkEnd w:id="352"/>
      <w:r>
        <w:t xml:space="preserve"> </w:t>
      </w:r>
    </w:p>
    <w:p w:rsidR="00867290" w:rsidRPr="008D0759" w:rsidRDefault="00867290" w:rsidP="007074C5">
      <w:pPr>
        <w:pStyle w:val="H-Standard"/>
        <w:rPr>
          <w:b/>
          <w:caps/>
        </w:rPr>
      </w:pPr>
      <w:r>
        <w:t>In the simplest form, the intervention logic can start to be developed as a chain or ladder whose links or rungs are activities, outputs, results and impacts. Each chain link or ladder rung is occupied by one achievement. However, one achievement on one rung can lead to more than one achievement on the next rung. In the end, the results and impacts emerge through multiple causation.</w:t>
      </w:r>
    </w:p>
    <w:p w:rsidR="00867290" w:rsidRPr="008D0759" w:rsidRDefault="00867290" w:rsidP="007074C5">
      <w:pPr>
        <w:pStyle w:val="H-Standard"/>
      </w:pPr>
      <w:r>
        <w:t>The following figures illustrate how a stakeholder in a Member State could develop the logical chain of the NRN outputs, results and impacts starting from each of the common group of actions</w:t>
      </w:r>
      <w:r>
        <w:rPr>
          <w:rFonts w:ascii="ZWAdobeF" w:hAnsi="ZWAdobeF"/>
          <w:color w:val="auto"/>
          <w:sz w:val="2"/>
        </w:rPr>
        <w:t>129F</w:t>
      </w:r>
      <w:r>
        <w:rPr>
          <w:rStyle w:val="FootnoteReference"/>
        </w:rPr>
        <w:footnoteReference w:id="130"/>
      </w:r>
      <w:r>
        <w:t xml:space="preserve"> and link them to the outputs directly produced with NSU activities, and later with results and impacts generated by the NRN. </w:t>
      </w:r>
    </w:p>
    <w:p w:rsidR="00867290" w:rsidRPr="008D0759" w:rsidRDefault="00867290" w:rsidP="007074C5">
      <w:pPr>
        <w:pStyle w:val="H-Standard"/>
      </w:pPr>
      <w:r>
        <w:t xml:space="preserve">These chains can be used as the starting point for the development of specific NRN intervention logic, which must still be linked to the NRN common and programme specific objectives. </w:t>
      </w:r>
    </w:p>
    <w:p w:rsidR="00867290" w:rsidRPr="008D0759" w:rsidRDefault="00867290" w:rsidP="007074C5">
      <w:pPr>
        <w:pStyle w:val="H-Standard"/>
        <w:sectPr w:rsidR="00867290" w:rsidRPr="008D0759" w:rsidSect="00434027">
          <w:headerReference w:type="default" r:id="rId59"/>
          <w:footerReference w:type="default" r:id="rId60"/>
          <w:headerReference w:type="first" r:id="rId61"/>
          <w:footerReference w:type="first" r:id="rId62"/>
          <w:pgSz w:w="11906" w:h="16838" w:code="9"/>
          <w:pgMar w:top="1440" w:right="1440" w:bottom="1440" w:left="1440" w:header="1134" w:footer="1021" w:gutter="0"/>
          <w:cols w:space="708"/>
          <w:titlePg/>
          <w:docGrid w:linePitch="360"/>
        </w:sectPr>
      </w:pPr>
    </w:p>
    <w:p w:rsidR="00867290" w:rsidRPr="008D0759" w:rsidRDefault="00867290" w:rsidP="003F6DD6">
      <w:pPr>
        <w:pStyle w:val="HHeadingfigures"/>
      </w:pPr>
      <w:bookmarkStart w:id="353" w:name="_Toc451781944"/>
      <w:r>
        <w:lastRenderedPageBreak/>
        <w:t>Example of output-result-impact chain for collection of examples of projects, covering all RDP priorities</w:t>
      </w:r>
      <w:bookmarkEnd w:id="353"/>
      <w:r>
        <w:t xml:space="preserve"> </w:t>
      </w:r>
    </w:p>
    <w:p w:rsidR="00867290" w:rsidRPr="008D0759" w:rsidRDefault="00867290" w:rsidP="00642574">
      <w:pPr>
        <w:pStyle w:val="HStandard"/>
        <w:jc w:val="center"/>
      </w:pPr>
      <w:r>
        <w:rPr>
          <w:noProof/>
          <w:lang w:val="en-GB" w:eastAsia="en-GB" w:bidi="ar-SA"/>
        </w:rPr>
        <w:drawing>
          <wp:inline distT="0" distB="0" distL="0" distR="0" wp14:anchorId="78163252" wp14:editId="06957B6A">
            <wp:extent cx="7805406" cy="4680000"/>
            <wp:effectExtent l="0" t="0" r="571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RN_IL-ex1.jpg"/>
                    <pic:cNvPicPr/>
                  </pic:nvPicPr>
                  <pic:blipFill>
                    <a:blip r:embed="rId63">
                      <a:extLst>
                        <a:ext uri="{28A0092B-C50C-407E-A947-70E740481C1C}">
                          <a14:useLocalDpi xmlns:a14="http://schemas.microsoft.com/office/drawing/2010/main" val="0"/>
                        </a:ext>
                      </a:extLst>
                    </a:blip>
                    <a:stretch>
                      <a:fillRect/>
                    </a:stretch>
                  </pic:blipFill>
                  <pic:spPr>
                    <a:xfrm>
                      <a:off x="0" y="0"/>
                      <a:ext cx="7805406" cy="4680000"/>
                    </a:xfrm>
                    <a:prstGeom prst="rect">
                      <a:avLst/>
                    </a:prstGeom>
                  </pic:spPr>
                </pic:pic>
              </a:graphicData>
            </a:graphic>
          </wp:inline>
        </w:drawing>
      </w:r>
    </w:p>
    <w:p w:rsidR="00867290" w:rsidRPr="008D0759" w:rsidRDefault="00867290">
      <w:pPr>
        <w:spacing w:after="0" w:line="240" w:lineRule="auto"/>
        <w:rPr>
          <w:rFonts w:cs="Arial"/>
          <w:color w:val="576C88" w:themeColor="text2" w:themeTint="D9"/>
          <w:sz w:val="20"/>
          <w:szCs w:val="20"/>
        </w:rPr>
      </w:pPr>
      <w:r>
        <w:br w:type="page"/>
      </w:r>
    </w:p>
    <w:p w:rsidR="00867290" w:rsidRPr="008D0759" w:rsidRDefault="00867290" w:rsidP="00DD0375">
      <w:pPr>
        <w:pStyle w:val="HHeadingfigures"/>
        <w:rPr>
          <w:caps/>
        </w:rPr>
      </w:pPr>
      <w:bookmarkStart w:id="354" w:name="_Toc451781945"/>
      <w:r>
        <w:lastRenderedPageBreak/>
        <w:t>Example of output-result-impact chain for facilitation of thematic and analytical exchanges between RD stakeholders, sharing and dissemination of findings.</w:t>
      </w:r>
      <w:bookmarkEnd w:id="354"/>
    </w:p>
    <w:p w:rsidR="00867290" w:rsidRPr="008D0759" w:rsidRDefault="00867290" w:rsidP="00DD0375">
      <w:pPr>
        <w:pStyle w:val="H-Standard"/>
        <w:jc w:val="center"/>
      </w:pPr>
      <w:r>
        <w:rPr>
          <w:noProof/>
          <w:lang w:val="en-GB" w:eastAsia="en-GB" w:bidi="ar-SA"/>
        </w:rPr>
        <w:drawing>
          <wp:inline distT="0" distB="0" distL="0" distR="0" wp14:anchorId="2FAC3C4B" wp14:editId="7D91D838">
            <wp:extent cx="7741031" cy="46800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RN_IL-ex2.jpg"/>
                    <pic:cNvPicPr/>
                  </pic:nvPicPr>
                  <pic:blipFill>
                    <a:blip r:embed="rId64">
                      <a:extLst>
                        <a:ext uri="{28A0092B-C50C-407E-A947-70E740481C1C}">
                          <a14:useLocalDpi xmlns:a14="http://schemas.microsoft.com/office/drawing/2010/main" val="0"/>
                        </a:ext>
                      </a:extLst>
                    </a:blip>
                    <a:stretch>
                      <a:fillRect/>
                    </a:stretch>
                  </pic:blipFill>
                  <pic:spPr>
                    <a:xfrm>
                      <a:off x="0" y="0"/>
                      <a:ext cx="7741031" cy="4680000"/>
                    </a:xfrm>
                    <a:prstGeom prst="rect">
                      <a:avLst/>
                    </a:prstGeom>
                  </pic:spPr>
                </pic:pic>
              </a:graphicData>
            </a:graphic>
          </wp:inline>
        </w:drawing>
      </w:r>
    </w:p>
    <w:p w:rsidR="00867290" w:rsidRPr="008D0759" w:rsidRDefault="00867290">
      <w:pPr>
        <w:spacing w:after="0" w:line="240" w:lineRule="auto"/>
        <w:rPr>
          <w:rFonts w:cs="Arial"/>
          <w:color w:val="000000" w:themeColor="text1" w:themeShade="BF"/>
          <w:sz w:val="20"/>
          <w:szCs w:val="18"/>
        </w:rPr>
      </w:pPr>
      <w:r>
        <w:br w:type="page"/>
      </w:r>
    </w:p>
    <w:p w:rsidR="00867290" w:rsidRPr="008D0759" w:rsidRDefault="00867290" w:rsidP="00DD0375">
      <w:pPr>
        <w:pStyle w:val="HHeadingfigures"/>
        <w:rPr>
          <w:caps/>
        </w:rPr>
      </w:pPr>
      <w:bookmarkStart w:id="355" w:name="_Toc451781946"/>
      <w:r>
        <w:lastRenderedPageBreak/>
        <w:t>Example of output-result-impact chain for provision of training and networking of LAGs and in particular of Technical Assistance for inter-territorial and transnational cooperation, facilitation of cooperation among LAGs and search for partners</w:t>
      </w:r>
      <w:bookmarkEnd w:id="355"/>
    </w:p>
    <w:p w:rsidR="00867290" w:rsidRPr="008D0759" w:rsidRDefault="00867290" w:rsidP="002E488C">
      <w:pPr>
        <w:pStyle w:val="H-Standard"/>
        <w:jc w:val="center"/>
      </w:pPr>
      <w:r>
        <w:rPr>
          <w:noProof/>
          <w:lang w:val="en-GB" w:eastAsia="en-GB" w:bidi="ar-SA"/>
        </w:rPr>
        <w:drawing>
          <wp:inline distT="0" distB="0" distL="0" distR="0" wp14:anchorId="5F20C76A" wp14:editId="078F1D14">
            <wp:extent cx="7440789" cy="4680000"/>
            <wp:effectExtent l="0" t="0" r="8255"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NRN_IL-ex3.jpg"/>
                    <pic:cNvPicPr/>
                  </pic:nvPicPr>
                  <pic:blipFill>
                    <a:blip r:embed="rId65">
                      <a:extLst>
                        <a:ext uri="{28A0092B-C50C-407E-A947-70E740481C1C}">
                          <a14:useLocalDpi xmlns:a14="http://schemas.microsoft.com/office/drawing/2010/main" val="0"/>
                        </a:ext>
                      </a:extLst>
                    </a:blip>
                    <a:stretch>
                      <a:fillRect/>
                    </a:stretch>
                  </pic:blipFill>
                  <pic:spPr>
                    <a:xfrm>
                      <a:off x="0" y="0"/>
                      <a:ext cx="7440789" cy="4680000"/>
                    </a:xfrm>
                    <a:prstGeom prst="rect">
                      <a:avLst/>
                    </a:prstGeom>
                  </pic:spPr>
                </pic:pic>
              </a:graphicData>
            </a:graphic>
          </wp:inline>
        </w:drawing>
      </w:r>
    </w:p>
    <w:p w:rsidR="00867290" w:rsidRPr="008D0759" w:rsidRDefault="00867290">
      <w:pPr>
        <w:spacing w:after="0" w:line="240" w:lineRule="auto"/>
        <w:rPr>
          <w:rFonts w:cs="Arial"/>
          <w:color w:val="000000" w:themeColor="text1" w:themeShade="BF"/>
          <w:sz w:val="20"/>
          <w:szCs w:val="18"/>
        </w:rPr>
      </w:pPr>
      <w:r>
        <w:br w:type="page"/>
      </w:r>
    </w:p>
    <w:p w:rsidR="00867290" w:rsidRPr="008D0759" w:rsidRDefault="00867290" w:rsidP="0081762A">
      <w:pPr>
        <w:pStyle w:val="HHeadingfigures"/>
        <w:rPr>
          <w:caps/>
        </w:rPr>
      </w:pPr>
      <w:bookmarkStart w:id="356" w:name="_Toc451781947"/>
      <w:r>
        <w:lastRenderedPageBreak/>
        <w:t>Example of output-result-impact chain for provision of networking for advisors and innovation support services</w:t>
      </w:r>
      <w:bookmarkEnd w:id="356"/>
    </w:p>
    <w:p w:rsidR="00867290" w:rsidRPr="008D0759" w:rsidRDefault="00867290" w:rsidP="0081762A">
      <w:pPr>
        <w:pStyle w:val="H-Standard"/>
        <w:jc w:val="center"/>
      </w:pPr>
      <w:r>
        <w:rPr>
          <w:noProof/>
          <w:lang w:val="en-GB" w:eastAsia="en-GB" w:bidi="ar-SA"/>
        </w:rPr>
        <w:drawing>
          <wp:inline distT="0" distB="0" distL="0" distR="0" wp14:anchorId="185B4D81" wp14:editId="01B8FB0D">
            <wp:extent cx="7627449" cy="46800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NRN_IL-ex4.jpg"/>
                    <pic:cNvPicPr/>
                  </pic:nvPicPr>
                  <pic:blipFill>
                    <a:blip r:embed="rId66">
                      <a:extLst>
                        <a:ext uri="{28A0092B-C50C-407E-A947-70E740481C1C}">
                          <a14:useLocalDpi xmlns:a14="http://schemas.microsoft.com/office/drawing/2010/main" val="0"/>
                        </a:ext>
                      </a:extLst>
                    </a:blip>
                    <a:stretch>
                      <a:fillRect/>
                    </a:stretch>
                  </pic:blipFill>
                  <pic:spPr>
                    <a:xfrm>
                      <a:off x="0" y="0"/>
                      <a:ext cx="7627449" cy="4680000"/>
                    </a:xfrm>
                    <a:prstGeom prst="rect">
                      <a:avLst/>
                    </a:prstGeom>
                  </pic:spPr>
                </pic:pic>
              </a:graphicData>
            </a:graphic>
          </wp:inline>
        </w:drawing>
      </w:r>
    </w:p>
    <w:p w:rsidR="00867290" w:rsidRPr="008D0759" w:rsidRDefault="00867290">
      <w:pPr>
        <w:spacing w:after="0" w:line="240" w:lineRule="auto"/>
        <w:rPr>
          <w:rFonts w:cs="Arial"/>
          <w:color w:val="000000" w:themeColor="text1" w:themeShade="BF"/>
          <w:sz w:val="20"/>
          <w:szCs w:val="18"/>
        </w:rPr>
      </w:pPr>
      <w:r>
        <w:br w:type="page"/>
      </w:r>
    </w:p>
    <w:p w:rsidR="00867290" w:rsidRPr="008D0759" w:rsidRDefault="00867290" w:rsidP="00ED7BA1">
      <w:pPr>
        <w:pStyle w:val="HHeadingfigures"/>
        <w:rPr>
          <w:caps/>
        </w:rPr>
      </w:pPr>
      <w:bookmarkStart w:id="357" w:name="_Toc451781948"/>
      <w:r>
        <w:lastRenderedPageBreak/>
        <w:t>Example of output-result-impact chain for sharing ad dissemination of monitoring and evaluation findings</w:t>
      </w:r>
      <w:bookmarkEnd w:id="357"/>
      <w:r>
        <w:t xml:space="preserve"> </w:t>
      </w:r>
    </w:p>
    <w:p w:rsidR="00867290" w:rsidRPr="008D0759" w:rsidRDefault="00867290" w:rsidP="005A2FE3">
      <w:pPr>
        <w:pStyle w:val="HStandard"/>
        <w:jc w:val="center"/>
      </w:pPr>
      <w:r>
        <w:rPr>
          <w:noProof/>
          <w:lang w:val="en-GB" w:eastAsia="en-GB" w:bidi="ar-SA"/>
        </w:rPr>
        <w:drawing>
          <wp:inline distT="0" distB="0" distL="0" distR="0" wp14:anchorId="3083C324" wp14:editId="49E2165E">
            <wp:extent cx="8820912" cy="440131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RN_IL-ex5.jpg"/>
                    <pic:cNvPicPr/>
                  </pic:nvPicPr>
                  <pic:blipFill>
                    <a:blip r:embed="rId67">
                      <a:extLst>
                        <a:ext uri="{28A0092B-C50C-407E-A947-70E740481C1C}">
                          <a14:useLocalDpi xmlns:a14="http://schemas.microsoft.com/office/drawing/2010/main" val="0"/>
                        </a:ext>
                      </a:extLst>
                    </a:blip>
                    <a:stretch>
                      <a:fillRect/>
                    </a:stretch>
                  </pic:blipFill>
                  <pic:spPr>
                    <a:xfrm>
                      <a:off x="0" y="0"/>
                      <a:ext cx="8820912" cy="4401312"/>
                    </a:xfrm>
                    <a:prstGeom prst="rect">
                      <a:avLst/>
                    </a:prstGeom>
                  </pic:spPr>
                </pic:pic>
              </a:graphicData>
            </a:graphic>
          </wp:inline>
        </w:drawing>
      </w:r>
    </w:p>
    <w:p w:rsidR="00867290" w:rsidRPr="008D0759" w:rsidRDefault="00867290">
      <w:pPr>
        <w:spacing w:after="0" w:line="240" w:lineRule="auto"/>
        <w:rPr>
          <w:rFonts w:cs="Arial"/>
          <w:color w:val="576C88" w:themeColor="text2" w:themeTint="D9"/>
          <w:sz w:val="20"/>
          <w:szCs w:val="20"/>
        </w:rPr>
      </w:pPr>
      <w:r>
        <w:br w:type="page"/>
      </w:r>
    </w:p>
    <w:p w:rsidR="00867290" w:rsidRPr="008D0759" w:rsidRDefault="00867290" w:rsidP="00D22512">
      <w:pPr>
        <w:pStyle w:val="HHeadingfigures"/>
      </w:pPr>
      <w:bookmarkStart w:id="358" w:name="_Toc451781949"/>
      <w:r>
        <w:lastRenderedPageBreak/>
        <w:t>Example of output-result-impact chain for communication plan including publicity and information concerning the Rural Development Programme in agreement with the Managing Authorities and information and communication activities aimed at a broader public.</w:t>
      </w:r>
      <w:bookmarkEnd w:id="358"/>
    </w:p>
    <w:p w:rsidR="00867290" w:rsidRPr="008D0759" w:rsidRDefault="00867290" w:rsidP="00D22512">
      <w:pPr>
        <w:pStyle w:val="HStandard"/>
        <w:jc w:val="center"/>
      </w:pPr>
      <w:r>
        <w:rPr>
          <w:noProof/>
          <w:lang w:val="en-GB" w:eastAsia="en-GB" w:bidi="ar-SA"/>
        </w:rPr>
        <w:drawing>
          <wp:inline distT="0" distB="0" distL="0" distR="0" wp14:anchorId="67FE6C99" wp14:editId="30474568">
            <wp:extent cx="8820912" cy="4187952"/>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RN_IL-ex6.jpg"/>
                    <pic:cNvPicPr/>
                  </pic:nvPicPr>
                  <pic:blipFill>
                    <a:blip r:embed="rId68">
                      <a:extLst>
                        <a:ext uri="{28A0092B-C50C-407E-A947-70E740481C1C}">
                          <a14:useLocalDpi xmlns:a14="http://schemas.microsoft.com/office/drawing/2010/main" val="0"/>
                        </a:ext>
                      </a:extLst>
                    </a:blip>
                    <a:stretch>
                      <a:fillRect/>
                    </a:stretch>
                  </pic:blipFill>
                  <pic:spPr>
                    <a:xfrm>
                      <a:off x="0" y="0"/>
                      <a:ext cx="8820912" cy="4187952"/>
                    </a:xfrm>
                    <a:prstGeom prst="rect">
                      <a:avLst/>
                    </a:prstGeom>
                  </pic:spPr>
                </pic:pic>
              </a:graphicData>
            </a:graphic>
          </wp:inline>
        </w:drawing>
      </w:r>
    </w:p>
    <w:p w:rsidR="00867290" w:rsidRPr="008D0759" w:rsidRDefault="00867290">
      <w:pPr>
        <w:spacing w:after="0" w:line="240" w:lineRule="auto"/>
        <w:rPr>
          <w:rFonts w:cs="Arial"/>
          <w:color w:val="576C88" w:themeColor="text2" w:themeTint="D9"/>
          <w:sz w:val="20"/>
          <w:szCs w:val="20"/>
        </w:rPr>
      </w:pPr>
      <w:r>
        <w:br w:type="page"/>
      </w:r>
    </w:p>
    <w:p w:rsidR="00867290" w:rsidRPr="008D0759" w:rsidRDefault="00867290" w:rsidP="000535E7">
      <w:pPr>
        <w:pStyle w:val="HHeadingfigures"/>
      </w:pPr>
      <w:bookmarkStart w:id="359" w:name="_Toc451781950"/>
      <w:r>
        <w:lastRenderedPageBreak/>
        <w:t>Example of output-result-impact chain for participation in and contribution to the European network for rural development</w:t>
      </w:r>
      <w:bookmarkEnd w:id="359"/>
    </w:p>
    <w:p w:rsidR="00867290" w:rsidRPr="008D0759" w:rsidRDefault="00867290" w:rsidP="00193902">
      <w:pPr>
        <w:pStyle w:val="HStandard"/>
        <w:jc w:val="center"/>
      </w:pPr>
      <w:r>
        <w:rPr>
          <w:noProof/>
          <w:lang w:val="en-GB" w:eastAsia="en-GB" w:bidi="ar-SA"/>
        </w:rPr>
        <w:drawing>
          <wp:inline distT="0" distB="0" distL="0" distR="0" wp14:anchorId="0306EF01" wp14:editId="5C8B910E">
            <wp:extent cx="8833104" cy="3852672"/>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RN_IL-ex7.jpg"/>
                    <pic:cNvPicPr/>
                  </pic:nvPicPr>
                  <pic:blipFill>
                    <a:blip r:embed="rId69">
                      <a:extLst>
                        <a:ext uri="{28A0092B-C50C-407E-A947-70E740481C1C}">
                          <a14:useLocalDpi xmlns:a14="http://schemas.microsoft.com/office/drawing/2010/main" val="0"/>
                        </a:ext>
                      </a:extLst>
                    </a:blip>
                    <a:stretch>
                      <a:fillRect/>
                    </a:stretch>
                  </pic:blipFill>
                  <pic:spPr>
                    <a:xfrm>
                      <a:off x="0" y="0"/>
                      <a:ext cx="8833104" cy="3852672"/>
                    </a:xfrm>
                    <a:prstGeom prst="rect">
                      <a:avLst/>
                    </a:prstGeom>
                  </pic:spPr>
                </pic:pic>
              </a:graphicData>
            </a:graphic>
          </wp:inline>
        </w:drawing>
      </w:r>
    </w:p>
    <w:p w:rsidR="00867290" w:rsidRPr="008D0759" w:rsidRDefault="00867290" w:rsidP="000535E7">
      <w:pPr>
        <w:pStyle w:val="HStandard"/>
      </w:pPr>
    </w:p>
    <w:p w:rsidR="00867290" w:rsidRPr="007046A4" w:rsidRDefault="00867290" w:rsidP="000535E7">
      <w:pPr>
        <w:pStyle w:val="HStandard"/>
        <w:rPr>
          <w:highlight w:val="yellow"/>
        </w:rPr>
        <w:sectPr w:rsidR="00867290" w:rsidRPr="007046A4" w:rsidSect="007074C5">
          <w:pgSz w:w="16838" w:h="11906" w:orient="landscape" w:code="9"/>
          <w:pgMar w:top="1440" w:right="1440" w:bottom="1440" w:left="1440" w:header="1134" w:footer="1021" w:gutter="0"/>
          <w:cols w:space="708"/>
          <w:titlePg/>
          <w:docGrid w:linePitch="360"/>
        </w:sectPr>
      </w:pPr>
    </w:p>
    <w:p w:rsidR="00867290" w:rsidRPr="000A700F" w:rsidRDefault="00867290" w:rsidP="00CC485B">
      <w:pPr>
        <w:pStyle w:val="HHeading2"/>
        <w:numPr>
          <w:ilvl w:val="0"/>
          <w:numId w:val="0"/>
        </w:numPr>
        <w:rPr>
          <w:highlight w:val="yellow"/>
        </w:rPr>
      </w:pPr>
      <w:bookmarkStart w:id="360" w:name="_Toc453079785"/>
      <w:r>
        <w:rPr>
          <w:highlight w:val="yellow"/>
        </w:rPr>
        <w:lastRenderedPageBreak/>
        <w:t xml:space="preserve">1.3. </w:t>
      </w:r>
      <w:r>
        <w:rPr>
          <w:highlight w:val="yellow"/>
        </w:rPr>
        <w:tab/>
        <w:t>Pojmovnik</w:t>
      </w:r>
      <w:bookmarkEnd w:id="360"/>
    </w:p>
    <w:p w:rsidR="00867290" w:rsidRPr="000A700F" w:rsidRDefault="00867290" w:rsidP="00A63707">
      <w:pPr>
        <w:spacing w:before="240" w:after="240"/>
        <w:ind w:left="363"/>
        <w:rPr>
          <w:rFonts w:cs="Arial"/>
          <w:b/>
          <w:color w:val="E7E6E6" w:themeColor="background2"/>
          <w:sz w:val="20"/>
          <w:szCs w:val="20"/>
          <w:highlight w:val="yellow"/>
        </w:rPr>
        <w:sectPr w:rsidR="00867290" w:rsidRPr="000A700F" w:rsidSect="000535E7">
          <w:pgSz w:w="11906" w:h="16838" w:code="9"/>
          <w:pgMar w:top="1440" w:right="1440" w:bottom="1440" w:left="1440" w:header="1134" w:footer="1021" w:gutter="0"/>
          <w:cols w:space="708"/>
          <w:titlePg/>
          <w:docGrid w:linePitch="360"/>
        </w:sectPr>
      </w:pP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Zajednički pokazatelj</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Pokazatelj je kvantitativni ili kvalitativni čimbenik ili varijabla koja je jednostavno i pouzdano sredstvo mjerenja postignuća, odražavanja promjena povezanih s intervencijom ili pomoći pri procjeni uspješnosti dionika u razvoju. U kontekstu politike ruralnog razvoja komplet zajedničkih pokazatelja, obvezujući za sve države članice, služi mjerenju ostvarenja i promjena na razini PRR-a i na razini EU-a.</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Zajednički sustav za praćenje i evaluaciju</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Sustav za prikupljanje informacija u pravilnim razmacima kako bi se olakšalo izvještavanje, analiza i evaluacija uspješnosti programa evaluacijskim metodama. Sustav obuhvaća sve aktivnosti praćenja i evaluacije, uključujući i upravljanje samim sustavom. Sustav praćenja i evaluacije koordinira Upravljačko tijelo i temelj je za unutarnje i vanjsko priopćavanje zaključaka evaluacije. U uredbama o ruralnom razvoju termin precizno opisuje zajednički sustav, koji su razvile Komisija i države članice, kojem je cilj uputiti na napredak i ostvarenja intervencija politike ruralnog razvoja te procijeniti učinak, djelotvornost, učinkovitost i relevantnost intervencija politike ruralnog razvoja. Sadržava ograničen broj zajedničkih pokazatelja koji se odnose na kontekst, ostvarenja, rezultate i učinke programa.</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Dosljednost</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 xml:space="preserve">Sklad, kompatibilnost, veza ili ujednačenost među dijelovima nečega složenoga. U europskim pravnim tekstovima i radnim dokumentima često se upotrebljava kao termin istovjetan koherentnosti. Dvije su vrste dosljednosti: </w:t>
      </w:r>
      <w:r>
        <w:rPr>
          <w:color w:val="576C88" w:themeColor="text2" w:themeTint="D9"/>
          <w:highlight w:val="yellow"/>
        </w:rPr>
        <w:t>vertikalna i horizontalna. Vertikalna dosljednost odnosi se na vezu među različitim ciljevima iste intervencije. Horizontalna dosljednost odnosi se na vezu između očekivanih učinaka na svakoj razini (ostvarenja, rezultati, učinci) i ciljeva postavljenih na odgovarajućim razinama (operativni, pojedini, sveobuhvatni ciljevi).</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Pokazatelj konteksta</w:t>
      </w:r>
    </w:p>
    <w:p w:rsidR="00867290" w:rsidRPr="000A700F" w:rsidRDefault="00867290" w:rsidP="00A63707">
      <w:pPr>
        <w:spacing w:before="240" w:after="240"/>
        <w:ind w:left="363"/>
        <w:rPr>
          <w:rFonts w:cs="Arial"/>
          <w:sz w:val="20"/>
          <w:szCs w:val="20"/>
          <w:highlight w:val="yellow"/>
        </w:rPr>
      </w:pPr>
      <w:r>
        <w:rPr>
          <w:color w:val="576C88" w:themeColor="text2" w:themeTint="D9"/>
          <w:highlight w:val="yellow"/>
        </w:rPr>
        <w:t>Daje informacije o relevantnim aspektima vanjskog okoliša koji mogu utjecati na oblikovanje i</w:t>
      </w:r>
      <w:r>
        <w:rPr>
          <w:color w:val="576C88" w:themeColor="text2" w:themeTint="D9"/>
          <w:sz w:val="20"/>
          <w:highlight w:val="yellow"/>
        </w:rPr>
        <w:t xml:space="preserve"> </w:t>
      </w:r>
      <w:r>
        <w:rPr>
          <w:color w:val="576C88" w:themeColor="text2" w:themeTint="D9"/>
          <w:highlight w:val="yellow"/>
        </w:rPr>
        <w:t>uspješnost politike, npr. BDP po stanovniku, stopa nezaposlenosti, kvaliteta vode.</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Hipotetska situacija</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Situacija koja se mogla dogoditi da je izostala javna intervencija naziva se još i situacijom „bez politike”. Uspoređivanjem hipotetskih i stvarnih situacija moguće je odrediti neto učinke javne intervencije. Za konstruiranje hipotetske situacije mogu se upotrebljavati razni alati: analiza prebacivanja i dijeljenja, skupine za usporedbu, simulacija uz ekonometrijske modele itd. Na početnoj su točki za usporedbu stvarna situacija i hipotetska situacija identične. Ako je intervencija učinkovita, one odstupaju.</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Djelotvornost</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To je mjera u kojoj su postignuti ciljevi kojima se teži intervencijom. Pokazatelj djelotvornosti izračunava se odnosom pokazatelja ostvarenja, rezultata ili učinka prema kvantificiranom cilju.</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Učinkovitost</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 xml:space="preserve">Najbolji odnos između korištenih resursa i rezultata postignutih u težnji danom cilju putem intervencije. Učinkovitost se bavi pitanjem je li se moglo ostvariti više </w:t>
      </w:r>
      <w:r>
        <w:rPr>
          <w:color w:val="576C88" w:themeColor="text2" w:themeTint="D9"/>
          <w:highlight w:val="yellow"/>
        </w:rPr>
        <w:lastRenderedPageBreak/>
        <w:t>učinaka s jednakim proračunom ili jesu li jednaki učinci mogli biti ostvareni uz manji trošak. Pokazatelj učinkovitosti računa se dijeljenjem mobiliziranih proračunskih ulaganja s količinom dobivenih učinaka</w:t>
      </w:r>
      <w:r>
        <w:rPr>
          <w:highlight w:val="yellow"/>
        </w:rPr>
        <w:t>.</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Plan evaluacije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U njemu su određene evaluacije, uključujući institucionalne dogovore (upravljanje evaluacijom) i odredbe o upravljanju (upravljanje evaluacijom) za cijelo razdoblje provedbe programa. Za programsko razdoblje 2014. – 2020. Upravljačka tijela programa u pet fondova obuhvaćenih Zajedničkim strateškim okvirom sastavljaju Plan evaluacije. Za ruralni će razvoj Plan evaluacije biti uključen u svaki PRR i mora se uskladiti s minimalnim zahtjevima utvrđenima u provedbenom aktu.</w:t>
      </w:r>
    </w:p>
    <w:p w:rsidR="00867290" w:rsidRPr="000A700F" w:rsidRDefault="00867290" w:rsidP="00A63707">
      <w:pPr>
        <w:spacing w:before="240" w:after="240"/>
        <w:ind w:left="363"/>
        <w:rPr>
          <w:rFonts w:cs="Arial"/>
          <w:b/>
          <w:color w:val="E7E6E6" w:themeColor="background2"/>
          <w:sz w:val="24"/>
          <w:highlight w:val="yellow"/>
        </w:rPr>
      </w:pPr>
    </w:p>
    <w:p w:rsidR="00867290" w:rsidRPr="000A700F" w:rsidRDefault="00867290" w:rsidP="00A63707">
      <w:pPr>
        <w:spacing w:after="0" w:line="240" w:lineRule="auto"/>
        <w:ind w:left="363"/>
        <w:rPr>
          <w:rFonts w:cs="Arial"/>
          <w:b/>
          <w:color w:val="E7E6E6" w:themeColor="background2"/>
          <w:sz w:val="24"/>
          <w:highlight w:val="yellow"/>
        </w:rPr>
      </w:pPr>
      <w:r>
        <w:br w:type="page"/>
      </w:r>
      <w:r>
        <w:rPr>
          <w:b/>
          <w:color w:val="E7E6E6" w:themeColor="background2"/>
          <w:sz w:val="24"/>
          <w:highlight w:val="yellow"/>
        </w:rPr>
        <w:lastRenderedPageBreak/>
        <w:t>Evaluacijsko pitanje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Pitanje na koje trebaju odgovoriti evaluatori. Obično ih postavljaju oni koji naručuju evaluaciju. Evaluacijska se pitanja redovito pojavljuju u opisu poslova za projekte evaluacije. U slučaju evaluacije programa ruralnog razvoja, evaluacijska pitanja formiraju dio zajedničkih smjernica. Evaluacijska pitanja imaju tri dimenzije: deskriptivnu (što se dogodilo?), kauzalnu (u kojoj je mjeri ono što se dogodilo stvarno učinak intervencije?) i normativnu (je li učinak zadovoljavajući?).</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Tema evaluacije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Pojedina tema na koju je fokusirana pojedina evaluacija. Na primjer prioriteti i žarišna područja ruralnog razvoja ili međusektorski problemi.</w:t>
      </w:r>
    </w:p>
    <w:p w:rsidR="00867290" w:rsidRPr="000A700F" w:rsidRDefault="00867290" w:rsidP="00A63707">
      <w:pPr>
        <w:spacing w:before="240" w:after="240"/>
        <w:ind w:left="363"/>
        <w:rPr>
          <w:rFonts w:cs="Arial"/>
          <w:b/>
          <w:color w:val="E7E6E6" w:themeColor="background2"/>
          <w:sz w:val="24"/>
          <w:highlight w:val="yellow"/>
        </w:rPr>
      </w:pPr>
      <w:r w:rsidRPr="0072374B">
        <w:rPr>
          <w:b/>
          <w:i/>
          <w:color w:val="E7E6E6" w:themeColor="background2"/>
          <w:sz w:val="24"/>
          <w:highlight w:val="yellow"/>
        </w:rPr>
        <w:t>Ex-ante</w:t>
      </w:r>
      <w:r>
        <w:rPr>
          <w:b/>
          <w:color w:val="E7E6E6" w:themeColor="background2"/>
          <w:sz w:val="24"/>
          <w:highlight w:val="yellow"/>
        </w:rPr>
        <w:t xml:space="preserve"> evaluacija</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 xml:space="preserve">Evaluacija koja se provodi prije provedbe programa. Njezina je svrha prikupiti informacije i provesti analize, što pomaže osigurati da je intervencija relevantna i koherentna koliko je to moguće. Njezini zaključci trebaju biti integrirani onda kada se donose odluke. </w:t>
      </w:r>
      <w:r w:rsidRPr="0072374B">
        <w:rPr>
          <w:i/>
          <w:color w:val="576C88" w:themeColor="text2" w:themeTint="D9"/>
          <w:highlight w:val="yellow"/>
        </w:rPr>
        <w:t>Ex ante</w:t>
      </w:r>
      <w:r>
        <w:rPr>
          <w:color w:val="576C88" w:themeColor="text2" w:themeTint="D9"/>
          <w:highlight w:val="yellow"/>
        </w:rPr>
        <w:t xml:space="preserve"> evaluacija  uglavnom se tiče analize konteksta, iako će  dati priliku i za preciziranje mehanizama intervencije u smislu onoga što već postoji. Daje relevantnim tijelima prethodnu procjenu toga jesu li razvojni problemi ispravno dijagnosticirani, jesu li predložena strategija i ciljevi relevantni, ima li nedosljednosti između njih ili u odnosu na politike i smjernice Zajednice, jesu li očekivani učinci realistični itd. Osim toga, daje nužni temelj za praćenje i buduće evaluacije osiguravajući da postoje eksplicitni i, gdje je to moguće, kvantificirani ciljevi. Ispunjavanjem ovih funkcija </w:t>
      </w:r>
      <w:r w:rsidRPr="0072374B">
        <w:rPr>
          <w:i/>
          <w:color w:val="576C88" w:themeColor="text2" w:themeTint="D9"/>
          <w:highlight w:val="yellow"/>
        </w:rPr>
        <w:t>ex ante</w:t>
      </w:r>
      <w:r>
        <w:rPr>
          <w:color w:val="576C88" w:themeColor="text2" w:themeTint="D9"/>
          <w:highlight w:val="yellow"/>
        </w:rPr>
        <w:t xml:space="preserve"> evaluacija podupire pripremu prijedloga za nove ili obnovljene </w:t>
      </w:r>
      <w:r>
        <w:rPr>
          <w:color w:val="576C88" w:themeColor="text2" w:themeTint="D9"/>
          <w:highlight w:val="yellow"/>
        </w:rPr>
        <w:t xml:space="preserve">aktivnosti Zajednice. Njezina je svrha osigurati da se ciljevi politike uspješno provedu, da su korištene mjere najisplativije i da je pripremljen teren za pouzdane srednjoročne i </w:t>
      </w:r>
      <w:r w:rsidRPr="0072374B">
        <w:rPr>
          <w:i/>
          <w:color w:val="576C88" w:themeColor="text2" w:themeTint="D9"/>
          <w:highlight w:val="yellow"/>
        </w:rPr>
        <w:t>ex post</w:t>
      </w:r>
      <w:r>
        <w:rPr>
          <w:color w:val="576C88" w:themeColor="text2" w:themeTint="D9"/>
          <w:highlight w:val="yellow"/>
        </w:rPr>
        <w:t xml:space="preserve"> evaluacije.</w:t>
      </w:r>
    </w:p>
    <w:p w:rsidR="00867290" w:rsidRPr="000A700F" w:rsidRDefault="00867290" w:rsidP="00A63707">
      <w:pPr>
        <w:spacing w:before="240" w:after="240"/>
        <w:ind w:left="363"/>
        <w:rPr>
          <w:rFonts w:cs="Arial"/>
          <w:b/>
          <w:color w:val="E7E6E6" w:themeColor="background2"/>
          <w:sz w:val="24"/>
          <w:highlight w:val="yellow"/>
        </w:rPr>
      </w:pPr>
      <w:r w:rsidRPr="0072374B">
        <w:rPr>
          <w:b/>
          <w:i/>
          <w:color w:val="E7E6E6" w:themeColor="background2"/>
          <w:sz w:val="24"/>
          <w:highlight w:val="yellow"/>
        </w:rPr>
        <w:t>Ex post</w:t>
      </w:r>
      <w:r>
        <w:rPr>
          <w:b/>
          <w:color w:val="E7E6E6" w:themeColor="background2"/>
          <w:sz w:val="24"/>
          <w:highlight w:val="yellow"/>
        </w:rPr>
        <w:t xml:space="preserve"> evaluacija</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 xml:space="preserve">Evaluacija kojom se rekapitulira i prosuđuje intervencija kad je dovršena. Cilj joj je objasniti upotrebu resursa i ostvarenje namjeravanih i nenamjeravanih učinaka. Teži razumjeti čimbenike uspjeha ili neuspjeha programa. Pokušava izvući zaključke koji se mogu generalizirati za druge intervencije. Kako bi se učinci imali vremena ostvariti, </w:t>
      </w:r>
      <w:r w:rsidRPr="0072374B">
        <w:rPr>
          <w:i/>
          <w:color w:val="576C88" w:themeColor="text2" w:themeTint="D9"/>
          <w:highlight w:val="yellow"/>
        </w:rPr>
        <w:t>ex post</w:t>
      </w:r>
      <w:r>
        <w:rPr>
          <w:color w:val="576C88" w:themeColor="text2" w:themeTint="D9"/>
          <w:highlight w:val="yellow"/>
        </w:rPr>
        <w:t xml:space="preserve"> evaluacije moraju se izvoditi neko vrijeme nakon provedbe.</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Žarišno područje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Potpolje politike na koje se cilja intervencijom. Šest prioriteta Unije za ruralni razvoj podijeljeno je na 18 operativnih žarišnih područja kako bi se bolje strukturiralo raspoređivanje mjera i planiranih intervencija.</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Hijerarhija ciljeva</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 xml:space="preserve">Riječ je o alatu koji pomaže analizirati i priopćavati ciljeve programa i pokazati kako intervencije pridonose globalnim, privremenim i operativnim ciljevima. Njime se ti ciljevi organiziraju u različite razine (ciljevi, podciljevi) u obliku hijerarhije ili stabla, pokazujući tako logičke veze između ciljeva i njihovih podciljeva. Njime se predstavlja sinteza različitih intervencijskih logika koje proistječu iz uredbe i koje pojedine aktivnosti i mjere povezuju sa sveobuhvatnim ciljevima intervencije. Uredba o ruralnom razvoju sadržava i </w:t>
      </w:r>
      <w:r>
        <w:rPr>
          <w:color w:val="576C88" w:themeColor="text2" w:themeTint="D9"/>
          <w:highlight w:val="yellow"/>
        </w:rPr>
        <w:lastRenderedPageBreak/>
        <w:t>horizontalne ciljeve, koji su prisutni u više programskih mjera.</w:t>
      </w:r>
      <w:r>
        <w:rPr>
          <w:highlight w:val="yellow"/>
        </w:rPr>
        <w:t xml:space="preserve"> </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Učinci</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Učinci intervencije, srednjoročni ili dugoročni. Neki se učinci pojavljuju neizravno (npr. ukupni prihod ostvaren za dobavljače tvrtki kojima se pomagalo). Neki se mogu zamijetiti na makroekonomskoj ili makrosocijalnoj razini (npr. poboljšanje imidža područja kojem se pomagalo); to su sveobuhvatni učinci. Učinci mogu biti pozitivni ili negativni, očekivani ili neočekivani.</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Intervencijska logika</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To je metodološki instrument kojim se utvrđuje logička veza između programskih ciljeva i predviđenih operativnih aktivnosti. Pokazuje konceptualnu vezu od ulaganja do ostvarenja intervencije, a zatim i do njezinih rezultata i učinaka. Tako intervencijska logika omogućava procjenu doprinosa mjere ostvarivanju njezinih ciljeva.</w:t>
      </w:r>
    </w:p>
    <w:p w:rsidR="00867290" w:rsidRPr="000A700F" w:rsidRDefault="00867290">
      <w:pPr>
        <w:spacing w:after="0" w:line="240" w:lineRule="auto"/>
        <w:rPr>
          <w:rFonts w:cs="Arial"/>
          <w:b/>
          <w:color w:val="E7E6E6" w:themeColor="background2"/>
          <w:sz w:val="24"/>
          <w:highlight w:val="yellow"/>
        </w:rPr>
      </w:pPr>
      <w:r>
        <w:br w:type="page"/>
      </w:r>
    </w:p>
    <w:p w:rsidR="00867290" w:rsidRPr="000A700F" w:rsidRDefault="00867290" w:rsidP="00A63707">
      <w:pPr>
        <w:spacing w:before="240" w:after="240"/>
        <w:ind w:left="360"/>
        <w:rPr>
          <w:rFonts w:cs="Arial"/>
          <w:b/>
          <w:color w:val="E7E6E6" w:themeColor="background2"/>
          <w:sz w:val="24"/>
          <w:highlight w:val="yellow"/>
        </w:rPr>
      </w:pPr>
      <w:r>
        <w:rPr>
          <w:b/>
          <w:color w:val="E7E6E6" w:themeColor="background2"/>
          <w:sz w:val="24"/>
          <w:highlight w:val="yellow"/>
        </w:rPr>
        <w:lastRenderedPageBreak/>
        <w:t>Kriterij za prosudbu</w:t>
      </w:r>
    </w:p>
    <w:p w:rsidR="00867290" w:rsidRPr="000A700F" w:rsidRDefault="00867290" w:rsidP="00A63707">
      <w:pPr>
        <w:spacing w:before="240" w:after="240"/>
        <w:ind w:left="360"/>
        <w:rPr>
          <w:rFonts w:cs="Arial"/>
          <w:szCs w:val="18"/>
          <w:highlight w:val="yellow"/>
        </w:rPr>
      </w:pPr>
      <w:r>
        <w:rPr>
          <w:color w:val="576C88" w:themeColor="text2" w:themeTint="D9"/>
          <w:highlight w:val="yellow"/>
        </w:rPr>
        <w:t>Poznat i kao evaluacijski kriterij, precizira aspekt evaluirane intervencije koji će omogućiti procjenu njezinih doprinosa i uspjeha. Kriteriji prosudbe blisko su povezani s evaluacijskim pitanjima; kriterij se upotrebljava za odgovaranje na evaluacijsko pitanje. Iz svakog se pitanja dobiva jedan ili više kriterija za prosudbu.</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Nacionalne ruralne mreže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Mreže koje utvrđuju države članice kako bi okupile organizacije i uprave uključene u ruralni razvoj kako bi se:</w:t>
      </w:r>
    </w:p>
    <w:p w:rsidR="00867290" w:rsidRPr="000A700F" w:rsidRDefault="00867290"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povećalo sudjelovanje dionika u provedbi ruralnog razvoja;</w:t>
      </w:r>
    </w:p>
    <w:p w:rsidR="00867290" w:rsidRPr="000A700F" w:rsidRDefault="00867290"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poboljšala kvaliteta Programa ruralnog razvoja;</w:t>
      </w:r>
    </w:p>
    <w:p w:rsidR="00867290" w:rsidRPr="000A700F" w:rsidRDefault="00867290" w:rsidP="009712DC">
      <w:pPr>
        <w:pStyle w:val="ListParagraph"/>
        <w:numPr>
          <w:ilvl w:val="0"/>
          <w:numId w:val="27"/>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obavještavalo širu javnost i potencijalne korisnike o politici ruralnog razvoja i mogućnostima financiranja;</w:t>
      </w:r>
    </w:p>
    <w:p w:rsidR="00867290" w:rsidRPr="000A700F" w:rsidRDefault="00867290" w:rsidP="009712DC">
      <w:pPr>
        <w:pStyle w:val="ListParagraph"/>
        <w:numPr>
          <w:ilvl w:val="0"/>
          <w:numId w:val="27"/>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poticalo inovacije u poljoprivredi, proizvodnji hrane, šumarstvu i ruralnim područjima.</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Akcijski plan NRM-a</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Plan NRM-a koji obuhvaća barem aktivnosti vezane za sljedeće:</w:t>
      </w:r>
    </w:p>
    <w:p w:rsidR="00867290" w:rsidRPr="000A700F" w:rsidRDefault="0086729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prikupljanje primjernih projekata koji obuhvaćaju sve prioritete programa ruralnog razvoja;</w:t>
      </w:r>
    </w:p>
    <w:p w:rsidR="00867290" w:rsidRPr="000A700F" w:rsidRDefault="0086729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olakšavanje tematskih i analitičkih razmjena između dionika ruralnog razvoja, dijeljenje i širenje zaključaka;</w:t>
      </w:r>
    </w:p>
    <w:p w:rsidR="00867290" w:rsidRPr="000A700F" w:rsidRDefault="0086729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osiguravanje mogućnosti obuke i umrežavanja za lokalne akcijske skupine te posebno tehničke pomoći u međuteritorijalnoj i transnacionalnoj suradnji;</w:t>
      </w:r>
    </w:p>
    <w:p w:rsidR="00867290" w:rsidRPr="000A700F" w:rsidRDefault="0086729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osiguravanje umrežavanja za savjetnike i službe potpore za inovacije;</w:t>
      </w:r>
    </w:p>
    <w:p w:rsidR="00867290" w:rsidRPr="000A700F" w:rsidRDefault="0086729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dijeljenje i širenje zaključaka praćenja i evaluacije;</w:t>
      </w:r>
    </w:p>
    <w:p w:rsidR="00867290" w:rsidRPr="000A700F" w:rsidRDefault="00867290" w:rsidP="009712DC">
      <w:pPr>
        <w:pStyle w:val="ListParagraph"/>
        <w:numPr>
          <w:ilvl w:val="1"/>
          <w:numId w:val="26"/>
        </w:numPr>
        <w:spacing w:before="240" w:after="240"/>
        <w:ind w:left="709" w:hanging="357"/>
        <w:jc w:val="both"/>
        <w:rPr>
          <w:rFonts w:ascii="Arial" w:hAnsi="Arial" w:cs="Arial"/>
          <w:sz w:val="18"/>
          <w:szCs w:val="18"/>
          <w:highlight w:val="yellow"/>
        </w:rPr>
      </w:pPr>
      <w:r>
        <w:rPr>
          <w:rFonts w:ascii="Arial" w:hAnsi="Arial"/>
          <w:color w:val="576C88" w:themeColor="text2" w:themeTint="D9"/>
          <w:sz w:val="18"/>
          <w:highlight w:val="yellow"/>
        </w:rPr>
        <w:t>komunikacija s javnošću i informacije o ruralnom razvoju;</w:t>
      </w:r>
    </w:p>
    <w:p w:rsidR="00867290" w:rsidRPr="000A700F" w:rsidRDefault="00867290" w:rsidP="009712DC">
      <w:pPr>
        <w:pStyle w:val="ListParagraph"/>
        <w:numPr>
          <w:ilvl w:val="1"/>
          <w:numId w:val="26"/>
        </w:numPr>
        <w:spacing w:before="240" w:after="240"/>
        <w:ind w:left="709" w:hanging="357"/>
        <w:contextualSpacing w:val="0"/>
        <w:jc w:val="both"/>
        <w:rPr>
          <w:rFonts w:ascii="Arial" w:hAnsi="Arial" w:cs="Arial"/>
          <w:sz w:val="18"/>
          <w:szCs w:val="18"/>
          <w:highlight w:val="yellow"/>
        </w:rPr>
      </w:pPr>
      <w:r>
        <w:rPr>
          <w:rFonts w:ascii="Arial" w:hAnsi="Arial"/>
          <w:color w:val="576C88" w:themeColor="text2" w:themeTint="D9"/>
          <w:sz w:val="18"/>
          <w:highlight w:val="yellow"/>
        </w:rPr>
        <w:t>sudjelovanje i doprinos Europskoj mreži za ruralni razvoj.</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PNRM-ovi</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U državama članicama s regionalnim programima PNRM se odnosi na poseban program za osnivanje i rad njihove nacionalne ruralne mreže.</w:t>
      </w:r>
    </w:p>
    <w:p w:rsidR="00867290" w:rsidRPr="000A700F" w:rsidRDefault="00867290" w:rsidP="00A63707">
      <w:pPr>
        <w:spacing w:before="240" w:after="240"/>
        <w:ind w:left="363"/>
        <w:rPr>
          <w:rFonts w:cs="Arial"/>
          <w:b/>
          <w:color w:val="E7E6E6" w:themeColor="background2"/>
          <w:sz w:val="24"/>
          <w:highlight w:val="yellow"/>
        </w:rPr>
      </w:pP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Cilj</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Jasna, eksplicitna i izvorna izjava o učincima koji se trebaju ostvariti javnom intervencijom. Kvantitativni cilj iskazan je u obliku pokazatelja, a kvalitativni cilj u obliku deskriptora, npr.: 30 % od svih ostvarenja mora se ostvariti do kraja treće godine; od javne intervencije koristi prvo moraju imati dugotrajno nezaposleni. Pojedini ciljevi odnose se na rezultate i učinke intervencije na izravne korisnike. Globalni cilj odgovara cilju intervencije. Cilj intervencije jest proizvesti učinak izražen u globalnim okvirima, npr. smanjivanje regionalnih razlika u razinama razvoja. Ciljevi mogu biti i privremeni. Ciljevi koji preciziraju ostvarenja koja treba proizvesti nazivaju se operativnim ciljevima. Ako ciljevi javne intervencije nisu bili unaprijed jasno definirani, evaluacijom ih se poslije može pokušati razjasniti. U tom slučaju preferira se govoriti o implicitnim ciljevima. Ciljevi mogu uključivati druge ciljeve.</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Ostvarenje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Mjera koja je financirana i ostvarena (ili konkretizirana) novcem dodijeljenim za intervenciju. Promotor projekta pristaje proizvesti ostvarenje u trenutačnu zamjenu za danu potporu. Ostvarenja mogu imati oblik programa ili radova (npr. izgradnja ceste, ulaganje u farmu; smještajni kapaciteti za turiste). Mogu imati i oblik nematerijalne usluge (npr. obuka, savjetništvo, obavještavanje).</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Program</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lastRenderedPageBreak/>
        <w:t>Organizirani niz financijskih, organizacijskih i ljudskih intervencija mobiliziranih kako bi se cilj ili niz ciljeva ostvarili u danom razdoblju. Program je ograničen vremenskim okvirom i proračunom. Ciljevi programa definiraju se unaprijed; zatim se poduzima sustavan napor s težnjom koherentnosti među tim ciljevima.</w:t>
      </w:r>
    </w:p>
    <w:p w:rsidR="00867290" w:rsidRPr="000A700F" w:rsidRDefault="00867290" w:rsidP="009712DC">
      <w:pPr>
        <w:spacing w:before="240" w:after="240"/>
        <w:ind w:left="363"/>
        <w:rPr>
          <w:rFonts w:cs="Arial"/>
          <w:b/>
          <w:color w:val="E7E6E6" w:themeColor="background2"/>
          <w:sz w:val="24"/>
          <w:highlight w:val="yellow"/>
        </w:rPr>
      </w:pPr>
      <w:r>
        <w:rPr>
          <w:b/>
          <w:color w:val="E7E6E6" w:themeColor="background2"/>
          <w:sz w:val="24"/>
          <w:highlight w:val="yellow"/>
        </w:rPr>
        <w:t>Evaluacijska pitanja za pojedine programe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Evaluacijska pitanja za pojedine programe formuliraju se radi evaluacije pojedinog programa, s namjerom osiguravanja dubljeg uvida u sveobuhvatnu provedbu tog programa ili odražavanja pojedinih ciljeva toga programa. Suprotno tome, „zajednička” evaluacijska pitanja primjenjuju se na sve programe.</w:t>
      </w:r>
      <w:r>
        <w:rPr>
          <w:highlight w:val="yellow"/>
        </w:rPr>
        <w:t xml:space="preserve"> </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Pokazatelji za pojedine programe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Pokazatelj je kvantitativni ili kvalitativni čimbenik ili varijabla koja je jednostavno i pouzdano sredstvo mjerenja postignuća, odražavanja promjena povezanih s intervencijom ili pomoći pri procjeni uspješnosti dionika u razvoju. Niz zajedničkih pokazatelja, obvezujući za sve države članice, služi mjerenju ostvarenja i promjena na razini programa i na europskoj razini. Budući da zajednički pokazatelji nekad ne odražavaju u potpunosti sve učinke programskih mjera, od Upravljačkih tijela u državama članicama traži se da nadopune niz zajedničkih pokazatelja definirajući dodatne pokazatelje kako bi zabilježili puni raspon namjeravanih učinaka danog programa, osobito za nacionalne prioritete i mjere za pojedinu lokaciju. Ti dodatni pokazatelji nazivaju se pokazateljima za pojedine programe.</w:t>
      </w:r>
      <w:r>
        <w:rPr>
          <w:highlight w:val="yellow"/>
        </w:rPr>
        <w:t xml:space="preserve"> </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Relevantnost</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 xml:space="preserve">Mjera do koje se ciljevi intervencije odnose na potrebe, probleme i teškoće. Pitanja relevantnosti osobito su važna u </w:t>
      </w:r>
      <w:r w:rsidRPr="00D07D45">
        <w:rPr>
          <w:i/>
          <w:color w:val="576C88" w:themeColor="text2" w:themeTint="D9"/>
          <w:highlight w:val="yellow"/>
        </w:rPr>
        <w:t>ex ante</w:t>
      </w:r>
      <w:r>
        <w:rPr>
          <w:color w:val="576C88" w:themeColor="text2" w:themeTint="D9"/>
          <w:highlight w:val="yellow"/>
        </w:rPr>
        <w:t xml:space="preserve"> evaluaciji jer je fokus na odabranoj strategiji ili njezinu opravdanju. Unutar okvira srednjoročne evaluacije savjetuje se provjeriti je li se društveno-gospodarski kontekst promijenio kao što se očekivalo i dovodi li ta promjena u pitanje relevantnost pojedinoga prvotnog cilja.</w:t>
      </w:r>
      <w:r>
        <w:rPr>
          <w:highlight w:val="yellow"/>
        </w:rPr>
        <w:t xml:space="preserve"> </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Pouzdanost</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Kvaliteta prikupljanja podataka o evaluaciji kada korišteni protokol omogućava proizvesti slične informacije tijekom ponovljenih promatranja u identičnim uvjetima. Pouzdanost ovisi o usklađenosti s pravilima uzimanja uzoraka i alatima korištenima za prikupljanje i bilježenje kvantitativnih i kvalitativnih informacija.</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Rezultat</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Pogodnost (ili nepogodnost) koju izravni korisnici ostvaruju na kraju svog sudjelovanja u javnoj intervenciji ili čim se javni program dovrši. Rezultati se mogu primijetiti kad subjekt dovrši aktivnost i opravda način na koji su dodijeljena sredstva potrošena i kako se njima upravljalo. Na tom mjestu on može pokazati, na primjer, da je dostupnost poboljšana zbog izgradnje ceste ili da tvrtke koje su bile savjetovane tvrde da su zadovoljne. Subjekti mogu redovito pratiti rezultate. Provedbu intervencije moraju prilagoditi dobivenim rezultatima.</w:t>
      </w:r>
      <w:r>
        <w:rPr>
          <w:highlight w:val="yellow"/>
        </w:rPr>
        <w:t xml:space="preserve">  </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Strogost</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 xml:space="preserve">U kontekstu ove studije pod „rigoroznom” metodom podrazumijeva se metoda koja je uvedena, primijenjena i dalje razvijena u referiranim znanstvenim časopisima. </w:t>
      </w:r>
      <w:r>
        <w:rPr>
          <w:color w:val="576C88" w:themeColor="text2" w:themeTint="D9"/>
          <w:highlight w:val="yellow"/>
        </w:rPr>
        <w:lastRenderedPageBreak/>
        <w:t>Rigoroznija metoda šire je primjenjivana i prihvaćena u znanstvenoj zajednici ili zajednici evaluatora i bit će opisana u metodološkim udžbenicima. Metode kojima se mogu kvantificirati kauzalni učinci smatraju se konzistentnijima od drugih metoda.</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Konzistentnost</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Pojam konzistentnosti različito se definira u literaturi o evaluaciji. U ekonometriji se konzistentnost upotrebljava u različitim kontekstima (npr. pristrani i nepristrani estimatori, selekcija modela i varijable) i zato ima posebna značenja uvjetovana kontekstom. U kontekstu ove studije konzistentnost se smatra visokom ako su rezultati stabilni i otporni na male, ali namjerne promjene (npr. dodatna godina promatranja, dodatna eksplanatorna varijabla, drugi dionik, drugi evaluator). U nekim metodama konzistentnost se može provjeriti analizom osjetljivosti.</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Samoocjenjivanje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Samoocjenjivanje je trajni proces osvrtanja koji oblikuju i provode oni koji provode intervenciju ili su njezin dio (npr. upravitelji programa, korisnici, članovi mreže). Ono ostvaruje pogled iznutra na aktivnosti i fokusira se na sveobuhvatnu uspješnost. Uključeni subjekti analiziraju način na koji rade stvari i pitaju se kako pridonose ostvarivanju dogovorenih ciljeva. Participatorna narav samoocjenjivanja zaslužna je za učinak učenja među svima koji u njemu sudjeluju.</w:t>
      </w:r>
      <w:r>
        <w:rPr>
          <w:highlight w:val="yellow"/>
        </w:rPr>
        <w:t xml:space="preserve"> </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Opis poslova</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 xml:space="preserve">OP precizira uvjete pod kojima će se provoditi zadaci koji se odnose na evaluaciju/SEA-u, utvrđuje uloge i odgovornosti i obavještava potencijalne </w:t>
      </w:r>
      <w:r>
        <w:rPr>
          <w:color w:val="576C88" w:themeColor="text2" w:themeTint="D9"/>
          <w:highlight w:val="yellow"/>
        </w:rPr>
        <w:t>evaluatore/stručnjake za SEA-u o tome što se očekuje u vezi sa sadržajem, procesom i vremenskim rasporedom. Ako su jasno definirani u OP-u, odgovori kandidata na predložene uvjete mogu dati ključan uvid o njihovoj prikladnosti za zadatak.</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Teorija promjene</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„Teorija promjene”, koja se često primjenjuje u teorijski utemeljenim evaluacijama, može se opisati kao način opisivanja niza pretpostavki koje objašnjavaju i male korake koji vode do dugoročnog cilja i veze između aktivnosti i ishoda politike ili programa koji se događaju pri svakom pojedinom koraku. Teorijski utemeljen pristup je pristup u kojem se pozornost obraća na teorije kreatora politike, upravitelja programa ili drugih dionika, tj. niz pretpostavki te hipoteza – empirijski provjerljivih – koje su logično međusobno povezane. Pretpostavka je da su programi utemeljeni na eksplicitnoj ili implicitnoj teoriji o tome kako će i zašto program funkcionirati. Glavna osobina teorijski utemeljene evaluacije jest da osigurava eksplicitan kauzalni lanac (ili „teoriju promjene”) povezujući intervenciju s određenim/posebnim učincima; zatim taj kauzalni lanac upotrebljava kako bi usmjeravala prikupljanje dokaza i analizu kauzalnog doprinosa razvijajući hipoteze koje se mogu testirati kritičkim usporedbama.</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Transparentnost</w:t>
      </w:r>
    </w:p>
    <w:p w:rsidR="00867290" w:rsidRPr="000A700F" w:rsidRDefault="00867290" w:rsidP="00A63707">
      <w:pPr>
        <w:spacing w:before="240" w:after="240"/>
        <w:ind w:left="363"/>
        <w:rPr>
          <w:rFonts w:cs="Arial"/>
          <w:szCs w:val="18"/>
          <w:highlight w:val="yellow"/>
        </w:rPr>
      </w:pPr>
      <w:r>
        <w:rPr>
          <w:color w:val="576C88" w:themeColor="text2" w:themeTint="D9"/>
          <w:highlight w:val="yellow"/>
        </w:rPr>
        <w:t xml:space="preserve">Transparentnost evaluacijske metodologije zahtijeva da korisnici točno znaju njezine glavne elemente, strukturu, parametre, pravila i funkcionalne odgovore. Korisnik tako može pratiti da ih se slijedi. Valjana procjena hipoteze </w:t>
      </w:r>
      <w:r>
        <w:rPr>
          <w:color w:val="576C88" w:themeColor="text2" w:themeTint="D9"/>
          <w:highlight w:val="yellow"/>
        </w:rPr>
        <w:lastRenderedPageBreak/>
        <w:t>trebala bi biti utemeljena na jasnim i transparentnim pravilima za dodjelu.</w:t>
      </w:r>
    </w:p>
    <w:p w:rsidR="00867290" w:rsidRPr="000A700F" w:rsidRDefault="00867290" w:rsidP="00A63707">
      <w:pPr>
        <w:spacing w:before="240" w:after="240"/>
        <w:ind w:left="363"/>
        <w:rPr>
          <w:rFonts w:cs="Arial"/>
          <w:b/>
          <w:color w:val="E7E6E6" w:themeColor="background2"/>
          <w:sz w:val="24"/>
          <w:highlight w:val="yellow"/>
        </w:rPr>
      </w:pPr>
      <w:r>
        <w:rPr>
          <w:b/>
          <w:color w:val="E7E6E6" w:themeColor="background2"/>
          <w:sz w:val="24"/>
          <w:highlight w:val="yellow"/>
        </w:rPr>
        <w:t>Valjanost</w:t>
      </w:r>
    </w:p>
    <w:p w:rsidR="00867290" w:rsidRDefault="00867290" w:rsidP="00A63707">
      <w:pPr>
        <w:spacing w:before="240" w:after="240"/>
        <w:ind w:left="363"/>
        <w:rPr>
          <w:rFonts w:cs="Arial"/>
          <w:color w:val="576C88" w:themeColor="text2" w:themeTint="D9"/>
          <w:szCs w:val="18"/>
        </w:rPr>
      </w:pPr>
      <w:r>
        <w:rPr>
          <w:color w:val="576C88" w:themeColor="text2" w:themeTint="D9"/>
          <w:highlight w:val="yellow"/>
        </w:rPr>
        <w:t>Može se odnositi na unutarnju, vanjsku i konvergentnu valjanost. „Unutarnja valjanost”: rezultati neempirijskih metoda valjani su ako su logički utemeljeni. Rezultati empirijskih metoda valjani su ako su logički i činjenično utemeljeni. Logička utemeljenost može se verificirati, a visoka transparentnost to  olakšava. Činjenična utemeljenost je verificirana ako je rezultat identičan pravom parametru, koji se uglavnom ne može promatrati (vidi hipotezu). „Vanjska valjanost” je mjera kvalitete empirijskog istraživanja. U našem kontekstu „vanjska valjanost” znači hoće li rezultati dobiveni iz studije slučaja biti više ili manje jednaki ako sličan program postoji u drugom kontekstu. „Konvergentna valjanost” je posrijedi ako različite metode upotrijebljene za odgovaranje na isto istraživačko pitanje daju slične rezultate.</w:t>
      </w:r>
    </w:p>
    <w:p w:rsidR="00867290" w:rsidRDefault="00867290" w:rsidP="00A63707">
      <w:pPr>
        <w:spacing w:before="240" w:after="240"/>
        <w:ind w:left="363"/>
        <w:rPr>
          <w:rFonts w:cs="Arial"/>
          <w:szCs w:val="18"/>
        </w:rPr>
      </w:pPr>
    </w:p>
    <w:p w:rsidR="00867290" w:rsidRDefault="00867290" w:rsidP="00A63707">
      <w:pPr>
        <w:spacing w:before="240" w:after="240"/>
        <w:ind w:left="363"/>
        <w:rPr>
          <w:rFonts w:cs="Arial"/>
          <w:szCs w:val="18"/>
        </w:rPr>
      </w:pPr>
    </w:p>
    <w:p w:rsidR="00867290" w:rsidRDefault="00867290" w:rsidP="00A63707">
      <w:pPr>
        <w:spacing w:before="240" w:after="240"/>
        <w:ind w:left="363"/>
        <w:rPr>
          <w:rFonts w:cs="Arial"/>
          <w:szCs w:val="18"/>
        </w:rPr>
      </w:pPr>
    </w:p>
    <w:p w:rsidR="00867290" w:rsidRDefault="00867290" w:rsidP="00A63707">
      <w:pPr>
        <w:spacing w:before="240" w:after="240"/>
        <w:ind w:left="363"/>
        <w:rPr>
          <w:rFonts w:cs="Arial"/>
          <w:szCs w:val="18"/>
        </w:rPr>
      </w:pPr>
    </w:p>
    <w:p w:rsidR="00867290" w:rsidRDefault="00867290" w:rsidP="00A63707">
      <w:pPr>
        <w:spacing w:before="240" w:after="240"/>
        <w:ind w:left="363"/>
        <w:rPr>
          <w:rFonts w:cs="Arial"/>
          <w:szCs w:val="18"/>
        </w:rPr>
        <w:sectPr w:rsidR="00867290" w:rsidSect="00502BFD">
          <w:type w:val="continuous"/>
          <w:pgSz w:w="11906" w:h="16838" w:code="9"/>
          <w:pgMar w:top="1440" w:right="1440" w:bottom="1440" w:left="1440" w:header="1134" w:footer="1021" w:gutter="0"/>
          <w:cols w:num="2" w:space="708"/>
          <w:titlePg/>
          <w:docGrid w:linePitch="360"/>
        </w:sectPr>
      </w:pPr>
    </w:p>
    <w:p w:rsidR="00867290" w:rsidRDefault="00867290">
      <w:pPr>
        <w:spacing w:after="0" w:line="240" w:lineRule="auto"/>
        <w:rPr>
          <w:rFonts w:cs="Arial"/>
          <w:szCs w:val="18"/>
        </w:rPr>
      </w:pPr>
      <w:r>
        <w:lastRenderedPageBreak/>
        <w:br w:type="page"/>
      </w:r>
    </w:p>
    <w:p w:rsidR="00867290" w:rsidRDefault="00867290" w:rsidP="00A63707">
      <w:pPr>
        <w:spacing w:before="240" w:after="240"/>
        <w:ind w:left="363"/>
        <w:rPr>
          <w:rFonts w:cs="Arial"/>
          <w:szCs w:val="18"/>
        </w:rPr>
      </w:pPr>
    </w:p>
    <w:p w:rsidR="00867290" w:rsidRDefault="00867290" w:rsidP="00A63707">
      <w:pPr>
        <w:spacing w:before="240" w:after="240"/>
        <w:ind w:left="363"/>
        <w:rPr>
          <w:rFonts w:cs="Arial"/>
          <w:szCs w:val="18"/>
        </w:rPr>
      </w:pPr>
    </w:p>
    <w:p w:rsidR="00867290" w:rsidRDefault="00867290" w:rsidP="00A63707">
      <w:pPr>
        <w:spacing w:before="240" w:after="240"/>
        <w:ind w:left="363"/>
        <w:rPr>
          <w:rFonts w:cs="Arial"/>
          <w:szCs w:val="18"/>
        </w:rPr>
        <w:sectPr w:rsidR="00867290" w:rsidSect="00502BFD">
          <w:pgSz w:w="11906" w:h="16838" w:code="9"/>
          <w:pgMar w:top="1440" w:right="1440" w:bottom="1440" w:left="1440" w:header="1134" w:footer="1021" w:gutter="0"/>
          <w:cols w:num="2" w:space="708"/>
          <w:titlePg/>
          <w:docGrid w:linePitch="360"/>
        </w:sectPr>
      </w:pPr>
    </w:p>
    <w:p w:rsidR="00867290" w:rsidRPr="009712DC" w:rsidRDefault="00867290" w:rsidP="00A63707">
      <w:pPr>
        <w:spacing w:before="240" w:after="240"/>
        <w:ind w:left="363"/>
        <w:rPr>
          <w:rFonts w:cs="Arial"/>
          <w:szCs w:val="18"/>
        </w:rPr>
        <w:sectPr w:rsidR="00867290" w:rsidRPr="009712DC" w:rsidSect="00502BFD">
          <w:type w:val="continuous"/>
          <w:pgSz w:w="11906" w:h="16838" w:code="9"/>
          <w:pgMar w:top="1440" w:right="1440" w:bottom="1440" w:left="1440" w:header="1134" w:footer="1021" w:gutter="0"/>
          <w:cols w:space="708"/>
          <w:titlePg/>
          <w:docGrid w:linePitch="360"/>
        </w:sectPr>
      </w:pPr>
    </w:p>
    <w:p w:rsidR="00867290" w:rsidRDefault="00867290">
      <w:pPr>
        <w:spacing w:after="0" w:line="240" w:lineRule="auto"/>
        <w:rPr>
          <w:rFonts w:cs="Arial"/>
          <w:color w:val="576C88" w:themeColor="text2" w:themeTint="D9"/>
          <w:sz w:val="20"/>
          <w:szCs w:val="20"/>
        </w:rPr>
        <w:sectPr w:rsidR="00867290" w:rsidSect="00A63707">
          <w:type w:val="continuous"/>
          <w:pgSz w:w="11906" w:h="16838" w:code="9"/>
          <w:pgMar w:top="1440" w:right="1440" w:bottom="1440" w:left="1440" w:header="1134" w:footer="1021" w:gutter="0"/>
          <w:cols w:space="708"/>
          <w:titlePg/>
          <w:docGrid w:linePitch="360"/>
        </w:sectPr>
      </w:pPr>
    </w:p>
    <w:p w:rsidR="00867290" w:rsidRDefault="00867290">
      <w:pPr>
        <w:spacing w:after="0" w:line="240" w:lineRule="auto"/>
        <w:rPr>
          <w:rFonts w:cs="Arial"/>
          <w:color w:val="576C88" w:themeColor="text2" w:themeTint="D9"/>
          <w:sz w:val="20"/>
          <w:szCs w:val="20"/>
        </w:rPr>
      </w:pPr>
    </w:p>
    <w:p w:rsidR="00867290" w:rsidRPr="008D0759" w:rsidRDefault="00867290" w:rsidP="00923616">
      <w:pPr>
        <w:pStyle w:val="HStandard"/>
      </w:pPr>
    </w:p>
    <w:p w:rsidR="00867290" w:rsidRPr="008D0759" w:rsidRDefault="00867290" w:rsidP="00923616">
      <w:pPr>
        <w:pStyle w:val="HStandard"/>
        <w:sectPr w:rsidR="00867290" w:rsidRPr="008D0759" w:rsidSect="00A63707">
          <w:type w:val="continuous"/>
          <w:pgSz w:w="11906" w:h="16838" w:code="9"/>
          <w:pgMar w:top="1440" w:right="1440" w:bottom="1440" w:left="1440" w:header="1134" w:footer="1021" w:gutter="0"/>
          <w:cols w:space="708"/>
          <w:titlePg/>
          <w:docGrid w:linePitch="360"/>
        </w:sectPr>
      </w:pPr>
    </w:p>
    <w:p w:rsidR="00867290" w:rsidRPr="008D0759" w:rsidRDefault="00867290">
      <w:pPr>
        <w:spacing w:after="0" w:line="240" w:lineRule="auto"/>
        <w:rPr>
          <w:rFonts w:cs="Arial"/>
        </w:rPr>
      </w:pPr>
      <w:r>
        <w:rPr>
          <w:rFonts w:cs="Arial"/>
          <w:noProof/>
          <w:lang w:eastAsia="en-GB"/>
        </w:rPr>
        <w:lastRenderedPageBreak/>
        <w:drawing>
          <wp:anchor distT="0" distB="0" distL="114300" distR="114300" simplePos="0" relativeHeight="251664384" behindDoc="0" locked="0" layoutInCell="1" allowOverlap="1" wp14:anchorId="037C7780" wp14:editId="590122AB">
            <wp:simplePos x="0" y="0"/>
            <wp:positionH relativeFrom="margin">
              <wp:align>center</wp:align>
            </wp:positionH>
            <wp:positionV relativeFrom="paragraph">
              <wp:posOffset>-1534795</wp:posOffset>
            </wp:positionV>
            <wp:extent cx="7409464" cy="10577015"/>
            <wp:effectExtent l="0" t="0" r="1270" b="0"/>
            <wp:wrapNone/>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mplate_Back_Orange.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409464" cy="10577015"/>
                    </a:xfrm>
                    <a:prstGeom prst="rect">
                      <a:avLst/>
                    </a:prstGeom>
                  </pic:spPr>
                </pic:pic>
              </a:graphicData>
            </a:graphic>
          </wp:anchor>
        </w:drawing>
      </w:r>
    </w:p>
    <w:p w:rsidR="00867290" w:rsidRPr="008D0759" w:rsidRDefault="00867290" w:rsidP="00923616">
      <w:pPr>
        <w:pStyle w:val="HStandard"/>
      </w:pPr>
    </w:p>
    <w:p w:rsidR="00C23794" w:rsidRDefault="00D93494">
      <w:bookmarkStart w:id="361" w:name="_GoBack"/>
      <w:bookmarkEnd w:id="361"/>
    </w:p>
    <w:sectPr w:rsidR="00C23794" w:rsidSect="00457F3C">
      <w:headerReference w:type="default" r:id="rId71"/>
      <w:footerReference w:type="default" r:id="rId72"/>
      <w:headerReference w:type="first" r:id="rId73"/>
      <w:footerReference w:type="first" r:id="rId74"/>
      <w:pgSz w:w="11906" w:h="16838" w:code="9"/>
      <w:pgMar w:top="1440" w:right="1440" w:bottom="1440" w:left="1440" w:header="1134" w:footer="102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93494" w:rsidRDefault="00D93494" w:rsidP="00867290">
      <w:pPr>
        <w:spacing w:after="0" w:line="240" w:lineRule="auto"/>
      </w:pPr>
      <w:r>
        <w:separator/>
      </w:r>
    </w:p>
  </w:endnote>
  <w:endnote w:type="continuationSeparator" w:id="0">
    <w:p w:rsidR="00D93494" w:rsidRDefault="00D93494" w:rsidP="008672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Helvetica LT Pro Light">
    <w:altName w:val="Corbel"/>
    <w:charset w:val="00"/>
    <w:family w:val="swiss"/>
    <w:pitch w:val="variable"/>
    <w:sig w:usb0="A00000AF" w:usb1="5000205A" w:usb2="00000000" w:usb3="00000000" w:csb0="00000093" w:csb1="00000000"/>
  </w:font>
  <w:font w:name="Helvetica LT Pro">
    <w:charset w:val="00"/>
    <w:family w:val="swiss"/>
    <w:pitch w:val="variable"/>
    <w:sig w:usb0="A00002AF" w:usb1="5000204A" w:usb2="00000000" w:usb3="00000000" w:csb0="00000097" w:csb1="00000000"/>
  </w:font>
  <w:font w:name="Tahoma">
    <w:panose1 w:val="020B0604030504040204"/>
    <w:charset w:val="00"/>
    <w:family w:val="swiss"/>
    <w:pitch w:val="variable"/>
    <w:sig w:usb0="E1002EFF" w:usb1="C000605B" w:usb2="00000029" w:usb3="00000000" w:csb0="000101FF" w:csb1="00000000"/>
  </w:font>
  <w:font w:name="EUAlbertina">
    <w:altName w:val="EU Albertina"/>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 w:name="Consolas">
    <w:panose1 w:val="020B0609020204030204"/>
    <w:charset w:val="00"/>
    <w:family w:val="modern"/>
    <w:pitch w:val="fixed"/>
    <w:sig w:usb0="E10002FF" w:usb1="4000FCFF" w:usb2="00000009"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Default="00867290">
    <w:pPr>
      <w:pStyle w:val="Footer"/>
    </w:pPr>
    <w: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tab/>
    </w:r>
    <w:r>
      <w:rPr>
        <w:noProof/>
        <w:lang w:val="en-GB" w:eastAsia="en-GB" w:bidi="ar-SA"/>
      </w:rPr>
      <w:drawing>
        <wp:inline distT="0" distB="0" distL="0" distR="0" wp14:anchorId="29EAB944" wp14:editId="2CD2379A">
          <wp:extent cx="971550" cy="247650"/>
          <wp:effectExtent l="19050" t="0" r="0" b="0"/>
          <wp:docPr id="6" name="Bild 1" descr="Logokleinlinks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kleinlinksunten"/>
                  <pic:cNvPicPr>
                    <a:picLocks noChangeAspect="1" noChangeArrowheads="1"/>
                  </pic:cNvPicPr>
                </pic:nvPicPr>
                <pic:blipFill>
                  <a:blip r:embed="rId1"/>
                  <a:srcRect/>
                  <a:stretch>
                    <a:fillRect/>
                  </a:stretch>
                </pic:blipFill>
                <pic:spPr bwMode="auto">
                  <a:xfrm>
                    <a:off x="0" y="0"/>
                    <a:ext cx="971550" cy="247650"/>
                  </a:xfrm>
                  <a:prstGeom prst="rect">
                    <a:avLst/>
                  </a:prstGeom>
                  <a:noFill/>
                  <a:ln w="9525">
                    <a:noFill/>
                    <a:miter lim="800000"/>
                    <a:headEnd/>
                    <a:tailEnd/>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A40754" w:rsidRDefault="0086729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27</w:t>
    </w:r>
    <w:r w:rsidRPr="00A40754">
      <w:rPr>
        <w:rStyle w:val="PageNumber"/>
        <w:rFonts w:ascii="Helvetica LT Pro Light" w:hAnsi="Helvetica LT Pro Light"/>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A40754" w:rsidRDefault="0086729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6</w:t>
    </w:r>
    <w:r w:rsidRPr="00A40754">
      <w:rPr>
        <w:rStyle w:val="PageNumber"/>
        <w:rFonts w:ascii="Helvetica LT Pro Light" w:hAnsi="Helvetica LT Pro Light"/>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A40754" w:rsidRDefault="0086729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33</w:t>
    </w:r>
    <w:r w:rsidRPr="00A40754">
      <w:rPr>
        <w:rStyle w:val="PageNumber"/>
        <w:rFonts w:ascii="Helvetica LT Pro Light" w:hAnsi="Helvetica LT Pro Light"/>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A40754" w:rsidRDefault="0086729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28</w:t>
    </w:r>
    <w:r w:rsidRPr="00A40754">
      <w:rPr>
        <w:rStyle w:val="PageNumber"/>
        <w:rFonts w:ascii="Helvetica LT Pro Light" w:hAnsi="Helvetica LT Pro Light"/>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4733A5" w:rsidRDefault="00867290" w:rsidP="00A40754">
    <w:pPr>
      <w:pStyle w:val="Footer"/>
      <w:rPr>
        <w:color w:val="262626" w:themeColor="text1" w:themeTint="D9"/>
      </w:rPr>
    </w:pPr>
    <w:r w:rsidRPr="004733A5">
      <w:rPr>
        <w:rStyle w:val="PageNumber"/>
        <w:rFonts w:ascii="Helvetica LT Pro Light" w:hAnsi="Helvetica LT Pro Light"/>
        <w:color w:val="262626" w:themeColor="text1" w:themeTint="D9"/>
      </w:rPr>
      <w:fldChar w:fldCharType="begin"/>
    </w:r>
    <w:r w:rsidRPr="004733A5">
      <w:rPr>
        <w:rStyle w:val="PageNumber"/>
        <w:rFonts w:ascii="Helvetica LT Pro Light" w:hAnsi="Helvetica LT Pro Light"/>
        <w:color w:val="262626" w:themeColor="text1" w:themeTint="D9"/>
      </w:rPr>
      <w:instrText xml:space="preserve"> PAGE </w:instrText>
    </w:r>
    <w:r w:rsidRPr="004733A5">
      <w:rPr>
        <w:rStyle w:val="PageNumber"/>
        <w:rFonts w:ascii="Helvetica LT Pro Light" w:hAnsi="Helvetica LT Pro Light"/>
        <w:color w:val="262626" w:themeColor="text1" w:themeTint="D9"/>
      </w:rPr>
      <w:fldChar w:fldCharType="separate"/>
    </w:r>
    <w:r>
      <w:rPr>
        <w:rStyle w:val="PageNumber"/>
        <w:rFonts w:ascii="Helvetica LT Pro Light" w:hAnsi="Helvetica LT Pro Light"/>
        <w:noProof/>
        <w:color w:val="262626" w:themeColor="text1" w:themeTint="D9"/>
      </w:rPr>
      <w:t>121</w:t>
    </w:r>
    <w:r w:rsidRPr="004733A5">
      <w:rPr>
        <w:rStyle w:val="PageNumber"/>
        <w:rFonts w:ascii="Helvetica LT Pro Light" w:hAnsi="Helvetica LT Pro Light"/>
        <w:color w:val="262626" w:themeColor="text1" w:themeTint="D9"/>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A40754" w:rsidRDefault="00867290" w:rsidP="00A40754">
    <w:pPr>
      <w:pStyle w:val="Footer"/>
    </w:pPr>
    <w:r w:rsidRPr="00A40754">
      <w:rPr>
        <w:rStyle w:val="PageNumber"/>
        <w:rFonts w:ascii="Helvetica LT Pro Light" w:hAnsi="Helvetica LT Pro Light"/>
      </w:rPr>
      <w:fldChar w:fldCharType="begin"/>
    </w:r>
    <w:r w:rsidRPr="00A40754">
      <w:rPr>
        <w:rStyle w:val="PageNumber"/>
        <w:rFonts w:ascii="Helvetica LT Pro Light" w:hAnsi="Helvetica LT Pro Light"/>
      </w:rPr>
      <w:instrText xml:space="preserve"> PAGE </w:instrText>
    </w:r>
    <w:r w:rsidRPr="00A40754">
      <w:rPr>
        <w:rStyle w:val="PageNumber"/>
        <w:rFonts w:ascii="Helvetica LT Pro Light" w:hAnsi="Helvetica LT Pro Light"/>
      </w:rPr>
      <w:fldChar w:fldCharType="separate"/>
    </w:r>
    <w:r>
      <w:rPr>
        <w:rStyle w:val="PageNumber"/>
        <w:rFonts w:ascii="Helvetica LT Pro Light" w:hAnsi="Helvetica LT Pro Light"/>
        <w:noProof/>
      </w:rPr>
      <w:t>120</w:t>
    </w:r>
    <w:r w:rsidRPr="00A40754">
      <w:rPr>
        <w:rStyle w:val="PageNumber"/>
        <w:rFonts w:ascii="Helvetica LT Pro Light" w:hAnsi="Helvetica LT Pro Light"/>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3F32" w:rsidRPr="00150D5B" w:rsidRDefault="00D93494" w:rsidP="00150D5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3F32" w:rsidRPr="00150D5B" w:rsidRDefault="00D93494" w:rsidP="00150D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93494" w:rsidRDefault="00D93494" w:rsidP="00867290">
      <w:pPr>
        <w:spacing w:after="0" w:line="240" w:lineRule="auto"/>
      </w:pPr>
      <w:r>
        <w:separator/>
      </w:r>
    </w:p>
  </w:footnote>
  <w:footnote w:type="continuationSeparator" w:id="0">
    <w:p w:rsidR="00D93494" w:rsidRDefault="00D93494" w:rsidP="00867290">
      <w:pPr>
        <w:spacing w:after="0" w:line="240" w:lineRule="auto"/>
      </w:pPr>
      <w:r>
        <w:continuationSeparator/>
      </w:r>
    </w:p>
  </w:footnote>
  <w:footnote w:id="1">
    <w:p w:rsidR="00867290" w:rsidRPr="00AA1397" w:rsidRDefault="00867290" w:rsidP="00790A04">
      <w:pPr>
        <w:pStyle w:val="FootnoteText"/>
        <w:rPr>
          <w:highlight w:val="yellow"/>
          <w:lang w:val="pl-PL"/>
        </w:rPr>
      </w:pPr>
      <w:r>
        <w:rPr>
          <w:rStyle w:val="FootnoteReference"/>
        </w:rPr>
        <w:footnoteRef/>
      </w:r>
      <w:r>
        <w:t xml:space="preserve"> </w:t>
      </w:r>
      <w:r>
        <w:tab/>
      </w:r>
      <w:r>
        <w:rPr>
          <w:highlight w:val="yellow"/>
        </w:rPr>
        <w:t>U slučaju država članica s regionalnim PRR-ovima.</w:t>
      </w:r>
    </w:p>
  </w:footnote>
  <w:footnote w:id="2">
    <w:p w:rsidR="00867290" w:rsidRPr="00AA1397" w:rsidRDefault="00867290" w:rsidP="00790A04">
      <w:pPr>
        <w:pStyle w:val="FootnoteText"/>
        <w:rPr>
          <w:highlight w:val="yellow"/>
          <w:lang w:val="sv-SE"/>
        </w:rPr>
      </w:pPr>
      <w:r>
        <w:rPr>
          <w:rStyle w:val="FootnoteReference"/>
          <w:highlight w:val="yellow"/>
        </w:rPr>
        <w:footnoteRef/>
      </w:r>
      <w:r>
        <w:rPr>
          <w:highlight w:val="yellow"/>
        </w:rPr>
        <w:t xml:space="preserve"> </w:t>
      </w:r>
      <w:r>
        <w:tab/>
      </w:r>
      <w:r>
        <w:rPr>
          <w:highlight w:val="yellow"/>
        </w:rPr>
        <w:t>Uredba (EU) br. 1305/2013, čl. 54. st. 1.</w:t>
      </w:r>
    </w:p>
  </w:footnote>
  <w:footnote w:id="3">
    <w:p w:rsidR="00867290" w:rsidRPr="00AA1397" w:rsidRDefault="00867290" w:rsidP="00790A04">
      <w:pPr>
        <w:pStyle w:val="FootnoteText"/>
        <w:rPr>
          <w:highlight w:val="yellow"/>
          <w:lang w:val="sv-SE"/>
        </w:rPr>
      </w:pPr>
      <w:r>
        <w:rPr>
          <w:rStyle w:val="FootnoteReference"/>
          <w:highlight w:val="yellow"/>
        </w:rPr>
        <w:footnoteRef/>
      </w:r>
      <w:r>
        <w:rPr>
          <w:highlight w:val="yellow"/>
        </w:rPr>
        <w:t xml:space="preserve"> </w:t>
      </w:r>
      <w:r>
        <w:tab/>
      </w:r>
      <w:r>
        <w:rPr>
          <w:highlight w:val="yellow"/>
        </w:rPr>
        <w:t>Uredba (EU) br. 1303/2013, čl. 54.</w:t>
      </w:r>
    </w:p>
  </w:footnote>
  <w:footnote w:id="4">
    <w:p w:rsidR="00867290" w:rsidRPr="00AA1397" w:rsidRDefault="00867290" w:rsidP="00790A04">
      <w:pPr>
        <w:pStyle w:val="FootnoteText"/>
        <w:rPr>
          <w:lang w:val="sv-SE"/>
        </w:rPr>
      </w:pPr>
      <w:r>
        <w:rPr>
          <w:rStyle w:val="FootnoteReference"/>
          <w:highlight w:val="yellow"/>
        </w:rPr>
        <w:footnoteRef/>
      </w:r>
      <w:r>
        <w:rPr>
          <w:highlight w:val="yellow"/>
        </w:rPr>
        <w:t xml:space="preserve"> </w:t>
      </w:r>
      <w:r>
        <w:tab/>
      </w:r>
      <w:hyperlink r:id="rId1">
        <w:r>
          <w:rPr>
            <w:highlight w:val="yellow"/>
          </w:rPr>
          <w:t>Smjernice: Utvrđivanje i provedba plana evaluacije za PRR-ove u razdoblju 2014. – 2020.</w:t>
        </w:r>
      </w:hyperlink>
      <w:r>
        <w:rPr>
          <w:highlight w:val="yellow"/>
        </w:rPr>
        <w:t>, služba za pomoć Europske evaluacijske mreže za ruralni razvoj, Bruxelles, 2014.</w:t>
      </w:r>
      <w:r>
        <w:t xml:space="preserve"> </w:t>
      </w:r>
    </w:p>
  </w:footnote>
  <w:footnote w:id="5">
    <w:p w:rsidR="00867290" w:rsidRPr="00AA1397" w:rsidRDefault="00867290" w:rsidP="00E92B7B">
      <w:pPr>
        <w:pStyle w:val="FootnoteText"/>
        <w:rPr>
          <w:highlight w:val="yellow"/>
          <w:lang w:val="pl-PL"/>
        </w:rPr>
      </w:pPr>
      <w:r>
        <w:rPr>
          <w:rStyle w:val="FootnoteReference"/>
        </w:rPr>
        <w:footnoteRef/>
      </w:r>
      <w:r>
        <w:t xml:space="preserve"> </w:t>
      </w:r>
      <w:r>
        <w:tab/>
      </w:r>
      <w:r>
        <w:rPr>
          <w:highlight w:val="yellow"/>
        </w:rPr>
        <w:t xml:space="preserve">Radni dokument: Zajednička pitanja za evaluaciju programa ruralnog razvoja 2014. – 2020., </w:t>
      </w:r>
      <w:hyperlink r:id="rId2">
        <w:r>
          <w:rPr>
            <w:highlight w:val="yellow"/>
          </w:rPr>
          <w:t>http://enrd.ec.europa.eu/en/evaluation-helpdesks-publications</w:t>
        </w:r>
      </w:hyperlink>
    </w:p>
  </w:footnote>
  <w:footnote w:id="6">
    <w:p w:rsidR="00867290" w:rsidRPr="0028109E" w:rsidRDefault="00867290" w:rsidP="00E92B7B">
      <w:pPr>
        <w:pStyle w:val="FootnoteText"/>
        <w:rPr>
          <w:highlight w:val="yellow"/>
          <w:lang w:val="sk-SK"/>
        </w:rPr>
      </w:pPr>
      <w:r>
        <w:rPr>
          <w:rStyle w:val="FootnoteReference"/>
          <w:highlight w:val="yellow"/>
        </w:rPr>
        <w:footnoteRef/>
      </w:r>
      <w:r>
        <w:rPr>
          <w:highlight w:val="yellow"/>
        </w:rPr>
        <w:t xml:space="preserve"> </w:t>
      </w:r>
      <w:r>
        <w:tab/>
      </w:r>
      <w:r>
        <w:rPr>
          <w:highlight w:val="yellow"/>
        </w:rPr>
        <w:t>Provedbena uredba Komisije (EU) br. 808/2014, članak 14.</w:t>
      </w:r>
    </w:p>
  </w:footnote>
  <w:footnote w:id="7">
    <w:p w:rsidR="00867290" w:rsidRPr="00AA1397" w:rsidRDefault="00867290" w:rsidP="00E92B7B">
      <w:pPr>
        <w:pStyle w:val="FootnoteText"/>
        <w:rPr>
          <w:highlight w:val="yellow"/>
        </w:rPr>
      </w:pPr>
      <w:r>
        <w:rPr>
          <w:rStyle w:val="FootnoteReference"/>
          <w:highlight w:val="yellow"/>
        </w:rPr>
        <w:footnoteRef/>
      </w:r>
      <w:r>
        <w:rPr>
          <w:highlight w:val="yellow"/>
        </w:rPr>
        <w:t xml:space="preserve"> </w:t>
      </w:r>
      <w:r>
        <w:tab/>
      </w:r>
      <w:r>
        <w:rPr>
          <w:highlight w:val="yellow"/>
        </w:rPr>
        <w:t>„</w:t>
      </w:r>
      <w:hyperlink r:id="rId3">
        <w:r>
          <w:rPr>
            <w:highlight w:val="yellow"/>
          </w:rPr>
          <w:t xml:space="preserve">Smjernice za </w:t>
        </w:r>
        <w:r w:rsidRPr="00DE2FC6">
          <w:rPr>
            <w:i/>
            <w:highlight w:val="yellow"/>
          </w:rPr>
          <w:t>ex ante</w:t>
        </w:r>
        <w:r>
          <w:rPr>
            <w:highlight w:val="yellow"/>
          </w:rPr>
          <w:t xml:space="preserve"> evaluaciju PRR-ova 2014. – 2020.”</w:t>
        </w:r>
      </w:hyperlink>
      <w:r>
        <w:rPr>
          <w:highlight w:val="yellow"/>
        </w:rPr>
        <w:t xml:space="preserve"> i „</w:t>
      </w:r>
      <w:hyperlink r:id="rId4">
        <w:r>
          <w:rPr>
            <w:highlight w:val="yellow"/>
          </w:rPr>
          <w:t>Smjernice: Utvrđivanje i provedba plana evaluacije za PRR-ove 2014. – 2020.</w:t>
        </w:r>
      </w:hyperlink>
      <w:r>
        <w:rPr>
          <w:highlight w:val="yellow"/>
        </w:rPr>
        <w:t>”</w:t>
      </w:r>
      <w:hyperlink r:id="rId5"/>
    </w:p>
  </w:footnote>
  <w:footnote w:id="8">
    <w:p w:rsidR="00867290" w:rsidRPr="00AA1397" w:rsidRDefault="00867290" w:rsidP="003E7D43">
      <w:pPr>
        <w:pStyle w:val="FootnoteText"/>
      </w:pPr>
      <w:r>
        <w:rPr>
          <w:rStyle w:val="FootnoteReference"/>
          <w:highlight w:val="yellow"/>
        </w:rPr>
        <w:footnoteRef/>
      </w:r>
      <w:r>
        <w:rPr>
          <w:highlight w:val="yellow"/>
        </w:rPr>
        <w:t xml:space="preserve"> </w:t>
      </w:r>
      <w:r>
        <w:tab/>
      </w:r>
      <w:r>
        <w:rPr>
          <w:highlight w:val="yellow"/>
        </w:rPr>
        <w:t>Odbor za razmatranje tematske radne skupine za smjernice za NRM-ove sastavljen je od predstavnika GU-a AGRI, stručne skupine za praćenje i evaluaciju ZPP-a 2014. – 2020. i Kontaktne točke EMRR-a.</w:t>
      </w:r>
      <w:r>
        <w:t xml:space="preserve"> </w:t>
      </w:r>
    </w:p>
  </w:footnote>
  <w:footnote w:id="9">
    <w:p w:rsidR="00867290" w:rsidRPr="00AA1397" w:rsidRDefault="00867290" w:rsidP="00923616">
      <w:pPr>
        <w:pStyle w:val="FootnoteText"/>
        <w:rPr>
          <w:highlight w:val="yellow"/>
        </w:rPr>
      </w:pPr>
      <w:r>
        <w:rPr>
          <w:rStyle w:val="FootnoteReference"/>
        </w:rPr>
        <w:footnoteRef/>
      </w:r>
      <w:r>
        <w:t xml:space="preserve"> </w:t>
      </w:r>
      <w:r>
        <w:tab/>
      </w:r>
      <w:r>
        <w:rPr>
          <w:highlight w:val="yellow"/>
        </w:rPr>
        <w:t>Roelofs, M. (2004.), Kriteriji za evaluaciju javnog djelovanja unutar mreža, Nizozemski revizorski sud, Den Haag.</w:t>
      </w:r>
    </w:p>
  </w:footnote>
  <w:footnote w:id="10">
    <w:p w:rsidR="00867290" w:rsidRPr="00AA1397" w:rsidRDefault="00867290" w:rsidP="00923616">
      <w:pPr>
        <w:pStyle w:val="FootnoteText"/>
        <w:rPr>
          <w:rFonts w:cs="Arial"/>
          <w:szCs w:val="16"/>
          <w:highlight w:val="yellow"/>
        </w:rPr>
      </w:pPr>
      <w:r>
        <w:rPr>
          <w:rStyle w:val="FootnoteReference"/>
          <w:highlight w:val="yellow"/>
        </w:rPr>
        <w:footnoteRef/>
      </w:r>
      <w:r>
        <w:rPr>
          <w:highlight w:val="yellow"/>
        </w:rPr>
        <w:t xml:space="preserve"> Što znamo o umrežavanju kao alatu politike ruralnog razvoja (2007. – 2013.)?, EMRR, referat, verzija 2. (lipanj 2012.).</w:t>
      </w:r>
    </w:p>
  </w:footnote>
  <w:footnote w:id="11">
    <w:p w:rsidR="00867290" w:rsidRPr="00AA1397" w:rsidRDefault="00867290" w:rsidP="00923616">
      <w:pPr>
        <w:pStyle w:val="FootnoteText"/>
        <w:rPr>
          <w:rFonts w:cs="Arial"/>
          <w:szCs w:val="16"/>
          <w:highlight w:val="yellow"/>
        </w:rPr>
      </w:pPr>
      <w:r>
        <w:rPr>
          <w:rStyle w:val="FootnoteReference"/>
          <w:highlight w:val="yellow"/>
        </w:rPr>
        <w:footnoteRef/>
      </w:r>
      <w:r>
        <w:rPr>
          <w:highlight w:val="yellow"/>
        </w:rPr>
        <w:t xml:space="preserve"> Što znamo o umrežavanju kao alatu politike ruralnog razvoja (2007. – 2013.)?, EMRR, referat, verzija 2. (lipanj 2012.).</w:t>
      </w:r>
    </w:p>
  </w:footnote>
  <w:footnote w:id="12">
    <w:p w:rsidR="00867290" w:rsidRPr="00A21714" w:rsidRDefault="00867290" w:rsidP="00ED27DC">
      <w:pPr>
        <w:pStyle w:val="FootnoteText"/>
        <w:rPr>
          <w:highlight w:val="yellow"/>
          <w:lang w:val="sk-SK"/>
        </w:rPr>
      </w:pPr>
      <w:r>
        <w:rPr>
          <w:rStyle w:val="FootnoteReference"/>
          <w:highlight w:val="yellow"/>
        </w:rPr>
        <w:footnoteRef/>
      </w:r>
      <w:r>
        <w:rPr>
          <w:highlight w:val="yellow"/>
        </w:rPr>
        <w:t xml:space="preserve"> Uredba (EU) br. 1305/2013, čl. 53. st. 1.</w:t>
      </w:r>
    </w:p>
  </w:footnote>
  <w:footnote w:id="13">
    <w:p w:rsidR="00867290" w:rsidRPr="00A21714" w:rsidRDefault="00867290" w:rsidP="00923616">
      <w:pPr>
        <w:pStyle w:val="FootnoteText"/>
        <w:rPr>
          <w:highlight w:val="yellow"/>
          <w:lang w:val="sk-SK"/>
        </w:rPr>
      </w:pPr>
      <w:r>
        <w:rPr>
          <w:rStyle w:val="FootnoteReference"/>
          <w:highlight w:val="yellow"/>
        </w:rPr>
        <w:footnoteRef/>
      </w:r>
      <w:r>
        <w:rPr>
          <w:highlight w:val="yellow"/>
        </w:rPr>
        <w:t xml:space="preserve"> Uredba (EU) br. 1305/2013, čl. 54. st. 1.</w:t>
      </w:r>
    </w:p>
  </w:footnote>
  <w:footnote w:id="14">
    <w:p w:rsidR="00867290" w:rsidRPr="00A21714" w:rsidRDefault="00867290" w:rsidP="00923616">
      <w:pPr>
        <w:pStyle w:val="FootnoteText"/>
        <w:rPr>
          <w:highlight w:val="yellow"/>
          <w:lang w:val="sk-SK"/>
        </w:rPr>
      </w:pPr>
      <w:r>
        <w:rPr>
          <w:rStyle w:val="FootnoteReference"/>
          <w:highlight w:val="yellow"/>
        </w:rPr>
        <w:footnoteRef/>
      </w:r>
      <w:r>
        <w:rPr>
          <w:highlight w:val="yellow"/>
        </w:rPr>
        <w:t xml:space="preserve"> Uredba (EU) br. 1305/2013, čl. 53., 55., 56. i 57.</w:t>
      </w:r>
    </w:p>
  </w:footnote>
  <w:footnote w:id="15">
    <w:p w:rsidR="00867290" w:rsidRPr="00AA1397" w:rsidRDefault="00867290" w:rsidP="00923616">
      <w:pPr>
        <w:pStyle w:val="FootnoteText"/>
        <w:rPr>
          <w:lang w:val="sk-SK"/>
        </w:rPr>
      </w:pPr>
      <w:r>
        <w:rPr>
          <w:rStyle w:val="FootnoteReference"/>
          <w:highlight w:val="yellow"/>
        </w:rPr>
        <w:footnoteRef/>
      </w:r>
      <w:r>
        <w:rPr>
          <w:highlight w:val="yellow"/>
        </w:rPr>
        <w:t xml:space="preserve"> Wassermann, Stanley i Faust, Katherine, </w:t>
      </w:r>
      <w:r>
        <w:rPr>
          <w:i/>
          <w:highlight w:val="yellow"/>
        </w:rPr>
        <w:t>Analiza društvene mreže. Metode i primjene</w:t>
      </w:r>
      <w:r>
        <w:rPr>
          <w:highlight w:val="yellow"/>
        </w:rPr>
        <w:t>, Cambridge University Press, 1994.</w:t>
      </w:r>
    </w:p>
  </w:footnote>
  <w:footnote w:id="16">
    <w:p w:rsidR="00867290" w:rsidRPr="00A76855" w:rsidRDefault="00867290" w:rsidP="003A118B">
      <w:pPr>
        <w:pStyle w:val="FootnoteText"/>
        <w:rPr>
          <w:lang w:val="sk-SK"/>
        </w:rPr>
      </w:pPr>
      <w:r>
        <w:rPr>
          <w:rStyle w:val="FootnoteReference"/>
        </w:rPr>
        <w:footnoteRef/>
      </w:r>
      <w:r>
        <w:t xml:space="preserve"> </w:t>
      </w:r>
      <w:r>
        <w:rPr>
          <w:highlight w:val="yellow"/>
        </w:rPr>
        <w:t>Uredba (EU) br. 1305/2013, čl. 54. st. 3.</w:t>
      </w:r>
    </w:p>
  </w:footnote>
  <w:footnote w:id="17">
    <w:p w:rsidR="00867290" w:rsidRPr="00A21714" w:rsidRDefault="00867290">
      <w:pPr>
        <w:pStyle w:val="FootnoteText"/>
        <w:rPr>
          <w:highlight w:val="yellow"/>
          <w:lang w:val="sk-SK"/>
        </w:rPr>
      </w:pPr>
      <w:r>
        <w:rPr>
          <w:rStyle w:val="FootnoteReference"/>
        </w:rPr>
        <w:footnoteRef/>
      </w:r>
      <w:r>
        <w:t xml:space="preserve"> </w:t>
      </w:r>
      <w:r>
        <w:rPr>
          <w:highlight w:val="yellow"/>
        </w:rPr>
        <w:t xml:space="preserve">Uredba br. 1303/2013, čl. 5. </w:t>
      </w:r>
    </w:p>
  </w:footnote>
  <w:footnote w:id="18">
    <w:p w:rsidR="00867290" w:rsidRPr="00AA1397" w:rsidRDefault="00867290">
      <w:pPr>
        <w:pStyle w:val="FootnoteText"/>
        <w:rPr>
          <w:highlight w:val="yellow"/>
        </w:rPr>
      </w:pPr>
      <w:r>
        <w:rPr>
          <w:rStyle w:val="FootnoteReference"/>
          <w:highlight w:val="yellow"/>
        </w:rPr>
        <w:footnoteRef/>
      </w:r>
      <w:r>
        <w:rPr>
          <w:highlight w:val="yellow"/>
        </w:rPr>
        <w:t xml:space="preserve"> Prezentacija Antonelle Zona (DG AGRI): „Oblik NRM-ova – sad i u budućnosti” održana u okviru Radionice dobre prakse Centra za pomoć u ruralnoj evaluaciji:</w:t>
      </w:r>
      <w:r>
        <w:t xml:space="preserve"> „</w:t>
      </w:r>
      <w:r>
        <w:rPr>
          <w:highlight w:val="yellow"/>
        </w:rPr>
        <w:t>Nacionalne ruralne mreže: kako pokazati njihove dobrobiti.” Rim, 10. – 11. travnja 2014.</w:t>
      </w:r>
      <w:r>
        <w:t xml:space="preserve"> </w:t>
      </w:r>
      <w:hyperlink r:id="rId6">
        <w:r>
          <w:rPr>
            <w:rStyle w:val="Hyperlink"/>
            <w:highlight w:val="yellow"/>
          </w:rPr>
          <w:t>https://enrd.ec.europa.eu/sites/enrd/files/assets/pdf/evaluation/national-rural-networks/GPW_10_NRN_shape.pdf</w:t>
        </w:r>
      </w:hyperlink>
    </w:p>
  </w:footnote>
  <w:footnote w:id="19">
    <w:p w:rsidR="00867290" w:rsidRPr="00A21714" w:rsidRDefault="00867290">
      <w:pPr>
        <w:pStyle w:val="FootnoteText"/>
        <w:rPr>
          <w:highlight w:val="yellow"/>
          <w:lang w:val="sk-SK"/>
        </w:rPr>
      </w:pPr>
      <w:r>
        <w:rPr>
          <w:rStyle w:val="FootnoteReference"/>
          <w:highlight w:val="yellow"/>
        </w:rPr>
        <w:footnoteRef/>
      </w:r>
      <w:r>
        <w:rPr>
          <w:highlight w:val="yellow"/>
        </w:rPr>
        <w:t xml:space="preserve"> Analiza dionika pokazuje razne međunarodne donore, kao što su WHO: </w:t>
      </w:r>
      <w:hyperlink r:id="rId7">
        <w:r>
          <w:rPr>
            <w:rStyle w:val="Hyperlink"/>
            <w:highlight w:val="yellow"/>
          </w:rPr>
          <w:t>http://www.who.int/workforcealliance/knowledge/toolkit/33.pdf</w:t>
        </w:r>
      </w:hyperlink>
      <w:r>
        <w:rPr>
          <w:highlight w:val="yellow"/>
        </w:rPr>
        <w:t xml:space="preserve">, Svjetska banka </w:t>
      </w:r>
      <w:hyperlink r:id="rId8">
        <w:r>
          <w:rPr>
            <w:rStyle w:val="Hyperlink"/>
            <w:highlight w:val="yellow"/>
          </w:rPr>
          <w:t>http://www1.worldbank.org/publicsector/anticorrupt/PoliticalEconomy/stakeholderanalysis.htm</w:t>
        </w:r>
      </w:hyperlink>
      <w:r>
        <w:rPr>
          <w:highlight w:val="yellow"/>
        </w:rPr>
        <w:t xml:space="preserve"> ili FAO: </w:t>
      </w:r>
      <w:hyperlink r:id="rId9">
        <w:r>
          <w:rPr>
            <w:rStyle w:val="Hyperlink"/>
            <w:highlight w:val="yellow"/>
          </w:rPr>
          <w:t>http://www.fao.org/docrep/008/y5702e/y5702e00.htm</w:t>
        </w:r>
      </w:hyperlink>
    </w:p>
  </w:footnote>
  <w:footnote w:id="20">
    <w:p w:rsidR="00867290" w:rsidRPr="00A21714" w:rsidRDefault="00867290">
      <w:pPr>
        <w:pStyle w:val="FootnoteText"/>
        <w:rPr>
          <w:highlight w:val="yellow"/>
          <w:lang w:val="sk-SK"/>
        </w:rPr>
      </w:pPr>
      <w:r>
        <w:rPr>
          <w:rStyle w:val="FootnoteReference"/>
          <w:highlight w:val="yellow"/>
        </w:rPr>
        <w:footnoteRef/>
      </w:r>
      <w:r>
        <w:rPr>
          <w:highlight w:val="yellow"/>
        </w:rPr>
        <w:t xml:space="preserve"> </w:t>
      </w:r>
      <w:hyperlink r:id="rId10">
        <w:r>
          <w:rPr>
            <w:rStyle w:val="Hyperlink"/>
            <w:highlight w:val="yellow"/>
          </w:rPr>
          <w:t>http://enrd.ec.europa.eu/enrd-static/networks-and-networking/nrn-toolkit/principles-and-practice-of-networking/network-definitions-and-diversity/en/rural-networks-and-networking_en.html</w:t>
        </w:r>
      </w:hyperlink>
    </w:p>
  </w:footnote>
  <w:footnote w:id="21">
    <w:p w:rsidR="00867290" w:rsidRPr="00A21714" w:rsidRDefault="00867290" w:rsidP="00923616">
      <w:pPr>
        <w:pStyle w:val="FootnoteText"/>
        <w:rPr>
          <w:highlight w:val="yellow"/>
          <w:lang w:val="sk-SK"/>
        </w:rPr>
      </w:pPr>
      <w:r>
        <w:rPr>
          <w:rStyle w:val="FootnoteReference"/>
          <w:highlight w:val="yellow"/>
        </w:rPr>
        <w:footnoteRef/>
      </w:r>
      <w:r>
        <w:rPr>
          <w:highlight w:val="yellow"/>
        </w:rPr>
        <w:t xml:space="preserve"> Uredba (EU) br. 1305/2013, čl. 68.</w:t>
      </w:r>
    </w:p>
  </w:footnote>
  <w:footnote w:id="22">
    <w:p w:rsidR="00867290" w:rsidRPr="00AA1397" w:rsidRDefault="00867290" w:rsidP="00923616">
      <w:pPr>
        <w:pStyle w:val="FootnoteText"/>
        <w:rPr>
          <w:rFonts w:cs="Arial"/>
          <w:szCs w:val="16"/>
          <w:highlight w:val="yellow"/>
          <w:lang w:val="sk-SK"/>
        </w:rPr>
      </w:pPr>
      <w:r>
        <w:rPr>
          <w:rStyle w:val="FootnoteReference"/>
          <w:highlight w:val="yellow"/>
        </w:rPr>
        <w:footnoteRef/>
      </w:r>
      <w:r>
        <w:rPr>
          <w:highlight w:val="yellow"/>
        </w:rPr>
        <w:t xml:space="preserve"> Uredba (EU) br. 1305/2013, članak 54 stavak 2.</w:t>
      </w:r>
    </w:p>
  </w:footnote>
  <w:footnote w:id="23">
    <w:p w:rsidR="00867290" w:rsidRPr="00AA1397" w:rsidRDefault="00867290" w:rsidP="0088698A">
      <w:pPr>
        <w:pStyle w:val="FootnoteText"/>
        <w:rPr>
          <w:lang w:val="sk-SK"/>
        </w:rPr>
      </w:pPr>
      <w:r>
        <w:rPr>
          <w:rStyle w:val="FootnoteReference"/>
          <w:highlight w:val="yellow"/>
        </w:rPr>
        <w:footnoteRef/>
      </w:r>
      <w:r>
        <w:rPr>
          <w:highlight w:val="yellow"/>
        </w:rPr>
        <w:t xml:space="preserve"> Dodana vrijednost koju su proizveli NRM-ovi obično je povezana s razvojem društvenog kapitala, doprinosom stvaranju i razvoju teritorijalnog i individualnog identiteta, poboljšanjem upravljanja i poticanjem razmjene informacija i znanja.</w:t>
      </w:r>
    </w:p>
  </w:footnote>
  <w:footnote w:id="24">
    <w:p w:rsidR="00867290" w:rsidRPr="00AA1397" w:rsidRDefault="00867290" w:rsidP="00FF5B4F">
      <w:pPr>
        <w:pStyle w:val="FootnoteText"/>
        <w:rPr>
          <w:highlight w:val="yellow"/>
          <w:lang w:val="sk-SK"/>
        </w:rPr>
      </w:pPr>
      <w:r>
        <w:rPr>
          <w:rStyle w:val="FootnoteReference"/>
        </w:rPr>
        <w:footnoteRef/>
      </w:r>
      <w:r>
        <w:t xml:space="preserve"> </w:t>
      </w:r>
      <w:hyperlink r:id="rId11">
        <w:r>
          <w:rPr>
            <w:rFonts w:eastAsiaTheme="majorEastAsia"/>
            <w:highlight w:val="yellow"/>
          </w:rPr>
          <w:t>Pribor za samoocjenjivanje NRM-a</w:t>
        </w:r>
      </w:hyperlink>
      <w:r>
        <w:rPr>
          <w:highlight w:val="yellow"/>
        </w:rPr>
        <w:t>, EMRR. http://enrd.ec.europa.eu/enrd-static/networks-and-networking/nrn-self-assessment-tool-kit/en/index_en.html</w:t>
      </w:r>
    </w:p>
  </w:footnote>
  <w:footnote w:id="25">
    <w:p w:rsidR="00867290" w:rsidRPr="00AA1397" w:rsidRDefault="00867290" w:rsidP="003A1D3C">
      <w:pPr>
        <w:pStyle w:val="FootnoteText"/>
        <w:rPr>
          <w:lang w:val="sk-SK"/>
        </w:rPr>
      </w:pPr>
      <w:r>
        <w:rPr>
          <w:rStyle w:val="FootnoteReference"/>
          <w:highlight w:val="yellow"/>
        </w:rPr>
        <w:footnoteRef/>
      </w:r>
      <w:r>
        <w:rPr>
          <w:highlight w:val="yellow"/>
        </w:rPr>
        <w:t xml:space="preserve"> </w:t>
      </w:r>
      <w:hyperlink r:id="rId12">
        <w:r>
          <w:rPr>
            <w:highlight w:val="yellow"/>
          </w:rPr>
          <w:t>https://enrd.ec.europa.eu/en/networking/network-self-assessment</w:t>
        </w:r>
      </w:hyperlink>
      <w:r>
        <w:t xml:space="preserve"> </w:t>
      </w:r>
    </w:p>
  </w:footnote>
  <w:footnote w:id="26">
    <w:p w:rsidR="00867290" w:rsidRPr="00A21714" w:rsidRDefault="00867290">
      <w:pPr>
        <w:pStyle w:val="FootnoteText"/>
        <w:rPr>
          <w:highlight w:val="yellow"/>
          <w:lang w:val="sk-SK"/>
        </w:rPr>
      </w:pPr>
      <w:r>
        <w:rPr>
          <w:rStyle w:val="FootnoteReference"/>
        </w:rPr>
        <w:footnoteRef/>
      </w:r>
      <w:r>
        <w:t xml:space="preserve"> </w:t>
      </w:r>
      <w:r>
        <w:rPr>
          <w:highlight w:val="yellow"/>
        </w:rPr>
        <w:t>Uredba (EU) br. 1303/2013, čl. 68. i Provedbena uredba Komisije (EU) br. 808/2014, Prilog I. točka 9.</w:t>
      </w:r>
    </w:p>
  </w:footnote>
  <w:footnote w:id="27">
    <w:p w:rsidR="00867290" w:rsidRPr="00AA1397" w:rsidRDefault="00867290" w:rsidP="00FF5B4F">
      <w:pPr>
        <w:pStyle w:val="FootnoteText"/>
        <w:rPr>
          <w:highlight w:val="yellow"/>
          <w:lang w:val="sk-SK"/>
        </w:rPr>
      </w:pPr>
      <w:r>
        <w:rPr>
          <w:rStyle w:val="FootnoteReference"/>
          <w:highlight w:val="yellow"/>
        </w:rPr>
        <w:footnoteRef/>
      </w:r>
      <w:r>
        <w:rPr>
          <w:highlight w:val="yellow"/>
        </w:rPr>
        <w:t xml:space="preserve"> Provedbena uredba Komisije (EU) br. 808/2014, Prilog VII. točka 2.</w:t>
      </w:r>
    </w:p>
  </w:footnote>
  <w:footnote w:id="28">
    <w:p w:rsidR="00867290" w:rsidRPr="00AA1397" w:rsidRDefault="00867290" w:rsidP="00FF5B4F">
      <w:pPr>
        <w:pStyle w:val="FootnoteText"/>
        <w:rPr>
          <w:highlight w:val="yellow"/>
          <w:lang w:val="sk-SK"/>
        </w:rPr>
      </w:pPr>
      <w:r>
        <w:rPr>
          <w:rStyle w:val="FootnoteReference"/>
          <w:highlight w:val="yellow"/>
        </w:rPr>
        <w:footnoteRef/>
      </w:r>
      <w:r>
        <w:rPr>
          <w:highlight w:val="yellow"/>
        </w:rPr>
        <w:t xml:space="preserve"> Uredba (EU) br. 1303/2013, čl. 50. i Provedbena uredba Komisije (EU) br. 808/2014, Prilog VII. točka 7.</w:t>
      </w:r>
    </w:p>
  </w:footnote>
  <w:footnote w:id="29">
    <w:p w:rsidR="00867290" w:rsidRPr="00AA1397" w:rsidRDefault="00867290" w:rsidP="00FF5B4F">
      <w:pPr>
        <w:pStyle w:val="FootnoteText"/>
        <w:rPr>
          <w:highlight w:val="yellow"/>
          <w:lang w:val="sk-SK"/>
        </w:rPr>
      </w:pPr>
      <w:r>
        <w:rPr>
          <w:rStyle w:val="FootnoteReference"/>
          <w:highlight w:val="yellow"/>
        </w:rPr>
        <w:footnoteRef/>
      </w:r>
      <w:r>
        <w:rPr>
          <w:highlight w:val="yellow"/>
        </w:rPr>
        <w:t xml:space="preserve"> Provedbena uredba Komisije (EU) br. 808/2014, Prilog V. točka 7.</w:t>
      </w:r>
    </w:p>
  </w:footnote>
  <w:footnote w:id="30">
    <w:p w:rsidR="00867290" w:rsidRPr="00AA1397" w:rsidRDefault="00867290" w:rsidP="00FF5B4F">
      <w:pPr>
        <w:pStyle w:val="FootnoteText"/>
        <w:rPr>
          <w:lang w:val="sk-SK"/>
        </w:rPr>
      </w:pPr>
      <w:r>
        <w:rPr>
          <w:rStyle w:val="FootnoteReference"/>
          <w:highlight w:val="yellow"/>
        </w:rPr>
        <w:footnoteRef/>
      </w:r>
      <w:r>
        <w:rPr>
          <w:highlight w:val="yellow"/>
        </w:rPr>
        <w:t xml:space="preserve"> Uredba (EU) br. 1303/2013, čl. 52.</w:t>
      </w:r>
    </w:p>
  </w:footnote>
  <w:footnote w:id="31">
    <w:p w:rsidR="00867290" w:rsidRPr="00AA1397" w:rsidRDefault="00867290">
      <w:pPr>
        <w:pStyle w:val="FootnoteText"/>
        <w:rPr>
          <w:highlight w:val="yellow"/>
          <w:lang w:val="sk-SK"/>
        </w:rPr>
      </w:pPr>
      <w:r>
        <w:rPr>
          <w:rStyle w:val="FootnoteReference"/>
        </w:rPr>
        <w:footnoteRef/>
      </w:r>
      <w:r>
        <w:t xml:space="preserve"> </w:t>
      </w:r>
      <w:r>
        <w:rPr>
          <w:highlight w:val="yellow"/>
        </w:rPr>
        <w:t>Uredba (EU) br. 1303/2013, čl. 52. st. 2.</w:t>
      </w:r>
    </w:p>
  </w:footnote>
  <w:footnote w:id="32">
    <w:p w:rsidR="00867290" w:rsidRPr="00AA1397" w:rsidRDefault="00867290" w:rsidP="003F5115">
      <w:pPr>
        <w:pStyle w:val="FootnoteText"/>
        <w:rPr>
          <w:highlight w:val="yellow"/>
          <w:lang w:val="sk-SK"/>
        </w:rPr>
      </w:pPr>
      <w:r>
        <w:rPr>
          <w:rStyle w:val="FootnoteReference"/>
          <w:highlight w:val="yellow"/>
        </w:rPr>
        <w:footnoteRef/>
      </w:r>
      <w:r>
        <w:rPr>
          <w:highlight w:val="yellow"/>
        </w:rPr>
        <w:t xml:space="preserve"> Uredba (EU) br. 1305/2013, čl. 78.</w:t>
      </w:r>
    </w:p>
  </w:footnote>
  <w:footnote w:id="33">
    <w:p w:rsidR="00867290" w:rsidRPr="00AA1397" w:rsidRDefault="00867290" w:rsidP="003F5115">
      <w:pPr>
        <w:pStyle w:val="FootnoteText"/>
        <w:rPr>
          <w:lang w:val="sk-SK"/>
        </w:rPr>
      </w:pPr>
      <w:r>
        <w:rPr>
          <w:rStyle w:val="FootnoteReference"/>
          <w:highlight w:val="yellow"/>
        </w:rPr>
        <w:footnoteRef/>
      </w:r>
      <w:r>
        <w:rPr>
          <w:highlight w:val="yellow"/>
        </w:rPr>
        <w:t xml:space="preserve"> Prilog V. Provedbenoj uredbi Komisije (EU) br. 808/2014</w:t>
      </w:r>
      <w:r>
        <w:t>.</w:t>
      </w:r>
    </w:p>
  </w:footnote>
  <w:footnote w:id="34">
    <w:p w:rsidR="00867290" w:rsidRPr="00AB327B" w:rsidRDefault="00867290" w:rsidP="00403F21">
      <w:pPr>
        <w:pStyle w:val="FootnoteText"/>
        <w:rPr>
          <w:szCs w:val="16"/>
          <w:highlight w:val="yellow"/>
        </w:rPr>
      </w:pPr>
      <w:r>
        <w:rPr>
          <w:rStyle w:val="FootnoteReference"/>
        </w:rPr>
        <w:footnoteRef/>
      </w:r>
      <w:r>
        <w:t xml:space="preserve"> </w:t>
      </w:r>
      <w:r>
        <w:rPr>
          <w:highlight w:val="yellow"/>
        </w:rPr>
        <w:t>Uredba (EU) br. 1305/2013, čl. 54. st. 2.</w:t>
      </w:r>
    </w:p>
  </w:footnote>
  <w:footnote w:id="35">
    <w:p w:rsidR="00867290" w:rsidRPr="00AB327B" w:rsidRDefault="00867290" w:rsidP="00403F21">
      <w:pPr>
        <w:pStyle w:val="FootnoteText"/>
      </w:pPr>
      <w:r>
        <w:rPr>
          <w:rStyle w:val="FootnoteReference"/>
          <w:highlight w:val="yellow"/>
        </w:rPr>
        <w:footnoteRef/>
      </w:r>
      <w:r>
        <w:rPr>
          <w:highlight w:val="yellow"/>
        </w:rPr>
        <w:t xml:space="preserve"> Savjetuje se formulirati ciljeve NRM-a za pojedine programe, kao što je predloženo u pravilima EK-a o formuliranju ciljeva politike, </w:t>
      </w:r>
      <w:hyperlink r:id="rId13">
        <w:r>
          <w:rPr>
            <w:rStyle w:val="Hyperlink"/>
            <w:highlight w:val="yellow"/>
          </w:rPr>
          <w:t>http://ec.europa.eu/smart-regulation/guidelines/tool_13_en.htm</w:t>
        </w:r>
      </w:hyperlink>
    </w:p>
  </w:footnote>
  <w:footnote w:id="36">
    <w:p w:rsidR="00867290" w:rsidRPr="00F02191" w:rsidRDefault="00867290" w:rsidP="00403F21">
      <w:pPr>
        <w:pStyle w:val="FootnoteText"/>
        <w:rPr>
          <w:lang w:val="sk-SK"/>
        </w:rPr>
      </w:pPr>
      <w:r>
        <w:rPr>
          <w:rStyle w:val="FootnoteReference"/>
        </w:rPr>
        <w:footnoteRef/>
      </w:r>
      <w:r>
        <w:t xml:space="preserve"> </w:t>
      </w:r>
      <w:r>
        <w:rPr>
          <w:highlight w:val="yellow"/>
        </w:rPr>
        <w:t>Uredba (EU) br. 1305/2013, čl. 54. st. 3.</w:t>
      </w:r>
      <w:r>
        <w:t xml:space="preserve"> </w:t>
      </w:r>
    </w:p>
  </w:footnote>
  <w:footnote w:id="37">
    <w:p w:rsidR="00867290" w:rsidRPr="00B33206" w:rsidRDefault="00867290" w:rsidP="00A27369">
      <w:pPr>
        <w:pStyle w:val="FootnoteText"/>
        <w:rPr>
          <w:highlight w:val="yellow"/>
          <w:lang w:val="sk-SK"/>
        </w:rPr>
      </w:pPr>
      <w:r>
        <w:rPr>
          <w:rStyle w:val="FootnoteReference"/>
        </w:rPr>
        <w:footnoteRef/>
      </w:r>
      <w:r>
        <w:t xml:space="preserve"> </w:t>
      </w:r>
      <w:r>
        <w:rPr>
          <w:highlight w:val="yellow"/>
        </w:rPr>
        <w:t>Uredba (EU) br. 1303/2013, čl. 54. st. 1.; Uredba (EU) br. 1305/2013., čl. 68. točka (a).</w:t>
      </w:r>
    </w:p>
  </w:footnote>
  <w:footnote w:id="38">
    <w:p w:rsidR="00867290" w:rsidRPr="00B33206" w:rsidRDefault="00867290" w:rsidP="00A27369">
      <w:pPr>
        <w:pStyle w:val="FootnoteText"/>
        <w:rPr>
          <w:highlight w:val="yellow"/>
          <w:lang w:val="en-GB"/>
        </w:rPr>
      </w:pPr>
      <w:r>
        <w:rPr>
          <w:rStyle w:val="FootnoteReference"/>
          <w:highlight w:val="yellow"/>
        </w:rPr>
        <w:footnoteRef/>
      </w:r>
      <w:r>
        <w:rPr>
          <w:highlight w:val="yellow"/>
        </w:rPr>
        <w:t xml:space="preserve"> Uredba (EU) br. 1305/2013, čl. 54. st. 2. i čl. 54. st. 3.</w:t>
      </w:r>
    </w:p>
  </w:footnote>
  <w:footnote w:id="39">
    <w:p w:rsidR="00867290" w:rsidRPr="009713C9" w:rsidRDefault="00867290" w:rsidP="00A27369">
      <w:pPr>
        <w:pStyle w:val="FootnoteText"/>
        <w:rPr>
          <w:rFonts w:cs="Arial"/>
          <w:szCs w:val="16"/>
          <w:highlight w:val="yellow"/>
          <w:lang w:val="en-GB"/>
        </w:rPr>
      </w:pPr>
      <w:r>
        <w:rPr>
          <w:rStyle w:val="FootnoteReference"/>
          <w:highlight w:val="yellow"/>
        </w:rPr>
        <w:footnoteRef/>
      </w:r>
      <w:r>
        <w:rPr>
          <w:highlight w:val="yellow"/>
        </w:rPr>
        <w:t xml:space="preserve"> RD: Zajednička evaluacijska pitanja za PRR 2014. – 2020.; Provedbena uredba Komisije (EU) br. 808/2014, Prilog V.</w:t>
      </w:r>
    </w:p>
  </w:footnote>
  <w:footnote w:id="40">
    <w:p w:rsidR="00867290" w:rsidRPr="00AA1397" w:rsidRDefault="00867290" w:rsidP="00A27369">
      <w:pPr>
        <w:spacing w:after="0" w:line="240" w:lineRule="auto"/>
        <w:ind w:right="215"/>
        <w:rPr>
          <w:rStyle w:val="FootnoteTextChar1"/>
          <w:rFonts w:eastAsiaTheme="minorHAnsi"/>
          <w:highlight w:val="yellow"/>
          <w:lang w:val="sv-SE"/>
        </w:rPr>
      </w:pPr>
      <w:r>
        <w:rPr>
          <w:rStyle w:val="FootnoteReference"/>
          <w:highlight w:val="yellow"/>
        </w:rPr>
        <w:footnoteRef/>
      </w:r>
      <w:r>
        <w:rPr>
          <w:color w:val="000000"/>
          <w:sz w:val="16"/>
          <w:highlight w:val="yellow"/>
        </w:rPr>
        <w:t xml:space="preserve"> </w:t>
      </w:r>
      <w:r>
        <w:rPr>
          <w:rStyle w:val="FootnoteTextChar1"/>
          <w:rFonts w:eastAsiaTheme="minorHAnsi"/>
          <w:highlight w:val="yellow"/>
        </w:rPr>
        <w:t>Uredba (EU) br. 1305/2013., čl. 54. st. 2.</w:t>
      </w:r>
    </w:p>
  </w:footnote>
  <w:footnote w:id="41">
    <w:p w:rsidR="00867290" w:rsidRPr="00B33206" w:rsidRDefault="00867290" w:rsidP="00A27369">
      <w:pPr>
        <w:pStyle w:val="FootnoteText"/>
        <w:rPr>
          <w:rFonts w:cs="Arial"/>
          <w:szCs w:val="16"/>
          <w:highlight w:val="yellow"/>
          <w:lang w:val="sv-SE"/>
        </w:rPr>
      </w:pPr>
      <w:r>
        <w:rPr>
          <w:rStyle w:val="FootnoteReference"/>
          <w:highlight w:val="yellow"/>
        </w:rPr>
        <w:footnoteRef/>
      </w:r>
      <w:r>
        <w:rPr>
          <w:highlight w:val="yellow"/>
        </w:rPr>
        <w:t xml:space="preserve"> Provedbena uredba Komisije (EU) br. 808/2014, Prilog IV., Pokazatelji ostvarenja O.24, O.25 i O.26</w:t>
      </w:r>
    </w:p>
  </w:footnote>
  <w:footnote w:id="42">
    <w:p w:rsidR="00867290" w:rsidRPr="00277D95" w:rsidRDefault="00867290">
      <w:pPr>
        <w:pStyle w:val="FootnoteText"/>
        <w:rPr>
          <w:highlight w:val="yellow"/>
          <w:lang w:val="sk-SK"/>
        </w:rPr>
      </w:pPr>
      <w:r>
        <w:rPr>
          <w:rStyle w:val="FootnoteReference"/>
          <w:highlight w:val="yellow"/>
        </w:rPr>
        <w:footnoteRef/>
      </w:r>
      <w:r>
        <w:rPr>
          <w:highlight w:val="yellow"/>
        </w:rPr>
        <w:t xml:space="preserve"> </w:t>
      </w:r>
      <w:hyperlink r:id="rId14">
        <w:r>
          <w:rPr>
            <w:rStyle w:val="Hyperlink"/>
            <w:highlight w:val="yellow"/>
          </w:rPr>
          <w:t>https://enrd.ec.europa.eu/en/evaluation-helpdesks-publications</w:t>
        </w:r>
      </w:hyperlink>
    </w:p>
  </w:footnote>
  <w:footnote w:id="43">
    <w:p w:rsidR="00867290" w:rsidRPr="00FD7350" w:rsidRDefault="00867290" w:rsidP="00A27369">
      <w:pPr>
        <w:pStyle w:val="FootnoteText"/>
        <w:rPr>
          <w:lang w:val="sk-SK"/>
        </w:rPr>
      </w:pPr>
      <w:r>
        <w:rPr>
          <w:rStyle w:val="FootnoteReference"/>
          <w:highlight w:val="yellow"/>
        </w:rPr>
        <w:footnoteRef/>
      </w:r>
      <w:r>
        <w:rPr>
          <w:highlight w:val="yellow"/>
        </w:rPr>
        <w:t xml:space="preserve"> Uredba (EU) br. 1305/2013, čl. 54. st. 2.</w:t>
      </w:r>
    </w:p>
  </w:footnote>
  <w:footnote w:id="44">
    <w:p w:rsidR="00867290" w:rsidRPr="00AA1397" w:rsidRDefault="00867290" w:rsidP="00CA57FC">
      <w:pPr>
        <w:pStyle w:val="FootnoteText"/>
        <w:rPr>
          <w:rFonts w:cs="Arial"/>
          <w:szCs w:val="16"/>
          <w:highlight w:val="yellow"/>
          <w:lang w:val="sk-SK"/>
        </w:rPr>
      </w:pPr>
      <w:r>
        <w:rPr>
          <w:rStyle w:val="FootnoteReference"/>
        </w:rPr>
        <w:footnoteRef/>
      </w:r>
      <w:r>
        <w:t xml:space="preserve"> </w:t>
      </w:r>
      <w:r>
        <w:rPr>
          <w:highlight w:val="yellow"/>
        </w:rPr>
        <w:t>Zajedničko evaluacijsko pitanje 21.; Prilog V., Provedbena uredba Komisije (EU) br. 808/2014.</w:t>
      </w:r>
    </w:p>
  </w:footnote>
  <w:footnote w:id="45">
    <w:p w:rsidR="00867290" w:rsidRPr="00AA1397" w:rsidRDefault="00867290" w:rsidP="00CA57FC">
      <w:pPr>
        <w:pStyle w:val="FootnoteText"/>
        <w:rPr>
          <w:rFonts w:cs="Arial"/>
          <w:szCs w:val="16"/>
          <w:highlight w:val="yellow"/>
          <w:lang w:val="sk-SK"/>
        </w:rPr>
      </w:pPr>
      <w:r>
        <w:rPr>
          <w:rStyle w:val="FootnoteReference"/>
          <w:highlight w:val="yellow"/>
        </w:rPr>
        <w:footnoteRef/>
      </w:r>
      <w:r>
        <w:rPr>
          <w:highlight w:val="yellow"/>
        </w:rPr>
        <w:t xml:space="preserve"> Razvile države članice. </w:t>
      </w:r>
    </w:p>
  </w:footnote>
  <w:footnote w:id="46">
    <w:p w:rsidR="00867290" w:rsidRPr="00AA1397" w:rsidRDefault="00867290" w:rsidP="00CA57FC">
      <w:pPr>
        <w:pStyle w:val="FootnoteText"/>
        <w:rPr>
          <w:rFonts w:cs="Arial"/>
          <w:szCs w:val="16"/>
          <w:highlight w:val="yellow"/>
          <w:lang w:val="sk-SK"/>
        </w:rPr>
      </w:pPr>
      <w:r>
        <w:rPr>
          <w:rStyle w:val="FootnoteReference"/>
          <w:highlight w:val="yellow"/>
        </w:rPr>
        <w:footnoteRef/>
      </w:r>
      <w:r>
        <w:rPr>
          <w:highlight w:val="yellow"/>
        </w:rPr>
        <w:t xml:space="preserve"> Pokazatelji ostvarenja O.24, O.25 i O.26; Prilog IV., Provedbena uredba Komisije (EU) br. 808/2014.</w:t>
      </w:r>
    </w:p>
  </w:footnote>
  <w:footnote w:id="47">
    <w:p w:rsidR="00867290" w:rsidRPr="00AA1397" w:rsidRDefault="00867290" w:rsidP="00CA57FC">
      <w:pPr>
        <w:pStyle w:val="FootnoteText"/>
        <w:rPr>
          <w:lang w:val="sk-SK"/>
        </w:rPr>
      </w:pPr>
      <w:r>
        <w:rPr>
          <w:rStyle w:val="FootnoteReference"/>
          <w:highlight w:val="yellow"/>
        </w:rPr>
        <w:footnoteRef/>
      </w:r>
      <w:r>
        <w:rPr>
          <w:highlight w:val="yellow"/>
        </w:rPr>
        <w:t xml:space="preserve"> Razvile države članice</w:t>
      </w:r>
      <w:r>
        <w:t>.</w:t>
      </w:r>
    </w:p>
  </w:footnote>
  <w:footnote w:id="48">
    <w:p w:rsidR="00867290" w:rsidRPr="00AA1397" w:rsidRDefault="00867290" w:rsidP="007134D0">
      <w:pPr>
        <w:pStyle w:val="FootnoteText"/>
        <w:rPr>
          <w:lang w:val="sk-SK"/>
        </w:rPr>
      </w:pPr>
      <w:r>
        <w:rPr>
          <w:rStyle w:val="FootnoteReference"/>
          <w:rFonts w:eastAsiaTheme="minorEastAsia"/>
        </w:rPr>
        <w:footnoteRef/>
      </w:r>
      <w:r>
        <w:t xml:space="preserve"> </w:t>
      </w:r>
      <w:r>
        <w:rPr>
          <w:highlight w:val="yellow"/>
        </w:rPr>
        <w:t>Uredba (EU) br. 1305/2013, čl. 66.</w:t>
      </w:r>
    </w:p>
  </w:footnote>
  <w:footnote w:id="49">
    <w:p w:rsidR="00867290" w:rsidRPr="00AA1397" w:rsidRDefault="00867290" w:rsidP="007134D0">
      <w:pPr>
        <w:pStyle w:val="FootnoteText"/>
        <w:rPr>
          <w:highlight w:val="yellow"/>
          <w:lang w:val="sk-SK"/>
        </w:rPr>
      </w:pPr>
      <w:r>
        <w:rPr>
          <w:rStyle w:val="FootnoteReference"/>
          <w:rFonts w:eastAsiaTheme="minorEastAsia"/>
        </w:rPr>
        <w:footnoteRef/>
      </w:r>
      <w:r>
        <w:t xml:space="preserve"> </w:t>
      </w:r>
      <w:r>
        <w:rPr>
          <w:highlight w:val="yellow"/>
        </w:rPr>
        <w:t>Uredba (EU) br. 1305/2013, čl. 66. st. 2.</w:t>
      </w:r>
    </w:p>
  </w:footnote>
  <w:footnote w:id="50">
    <w:p w:rsidR="00867290" w:rsidRPr="00AA1397" w:rsidRDefault="00867290" w:rsidP="007134D0">
      <w:pPr>
        <w:pStyle w:val="FootnoteText"/>
        <w:rPr>
          <w:highlight w:val="yellow"/>
          <w:lang w:val="sk-SK"/>
        </w:rPr>
      </w:pPr>
      <w:r>
        <w:rPr>
          <w:rStyle w:val="FootnoteReference"/>
          <w:rFonts w:eastAsiaTheme="minorEastAsia"/>
          <w:highlight w:val="yellow"/>
        </w:rPr>
        <w:footnoteRef/>
      </w:r>
      <w:r>
        <w:rPr>
          <w:highlight w:val="yellow"/>
        </w:rPr>
        <w:t xml:space="preserve"> Slovačka – funkcija JPM-a uključena je u nacionalnu agenciju za ruralni razvoj, polovinu proračuna institucije pokriva Ministarstvo poljoprivrede.</w:t>
      </w:r>
    </w:p>
  </w:footnote>
  <w:footnote w:id="51">
    <w:p w:rsidR="00867290" w:rsidRPr="00AA1397" w:rsidRDefault="00867290" w:rsidP="007134D0">
      <w:pPr>
        <w:pStyle w:val="FootnoteText"/>
        <w:rPr>
          <w:highlight w:val="yellow"/>
          <w:lang w:val="sk-SK"/>
        </w:rPr>
      </w:pPr>
      <w:r>
        <w:rPr>
          <w:rStyle w:val="FootnoteReference"/>
          <w:rFonts w:eastAsiaTheme="minorEastAsia"/>
          <w:highlight w:val="yellow"/>
        </w:rPr>
        <w:footnoteRef/>
      </w:r>
      <w:r>
        <w:rPr>
          <w:highlight w:val="yellow"/>
        </w:rPr>
        <w:t xml:space="preserve"> Bugarska – ulogu JPM-a preuzela je privatna tvrtka INTERPRED WTC.</w:t>
      </w:r>
    </w:p>
  </w:footnote>
  <w:footnote w:id="52">
    <w:p w:rsidR="00867290" w:rsidRPr="00AA1397" w:rsidRDefault="00867290" w:rsidP="00DE0CC0">
      <w:pPr>
        <w:pStyle w:val="FootnoteText"/>
        <w:rPr>
          <w:highlight w:val="yellow"/>
          <w:lang w:val="sk-SK"/>
        </w:rPr>
      </w:pPr>
      <w:r>
        <w:rPr>
          <w:rStyle w:val="FootnoteReference"/>
          <w:rFonts w:eastAsiaTheme="minorEastAsia"/>
          <w:highlight w:val="yellow"/>
        </w:rPr>
        <w:footnoteRef/>
      </w:r>
      <w:r>
        <w:rPr>
          <w:highlight w:val="yellow"/>
        </w:rPr>
        <w:t xml:space="preserve"> </w:t>
      </w:r>
      <w:hyperlink r:id="rId15">
        <w:r>
          <w:rPr>
            <w:highlight w:val="yellow"/>
          </w:rPr>
          <w:t>Pregled smjernica za osnivanje i djelovanje Nacionalnih ruralnih mreža</w:t>
        </w:r>
      </w:hyperlink>
      <w:r>
        <w:rPr>
          <w:highlight w:val="yellow"/>
        </w:rPr>
        <w:t xml:space="preserve"> 2014. – 2020., razvila Europska komisija (DG AGRI) na temelju Uredbe (EU) br. 1305/2013 i, gdje je relevantno, na temelju Uredbe (EU) br. 1303/2013. </w:t>
      </w:r>
    </w:p>
  </w:footnote>
  <w:footnote w:id="53">
    <w:p w:rsidR="00867290" w:rsidRPr="00AA1397" w:rsidRDefault="00867290" w:rsidP="007134D0">
      <w:pPr>
        <w:pStyle w:val="FootnoteText"/>
        <w:rPr>
          <w:highlight w:val="yellow"/>
          <w:lang w:val="sk-SK"/>
        </w:rPr>
      </w:pPr>
      <w:r>
        <w:rPr>
          <w:rStyle w:val="FootnoteReference"/>
          <w:rFonts w:eastAsiaTheme="minorEastAsia"/>
          <w:highlight w:val="yellow"/>
        </w:rPr>
        <w:footnoteRef/>
      </w:r>
      <w:r>
        <w:rPr>
          <w:highlight w:val="yellow"/>
        </w:rPr>
        <w:t xml:space="preserve"> Uredba (EU) br. 1306/2013, čl. 7.</w:t>
      </w:r>
    </w:p>
  </w:footnote>
  <w:footnote w:id="54">
    <w:p w:rsidR="00867290" w:rsidRPr="00277D95" w:rsidRDefault="00867290" w:rsidP="007134D0">
      <w:pPr>
        <w:pStyle w:val="FootnoteText"/>
        <w:rPr>
          <w:highlight w:val="yellow"/>
          <w:lang w:val="sk-SK"/>
        </w:rPr>
      </w:pPr>
      <w:r>
        <w:rPr>
          <w:rStyle w:val="FootnoteReference"/>
          <w:rFonts w:eastAsiaTheme="minorEastAsia"/>
          <w:highlight w:val="yellow"/>
        </w:rPr>
        <w:footnoteRef/>
      </w:r>
      <w:r>
        <w:rPr>
          <w:highlight w:val="yellow"/>
        </w:rPr>
        <w:t xml:space="preserve"> Uredba (EU) br. 1305/2013, čl. 73.</w:t>
      </w:r>
    </w:p>
  </w:footnote>
  <w:footnote w:id="55">
    <w:p w:rsidR="00867290" w:rsidRPr="00AA1397" w:rsidRDefault="00867290" w:rsidP="007134D0">
      <w:pPr>
        <w:pStyle w:val="FootnoteText"/>
        <w:rPr>
          <w:highlight w:val="yellow"/>
          <w:lang w:val="sk-SK"/>
        </w:rPr>
      </w:pPr>
      <w:r>
        <w:rPr>
          <w:rStyle w:val="FootnoteReference"/>
          <w:rFonts w:eastAsiaTheme="minorEastAsia"/>
          <w:highlight w:val="yellow"/>
        </w:rPr>
        <w:footnoteRef/>
      </w:r>
      <w:r>
        <w:rPr>
          <w:highlight w:val="yellow"/>
        </w:rPr>
        <w:t xml:space="preserve"> Uredba (EU) br. 1305/2013, čl. 72.</w:t>
      </w:r>
    </w:p>
  </w:footnote>
  <w:footnote w:id="56">
    <w:p w:rsidR="00867290" w:rsidRPr="00AA1397" w:rsidRDefault="00867290" w:rsidP="007134D0">
      <w:pPr>
        <w:pStyle w:val="FootnoteText"/>
        <w:rPr>
          <w:highlight w:val="yellow"/>
          <w:lang w:val="sk-SK"/>
        </w:rPr>
      </w:pPr>
      <w:r>
        <w:rPr>
          <w:rStyle w:val="FootnoteReference"/>
          <w:rFonts w:eastAsiaTheme="minorEastAsia"/>
          <w:highlight w:val="yellow"/>
        </w:rPr>
        <w:footnoteRef/>
      </w:r>
      <w:r>
        <w:rPr>
          <w:highlight w:val="yellow"/>
        </w:rPr>
        <w:t xml:space="preserve"> Uredba (EU) br. 1305/2013, čl. 74.</w:t>
      </w:r>
    </w:p>
  </w:footnote>
  <w:footnote w:id="57">
    <w:p w:rsidR="00867290" w:rsidRPr="000B6EAA" w:rsidRDefault="00867290" w:rsidP="007134D0">
      <w:pPr>
        <w:pStyle w:val="FootnoteText"/>
        <w:rPr>
          <w:lang w:val="sk-SK"/>
        </w:rPr>
      </w:pPr>
      <w:r>
        <w:rPr>
          <w:rStyle w:val="FootnoteReference"/>
          <w:rFonts w:eastAsiaTheme="minorEastAsia"/>
          <w:highlight w:val="yellow"/>
        </w:rPr>
        <w:footnoteRef/>
      </w:r>
      <w:r>
        <w:rPr>
          <w:highlight w:val="yellow"/>
        </w:rPr>
        <w:t xml:space="preserve"> Pregled smjernica za osnivanje i djelovanje Nacionalnih ruralnih mreža 2014. – 2020.</w:t>
      </w:r>
    </w:p>
  </w:footnote>
  <w:footnote w:id="58">
    <w:p w:rsidR="00867290" w:rsidRPr="00AB327B" w:rsidRDefault="00867290">
      <w:pPr>
        <w:pStyle w:val="FootnoteText"/>
      </w:pPr>
      <w:r>
        <w:rPr>
          <w:rStyle w:val="FootnoteReference"/>
        </w:rPr>
        <w:footnoteRef/>
      </w:r>
      <w:r>
        <w:t xml:space="preserve"> </w:t>
      </w:r>
      <w:r>
        <w:rPr>
          <w:highlight w:val="yellow"/>
        </w:rPr>
        <w:t>Uredba (EU) br. 1305/2013, čl. 54. st. 3. t. iii.</w:t>
      </w:r>
    </w:p>
  </w:footnote>
  <w:footnote w:id="59">
    <w:p w:rsidR="00867290" w:rsidRPr="00AB327B" w:rsidRDefault="00867290" w:rsidP="007134D0">
      <w:pPr>
        <w:pStyle w:val="FootnoteText"/>
        <w:rPr>
          <w:highlight w:val="yellow"/>
        </w:rPr>
      </w:pPr>
      <w:r>
        <w:rPr>
          <w:rStyle w:val="FootnoteReference"/>
          <w:rFonts w:eastAsiaTheme="minorEastAsia"/>
        </w:rPr>
        <w:footnoteRef/>
      </w:r>
      <w:r>
        <w:t xml:space="preserve"> </w:t>
      </w:r>
      <w:r>
        <w:rPr>
          <w:highlight w:val="yellow"/>
        </w:rPr>
        <w:t>Uredba (EU) br. 1303/2013, čl. 54. st. 3.</w:t>
      </w:r>
    </w:p>
  </w:footnote>
  <w:footnote w:id="60">
    <w:p w:rsidR="00867290" w:rsidRPr="00277D95" w:rsidRDefault="00867290" w:rsidP="007134D0">
      <w:pPr>
        <w:pStyle w:val="FootnoteText"/>
        <w:rPr>
          <w:highlight w:val="yellow"/>
          <w:lang w:val="sk-SK"/>
        </w:rPr>
      </w:pPr>
      <w:r>
        <w:rPr>
          <w:rStyle w:val="FootnoteReference"/>
          <w:rFonts w:eastAsiaTheme="minorEastAsia"/>
          <w:highlight w:val="yellow"/>
        </w:rPr>
        <w:footnoteRef/>
      </w:r>
      <w:r>
        <w:rPr>
          <w:highlight w:val="yellow"/>
        </w:rPr>
        <w:t xml:space="preserve"> U slučaju nepostojanja evaluacijskoga kapaciteta u državi članici.</w:t>
      </w:r>
    </w:p>
  </w:footnote>
  <w:footnote w:id="61">
    <w:p w:rsidR="00867290" w:rsidRPr="00AB327B" w:rsidRDefault="00867290" w:rsidP="007134D0">
      <w:pPr>
        <w:pStyle w:val="FootnoteText"/>
      </w:pPr>
      <w:r>
        <w:rPr>
          <w:rStyle w:val="FootnoteReference"/>
          <w:rFonts w:eastAsiaTheme="minorEastAsia"/>
          <w:highlight w:val="yellow"/>
        </w:rPr>
        <w:footnoteRef/>
      </w:r>
      <w:r>
        <w:rPr>
          <w:highlight w:val="yellow"/>
        </w:rPr>
        <w:t xml:space="preserve"> Prilog I. Provedbenoj uredbi Komisije (EU) br. 808/2014</w:t>
      </w:r>
      <w:r>
        <w:t>.</w:t>
      </w:r>
    </w:p>
  </w:footnote>
  <w:footnote w:id="62">
    <w:p w:rsidR="00867290" w:rsidRPr="00AA1397" w:rsidRDefault="00867290" w:rsidP="007134D0">
      <w:pPr>
        <w:pStyle w:val="FootnoteText"/>
      </w:pPr>
      <w:r>
        <w:rPr>
          <w:rStyle w:val="FootnoteReference"/>
          <w:rFonts w:eastAsiaTheme="minorEastAsia"/>
        </w:rPr>
        <w:footnoteRef/>
      </w:r>
      <w:r>
        <w:t xml:space="preserve"> </w:t>
      </w:r>
      <w:r>
        <w:rPr>
          <w:highlight w:val="yellow"/>
        </w:rPr>
        <w:t>Smjernice „Utvrđivanje i provedba plana evaluacije za PRR-ove 2014. – 2020.”</w:t>
      </w:r>
      <w:hyperlink r:id="rId16">
        <w:r>
          <w:rPr>
            <w:highlight w:val="yellow"/>
          </w:rPr>
          <w:t>http://enrd.ec.europa.eu/en/evaluation-helpdesks-publications</w:t>
        </w:r>
      </w:hyperlink>
    </w:p>
  </w:footnote>
  <w:footnote w:id="63">
    <w:p w:rsidR="00867290" w:rsidRPr="00AA1397" w:rsidRDefault="00867290" w:rsidP="00E36BC6">
      <w:pPr>
        <w:pStyle w:val="FootnoteText"/>
        <w:rPr>
          <w:highlight w:val="yellow"/>
        </w:rPr>
      </w:pPr>
      <w:r>
        <w:rPr>
          <w:rStyle w:val="FootnoteReference"/>
        </w:rPr>
        <w:footnoteRef/>
      </w:r>
      <w:r>
        <w:t xml:space="preserve"> </w:t>
      </w:r>
      <w:r>
        <w:rPr>
          <w:highlight w:val="yellow"/>
        </w:rPr>
        <w:t>Prilozi IV. i V. Provedbenoj uredbi Komisije (EU) br. 808/2014.</w:t>
      </w:r>
    </w:p>
  </w:footnote>
  <w:footnote w:id="64">
    <w:p w:rsidR="00867290" w:rsidRPr="00B33206" w:rsidRDefault="00867290" w:rsidP="00B33206">
      <w:pPr>
        <w:pStyle w:val="FootnoteText"/>
        <w:rPr>
          <w:highlight w:val="yellow"/>
        </w:rPr>
      </w:pPr>
      <w:r>
        <w:rPr>
          <w:rStyle w:val="FootnoteReference"/>
          <w:highlight w:val="yellow"/>
        </w:rPr>
        <w:footnoteRef/>
      </w:r>
      <w:r>
        <w:rPr>
          <w:highlight w:val="yellow"/>
        </w:rPr>
        <w:t xml:space="preserve"> Uredba (EU) br. 1303/2014, čl. 54.</w:t>
      </w:r>
    </w:p>
  </w:footnote>
  <w:footnote w:id="65">
    <w:p w:rsidR="00867290" w:rsidRPr="003E3828" w:rsidRDefault="00867290" w:rsidP="007134D0">
      <w:pPr>
        <w:pStyle w:val="FootnoteText"/>
      </w:pPr>
      <w:r>
        <w:rPr>
          <w:rStyle w:val="FootnoteReference"/>
          <w:rFonts w:eastAsiaTheme="minorEastAsia"/>
        </w:rPr>
        <w:footnoteRef/>
      </w:r>
      <w:r>
        <w:t xml:space="preserve"> </w:t>
      </w:r>
      <w:r w:rsidRPr="003E3828">
        <w:rPr>
          <w:highlight w:val="yellow"/>
        </w:rPr>
        <w:t xml:space="preserve">Vodič za EMRR </w:t>
      </w:r>
      <w:r>
        <w:rPr>
          <w:highlight w:val="yellow"/>
        </w:rPr>
        <w:t xml:space="preserve">i NRM na </w:t>
      </w:r>
      <w:hyperlink r:id="rId17">
        <w:r>
          <w:rPr>
            <w:highlight w:val="yellow"/>
          </w:rPr>
          <w:t>http://enrd.ec.europa.eu/enrd-static/app_templates/enrd_assets/pdf/guidebook/nrn_handbook_webversion.pdf</w:t>
        </w:r>
      </w:hyperlink>
      <w:r>
        <w:t xml:space="preserve"> </w:t>
      </w:r>
    </w:p>
  </w:footnote>
  <w:footnote w:id="66">
    <w:p w:rsidR="00867290" w:rsidRPr="00AA1397" w:rsidRDefault="00867290" w:rsidP="00FC0A30">
      <w:pPr>
        <w:pStyle w:val="FootnoteText"/>
        <w:rPr>
          <w:highlight w:val="yellow"/>
          <w:lang w:val="pl-PL"/>
        </w:rPr>
      </w:pPr>
      <w:r>
        <w:rPr>
          <w:rStyle w:val="FootnoteReference"/>
          <w:rFonts w:eastAsiaTheme="minorEastAsia"/>
        </w:rPr>
        <w:footnoteRef/>
      </w:r>
      <w:r>
        <w:t xml:space="preserve"> </w:t>
      </w:r>
      <w:r w:rsidRPr="003E3828">
        <w:rPr>
          <w:highlight w:val="yellow"/>
        </w:rPr>
        <w:t xml:space="preserve">Vodič za EMRR </w:t>
      </w:r>
      <w:r>
        <w:rPr>
          <w:highlight w:val="yellow"/>
        </w:rPr>
        <w:t xml:space="preserve">i NRM na </w:t>
      </w:r>
      <w:hyperlink r:id="rId18">
        <w:r>
          <w:rPr>
            <w:highlight w:val="yellow"/>
          </w:rPr>
          <w:t>http://enrd.ec.europa.eu/enrd-static/app_templates/enrd_assets/pdf/guidebook/nrn_handbook_webversion.pdf</w:t>
        </w:r>
      </w:hyperlink>
      <w:r>
        <w:rPr>
          <w:highlight w:val="yellow"/>
        </w:rPr>
        <w:t>, str. 87.</w:t>
      </w:r>
    </w:p>
  </w:footnote>
  <w:footnote w:id="67">
    <w:p w:rsidR="00867290" w:rsidRPr="003E3828" w:rsidRDefault="00867290" w:rsidP="009A7C06">
      <w:pPr>
        <w:pStyle w:val="FootnoteText"/>
        <w:rPr>
          <w:highlight w:val="yellow"/>
          <w:lang w:val="sv-SE"/>
        </w:rPr>
      </w:pPr>
      <w:r>
        <w:rPr>
          <w:rStyle w:val="FootnoteReference"/>
          <w:highlight w:val="yellow"/>
        </w:rPr>
        <w:footnoteRef/>
      </w:r>
      <w:r>
        <w:rPr>
          <w:highlight w:val="yellow"/>
        </w:rPr>
        <w:t xml:space="preserve"> Uredba (EU) br. 1305/2015, čl. 54. st. 2</w:t>
      </w:r>
    </w:p>
  </w:footnote>
  <w:footnote w:id="68">
    <w:p w:rsidR="00867290" w:rsidRPr="00AA1397" w:rsidRDefault="00867290" w:rsidP="009A7C06">
      <w:pPr>
        <w:pStyle w:val="FootnoteText"/>
        <w:rPr>
          <w:lang w:val="sv-SE"/>
        </w:rPr>
      </w:pPr>
      <w:r>
        <w:rPr>
          <w:rStyle w:val="FootnoteReference"/>
          <w:highlight w:val="yellow"/>
        </w:rPr>
        <w:footnoteRef/>
      </w:r>
      <w:r>
        <w:rPr>
          <w:highlight w:val="yellow"/>
        </w:rPr>
        <w:t xml:space="preserve"> Uredba (EU) br. 1305/2015, čl. 54. st. 3.</w:t>
      </w:r>
    </w:p>
  </w:footnote>
  <w:footnote w:id="69">
    <w:p w:rsidR="00867290" w:rsidRPr="00AA1397" w:rsidRDefault="00867290" w:rsidP="00FC0A30">
      <w:pPr>
        <w:pStyle w:val="FootnoteText"/>
        <w:rPr>
          <w:highlight w:val="yellow"/>
          <w:lang w:val="pl-PL"/>
        </w:rPr>
      </w:pPr>
      <w:r>
        <w:rPr>
          <w:rStyle w:val="FootnoteReference"/>
        </w:rPr>
        <w:footnoteRef/>
      </w:r>
      <w:r>
        <w:t xml:space="preserve"> </w:t>
      </w:r>
      <w:r>
        <w:rPr>
          <w:highlight w:val="yellow"/>
        </w:rPr>
        <w:t>Samo za kontekstualnu analizu NRM-a.</w:t>
      </w:r>
    </w:p>
  </w:footnote>
  <w:footnote w:id="70">
    <w:p w:rsidR="00867290" w:rsidRPr="00AA1397" w:rsidRDefault="00867290" w:rsidP="00FC0A30">
      <w:pPr>
        <w:pStyle w:val="FootnoteText"/>
        <w:rPr>
          <w:highlight w:val="yellow"/>
          <w:lang w:val="sv-SE"/>
        </w:rPr>
      </w:pPr>
      <w:r>
        <w:rPr>
          <w:rStyle w:val="FootnoteReference"/>
          <w:highlight w:val="yellow"/>
        </w:rPr>
        <w:footnoteRef/>
      </w:r>
      <w:r>
        <w:rPr>
          <w:rFonts w:ascii="Calibri" w:hAnsi="Calibri"/>
          <w:sz w:val="18"/>
          <w:highlight w:val="yellow"/>
        </w:rPr>
        <w:t xml:space="preserve"> </w:t>
      </w:r>
      <w:r>
        <w:rPr>
          <w:highlight w:val="yellow"/>
        </w:rPr>
        <w:t>Uredba (EU) br. 1305/2013, čl. 54. st. 2.</w:t>
      </w:r>
    </w:p>
  </w:footnote>
  <w:footnote w:id="71">
    <w:p w:rsidR="00867290" w:rsidRPr="00AA1397" w:rsidRDefault="00867290" w:rsidP="00FC0A30">
      <w:pPr>
        <w:pStyle w:val="FootnoteText"/>
        <w:rPr>
          <w:lang w:val="sv-SE"/>
        </w:rPr>
      </w:pPr>
      <w:r>
        <w:rPr>
          <w:rStyle w:val="FootnoteReference"/>
          <w:highlight w:val="yellow"/>
        </w:rPr>
        <w:footnoteRef/>
      </w:r>
      <w:r>
        <w:rPr>
          <w:rFonts w:ascii="Calibri" w:hAnsi="Calibri"/>
          <w:sz w:val="18"/>
          <w:highlight w:val="yellow"/>
        </w:rPr>
        <w:t xml:space="preserve"> </w:t>
      </w:r>
      <w:r>
        <w:rPr>
          <w:highlight w:val="yellow"/>
        </w:rPr>
        <w:t>Uredba (EU) br. 1305/2013, čl. 54. st. 3.</w:t>
      </w:r>
    </w:p>
  </w:footnote>
  <w:footnote w:id="72">
    <w:p w:rsidR="00867290" w:rsidRPr="00956C51" w:rsidRDefault="00867290" w:rsidP="00FC0A30">
      <w:pPr>
        <w:pStyle w:val="FootnoteText"/>
        <w:rPr>
          <w:lang w:val="sk-SK"/>
        </w:rPr>
      </w:pPr>
      <w:r>
        <w:rPr>
          <w:rStyle w:val="FootnoteReference"/>
        </w:rPr>
        <w:footnoteRef/>
      </w:r>
      <w:r>
        <w:t xml:space="preserve"> </w:t>
      </w:r>
      <w:hyperlink r:id="rId19">
        <w:r>
          <w:rPr>
            <w:rStyle w:val="Hyperlink"/>
            <w:highlight w:val="yellow"/>
          </w:rPr>
          <w:t>http://ec.europa.eu/smart-regulation/guidelines/tool_13_en.htm</w:t>
        </w:r>
      </w:hyperlink>
      <w:r>
        <w:rPr>
          <w:highlight w:val="yellow"/>
        </w:rPr>
        <w:t xml:space="preserve"> i Tehnički priručnik o okviru za praćenje i evaluaciju zajedničke poljoprivredne politike 2014. – 2020., DG AGRI, 2015., pojmovnik</w:t>
      </w:r>
      <w:r>
        <w:t>.</w:t>
      </w:r>
    </w:p>
  </w:footnote>
  <w:footnote w:id="73">
    <w:p w:rsidR="00867290" w:rsidRPr="00AA1397" w:rsidRDefault="00867290" w:rsidP="00FC0A30">
      <w:pPr>
        <w:pStyle w:val="FootnoteText"/>
        <w:rPr>
          <w:highlight w:val="yellow"/>
          <w:lang w:val="sk-SK"/>
        </w:rPr>
      </w:pPr>
      <w:r>
        <w:rPr>
          <w:rStyle w:val="FootnoteReference"/>
          <w:rFonts w:eastAsiaTheme="minorEastAsia"/>
        </w:rPr>
        <w:footnoteRef/>
      </w:r>
      <w:r>
        <w:t xml:space="preserve"> </w:t>
      </w:r>
      <w:r>
        <w:rPr>
          <w:highlight w:val="yellow"/>
        </w:rPr>
        <w:t xml:space="preserve">Vidi </w:t>
      </w:r>
      <w:r>
        <w:rPr>
          <w:b/>
          <w:color w:val="E7E6E6" w:themeColor="background2"/>
          <w:highlight w:val="yellow"/>
        </w:rPr>
        <w:t>DIO II.</w:t>
      </w:r>
      <w:r>
        <w:rPr>
          <w:highlight w:val="yellow"/>
        </w:rPr>
        <w:t xml:space="preserve">, poglavlje 8.1.: Uloga evaluacijskih pitanja u evaluaciji NRM-ova. </w:t>
      </w:r>
    </w:p>
  </w:footnote>
  <w:footnote w:id="74">
    <w:p w:rsidR="00867290" w:rsidRPr="00AA1397" w:rsidRDefault="00867290" w:rsidP="00FC0A30">
      <w:pPr>
        <w:pStyle w:val="FootnoteText"/>
        <w:rPr>
          <w:lang w:val="sk-SK"/>
        </w:rPr>
      </w:pPr>
      <w:r>
        <w:rPr>
          <w:rStyle w:val="FootnoteReference"/>
          <w:highlight w:val="yellow"/>
        </w:rPr>
        <w:footnoteRef/>
      </w:r>
      <w:r>
        <w:rPr>
          <w:highlight w:val="yellow"/>
        </w:rPr>
        <w:t xml:space="preserve"> Provedbena uredba Komisije (EU) br. 808/2014, Prilog V., pitanje za evaluaciju 21.</w:t>
      </w:r>
      <w:r>
        <w:t xml:space="preserve"> </w:t>
      </w:r>
    </w:p>
  </w:footnote>
  <w:footnote w:id="75">
    <w:p w:rsidR="00867290" w:rsidRPr="00EE03C9" w:rsidRDefault="00867290" w:rsidP="00FC0A30">
      <w:pPr>
        <w:pStyle w:val="FootnoteText"/>
        <w:rPr>
          <w:highlight w:val="yellow"/>
          <w:lang w:val="sk-SK"/>
        </w:rPr>
      </w:pPr>
      <w:r>
        <w:rPr>
          <w:rStyle w:val="FootnoteReference"/>
        </w:rPr>
        <w:footnoteRef/>
      </w:r>
      <w:r>
        <w:t xml:space="preserve"> </w:t>
      </w:r>
      <w:hyperlink r:id="rId20">
        <w:r>
          <w:rPr>
            <w:rStyle w:val="Hyperlink"/>
            <w:highlight w:val="yellow"/>
          </w:rPr>
          <w:t>http://enrd.ec.europa.eu/enrd-static/evaluation/good-practices-workshops/national-rural-network-programmes/en/national-rural-network-programmes_en.html</w:t>
        </w:r>
      </w:hyperlink>
      <w:r>
        <w:rPr>
          <w:highlight w:val="yellow"/>
        </w:rPr>
        <w:t xml:space="preserve"> </w:t>
      </w:r>
      <w:r>
        <w:rPr>
          <w:color w:val="auto"/>
          <w:highlight w:val="yellow"/>
        </w:rPr>
        <w:t>i</w:t>
      </w:r>
      <w:r>
        <w:rPr>
          <w:highlight w:val="yellow"/>
        </w:rPr>
        <w:t xml:space="preserve"> </w:t>
      </w:r>
      <w:hyperlink r:id="rId21">
        <w:r>
          <w:rPr>
            <w:rStyle w:val="Hyperlink"/>
            <w:highlight w:val="yellow"/>
          </w:rPr>
          <w:t>http://enrd.ec.europa.eu/enrd-static/evaluation/good-practices-workshops/national-rural-networks/en/national-rural-networks_en.html</w:t>
        </w:r>
      </w:hyperlink>
    </w:p>
  </w:footnote>
  <w:footnote w:id="76">
    <w:p w:rsidR="00867290" w:rsidRPr="00EE03C9" w:rsidRDefault="00867290" w:rsidP="00FC0A30">
      <w:pPr>
        <w:pStyle w:val="FootnoteText"/>
        <w:rPr>
          <w:highlight w:val="yellow"/>
          <w:lang w:val="sk-SK"/>
        </w:rPr>
      </w:pPr>
      <w:r>
        <w:rPr>
          <w:rStyle w:val="FootnoteReference"/>
          <w:highlight w:val="yellow"/>
        </w:rPr>
        <w:footnoteRef/>
      </w:r>
      <w:r>
        <w:rPr>
          <w:highlight w:val="yellow"/>
        </w:rPr>
        <w:t xml:space="preserve"> </w:t>
      </w:r>
      <w:hyperlink r:id="rId22">
        <w:r>
          <w:rPr>
            <w:rStyle w:val="Hyperlink"/>
            <w:highlight w:val="yellow"/>
          </w:rPr>
          <w:t>http://enrd.ec.europa.eu/enrd-static/evaluation/library/evaluation-helpdesk-publications/en/evaluation-helpdesk-publications_en.html</w:t>
        </w:r>
      </w:hyperlink>
    </w:p>
  </w:footnote>
  <w:footnote w:id="77">
    <w:p w:rsidR="00867290" w:rsidRPr="00AA1397" w:rsidRDefault="00867290" w:rsidP="00FC0A30">
      <w:pPr>
        <w:pStyle w:val="FootnoteText"/>
        <w:rPr>
          <w:highlight w:val="yellow"/>
          <w:lang w:val="sk-SK"/>
        </w:rPr>
      </w:pPr>
      <w:r>
        <w:rPr>
          <w:rStyle w:val="FootnoteReference"/>
          <w:rFonts w:eastAsiaTheme="minorEastAsia"/>
          <w:highlight w:val="yellow"/>
        </w:rPr>
        <w:footnoteRef/>
      </w:r>
      <w:r>
        <w:rPr>
          <w:highlight w:val="yellow"/>
        </w:rPr>
        <w:t xml:space="preserve"> Radni dokument o </w:t>
      </w:r>
      <w:hyperlink r:id="rId23">
        <w:r>
          <w:rPr>
            <w:highlight w:val="yellow"/>
          </w:rPr>
          <w:t>Evaluaciji programa nacionalnih ruralnih mreža</w:t>
        </w:r>
      </w:hyperlink>
      <w:r>
        <w:rPr>
          <w:highlight w:val="yellow"/>
        </w:rPr>
        <w:t xml:space="preserve">, Europska evaluacijska mreža za ruralni razvoj, srpanj 2010., str. 18. </w:t>
      </w:r>
    </w:p>
  </w:footnote>
  <w:footnote w:id="78">
    <w:p w:rsidR="00867290" w:rsidRPr="00AA1397" w:rsidRDefault="00867290" w:rsidP="00FC0A30">
      <w:pPr>
        <w:pStyle w:val="FootnoteText"/>
        <w:rPr>
          <w:lang w:val="sk-SK"/>
        </w:rPr>
      </w:pPr>
      <w:r>
        <w:rPr>
          <w:rStyle w:val="FootnoteReference"/>
          <w:highlight w:val="yellow"/>
        </w:rPr>
        <w:footnoteRef/>
      </w:r>
      <w:r>
        <w:rPr>
          <w:highlight w:val="yellow"/>
        </w:rPr>
        <w:t xml:space="preserve"> EuropeAid - vodič za evaluacije </w:t>
      </w:r>
      <w:r>
        <w:rPr>
          <w:rStyle w:val="Hyperlink"/>
          <w:highlight w:val="yellow"/>
        </w:rPr>
        <w:t>http://ec.europa.eu/europeaid/evaluation/methodology/methods/mth_cri_en.htm</w:t>
      </w:r>
    </w:p>
  </w:footnote>
  <w:footnote w:id="79">
    <w:p w:rsidR="00867290" w:rsidRPr="00AA1397" w:rsidRDefault="00867290" w:rsidP="00FC0A30">
      <w:pPr>
        <w:pStyle w:val="FootnoteText"/>
        <w:rPr>
          <w:rFonts w:ascii="Calibri" w:hAnsi="Calibri"/>
          <w:sz w:val="18"/>
          <w:szCs w:val="18"/>
          <w:lang w:val="sk-SK"/>
        </w:rPr>
      </w:pPr>
      <w:r>
        <w:rPr>
          <w:rStyle w:val="FootnoteReference"/>
        </w:rPr>
        <w:footnoteRef/>
      </w:r>
      <w:r>
        <w:rPr>
          <w:rFonts w:ascii="Calibri" w:hAnsi="Calibri"/>
          <w:sz w:val="18"/>
        </w:rPr>
        <w:t xml:space="preserve"> </w:t>
      </w:r>
      <w:r>
        <w:rPr>
          <w:rFonts w:ascii="Calibri" w:hAnsi="Calibri"/>
          <w:sz w:val="18"/>
          <w:highlight w:val="yellow"/>
        </w:rPr>
        <w:t>Provedbena uredba Komisije (EU) br. 808/2014, Prilog IV., radni dokument o programiranju i postavljanju ciljeva u području ruralnog razvoja (2014. – 2020.)</w:t>
      </w:r>
      <w:r>
        <w:rPr>
          <w:rFonts w:ascii="Calibri" w:hAnsi="Calibri"/>
          <w:sz w:val="18"/>
        </w:rPr>
        <w:t>.</w:t>
      </w:r>
    </w:p>
  </w:footnote>
  <w:footnote w:id="80">
    <w:p w:rsidR="00867290" w:rsidRPr="00D70FD5" w:rsidRDefault="00867290" w:rsidP="00FC0A30">
      <w:pPr>
        <w:pStyle w:val="FootnoteText"/>
        <w:rPr>
          <w:lang w:val="sk-SK"/>
        </w:rPr>
      </w:pPr>
      <w:r>
        <w:rPr>
          <w:rStyle w:val="FootnoteReference"/>
        </w:rPr>
        <w:footnoteRef/>
      </w:r>
      <w:r>
        <w:t xml:space="preserve"> </w:t>
      </w:r>
      <w:r>
        <w:rPr>
          <w:highlight w:val="yellow"/>
        </w:rPr>
        <w:t xml:space="preserve">Tehnički priručnik o Zajedničkom okviru za praćenje i evaluaciju zajedničke poljoprivredne politike 2014. – 2020., </w:t>
      </w:r>
      <w:hyperlink r:id="rId24">
        <w:r>
          <w:rPr>
            <w:rStyle w:val="Hyperlink"/>
            <w:highlight w:val="yellow"/>
          </w:rPr>
          <w:t>http://ec.europa.eu/agriculture/cap-post-2013/monitoring-evaluation/index_en.htm</w:t>
        </w:r>
      </w:hyperlink>
    </w:p>
  </w:footnote>
  <w:footnote w:id="81">
    <w:p w:rsidR="00867290" w:rsidRPr="00AA1397" w:rsidRDefault="00867290" w:rsidP="00FC0A30">
      <w:pPr>
        <w:pStyle w:val="FootnoteText"/>
        <w:rPr>
          <w:lang w:val="sk-SK"/>
        </w:rPr>
      </w:pPr>
      <w:r>
        <w:rPr>
          <w:rStyle w:val="FootnoteReference"/>
          <w:rFonts w:eastAsiaTheme="minorEastAsia"/>
        </w:rPr>
        <w:footnoteRef/>
      </w:r>
      <w:r>
        <w:t xml:space="preserve"> </w:t>
      </w:r>
      <w:r>
        <w:rPr>
          <w:highlight w:val="yellow"/>
        </w:rPr>
        <w:t xml:space="preserve">Radni dokument o </w:t>
      </w:r>
      <w:hyperlink r:id="rId25">
        <w:r>
          <w:rPr>
            <w:rStyle w:val="Hyperlink"/>
            <w:highlight w:val="yellow"/>
          </w:rPr>
          <w:t>Evaluaciji programa nacionalnih ruralnih mreža</w:t>
        </w:r>
      </w:hyperlink>
      <w:r>
        <w:rPr>
          <w:color w:val="E7E6E6" w:themeColor="background2"/>
          <w:highlight w:val="yellow"/>
        </w:rPr>
        <w:t xml:space="preserve">, </w:t>
      </w:r>
      <w:r>
        <w:rPr>
          <w:highlight w:val="yellow"/>
        </w:rPr>
        <w:t>Europska evaluacijska mreža za ruralni razvoj, srpanj 2010., str. 21–26.</w:t>
      </w:r>
      <w:r>
        <w:t xml:space="preserve"> </w:t>
      </w:r>
    </w:p>
  </w:footnote>
  <w:footnote w:id="82">
    <w:p w:rsidR="00867290" w:rsidRPr="00AA1397" w:rsidRDefault="00867290" w:rsidP="00FC0A30">
      <w:pPr>
        <w:pStyle w:val="FootnoteText"/>
        <w:rPr>
          <w:lang w:val="sk-SK"/>
        </w:rPr>
      </w:pPr>
      <w:r>
        <w:rPr>
          <w:rStyle w:val="FootnoteReference"/>
          <w:rFonts w:eastAsiaTheme="minorEastAsia"/>
        </w:rPr>
        <w:footnoteRef/>
      </w:r>
      <w:r>
        <w:t xml:space="preserve"> </w:t>
      </w:r>
      <w:r>
        <w:rPr>
          <w:highlight w:val="yellow"/>
        </w:rPr>
        <w:t xml:space="preserve">Više informacija iz </w:t>
      </w:r>
      <w:hyperlink r:id="rId26">
        <w:r>
          <w:rPr>
            <w:highlight w:val="yellow"/>
          </w:rPr>
          <w:t>Smjernica za srednjoročnu Evaluaciju programa nacionalnih ruralnih mreža 2007. – 2013.</w:t>
        </w:r>
      </w:hyperlink>
      <w:r>
        <w:rPr>
          <w:highlight w:val="yellow"/>
        </w:rPr>
        <w:t>, Europska evaluacijska mreža za ruralni razvoj, srpanj 2009., str. 11–13. i Smjernic</w:t>
      </w:r>
      <w:r>
        <w:t>e:</w:t>
      </w:r>
      <w:r>
        <w:rPr>
          <w:highlight w:val="yellow"/>
        </w:rPr>
        <w:t xml:space="preserve"> utvrđivanje i provedba plana evaluacije za PRR-ove 2014. – 2020., Europska evaluacijska mreža za ruralni razvoj, ožujak 2014., str. 67–72.</w:t>
      </w:r>
    </w:p>
  </w:footnote>
  <w:footnote w:id="83">
    <w:p w:rsidR="00867290" w:rsidRPr="005B51FF" w:rsidRDefault="00867290" w:rsidP="001249DA">
      <w:pPr>
        <w:pStyle w:val="CommentText"/>
        <w:spacing w:before="0" w:after="0"/>
        <w:rPr>
          <w:lang w:val="sk-SK"/>
        </w:rPr>
      </w:pPr>
      <w:r>
        <w:rPr>
          <w:rStyle w:val="FootnoteReference"/>
        </w:rPr>
        <w:footnoteRef/>
      </w:r>
      <w:r>
        <w:rPr>
          <w:rStyle w:val="FootnoteTextChar1"/>
        </w:rPr>
        <w:t xml:space="preserve"> </w:t>
      </w:r>
      <w:r>
        <w:rPr>
          <w:rStyle w:val="FootnoteTextChar1"/>
          <w:highlight w:val="yellow"/>
        </w:rPr>
        <w:t>Na primjer, u Portugalu je NRM postavio metodološke smjernice koje daju alate kao zajednički temelj (npr. upitnike za evaluaciju događaja) kojima se korisnici NRM-a mogu koristiti u svojim aktivnostima. Ti su alati dostupni na internetu.</w:t>
      </w:r>
      <w:r>
        <w:rPr>
          <w:rStyle w:val="FootnoteTextChar1"/>
        </w:rPr>
        <w:t xml:space="preserve"> </w:t>
      </w:r>
    </w:p>
  </w:footnote>
  <w:footnote w:id="84">
    <w:p w:rsidR="00867290" w:rsidRPr="00AA1397" w:rsidRDefault="00867290" w:rsidP="000574FB">
      <w:pPr>
        <w:pStyle w:val="FootnoteText"/>
        <w:rPr>
          <w:highlight w:val="yellow"/>
        </w:rPr>
      </w:pPr>
      <w:r>
        <w:rPr>
          <w:rStyle w:val="FootnoteReference"/>
          <w:rFonts w:eastAsiaTheme="minorEastAsia"/>
        </w:rPr>
        <w:footnoteRef/>
      </w:r>
      <w:r>
        <w:t xml:space="preserve"> </w:t>
      </w:r>
      <w:r>
        <w:rPr>
          <w:highlight w:val="yellow"/>
        </w:rPr>
        <w:t xml:space="preserve">Više informacija o četirima fazama evaluacije mogu se naći na poveznici </w:t>
      </w:r>
      <w:hyperlink r:id="rId27">
        <w:r>
          <w:rPr>
            <w:rStyle w:val="Hyperlink"/>
            <w:highlight w:val="yellow"/>
          </w:rPr>
          <w:t>CMEF evaluacijske smjernice, smjernica B</w:t>
        </w:r>
      </w:hyperlink>
      <w:r>
        <w:rPr>
          <w:color w:val="E7E6E6" w:themeColor="background2"/>
          <w:highlight w:val="yellow"/>
        </w:rPr>
        <w:t xml:space="preserve"> 2007. – 2013.</w:t>
      </w:r>
    </w:p>
  </w:footnote>
  <w:footnote w:id="85">
    <w:p w:rsidR="00867290" w:rsidRPr="00AA1397" w:rsidRDefault="00867290" w:rsidP="00352793">
      <w:pPr>
        <w:pStyle w:val="FootnoteText"/>
      </w:pPr>
      <w:r>
        <w:rPr>
          <w:rStyle w:val="FootnoteReference"/>
          <w:rFonts w:eastAsiaTheme="minorEastAsia"/>
          <w:highlight w:val="yellow"/>
        </w:rPr>
        <w:footnoteRef/>
      </w:r>
      <w:r>
        <w:rPr>
          <w:highlight w:val="yellow"/>
        </w:rPr>
        <w:t xml:space="preserve"> WFP-ov sustav osiguranja kvalitete evaluacije na poveznici </w:t>
      </w:r>
      <w:hyperlink r:id="rId28">
        <w:r>
          <w:rPr>
            <w:highlight w:val="yellow"/>
          </w:rPr>
          <w:t>http://www.wfp.org/evaluation/methods-and-tools/eqas-evaluation-quality-assurance-system</w:t>
        </w:r>
      </w:hyperlink>
      <w:r>
        <w:t xml:space="preserve"> </w:t>
      </w:r>
    </w:p>
  </w:footnote>
  <w:footnote w:id="86">
    <w:p w:rsidR="00867290" w:rsidRPr="00AA1397" w:rsidRDefault="00867290" w:rsidP="000574FB">
      <w:pPr>
        <w:pStyle w:val="FootnoteText"/>
      </w:pPr>
      <w:r>
        <w:rPr>
          <w:rStyle w:val="FootnoteReference"/>
          <w:rFonts w:eastAsiaTheme="minorEastAsia"/>
        </w:rPr>
        <w:footnoteRef/>
      </w:r>
      <w:r>
        <w:t xml:space="preserve"> </w:t>
      </w:r>
      <w:hyperlink r:id="rId29">
        <w:r>
          <w:rPr>
            <w:highlight w:val="yellow"/>
          </w:rPr>
          <w:t>Prilog 6., „Obrazac procjene kvalitete”</w:t>
        </w:r>
      </w:hyperlink>
      <w:r>
        <w:rPr>
          <w:highlight w:val="yellow"/>
        </w:rPr>
        <w:t>, GU MARKT - Vodič za evaluaciju zakonodavstva, str. 87–97.</w:t>
      </w:r>
    </w:p>
  </w:footnote>
  <w:footnote w:id="87">
    <w:p w:rsidR="00867290" w:rsidRPr="00BE434D" w:rsidRDefault="00867290" w:rsidP="00320BBA">
      <w:pPr>
        <w:pStyle w:val="FootnoteText"/>
      </w:pPr>
      <w:r>
        <w:rPr>
          <w:rStyle w:val="FootnoteReference"/>
        </w:rPr>
        <w:footnoteRef/>
      </w:r>
      <w:r>
        <w:t xml:space="preserve"> See also: Helpdesk of the European Rural Evaluation Network (2014): Guidelines for the Ex post Evaluation of 2007-2013 RDPs. Bruxelles. Str. 61ff., </w:t>
      </w:r>
      <w:hyperlink r:id="rId30">
        <w:r>
          <w:rPr>
            <w:rStyle w:val="Hyperlink"/>
          </w:rPr>
          <w:t>http://enrd.ec.europa.eu/enrd-static/evaluation/library/evaluation-helpdesk-publications/en/evaluation-helpdesk-publications_en.html</w:t>
        </w:r>
      </w:hyperlink>
    </w:p>
  </w:footnote>
  <w:footnote w:id="88">
    <w:p w:rsidR="00867290" w:rsidRPr="0041009C" w:rsidRDefault="00867290" w:rsidP="00320BBA">
      <w:pPr>
        <w:pStyle w:val="FootnoteText"/>
        <w:rPr>
          <w:lang w:val="en-US"/>
        </w:rPr>
      </w:pPr>
      <w:r>
        <w:rPr>
          <w:rStyle w:val="FootnoteReference"/>
        </w:rPr>
        <w:footnoteRef/>
      </w:r>
      <w:r>
        <w:t xml:space="preserve"> See the references for further reading at the end of chapter 3.1.</w:t>
      </w:r>
    </w:p>
  </w:footnote>
  <w:footnote w:id="89">
    <w:p w:rsidR="00867290" w:rsidRPr="003C23DE" w:rsidRDefault="00867290" w:rsidP="00320BBA">
      <w:pPr>
        <w:pStyle w:val="FootnoteText"/>
        <w:rPr>
          <w:lang w:val="en-GB"/>
        </w:rPr>
      </w:pPr>
      <w:r>
        <w:rPr>
          <w:rStyle w:val="FootnoteReference"/>
        </w:rPr>
        <w:footnoteRef/>
      </w:r>
      <w:r>
        <w:t xml:space="preserve"> Context parameters have been proposed by the ENRD Contact Point and the Helpdesk of the European Evaluation Network for Rural Development in 2014; as they are not part of the legal framework, they can be adjusted by Member States if appropriate. The list of context parameters can be found in </w:t>
      </w:r>
      <w:r>
        <w:rPr>
          <w:b/>
          <w:color w:val="E7E6E6" w:themeColor="background2"/>
        </w:rPr>
        <w:t>PART I</w:t>
      </w:r>
      <w:r>
        <w:t>, Chapter 2.2.2 Preparation of evaluation</w:t>
      </w:r>
    </w:p>
  </w:footnote>
  <w:footnote w:id="90">
    <w:p w:rsidR="00867290" w:rsidRPr="009E2C9F" w:rsidRDefault="00867290" w:rsidP="00320BBA">
      <w:pPr>
        <w:pStyle w:val="FootnoteText"/>
        <w:rPr>
          <w:lang w:val="sk-SK"/>
        </w:rPr>
      </w:pPr>
      <w:r>
        <w:rPr>
          <w:rStyle w:val="FootnoteReference"/>
        </w:rPr>
        <w:footnoteRef/>
      </w:r>
      <w:r>
        <w:t xml:space="preserve"> RPULI: relevantno, prihvaćeno, uvjerljivo, lako, izdržljivo</w:t>
      </w:r>
    </w:p>
  </w:footnote>
  <w:footnote w:id="91">
    <w:p w:rsidR="00867290" w:rsidRPr="003C23DE" w:rsidRDefault="00867290" w:rsidP="00320BBA">
      <w:pPr>
        <w:pStyle w:val="FootnoteText"/>
        <w:rPr>
          <w:lang w:val="en-GB"/>
        </w:rPr>
      </w:pPr>
      <w:r>
        <w:rPr>
          <w:rStyle w:val="FootnoteReference"/>
        </w:rPr>
        <w:footnoteRef/>
      </w:r>
      <w:r>
        <w:t xml:space="preserve"> Information about intervention logic´ effects can be found in the guidelines „Assessment of RDP results: How to prepare for reporting on evaluation in 2017“, published in April 2016 </w:t>
      </w:r>
    </w:p>
  </w:footnote>
  <w:footnote w:id="92">
    <w:p w:rsidR="00867290" w:rsidRPr="003C23DE" w:rsidRDefault="00867290" w:rsidP="00320BBA">
      <w:pPr>
        <w:pStyle w:val="FootnoteText"/>
        <w:rPr>
          <w:lang w:val="en-GB"/>
        </w:rPr>
      </w:pPr>
      <w:r>
        <w:rPr>
          <w:rStyle w:val="FootnoteReference"/>
        </w:rPr>
        <w:footnoteRef/>
      </w:r>
      <w:r>
        <w:t xml:space="preserve"> </w:t>
      </w:r>
      <w:r>
        <w:rPr>
          <w:highlight w:val="yellow"/>
        </w:rPr>
        <w:t>Više savjeta vezanih uz ovo pitanje nalazi se u smjernicama: Procjena rezultata PRR-a: kako se pripremiti za izvješćivanje o evaluaciji u 2017.</w:t>
      </w:r>
    </w:p>
  </w:footnote>
  <w:footnote w:id="93">
    <w:p w:rsidR="00867290" w:rsidRPr="003C23DE" w:rsidRDefault="00867290" w:rsidP="00320BBA">
      <w:pPr>
        <w:pStyle w:val="FootnoteText"/>
        <w:rPr>
          <w:lang w:val="en-GB"/>
        </w:rPr>
      </w:pPr>
      <w:r>
        <w:rPr>
          <w:rStyle w:val="FootnoteReference"/>
        </w:rPr>
        <w:footnoteRef/>
      </w:r>
      <w:r>
        <w:t xml:space="preserve"> See also the guidelines: Assessment of RDP results: how to prepare for reporting on evaluation in 2017, to be published in 2016, Chapter 7.</w:t>
      </w:r>
    </w:p>
  </w:footnote>
  <w:footnote w:id="94">
    <w:p w:rsidR="00867290" w:rsidRPr="003C23DE" w:rsidRDefault="00867290" w:rsidP="00320BBA">
      <w:pPr>
        <w:pStyle w:val="FootnoteText"/>
        <w:rPr>
          <w:lang w:val="en-GB"/>
        </w:rPr>
      </w:pPr>
      <w:r>
        <w:rPr>
          <w:rStyle w:val="FootnoteReference"/>
        </w:rPr>
        <w:footnoteRef/>
      </w:r>
      <w:r>
        <w:t xml:space="preserve"> See for example the World Bank’s publications on measuring social capital, such as Working Paper No. 18, 2004: “Measuring social capital: an integrated questionnaire”, </w:t>
      </w:r>
      <w:hyperlink r:id="rId31">
        <w:r>
          <w:t>http://documents.worldbank.org/curated/en/2004/01/3050371/measuring-social-capital-integrated-questionnaire</w:t>
        </w:r>
      </w:hyperlink>
      <w:r>
        <w:t xml:space="preserve"> ; or particular approaches to capture changes induced by social innovation, e.g. the Regional Social Innovation Index (</w:t>
      </w:r>
      <w:hyperlink r:id="rId32">
        <w:r>
          <w:rPr>
            <w:rStyle w:val="Hyperlink"/>
          </w:rPr>
          <w:t>http://avitem.org/IMG/pdf/cuaderno_resindex_eng.pdf</w:t>
        </w:r>
      </w:hyperlink>
      <w:r>
        <w:t xml:space="preserve">) developed for the Spanish Euskadi Region in 2013; or the achievements of the EU research project IAREG on indicators of social capital in the EU: </w:t>
      </w:r>
      <w:hyperlink r:id="rId33">
        <w:r>
          <w:rPr>
            <w:rStyle w:val="Hyperlink"/>
          </w:rPr>
          <w:t>http://www.iareg.org/fileadmin/iareg/media/papers/WP2_02.pdf</w:t>
        </w:r>
      </w:hyperlink>
      <w:r>
        <w:t xml:space="preserve"> </w:t>
      </w:r>
    </w:p>
  </w:footnote>
  <w:footnote w:id="95">
    <w:p w:rsidR="00867290" w:rsidRPr="003C23DE" w:rsidRDefault="00867290" w:rsidP="00320BBA">
      <w:pPr>
        <w:pStyle w:val="FootnoteText"/>
        <w:rPr>
          <w:lang w:val="en-GB"/>
        </w:rPr>
      </w:pPr>
      <w:r>
        <w:rPr>
          <w:rStyle w:val="FootnoteReference"/>
        </w:rPr>
        <w:footnoteRef/>
      </w:r>
      <w:r>
        <w:t xml:space="preserve"> See also guidelines: Assessment of RDP results: how to prepare for reporting on evaluation in 2017, which will be published in April 2016</w:t>
      </w:r>
    </w:p>
  </w:footnote>
  <w:footnote w:id="96">
    <w:p w:rsidR="00867290" w:rsidRPr="003C23DE" w:rsidRDefault="00867290" w:rsidP="00320BBA">
      <w:pPr>
        <w:pStyle w:val="FootnoteText"/>
        <w:rPr>
          <w:lang w:val="en-GB"/>
        </w:rPr>
      </w:pPr>
      <w:r>
        <w:rPr>
          <w:rStyle w:val="FootnoteReference"/>
        </w:rPr>
        <w:footnoteRef/>
      </w:r>
      <w:r>
        <w:t xml:space="preserve"> See also the guidelines: Assessment of RDP results: how to prepare for reporting on evaluation in 2017, which will be published in 2016 </w:t>
      </w:r>
    </w:p>
  </w:footnote>
  <w:footnote w:id="97">
    <w:p w:rsidR="00867290" w:rsidRPr="003C23DE" w:rsidRDefault="00867290" w:rsidP="00320BBA">
      <w:pPr>
        <w:pStyle w:val="FootnoteText"/>
        <w:rPr>
          <w:lang w:val="en-GB"/>
        </w:rPr>
      </w:pPr>
      <w:r>
        <w:rPr>
          <w:rStyle w:val="FootnoteReference"/>
        </w:rPr>
        <w:footnoteRef/>
      </w:r>
      <w:r>
        <w:t xml:space="preserve"> Assessment of RDP results: how to prepare for reporting on evaluation in 2017, which will be published in April and Guidelines for ex post evaluation of 2007-2013 RDPs, </w:t>
      </w:r>
      <w:hyperlink r:id="rId34">
        <w:r>
          <w:rPr>
            <w:rStyle w:val="Hyperlink"/>
          </w:rPr>
          <w:t>http://enrd.ec.europa.eu/enrd-static/evaluation/library/evaluation-helpdesk-publications/en/evaluation-helpdesk-publications_en.html</w:t>
        </w:r>
      </w:hyperlink>
    </w:p>
  </w:footnote>
  <w:footnote w:id="98">
    <w:p w:rsidR="00867290" w:rsidRPr="00165985" w:rsidRDefault="00867290" w:rsidP="00320BBA">
      <w:pPr>
        <w:pStyle w:val="FootnoteText"/>
        <w:rPr>
          <w:lang w:val="en-US"/>
        </w:rPr>
      </w:pPr>
      <w:r>
        <w:rPr>
          <w:rStyle w:val="FootnoteReference"/>
        </w:rPr>
        <w:footnoteRef/>
      </w:r>
      <w:r>
        <w:t xml:space="preserve"> See the Helpdesk Guide (July 2010): Approaches for assessing the impacts of the Rural Development Programmes in the context of multiple intervening factors, p. 26 ff.</w:t>
      </w:r>
    </w:p>
  </w:footnote>
  <w:footnote w:id="99">
    <w:p w:rsidR="00867290" w:rsidRPr="003C23DE" w:rsidRDefault="00867290" w:rsidP="00320BBA">
      <w:pPr>
        <w:pStyle w:val="FootnoteText"/>
        <w:rPr>
          <w:lang w:val="en-GB"/>
        </w:rPr>
      </w:pPr>
      <w:r>
        <w:rPr>
          <w:rStyle w:val="FootnoteReference"/>
        </w:rPr>
        <w:footnoteRef/>
      </w:r>
      <w:r>
        <w:t xml:space="preserve"> Idem, p. 56 ff.</w:t>
      </w:r>
    </w:p>
  </w:footnote>
  <w:footnote w:id="100">
    <w:p w:rsidR="00867290" w:rsidRPr="003C23DE" w:rsidRDefault="00867290" w:rsidP="00320BBA">
      <w:pPr>
        <w:pStyle w:val="FootnoteText"/>
        <w:rPr>
          <w:lang w:val="en-GB"/>
        </w:rPr>
      </w:pPr>
      <w:r>
        <w:rPr>
          <w:rStyle w:val="FootnoteReference"/>
        </w:rPr>
        <w:footnoteRef/>
      </w:r>
      <w:r>
        <w:t xml:space="preserve"> </w:t>
      </w:r>
      <w:r>
        <w:rPr>
          <w:highlight w:val="yellow"/>
        </w:rPr>
        <w:t xml:space="preserve">npr. SurveyMonkey, </w:t>
      </w:r>
      <w:hyperlink r:id="rId35">
        <w:r>
          <w:rPr>
            <w:rStyle w:val="Hyperlink"/>
            <w:highlight w:val="yellow"/>
          </w:rPr>
          <w:t>https://www.surveymonkey.com/</w:t>
        </w:r>
      </w:hyperlink>
      <w:r>
        <w:rPr>
          <w:highlight w:val="yellow"/>
        </w:rPr>
        <w:t xml:space="preserve">, KvikSurvey, </w:t>
      </w:r>
      <w:hyperlink r:id="rId36">
        <w:r>
          <w:rPr>
            <w:rStyle w:val="Hyperlink"/>
            <w:highlight w:val="yellow"/>
          </w:rPr>
          <w:t>https://kwiksurveys.com/</w:t>
        </w:r>
      </w:hyperlink>
      <w:r>
        <w:rPr>
          <w:highlight w:val="yellow"/>
        </w:rPr>
        <w:t xml:space="preserve"> itd.</w:t>
      </w:r>
    </w:p>
  </w:footnote>
  <w:footnote w:id="101">
    <w:p w:rsidR="00867290" w:rsidRPr="000C17C2" w:rsidRDefault="00867290" w:rsidP="00320BBA">
      <w:pPr>
        <w:pStyle w:val="FootnoteText"/>
        <w:rPr>
          <w:highlight w:val="yellow"/>
          <w:lang w:val="en-GB"/>
        </w:rPr>
      </w:pPr>
      <w:r>
        <w:rPr>
          <w:rStyle w:val="FootnoteReference"/>
        </w:rPr>
        <w:footnoteRef/>
      </w:r>
      <w:r>
        <w:t xml:space="preserve"> </w:t>
      </w:r>
      <w:r>
        <w:rPr>
          <w:rStyle w:val="Hyperlink"/>
          <w:highlight w:val="yellow"/>
        </w:rPr>
        <w:t>http://edutechwiki.unige.ch/en/Repertory_grid_technique</w:t>
      </w:r>
    </w:p>
  </w:footnote>
  <w:footnote w:id="102">
    <w:p w:rsidR="00867290" w:rsidRPr="000C17C2" w:rsidRDefault="00867290" w:rsidP="00320BBA">
      <w:pPr>
        <w:pStyle w:val="FootnoteText"/>
        <w:rPr>
          <w:highlight w:val="yellow"/>
          <w:lang w:val="en-GB"/>
        </w:rPr>
      </w:pPr>
      <w:r>
        <w:rPr>
          <w:rStyle w:val="FootnoteReference"/>
          <w:highlight w:val="yellow"/>
        </w:rPr>
        <w:footnoteRef/>
      </w:r>
      <w:r>
        <w:rPr>
          <w:highlight w:val="yellow"/>
        </w:rPr>
        <w:t xml:space="preserve"> U skladu sa stajalištem Stevea de Shazera: „Moguće je znati što je bolje iako ne znaš što je dobro.”</w:t>
      </w:r>
    </w:p>
  </w:footnote>
  <w:footnote w:id="103">
    <w:p w:rsidR="00867290" w:rsidRPr="00D13532" w:rsidRDefault="00867290" w:rsidP="00320BBA">
      <w:pPr>
        <w:pStyle w:val="FootnoteText"/>
        <w:rPr>
          <w:highlight w:val="yellow"/>
          <w:lang w:val="en-GB"/>
        </w:rPr>
      </w:pPr>
      <w:r>
        <w:rPr>
          <w:rStyle w:val="FootnoteReference"/>
          <w:highlight w:val="yellow"/>
        </w:rPr>
        <w:footnoteRef/>
      </w:r>
      <w:r>
        <w:rPr>
          <w:highlight w:val="yellow"/>
        </w:rPr>
        <w:t xml:space="preserve"> </w:t>
      </w:r>
      <w:hyperlink r:id="rId37">
        <w:r>
          <w:rPr>
            <w:rStyle w:val="Hyperlink"/>
            <w:highlight w:val="yellow"/>
          </w:rPr>
          <w:t>https://en.wikipedia.org/wiki/Collective_intelligence</w:t>
        </w:r>
      </w:hyperlink>
      <w:r>
        <w:rPr>
          <w:highlight w:val="yellow"/>
        </w:rPr>
        <w:t xml:space="preserve"> </w:t>
      </w:r>
    </w:p>
  </w:footnote>
  <w:footnote w:id="104">
    <w:p w:rsidR="00867290" w:rsidRPr="003C23DE" w:rsidRDefault="00867290" w:rsidP="00320BBA">
      <w:pPr>
        <w:pStyle w:val="FootnoteText"/>
        <w:rPr>
          <w:lang w:val="en-GB"/>
        </w:rPr>
      </w:pPr>
      <w:r>
        <w:rPr>
          <w:rStyle w:val="FootnoteReference"/>
          <w:highlight w:val="yellow"/>
        </w:rPr>
        <w:footnoteRef/>
      </w:r>
      <w:r>
        <w:rPr>
          <w:highlight w:val="yellow"/>
        </w:rPr>
        <w:t xml:space="preserve"> Robert Lukesch, Harald Payer, Jutta Rabenau (2008.): Wissen von innen – Fokusgruppen in der Begleitforschung von Regionen Aktiv. U: Michael Böcher, Max Krott, Sebastian Tränkner (2008.): Regional Governance und integrierte ländliche Entwicklung. str. 179–205. Springer, Wiesbaden.</w:t>
      </w:r>
    </w:p>
  </w:footnote>
  <w:footnote w:id="105">
    <w:p w:rsidR="00867290" w:rsidRPr="000C17C2" w:rsidRDefault="00867290" w:rsidP="00320BBA">
      <w:pPr>
        <w:pStyle w:val="FootnoteText"/>
        <w:rPr>
          <w:highlight w:val="yellow"/>
          <w:lang w:val="en-GB"/>
        </w:rPr>
      </w:pPr>
      <w:r>
        <w:rPr>
          <w:rStyle w:val="FootnoteReference"/>
        </w:rPr>
        <w:footnoteRef/>
      </w:r>
      <w:r>
        <w:t xml:space="preserve"> </w:t>
      </w:r>
      <w:r>
        <w:rPr>
          <w:highlight w:val="yellow"/>
        </w:rPr>
        <w:t xml:space="preserve">Enrique Mendizabal: </w:t>
      </w:r>
      <w:r>
        <w:rPr>
          <w:i/>
          <w:highlight w:val="yellow"/>
        </w:rPr>
        <w:t>Understanding networks: The functions of research policy networks</w:t>
      </w:r>
      <w:r>
        <w:rPr>
          <w:highlight w:val="yellow"/>
        </w:rPr>
        <w:t>, Overseas Development Institute, London, 2006.</w:t>
      </w:r>
    </w:p>
  </w:footnote>
  <w:footnote w:id="106">
    <w:p w:rsidR="00867290" w:rsidRPr="000C17C2" w:rsidRDefault="00867290" w:rsidP="00B75E70">
      <w:pPr>
        <w:pStyle w:val="FootnoteText"/>
        <w:rPr>
          <w:highlight w:val="yellow"/>
          <w:lang w:val="en-US"/>
        </w:rPr>
      </w:pPr>
      <w:r>
        <w:rPr>
          <w:rStyle w:val="FootnoteReference"/>
          <w:highlight w:val="yellow"/>
        </w:rPr>
        <w:footnoteRef/>
      </w:r>
      <w:r>
        <w:rPr>
          <w:highlight w:val="yellow"/>
        </w:rPr>
        <w:t xml:space="preserve"> R. Mitchell, B. Agle i D. Wood, </w:t>
      </w:r>
      <w:r>
        <w:rPr>
          <w:i/>
          <w:highlight w:val="yellow"/>
        </w:rPr>
        <w:t>Towards a theory of stakeholder identification and salience: defining the principle of who and what really counts</w:t>
      </w:r>
      <w:r>
        <w:rPr>
          <w:highlight w:val="yellow"/>
        </w:rPr>
        <w:t>, Academy of Management Review, 22(4) (1997.)</w:t>
      </w:r>
    </w:p>
  </w:footnote>
  <w:footnote w:id="107">
    <w:p w:rsidR="00867290" w:rsidRPr="00BE434D" w:rsidRDefault="00867290" w:rsidP="00320BBA">
      <w:pPr>
        <w:pStyle w:val="FootnoteText"/>
      </w:pPr>
      <w:r>
        <w:rPr>
          <w:rStyle w:val="FootnoteReference"/>
          <w:highlight w:val="yellow"/>
        </w:rPr>
        <w:footnoteRef/>
      </w:r>
      <w:r>
        <w:rPr>
          <w:highlight w:val="yellow"/>
        </w:rPr>
        <w:t xml:space="preserve"> David Knoke i Song Young (2008.), </w:t>
      </w:r>
      <w:r>
        <w:rPr>
          <w:i/>
          <w:highlight w:val="yellow"/>
        </w:rPr>
        <w:t>Social network analysis, 2. izdanje</w:t>
      </w:r>
      <w:r>
        <w:rPr>
          <w:highlight w:val="yellow"/>
        </w:rPr>
        <w:t xml:space="preserve">, SAGE Publications; Stanley Wasserman and Katherine Faust (1994.), </w:t>
      </w:r>
      <w:r>
        <w:rPr>
          <w:i/>
          <w:highlight w:val="yellow"/>
        </w:rPr>
        <w:t>Social network analysis. Methods and Applications</w:t>
      </w:r>
      <w:r>
        <w:rPr>
          <w:highlight w:val="yellow"/>
        </w:rPr>
        <w:t>, Cambridge University Press.</w:t>
      </w:r>
    </w:p>
  </w:footnote>
  <w:footnote w:id="108">
    <w:p w:rsidR="00867290" w:rsidRPr="00BE434D" w:rsidRDefault="00867290" w:rsidP="00320BBA">
      <w:pPr>
        <w:pStyle w:val="FootnoteText"/>
        <w:rPr>
          <w:highlight w:val="yellow"/>
        </w:rPr>
      </w:pPr>
      <w:r>
        <w:rPr>
          <w:rStyle w:val="FootnoteReference"/>
        </w:rPr>
        <w:footnoteRef/>
      </w:r>
      <w:r>
        <w:t xml:space="preserve"> </w:t>
      </w:r>
      <w:r>
        <w:rPr>
          <w:highlight w:val="yellow"/>
        </w:rPr>
        <w:t>Gesellschaft für Internationale Zusammenarbeit/GIZ (2015.): Cooperation Management for Practitioners. Managing Social Change with Capacity WORKS. Springer, Wiesbaden. Knjiga je dostupna na engleskom, francuskom i njemačkom jeziku.</w:t>
      </w:r>
    </w:p>
  </w:footnote>
  <w:footnote w:id="109">
    <w:p w:rsidR="00867290" w:rsidRPr="000C17C2" w:rsidRDefault="00867290" w:rsidP="00320BBA">
      <w:pPr>
        <w:pStyle w:val="FootnoteText"/>
        <w:rPr>
          <w:highlight w:val="yellow"/>
        </w:rPr>
      </w:pPr>
      <w:r>
        <w:rPr>
          <w:rStyle w:val="FootnoteReference"/>
          <w:highlight w:val="yellow"/>
        </w:rPr>
        <w:footnoteRef/>
      </w:r>
      <w:r>
        <w:rPr>
          <w:highlight w:val="yellow"/>
        </w:rPr>
        <w:t xml:space="preserve"> Andrè Martinuzzi i Ursula Kopp: Systemic constellations in theory-based evaluations – tools and experiences. </w:t>
      </w:r>
      <w:hyperlink r:id="rId38">
        <w:r>
          <w:rPr>
            <w:rStyle w:val="Hyperlink"/>
            <w:highlight w:val="yellow"/>
          </w:rPr>
          <w:t>http://ec.europa.eu/regional_policy/archive/conferences/evaluation2009/abstracts/martinuzzi.pdf</w:t>
        </w:r>
      </w:hyperlink>
      <w:r>
        <w:rPr>
          <w:highlight w:val="yellow"/>
        </w:rPr>
        <w:t xml:space="preserve"> </w:t>
      </w:r>
    </w:p>
  </w:footnote>
  <w:footnote w:id="110">
    <w:p w:rsidR="00867290" w:rsidRPr="00BE434D" w:rsidRDefault="00867290" w:rsidP="00320BBA">
      <w:pPr>
        <w:pStyle w:val="FootnoteText"/>
        <w:rPr>
          <w:highlight w:val="yellow"/>
        </w:rPr>
      </w:pPr>
      <w:r>
        <w:rPr>
          <w:rStyle w:val="FootnoteReference"/>
          <w:highlight w:val="yellow"/>
        </w:rPr>
        <w:footnoteRef/>
      </w:r>
      <w:r>
        <w:rPr>
          <w:highlight w:val="yellow"/>
        </w:rPr>
        <w:t xml:space="preserve"> Vidi na primjer: Krysia M. Yardley-Matwiejczuk, 1997.: Role Play-Theory and Practice, Sage.</w:t>
      </w:r>
    </w:p>
  </w:footnote>
  <w:footnote w:id="111">
    <w:p w:rsidR="00867290" w:rsidRPr="00BE434D" w:rsidRDefault="00867290" w:rsidP="00320BBA">
      <w:pPr>
        <w:pStyle w:val="FootnoteText"/>
      </w:pPr>
      <w:r>
        <w:rPr>
          <w:rStyle w:val="FootnoteReference"/>
          <w:highlight w:val="yellow"/>
        </w:rPr>
        <w:footnoteRef/>
      </w:r>
      <w:r>
        <w:rPr>
          <w:highlight w:val="yellow"/>
        </w:rPr>
        <w:t xml:space="preserve"> </w:t>
      </w:r>
      <w:hyperlink r:id="rId39">
        <w:r>
          <w:rPr>
            <w:rStyle w:val="Hyperlink"/>
            <w:highlight w:val="yellow"/>
          </w:rPr>
          <w:t>http://asgpp.org/pdf/psychodrama.conciseintro.pdf</w:t>
        </w:r>
      </w:hyperlink>
      <w:r>
        <w:t xml:space="preserve"> </w:t>
      </w:r>
    </w:p>
  </w:footnote>
  <w:footnote w:id="112">
    <w:p w:rsidR="00867290" w:rsidRPr="00BE434D" w:rsidRDefault="00867290" w:rsidP="00320BBA">
      <w:pPr>
        <w:pStyle w:val="FootnoteText"/>
      </w:pPr>
      <w:r>
        <w:rPr>
          <w:rStyle w:val="FootnoteReference"/>
        </w:rPr>
        <w:footnoteRef/>
      </w:r>
      <w:r>
        <w:t xml:space="preserve"> </w:t>
      </w:r>
      <w:r>
        <w:rPr>
          <w:highlight w:val="yellow"/>
        </w:rPr>
        <w:t>Vidi i smjernice: Procjena rezultata PRR-a: kako se pripremiti za izvješćivanje o evaluaciji u 2017., poglavlje 7.</w:t>
      </w:r>
    </w:p>
  </w:footnote>
  <w:footnote w:id="113">
    <w:p w:rsidR="00867290" w:rsidRPr="00C04FDB" w:rsidRDefault="00867290" w:rsidP="00320BBA">
      <w:pPr>
        <w:pStyle w:val="FootnoteText"/>
        <w:rPr>
          <w:lang w:val="en-US"/>
        </w:rPr>
      </w:pPr>
      <w:r>
        <w:rPr>
          <w:rStyle w:val="FootnoteReference"/>
        </w:rPr>
        <w:footnoteRef/>
      </w:r>
      <w:r>
        <w:t xml:space="preserve"> The NRN Self-Assessment Toolkit provides a host of useful resources for practicing self-assessment for NSU: </w:t>
      </w:r>
      <w:hyperlink r:id="rId40">
        <w:r>
          <w:rPr>
            <w:rStyle w:val="Hyperlink"/>
          </w:rPr>
          <w:t>http://enrd.ec.europa.eu/enrd-static/networks-and-networking/nrn-self-assessment-tool-kit/practical-tools-for-nrn-self-assessment/en/practical-tools-for-nrn-self-assessment_en.html</w:t>
        </w:r>
      </w:hyperlink>
      <w:r>
        <w:t xml:space="preserve"> </w:t>
      </w:r>
    </w:p>
  </w:footnote>
  <w:footnote w:id="114">
    <w:p w:rsidR="00867290" w:rsidRPr="008A0246" w:rsidRDefault="00867290" w:rsidP="00320BBA">
      <w:pPr>
        <w:pStyle w:val="FootnoteText"/>
      </w:pPr>
      <w:r>
        <w:rPr>
          <w:rStyle w:val="FootnoteReference"/>
        </w:rPr>
        <w:footnoteRef/>
      </w:r>
      <w:r>
        <w:t xml:space="preserve"> See for example the Scottish case study presented during the Helpdesk workshop held in Rome, 11/12 April 2014: “NRN – How to show their benefits.” </w:t>
      </w:r>
      <w:hyperlink r:id="rId41">
        <w:r>
          <w:rPr>
            <w:rStyle w:val="Hyperlink"/>
          </w:rPr>
          <w:t>https://enrd.ec.europa.eu/sites/enrd/files/assets/pdf/evaluation/national-rural-networks/GPW10_Scotland.pdf</w:t>
        </w:r>
      </w:hyperlink>
      <w:r>
        <w:t xml:space="preserve"> </w:t>
      </w:r>
    </w:p>
  </w:footnote>
  <w:footnote w:id="115">
    <w:p w:rsidR="00867290" w:rsidRPr="00472DFD" w:rsidRDefault="00867290" w:rsidP="00320BBA">
      <w:pPr>
        <w:pStyle w:val="FootnoteText"/>
        <w:rPr>
          <w:lang w:val="en-US"/>
        </w:rPr>
      </w:pPr>
      <w:r>
        <w:rPr>
          <w:rStyle w:val="FootnoteReference"/>
        </w:rPr>
        <w:footnoteRef/>
      </w:r>
      <w:r>
        <w:t xml:space="preserve"> For instance, the Austrian NRN Strategy 2014-2020 defines five overall objectives and 17 strategic objectives and 13 types of interventions which are cross-related to a host of operational objectives in five priority areas: (i) Agriculture and forestry and related value chains; (ii) Environment, biodiversity and nature protection; (iii) climate change and climate protection; (iv) innovation; (v) basic services, LEADER and local/regional development. It should be noted that the innovation priority coincides with the network support unit for the EIP OG which is embedded in the same NSU in Austria.</w:t>
      </w:r>
    </w:p>
  </w:footnote>
  <w:footnote w:id="116">
    <w:p w:rsidR="00867290" w:rsidRPr="000C17C2" w:rsidRDefault="00867290" w:rsidP="000A3387">
      <w:pPr>
        <w:pStyle w:val="FootnoteText"/>
        <w:rPr>
          <w:highlight w:val="yellow"/>
          <w:lang w:val="en-US"/>
        </w:rPr>
      </w:pPr>
      <w:r>
        <w:rPr>
          <w:rStyle w:val="FootnoteReference"/>
        </w:rPr>
        <w:footnoteRef/>
      </w:r>
      <w:r>
        <w:t xml:space="preserve"> </w:t>
      </w:r>
      <w:r>
        <w:rPr>
          <w:highlight w:val="yellow"/>
        </w:rPr>
        <w:t>„Emski” pristup proučava kako ljudi misle te kako percipiraju i kategoriziraju svijet (Wikipedija).</w:t>
      </w:r>
    </w:p>
  </w:footnote>
  <w:footnote w:id="117">
    <w:p w:rsidR="00867290" w:rsidRPr="00C04FDB" w:rsidRDefault="00867290" w:rsidP="000A3387">
      <w:pPr>
        <w:pStyle w:val="FootnoteText"/>
        <w:rPr>
          <w:lang w:val="en-US"/>
        </w:rPr>
      </w:pPr>
      <w:r>
        <w:rPr>
          <w:rStyle w:val="FootnoteReference"/>
          <w:highlight w:val="yellow"/>
        </w:rPr>
        <w:footnoteRef/>
      </w:r>
      <w:r>
        <w:rPr>
          <w:highlight w:val="yellow"/>
        </w:rPr>
        <w:t xml:space="preserve"> </w:t>
      </w:r>
      <w:r>
        <w:rPr>
          <w:color w:val="808080" w:themeColor="background1" w:themeShade="80"/>
          <w:highlight w:val="yellow"/>
          <w:shd w:val="clear" w:color="auto" w:fill="FFFFFF"/>
        </w:rPr>
        <w:t>„Etski” je prikaz opis </w:t>
      </w:r>
      <w:hyperlink r:id="rId42" w:tooltip="Ponašanje">
        <w:r>
          <w:rPr>
            <w:color w:val="808080" w:themeColor="background1" w:themeShade="80"/>
            <w:highlight w:val="yellow"/>
            <w:shd w:val="clear" w:color="auto" w:fill="FFFFFF"/>
          </w:rPr>
          <w:t>ponašanja</w:t>
        </w:r>
      </w:hyperlink>
      <w:r>
        <w:rPr>
          <w:color w:val="808080" w:themeColor="background1" w:themeShade="80"/>
          <w:highlight w:val="yellow"/>
          <w:shd w:val="clear" w:color="auto" w:fill="FFFFFF"/>
        </w:rPr>
        <w:t> ili uvjerenje društvenog analitičara ili znanstvenog promatrača (Wikipedija).</w:t>
      </w:r>
    </w:p>
  </w:footnote>
  <w:footnote w:id="118">
    <w:p w:rsidR="00867290" w:rsidRPr="003C23DE" w:rsidRDefault="00867290" w:rsidP="00320BBA">
      <w:pPr>
        <w:pStyle w:val="FootnoteText"/>
        <w:rPr>
          <w:lang w:val="en-GB"/>
        </w:rPr>
      </w:pPr>
      <w:r>
        <w:rPr>
          <w:rStyle w:val="FootnoteReference"/>
        </w:rPr>
        <w:footnoteRef/>
      </w:r>
      <w:r>
        <w:t xml:space="preserve"> Also see the guidelines: Assessment of RDP results: how to prepare for reporting on evaluation in 2017, Chapter 8.</w:t>
      </w:r>
    </w:p>
  </w:footnote>
  <w:footnote w:id="119">
    <w:p w:rsidR="00867290" w:rsidRPr="004F24B6" w:rsidRDefault="00867290" w:rsidP="00320BBA">
      <w:pPr>
        <w:pStyle w:val="FootnoteText"/>
        <w:rPr>
          <w:lang w:val="en-US"/>
        </w:rPr>
      </w:pPr>
      <w:r>
        <w:rPr>
          <w:rStyle w:val="FootnoteReference"/>
        </w:rPr>
        <w:footnoteRef/>
      </w:r>
      <w:r>
        <w:t xml:space="preserve"> E.g. multipliers are explicitly addressed by the Austrian Network Strategy.</w:t>
      </w:r>
    </w:p>
  </w:footnote>
  <w:footnote w:id="120">
    <w:p w:rsidR="00867290" w:rsidRPr="00DA0DC1" w:rsidRDefault="00867290" w:rsidP="00320BBA">
      <w:pPr>
        <w:pStyle w:val="FootnoteText"/>
        <w:rPr>
          <w:lang w:val="sk-SK"/>
        </w:rPr>
      </w:pPr>
      <w:r>
        <w:rPr>
          <w:rStyle w:val="FootnoteReference"/>
        </w:rPr>
        <w:footnoteRef/>
      </w:r>
      <w:r>
        <w:t xml:space="preserve"> Guidelines for ex post evaluation of 2007-2013 RDPs </w:t>
      </w:r>
      <w:hyperlink r:id="rId43">
        <w:r>
          <w:rPr>
            <w:rStyle w:val="Hyperlink"/>
          </w:rPr>
          <w:t>http://enrd.ec.europa.eu/enrd-static/evaluation/library/evaluation-helpdesk-publications/en/evaluation-helpdesk-publications_en.html</w:t>
        </w:r>
      </w:hyperlink>
    </w:p>
  </w:footnote>
  <w:footnote w:id="121">
    <w:p w:rsidR="00867290" w:rsidRPr="00E07CE3" w:rsidRDefault="00867290" w:rsidP="00320BBA">
      <w:pPr>
        <w:pStyle w:val="FootnoteText"/>
        <w:rPr>
          <w:lang w:val="sk-SK"/>
        </w:rPr>
      </w:pPr>
      <w:r>
        <w:rPr>
          <w:rStyle w:val="FootnoteReference"/>
        </w:rPr>
        <w:footnoteRef/>
      </w:r>
      <w:r>
        <w:t xml:space="preserve"> </w:t>
      </w:r>
      <w:hyperlink r:id="rId44">
        <w:r>
          <w:rPr>
            <w:rStyle w:val="Hyperlink"/>
          </w:rPr>
          <w:t>http://ec.europa.eu/agriculture/evaluation/rural-development-reports/2014/investment-support-rdp/fulltext_en.pdf</w:t>
        </w:r>
      </w:hyperlink>
    </w:p>
  </w:footnote>
  <w:footnote w:id="122">
    <w:p w:rsidR="00867290" w:rsidRPr="003C23DE" w:rsidRDefault="00867290" w:rsidP="00320BBA">
      <w:pPr>
        <w:pStyle w:val="FootnoteText"/>
        <w:rPr>
          <w:lang w:val="en-GB"/>
        </w:rPr>
      </w:pPr>
      <w:r>
        <w:rPr>
          <w:rStyle w:val="FootnoteReference"/>
        </w:rPr>
        <w:footnoteRef/>
      </w:r>
      <w:r>
        <w:t xml:space="preserve"> Helpdesk of the European Evaluation Network for RDPs 2007-2013 (2015): Working Document: Common Evaluation Questions for Rural Development Programmes 2014-2020.</w:t>
      </w:r>
    </w:p>
  </w:footnote>
  <w:footnote w:id="123">
    <w:p w:rsidR="00867290" w:rsidRPr="0003537C" w:rsidRDefault="00867290" w:rsidP="00C4370D">
      <w:pPr>
        <w:pStyle w:val="FootnoteText"/>
        <w:rPr>
          <w:rFonts w:asciiTheme="minorHAnsi" w:hAnsiTheme="minorHAnsi"/>
          <w:lang w:val="sk-SK"/>
        </w:rPr>
      </w:pPr>
      <w:r>
        <w:rPr>
          <w:rStyle w:val="FootnoteReference"/>
        </w:rPr>
        <w:footnoteRef/>
      </w:r>
      <w:r>
        <w:t xml:space="preserve"> </w:t>
      </w:r>
      <w:r>
        <w:rPr>
          <w:rFonts w:asciiTheme="minorHAnsi" w:hAnsiTheme="minorHAnsi"/>
          <w:highlight w:val="yellow"/>
        </w:rPr>
        <w:t>Provedbena uredba Komisije (EU) br. 808/2014, Prilog V.</w:t>
      </w:r>
    </w:p>
  </w:footnote>
  <w:footnote w:id="124">
    <w:p w:rsidR="00867290" w:rsidRPr="00434A0A" w:rsidRDefault="00867290" w:rsidP="00C4370D">
      <w:pPr>
        <w:pStyle w:val="FootnoteText"/>
        <w:rPr>
          <w:highlight w:val="yellow"/>
          <w:lang w:val="sk-SK"/>
        </w:rPr>
      </w:pPr>
      <w:r>
        <w:rPr>
          <w:rStyle w:val="FootnoteReference"/>
        </w:rPr>
        <w:footnoteRef/>
      </w:r>
      <w:r>
        <w:t xml:space="preserve"> </w:t>
      </w:r>
      <w:r>
        <w:rPr>
          <w:highlight w:val="yellow"/>
        </w:rPr>
        <w:t>Bilježenje učinaka LEADER-a i mjera poboljšanja kvalitete života u ruralnim područjima, Europska podrška za evaluaciju ruralnog razvoja, 2010.</w:t>
      </w:r>
    </w:p>
  </w:footnote>
  <w:footnote w:id="125">
    <w:p w:rsidR="00867290" w:rsidRPr="00434A0A" w:rsidRDefault="00867290" w:rsidP="00C4370D">
      <w:pPr>
        <w:pStyle w:val="FootnoteText"/>
        <w:rPr>
          <w:highlight w:val="yellow"/>
          <w:lang w:val="sk-SK"/>
        </w:rPr>
      </w:pPr>
      <w:r>
        <w:rPr>
          <w:rStyle w:val="FootnoteReference"/>
          <w:highlight w:val="yellow"/>
        </w:rPr>
        <w:footnoteRef/>
      </w:r>
      <w:r>
        <w:rPr>
          <w:highlight w:val="yellow"/>
        </w:rPr>
        <w:t xml:space="preserve"> Bilježenje učinaka LEADER-a i mjera poboljšanja kvalitete života u ruralnim područjima, Europska podrška za evaluaciju ruralnog razvoja, 2010.</w:t>
      </w:r>
    </w:p>
  </w:footnote>
  <w:footnote w:id="126">
    <w:p w:rsidR="00867290" w:rsidRPr="00434A0A" w:rsidRDefault="00867290" w:rsidP="00C4370D">
      <w:pPr>
        <w:pStyle w:val="FootnoteText"/>
        <w:rPr>
          <w:highlight w:val="yellow"/>
          <w:lang w:val="pl-PL"/>
        </w:rPr>
      </w:pPr>
      <w:r>
        <w:rPr>
          <w:rStyle w:val="FootnoteReference"/>
          <w:highlight w:val="yellow"/>
        </w:rPr>
        <w:footnoteRef/>
      </w:r>
      <w:r>
        <w:rPr>
          <w:highlight w:val="yellow"/>
        </w:rPr>
        <w:t xml:space="preserve"> Društveno-gospodarska i rodna analiza FAO-a (SEAGA) - http://www.fao.org/knowledge/goodpractices/bp-gender-equity-in-rural/bp-seaga/en/</w:t>
      </w:r>
    </w:p>
  </w:footnote>
  <w:footnote w:id="127">
    <w:p w:rsidR="00867290" w:rsidRPr="00B571DC" w:rsidRDefault="00867290" w:rsidP="00C4370D">
      <w:pPr>
        <w:pStyle w:val="FootnoteText"/>
        <w:rPr>
          <w:lang w:val="en-US"/>
        </w:rPr>
      </w:pPr>
      <w:r>
        <w:rPr>
          <w:rStyle w:val="FootnoteReference"/>
          <w:highlight w:val="yellow"/>
        </w:rPr>
        <w:footnoteRef/>
      </w:r>
      <w:r>
        <w:rPr>
          <w:highlight w:val="yellow"/>
        </w:rPr>
        <w:t xml:space="preserve"> Enrique Mendizabal: Understanding networks: The Functions of Research Policy Networks, Overseas Development Institute, London, 2006</w:t>
      </w:r>
      <w:r>
        <w:t>.</w:t>
      </w:r>
    </w:p>
  </w:footnote>
  <w:footnote w:id="128">
    <w:p w:rsidR="00867290" w:rsidRPr="00434A0A" w:rsidRDefault="00867290" w:rsidP="00C4370D">
      <w:pPr>
        <w:pStyle w:val="FootnoteText"/>
        <w:rPr>
          <w:highlight w:val="yellow"/>
        </w:rPr>
      </w:pPr>
      <w:r>
        <w:rPr>
          <w:rStyle w:val="FootnoteReference"/>
        </w:rPr>
        <w:footnoteRef/>
      </w:r>
      <w:r>
        <w:t xml:space="preserve"> </w:t>
      </w:r>
      <w:r>
        <w:rPr>
          <w:highlight w:val="yellow"/>
        </w:rPr>
        <w:t>Bauer-Wolf, S. i dr. (2008.), Erfolgreich durch Netzwerkkompetenz (Uspješno putem mrežne kompetencije), Springer-Verlag, Beč.</w:t>
      </w:r>
    </w:p>
  </w:footnote>
  <w:footnote w:id="129">
    <w:p w:rsidR="00867290" w:rsidRPr="00434A0A" w:rsidRDefault="00867290" w:rsidP="00C4370D">
      <w:pPr>
        <w:pStyle w:val="FootnoteText"/>
      </w:pPr>
      <w:r>
        <w:rPr>
          <w:rStyle w:val="FootnoteReference"/>
          <w:highlight w:val="yellow"/>
        </w:rPr>
        <w:footnoteRef/>
      </w:r>
      <w:r>
        <w:rPr>
          <w:highlight w:val="yellow"/>
        </w:rPr>
        <w:t xml:space="preserve"> Bilježenje učinaka LEADER-a i mjera poboljšanja kvalitete života u ruralnim područjima, Europska podrška za evaluaciju ruralnog razvoja, 2010.</w:t>
      </w:r>
    </w:p>
  </w:footnote>
  <w:footnote w:id="130">
    <w:p w:rsidR="00867290" w:rsidRPr="0003537C" w:rsidRDefault="00867290" w:rsidP="00D634C9">
      <w:pPr>
        <w:pStyle w:val="FootnoteText"/>
        <w:rPr>
          <w:rFonts w:asciiTheme="minorHAnsi" w:hAnsiTheme="minorHAnsi"/>
          <w:lang w:val="sk-SK"/>
        </w:rPr>
      </w:pPr>
      <w:r>
        <w:rPr>
          <w:rStyle w:val="FootnoteReference"/>
        </w:rPr>
        <w:footnoteRef/>
      </w:r>
      <w:r>
        <w:t xml:space="preserve"> </w:t>
      </w:r>
      <w:r w:rsidRPr="00C0080B">
        <w:t>Regulation (EU) No 1305/2013, Art. 54.2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Default="00867290" w:rsidP="00EE0D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Default="00867290" w:rsidP="003637C5">
    <w:pPr>
      <w:pStyle w:val="Header"/>
      <w:pBdr>
        <w:bottom w:val="none" w:sz="0" w:space="0" w:color="auto"/>
      </w:pBdr>
      <w:ind w:right="95"/>
      <w:jc w:val="right"/>
      <w:rPr>
        <w:rFonts w:cs="Arial"/>
      </w:rPr>
    </w:pPr>
    <w:r>
      <w:tab/>
      <w:t>Guidelines for the evaluation of National Rural Networks 2014-2020</w:t>
    </w:r>
  </w:p>
  <w:p w:rsidR="00867290" w:rsidRPr="007C19BE" w:rsidRDefault="00867290" w:rsidP="00F15219">
    <w:pPr>
      <w:pStyle w:val="Header"/>
      <w:pBdr>
        <w:bottom w:val="none" w:sz="0" w:space="0" w:color="auto"/>
      </w:pBdr>
      <w:rPr>
        <w:rFonts w:cs="Aria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8A403B" w:rsidRDefault="00867290" w:rsidP="00F15219">
    <w:pPr>
      <w:pStyle w:val="Header"/>
      <w:pBdr>
        <w:bottom w:val="none" w:sz="0" w:space="0" w:color="auto"/>
      </w:pBdr>
      <w:rPr>
        <w:rFonts w:cs="Arial"/>
      </w:rPr>
    </w:pPr>
    <w:r>
      <w:tab/>
      <w:t>Guidelines for the evaluation of National Rural Networks 2014-2020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2C3379" w:rsidRDefault="00867290" w:rsidP="006A75AC">
    <w:pPr>
      <w:pStyle w:val="Header"/>
      <w:pBdr>
        <w:bottom w:val="none" w:sz="0" w:space="0" w:color="auto"/>
      </w:pBdr>
      <w:tabs>
        <w:tab w:val="clear" w:pos="8618"/>
        <w:tab w:val="right" w:pos="12869"/>
      </w:tabs>
    </w:pPr>
    <w:r>
      <w:tab/>
      <w:t>Guidelines for the evaluation of National Rural Networks 2014-2020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DD4A55" w:rsidRDefault="00867290" w:rsidP="00DD4A55">
    <w:pPr>
      <w:pStyle w:val="Header"/>
      <w:pBdr>
        <w:bottom w:val="none" w:sz="0" w:space="0" w:color="auto"/>
      </w:pBdr>
      <w:tabs>
        <w:tab w:val="clear" w:pos="8618"/>
        <w:tab w:val="right" w:pos="12869"/>
      </w:tabs>
      <w:ind w:left="0"/>
      <w:rPr>
        <w:rFonts w:cs="Arial"/>
      </w:rPr>
    </w:pPr>
    <w:r>
      <w:tab/>
      <w:t>Guidelines for the evaluation of National Rural Networks 2014-2020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Default="00867290" w:rsidP="003637C5">
    <w:pPr>
      <w:pStyle w:val="Header"/>
      <w:pBdr>
        <w:bottom w:val="none" w:sz="0" w:space="0" w:color="auto"/>
      </w:pBdr>
      <w:ind w:right="-46"/>
      <w:jc w:val="right"/>
      <w:rPr>
        <w:rFonts w:cs="Arial"/>
      </w:rPr>
    </w:pPr>
    <w:r>
      <w:tab/>
      <w:t>Smjernice za procjenu Nacionalnih ruralnih mreža 2014. – 2020.</w:t>
    </w:r>
  </w:p>
  <w:p w:rsidR="00867290" w:rsidRDefault="0086729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7290" w:rsidRPr="00F93622" w:rsidRDefault="00867290" w:rsidP="00754C47">
    <w:pPr>
      <w:pStyle w:val="Header"/>
      <w:pBdr>
        <w:bottom w:val="none" w:sz="0" w:space="0" w:color="auto"/>
      </w:pBdr>
      <w:jc w:val="right"/>
    </w:pPr>
    <w:r>
      <w:tab/>
      <w:t>Smjernice za procjenu Nacionalnih ruralnih mreža 2014. – 2020.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3F32" w:rsidRPr="00150D5B" w:rsidRDefault="00D93494" w:rsidP="00EE0DAB">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73F32" w:rsidRPr="00150D5B" w:rsidRDefault="00D93494" w:rsidP="00EE0DA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CAA118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98B84A1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5E217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3B2B99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7D0CB6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FAA6385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30AB7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82A11D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B1ABBE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0BE9D0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7A2DB0"/>
    <w:multiLevelType w:val="hybridMultilevel"/>
    <w:tmpl w:val="3814AA86"/>
    <w:lvl w:ilvl="0" w:tplc="86B09552">
      <w:start w:val="1"/>
      <w:numFmt w:val="decimal"/>
      <w:pStyle w:val="HHeadingboxes"/>
      <w:suff w:val="space"/>
      <w:lvlText w:val="Box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AC8565D"/>
    <w:multiLevelType w:val="hybridMultilevel"/>
    <w:tmpl w:val="BCEAD7F8"/>
    <w:lvl w:ilvl="0" w:tplc="57FEFEFC">
      <w:start w:val="1"/>
      <w:numFmt w:val="decimal"/>
      <w:pStyle w:val="HHeadingmaps"/>
      <w:suff w:val="space"/>
      <w:lvlText w:val="Map %1."/>
      <w:lvlJc w:val="left"/>
      <w:pPr>
        <w:ind w:left="0" w:firstLine="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ED5A3D"/>
    <w:multiLevelType w:val="hybridMultilevel"/>
    <w:tmpl w:val="2AD454C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5C84A41"/>
    <w:multiLevelType w:val="multilevel"/>
    <w:tmpl w:val="B5F87352"/>
    <w:lvl w:ilvl="0">
      <w:start w:val="1"/>
      <w:numFmt w:val="decimal"/>
      <w:pStyle w:val="Heading1"/>
      <w:lvlText w:val="%1"/>
      <w:lvlJc w:val="left"/>
      <w:pPr>
        <w:tabs>
          <w:tab w:val="num" w:pos="474"/>
        </w:tabs>
        <w:ind w:left="262" w:hanging="148"/>
      </w:pPr>
      <w:rPr>
        <w:rFonts w:hint="default"/>
      </w:rPr>
    </w:lvl>
    <w:lvl w:ilvl="1">
      <w:start w:val="1"/>
      <w:numFmt w:val="decimal"/>
      <w:pStyle w:val="Heading2"/>
      <w:lvlText w:val="%1.%2"/>
      <w:lvlJc w:val="left"/>
      <w:pPr>
        <w:tabs>
          <w:tab w:val="num" w:pos="360"/>
        </w:tabs>
        <w:ind w:left="0" w:firstLine="0"/>
      </w:pPr>
      <w:rPr>
        <w:rFonts w:hint="default"/>
      </w:rPr>
    </w:lvl>
    <w:lvl w:ilvl="2">
      <w:start w:val="1"/>
      <w:numFmt w:val="decimal"/>
      <w:pStyle w:val="Heading3"/>
      <w:lvlText w:val="%1.%2.%3"/>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14" w15:restartNumberingAfterBreak="0">
    <w:nsid w:val="167B2CA7"/>
    <w:multiLevelType w:val="hybridMultilevel"/>
    <w:tmpl w:val="BE1CE284"/>
    <w:lvl w:ilvl="0" w:tplc="F61A0CBA">
      <w:start w:val="1"/>
      <w:numFmt w:val="bullet"/>
      <w:pStyle w:val="Style2"/>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1A49295C"/>
    <w:multiLevelType w:val="hybridMultilevel"/>
    <w:tmpl w:val="6B262650"/>
    <w:lvl w:ilvl="0" w:tplc="9F18E784">
      <w:start w:val="1"/>
      <w:numFmt w:val="lowerLetter"/>
      <w:pStyle w:val="H-ParagraphList"/>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A7B1418"/>
    <w:multiLevelType w:val="hybridMultilevel"/>
    <w:tmpl w:val="1920263E"/>
    <w:lvl w:ilvl="0" w:tplc="AB9CF3CC">
      <w:start w:val="1"/>
      <w:numFmt w:val="bullet"/>
      <w:lvlText w:val=""/>
      <w:lvlJc w:val="left"/>
      <w:pPr>
        <w:ind w:left="720" w:hanging="360"/>
      </w:pPr>
      <w:rPr>
        <w:rFonts w:ascii="Symbol" w:hAnsi="Symbol" w:hint="default"/>
        <w:color w:val="FFC000" w:themeColor="accent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D101BF3"/>
    <w:multiLevelType w:val="hybridMultilevel"/>
    <w:tmpl w:val="F4E8313A"/>
    <w:lvl w:ilvl="0" w:tplc="FB046D44">
      <w:start w:val="1"/>
      <w:numFmt w:val="bullet"/>
      <w:pStyle w:val="HBox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4DD6B4F"/>
    <w:multiLevelType w:val="hybridMultilevel"/>
    <w:tmpl w:val="04CEB46C"/>
    <w:lvl w:ilvl="0" w:tplc="080C0017">
      <w:start w:val="1"/>
      <w:numFmt w:val="lowerLetter"/>
      <w:lvlText w:val="%1)"/>
      <w:lvlJc w:val="left"/>
      <w:pPr>
        <w:ind w:left="1080" w:hanging="360"/>
      </w:p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19" w15:restartNumberingAfterBreak="0">
    <w:nsid w:val="27006F01"/>
    <w:multiLevelType w:val="hybridMultilevel"/>
    <w:tmpl w:val="0B7CF542"/>
    <w:lvl w:ilvl="0" w:tplc="07D6E800">
      <w:start w:val="1"/>
      <w:numFmt w:val="bullet"/>
      <w:pStyle w:val="Hlistline3"/>
      <w:lvlText w:val="o"/>
      <w:lvlJc w:val="left"/>
      <w:pPr>
        <w:ind w:left="927" w:hanging="360"/>
      </w:pPr>
      <w:rPr>
        <w:rFonts w:ascii="Courier New" w:hAnsi="Courier New" w:hint="default"/>
        <w:color w:val="F07E31"/>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B3D77C8"/>
    <w:multiLevelType w:val="hybridMultilevel"/>
    <w:tmpl w:val="5D2CCB22"/>
    <w:lvl w:ilvl="0" w:tplc="F4E23CEC">
      <w:start w:val="1"/>
      <w:numFmt w:val="bullet"/>
      <w:pStyle w:val="Normal1"/>
      <w:lvlText w:val=""/>
      <w:lvlJc w:val="left"/>
      <w:pPr>
        <w:ind w:left="720" w:hanging="360"/>
      </w:pPr>
      <w:rPr>
        <w:rFonts w:ascii="Symbol" w:hAnsi="Symbol" w:hint="default"/>
        <w:color w:val="006463"/>
        <w:sz w:val="20"/>
      </w:rPr>
    </w:lvl>
    <w:lvl w:ilvl="1" w:tplc="A0485656">
      <w:start w:val="1"/>
      <w:numFmt w:val="bullet"/>
      <w:lvlText w:val="o"/>
      <w:lvlJc w:val="left"/>
      <w:pPr>
        <w:ind w:left="1440" w:hanging="360"/>
      </w:pPr>
      <w:rPr>
        <w:rFonts w:ascii="Courier New" w:hAnsi="Courier New" w:cs="Courier New" w:hint="default"/>
      </w:rPr>
    </w:lvl>
    <w:lvl w:ilvl="2" w:tplc="9D381C60" w:tentative="1">
      <w:start w:val="1"/>
      <w:numFmt w:val="bullet"/>
      <w:lvlText w:val=""/>
      <w:lvlJc w:val="left"/>
      <w:pPr>
        <w:ind w:left="2160" w:hanging="360"/>
      </w:pPr>
      <w:rPr>
        <w:rFonts w:ascii="Wingdings" w:hAnsi="Wingdings" w:hint="default"/>
      </w:rPr>
    </w:lvl>
    <w:lvl w:ilvl="3" w:tplc="F2427A0A" w:tentative="1">
      <w:start w:val="1"/>
      <w:numFmt w:val="bullet"/>
      <w:lvlText w:val=""/>
      <w:lvlJc w:val="left"/>
      <w:pPr>
        <w:ind w:left="2880" w:hanging="360"/>
      </w:pPr>
      <w:rPr>
        <w:rFonts w:ascii="Symbol" w:hAnsi="Symbol" w:hint="default"/>
      </w:rPr>
    </w:lvl>
    <w:lvl w:ilvl="4" w:tplc="48346152" w:tentative="1">
      <w:start w:val="1"/>
      <w:numFmt w:val="bullet"/>
      <w:lvlText w:val="o"/>
      <w:lvlJc w:val="left"/>
      <w:pPr>
        <w:ind w:left="3600" w:hanging="360"/>
      </w:pPr>
      <w:rPr>
        <w:rFonts w:ascii="Courier New" w:hAnsi="Courier New" w:cs="Courier New" w:hint="default"/>
      </w:rPr>
    </w:lvl>
    <w:lvl w:ilvl="5" w:tplc="046AC282" w:tentative="1">
      <w:start w:val="1"/>
      <w:numFmt w:val="bullet"/>
      <w:lvlText w:val=""/>
      <w:lvlJc w:val="left"/>
      <w:pPr>
        <w:ind w:left="4320" w:hanging="360"/>
      </w:pPr>
      <w:rPr>
        <w:rFonts w:ascii="Wingdings" w:hAnsi="Wingdings" w:hint="default"/>
      </w:rPr>
    </w:lvl>
    <w:lvl w:ilvl="6" w:tplc="8490FEC0" w:tentative="1">
      <w:start w:val="1"/>
      <w:numFmt w:val="bullet"/>
      <w:lvlText w:val=""/>
      <w:lvlJc w:val="left"/>
      <w:pPr>
        <w:ind w:left="5040" w:hanging="360"/>
      </w:pPr>
      <w:rPr>
        <w:rFonts w:ascii="Symbol" w:hAnsi="Symbol" w:hint="default"/>
      </w:rPr>
    </w:lvl>
    <w:lvl w:ilvl="7" w:tplc="D6700596" w:tentative="1">
      <w:start w:val="1"/>
      <w:numFmt w:val="bullet"/>
      <w:lvlText w:val="o"/>
      <w:lvlJc w:val="left"/>
      <w:pPr>
        <w:ind w:left="5760" w:hanging="360"/>
      </w:pPr>
      <w:rPr>
        <w:rFonts w:ascii="Courier New" w:hAnsi="Courier New" w:cs="Courier New" w:hint="default"/>
      </w:rPr>
    </w:lvl>
    <w:lvl w:ilvl="8" w:tplc="8CBCB464" w:tentative="1">
      <w:start w:val="1"/>
      <w:numFmt w:val="bullet"/>
      <w:lvlText w:val=""/>
      <w:lvlJc w:val="left"/>
      <w:pPr>
        <w:ind w:left="6480" w:hanging="360"/>
      </w:pPr>
      <w:rPr>
        <w:rFonts w:ascii="Wingdings" w:hAnsi="Wingdings" w:hint="default"/>
      </w:rPr>
    </w:lvl>
  </w:abstractNum>
  <w:abstractNum w:abstractNumId="21" w15:restartNumberingAfterBreak="0">
    <w:nsid w:val="302835FE"/>
    <w:multiLevelType w:val="hybridMultilevel"/>
    <w:tmpl w:val="042698C6"/>
    <w:lvl w:ilvl="0" w:tplc="040C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rPr>
        <w:rFonts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2" w15:restartNumberingAfterBreak="0">
    <w:nsid w:val="310547BD"/>
    <w:multiLevelType w:val="hybridMultilevel"/>
    <w:tmpl w:val="918E6E38"/>
    <w:lvl w:ilvl="0" w:tplc="EDCC2EA4">
      <w:start w:val="1"/>
      <w:numFmt w:val="decimal"/>
      <w:pStyle w:val="HHeadingfigures"/>
      <w:suff w:val="space"/>
      <w:lvlText w:val="Figure %1."/>
      <w:lvlJc w:val="left"/>
      <w:pPr>
        <w:ind w:left="710" w:firstLine="0"/>
      </w:pPr>
      <w:rPr>
        <w:b/>
        <w:bCs w:val="0"/>
        <w:i w:val="0"/>
        <w:iCs w:val="0"/>
        <w:caps w:val="0"/>
        <w:smallCaps w:val="0"/>
        <w:strike w:val="0"/>
        <w:dstrike w:val="0"/>
        <w:noProof w:val="0"/>
        <w:vanish w:val="0"/>
        <w:color w:val="576C88" w:themeColor="text2" w:themeTint="D9"/>
        <w:spacing w:val="0"/>
        <w:kern w:val="0"/>
        <w:position w:val="0"/>
        <w:u w:val="none"/>
        <w:effect w:val="none"/>
        <w:vertAlign w:val="baseline"/>
        <w:em w:val="none"/>
        <w:specVanish w:val="0"/>
      </w:rPr>
    </w:lvl>
    <w:lvl w:ilvl="1" w:tplc="04070019" w:tentative="1">
      <w:start w:val="1"/>
      <w:numFmt w:val="lowerLetter"/>
      <w:lvlText w:val="%2."/>
      <w:lvlJc w:val="left"/>
      <w:pPr>
        <w:ind w:left="1158" w:hanging="360"/>
      </w:pPr>
    </w:lvl>
    <w:lvl w:ilvl="2" w:tplc="0407001B" w:tentative="1">
      <w:start w:val="1"/>
      <w:numFmt w:val="lowerRoman"/>
      <w:lvlText w:val="%3."/>
      <w:lvlJc w:val="right"/>
      <w:pPr>
        <w:ind w:left="1878" w:hanging="180"/>
      </w:pPr>
    </w:lvl>
    <w:lvl w:ilvl="3" w:tplc="0407000F" w:tentative="1">
      <w:start w:val="1"/>
      <w:numFmt w:val="decimal"/>
      <w:lvlText w:val="%4."/>
      <w:lvlJc w:val="left"/>
      <w:pPr>
        <w:ind w:left="2598" w:hanging="360"/>
      </w:pPr>
    </w:lvl>
    <w:lvl w:ilvl="4" w:tplc="04070019" w:tentative="1">
      <w:start w:val="1"/>
      <w:numFmt w:val="lowerLetter"/>
      <w:lvlText w:val="%5."/>
      <w:lvlJc w:val="left"/>
      <w:pPr>
        <w:ind w:left="3318" w:hanging="360"/>
      </w:pPr>
    </w:lvl>
    <w:lvl w:ilvl="5" w:tplc="0407001B" w:tentative="1">
      <w:start w:val="1"/>
      <w:numFmt w:val="lowerRoman"/>
      <w:lvlText w:val="%6."/>
      <w:lvlJc w:val="right"/>
      <w:pPr>
        <w:ind w:left="4038" w:hanging="180"/>
      </w:pPr>
    </w:lvl>
    <w:lvl w:ilvl="6" w:tplc="0407000F" w:tentative="1">
      <w:start w:val="1"/>
      <w:numFmt w:val="decimal"/>
      <w:lvlText w:val="%7."/>
      <w:lvlJc w:val="left"/>
      <w:pPr>
        <w:ind w:left="4758" w:hanging="360"/>
      </w:pPr>
    </w:lvl>
    <w:lvl w:ilvl="7" w:tplc="04070019" w:tentative="1">
      <w:start w:val="1"/>
      <w:numFmt w:val="lowerLetter"/>
      <w:lvlText w:val="%8."/>
      <w:lvlJc w:val="left"/>
      <w:pPr>
        <w:ind w:left="5478" w:hanging="360"/>
      </w:pPr>
    </w:lvl>
    <w:lvl w:ilvl="8" w:tplc="0407001B" w:tentative="1">
      <w:start w:val="1"/>
      <w:numFmt w:val="lowerRoman"/>
      <w:lvlText w:val="%9."/>
      <w:lvlJc w:val="right"/>
      <w:pPr>
        <w:ind w:left="6198" w:hanging="180"/>
      </w:pPr>
    </w:lvl>
  </w:abstractNum>
  <w:abstractNum w:abstractNumId="23" w15:restartNumberingAfterBreak="0">
    <w:nsid w:val="3BBC6932"/>
    <w:multiLevelType w:val="hybridMultilevel"/>
    <w:tmpl w:val="E0D005D6"/>
    <w:lvl w:ilvl="0" w:tplc="322C1F12">
      <w:start w:val="1"/>
      <w:numFmt w:val="bullet"/>
      <w:pStyle w:val="Hlistbullet"/>
      <w:lvlText w:val=""/>
      <w:lvlJc w:val="left"/>
      <w:pPr>
        <w:ind w:left="644" w:hanging="360"/>
      </w:pPr>
      <w:rPr>
        <w:rFonts w:ascii="Symbol" w:hAnsi="Symbol" w:hint="default"/>
        <w:color w:val="57825E"/>
      </w:rPr>
    </w:lvl>
    <w:lvl w:ilvl="1" w:tplc="E1BEDB28">
      <w:start w:val="1"/>
      <w:numFmt w:val="bullet"/>
      <w:lvlText w:val=""/>
      <w:lvlJc w:val="left"/>
      <w:pPr>
        <w:tabs>
          <w:tab w:val="num" w:pos="1440"/>
        </w:tabs>
        <w:ind w:left="1440" w:hanging="360"/>
      </w:pPr>
      <w:rPr>
        <w:rFonts w:ascii="Symbol" w:hAnsi="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CD4440A"/>
    <w:multiLevelType w:val="hybridMultilevel"/>
    <w:tmpl w:val="DDCA52D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3A72027"/>
    <w:multiLevelType w:val="hybridMultilevel"/>
    <w:tmpl w:val="23B2B4A4"/>
    <w:lvl w:ilvl="0" w:tplc="8EEC6D12">
      <w:start w:val="1"/>
      <w:numFmt w:val="decimal"/>
      <w:pStyle w:val="HHeadingtables"/>
      <w:suff w:val="space"/>
      <w:lvlText w:val="Table %1."/>
      <w:lvlJc w:val="left"/>
      <w:pPr>
        <w:ind w:left="993" w:firstLine="0"/>
      </w:pPr>
      <w:rPr>
        <w:b/>
        <w:bCs w:val="0"/>
        <w:i w:val="0"/>
        <w:iCs w:val="0"/>
        <w:caps w:val="0"/>
        <w:smallCaps w:val="0"/>
        <w:strike w:val="0"/>
        <w:dstrike w:val="0"/>
        <w:noProof w:val="0"/>
        <w:vanish w:val="0"/>
        <w:color w:val="576C88" w:themeColor="text2" w:themeTint="D9"/>
        <w:spacing w:val="0"/>
        <w:kern w:val="0"/>
        <w:position w:val="0"/>
        <w:sz w:val="16"/>
        <w:szCs w:val="16"/>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47F07D58"/>
    <w:multiLevelType w:val="hybridMultilevel"/>
    <w:tmpl w:val="38C2E6A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47F8294A"/>
    <w:multiLevelType w:val="hybridMultilevel"/>
    <w:tmpl w:val="BEB23BCA"/>
    <w:lvl w:ilvl="0" w:tplc="FCE8E9D0">
      <w:start w:val="1"/>
      <w:numFmt w:val="lowerLetter"/>
      <w:pStyle w:val="Hlistabc"/>
      <w:lvlText w:val="%1)"/>
      <w:lvlJc w:val="left"/>
      <w:pPr>
        <w:tabs>
          <w:tab w:val="num" w:pos="644"/>
        </w:tabs>
        <w:ind w:left="567" w:hanging="283"/>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8" w15:restartNumberingAfterBreak="0">
    <w:nsid w:val="4EA5566D"/>
    <w:multiLevelType w:val="hybridMultilevel"/>
    <w:tmpl w:val="972044A2"/>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58F0FE8"/>
    <w:multiLevelType w:val="multilevel"/>
    <w:tmpl w:val="A29E2408"/>
    <w:lvl w:ilvl="0">
      <w:start w:val="1"/>
      <w:numFmt w:val="decimal"/>
      <w:pStyle w:val="H-Heading1"/>
      <w:lvlText w:val="%1."/>
      <w:lvlJc w:val="left"/>
      <w:pPr>
        <w:ind w:left="644" w:hanging="360"/>
      </w:pPr>
      <w:rPr>
        <w:rFonts w:hint="default"/>
      </w:rPr>
    </w:lvl>
    <w:lvl w:ilvl="1">
      <w:start w:val="1"/>
      <w:numFmt w:val="decimal"/>
      <w:isLgl/>
      <w:lvlText w:val="%1.%2"/>
      <w:lvlJc w:val="left"/>
      <w:pPr>
        <w:ind w:left="1088" w:hanging="804"/>
      </w:pPr>
      <w:rPr>
        <w:rFonts w:hint="default"/>
      </w:rPr>
    </w:lvl>
    <w:lvl w:ilvl="2">
      <w:start w:val="1"/>
      <w:numFmt w:val="decimal"/>
      <w:pStyle w:val="H-Heading3"/>
      <w:isLgl/>
      <w:lvlText w:val="%1.%2.%3"/>
      <w:lvlJc w:val="left"/>
      <w:pPr>
        <w:ind w:left="434" w:hanging="510"/>
      </w:pPr>
      <w:rPr>
        <w:rFonts w:hint="default"/>
      </w:rPr>
    </w:lvl>
    <w:lvl w:ilvl="3">
      <w:start w:val="1"/>
      <w:numFmt w:val="decimal"/>
      <w:isLgl/>
      <w:lvlText w:val="%1.%2.%3.%4"/>
      <w:lvlJc w:val="left"/>
      <w:pPr>
        <w:ind w:left="1364" w:hanging="1080"/>
      </w:pPr>
      <w:rPr>
        <w:rFonts w:hint="default"/>
      </w:rPr>
    </w:lvl>
    <w:lvl w:ilvl="4">
      <w:start w:val="1"/>
      <w:numFmt w:val="decimal"/>
      <w:isLgl/>
      <w:lvlText w:val="%1.%2.%3.%4.%5"/>
      <w:lvlJc w:val="left"/>
      <w:pPr>
        <w:ind w:left="1724" w:hanging="1440"/>
      </w:pPr>
      <w:rPr>
        <w:rFonts w:hint="default"/>
      </w:rPr>
    </w:lvl>
    <w:lvl w:ilvl="5">
      <w:start w:val="1"/>
      <w:numFmt w:val="decimal"/>
      <w:isLgl/>
      <w:lvlText w:val="%1.%2.%3.%4.%5.%6"/>
      <w:lvlJc w:val="left"/>
      <w:pPr>
        <w:ind w:left="2084" w:hanging="1800"/>
      </w:pPr>
      <w:rPr>
        <w:rFonts w:hint="default"/>
      </w:rPr>
    </w:lvl>
    <w:lvl w:ilvl="6">
      <w:start w:val="1"/>
      <w:numFmt w:val="decimal"/>
      <w:isLgl/>
      <w:lvlText w:val="%1.%2.%3.%4.%5.%6.%7"/>
      <w:lvlJc w:val="left"/>
      <w:pPr>
        <w:ind w:left="2084" w:hanging="1800"/>
      </w:pPr>
      <w:rPr>
        <w:rFonts w:hint="default"/>
      </w:rPr>
    </w:lvl>
    <w:lvl w:ilvl="7">
      <w:start w:val="1"/>
      <w:numFmt w:val="decimal"/>
      <w:isLgl/>
      <w:lvlText w:val="%1.%2.%3.%4.%5.%6.%7.%8"/>
      <w:lvlJc w:val="left"/>
      <w:pPr>
        <w:ind w:left="2444" w:hanging="2160"/>
      </w:pPr>
      <w:rPr>
        <w:rFonts w:hint="default"/>
      </w:rPr>
    </w:lvl>
    <w:lvl w:ilvl="8">
      <w:start w:val="1"/>
      <w:numFmt w:val="decimal"/>
      <w:isLgl/>
      <w:lvlText w:val="%1.%2.%3.%4.%5.%6.%7.%8.%9"/>
      <w:lvlJc w:val="left"/>
      <w:pPr>
        <w:ind w:left="2804" w:hanging="2520"/>
      </w:pPr>
      <w:rPr>
        <w:rFonts w:hint="default"/>
      </w:rPr>
    </w:lvl>
  </w:abstractNum>
  <w:abstractNum w:abstractNumId="30" w15:restartNumberingAfterBreak="0">
    <w:nsid w:val="5C6E36F1"/>
    <w:multiLevelType w:val="multilevel"/>
    <w:tmpl w:val="3E245F3E"/>
    <w:lvl w:ilvl="0">
      <w:start w:val="1"/>
      <w:numFmt w:val="decimal"/>
      <w:lvlText w:val="%1."/>
      <w:lvlJc w:val="left"/>
      <w:pPr>
        <w:ind w:left="360" w:hanging="360"/>
      </w:pPr>
      <w:rPr>
        <w:rFonts w:hint="default"/>
      </w:rPr>
    </w:lvl>
    <w:lvl w:ilvl="1">
      <w:start w:val="1"/>
      <w:numFmt w:val="decimal"/>
      <w:pStyle w:val="H-Heading2"/>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5E966D9A"/>
    <w:multiLevelType w:val="hybridMultilevel"/>
    <w:tmpl w:val="C9A2DA18"/>
    <w:lvl w:ilvl="0" w:tplc="52E8049A">
      <w:start w:val="1"/>
      <w:numFmt w:val="lowerLetter"/>
      <w:lvlText w:val="%1."/>
      <w:lvlJc w:val="left"/>
      <w:pPr>
        <w:ind w:left="1080" w:hanging="360"/>
      </w:pPr>
      <w:rPr>
        <w:rFonts w:hint="default"/>
        <w:color w:val="576C88" w:themeColor="text2" w:themeTint="D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5F0B65C8"/>
    <w:multiLevelType w:val="hybridMultilevel"/>
    <w:tmpl w:val="D07CA386"/>
    <w:lvl w:ilvl="0" w:tplc="E1BEDB28">
      <w:start w:val="1"/>
      <w:numFmt w:val="bullet"/>
      <w:lvlText w:val=""/>
      <w:lvlJc w:val="left"/>
      <w:pPr>
        <w:ind w:left="644" w:hanging="360"/>
      </w:pPr>
      <w:rPr>
        <w:rFonts w:ascii="Symbol" w:hAnsi="Symbol" w:hint="default"/>
        <w:color w:val="57825E"/>
      </w:rPr>
    </w:lvl>
    <w:lvl w:ilvl="1" w:tplc="080C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D29039E"/>
    <w:multiLevelType w:val="hybridMultilevel"/>
    <w:tmpl w:val="7F30DA44"/>
    <w:lvl w:ilvl="0" w:tplc="0409000F">
      <w:start w:val="1"/>
      <w:numFmt w:val="decimal"/>
      <w:lvlText w:val="%1."/>
      <w:lvlJc w:val="left"/>
      <w:pPr>
        <w:ind w:left="720" w:hanging="360"/>
      </w:pPr>
      <w:rPr>
        <w:rFonts w:hint="default"/>
      </w:rPr>
    </w:lvl>
    <w:lvl w:ilvl="1" w:tplc="F4EA5ED6">
      <w:start w:val="1"/>
      <w:numFmt w:val="lowerLetter"/>
      <w:lvlText w:val="%2."/>
      <w:lvlJc w:val="left"/>
      <w:pPr>
        <w:ind w:left="1440" w:hanging="360"/>
      </w:pPr>
      <w:rPr>
        <w:color w:val="576C88" w:themeColor="text2" w:themeTint="D9"/>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95D33D3"/>
    <w:multiLevelType w:val="multilevel"/>
    <w:tmpl w:val="3196CAE8"/>
    <w:lvl w:ilvl="0">
      <w:start w:val="1"/>
      <w:numFmt w:val="decimal"/>
      <w:pStyle w:val="HHeading1"/>
      <w:lvlText w:val="%1"/>
      <w:lvlJc w:val="left"/>
      <w:pPr>
        <w:tabs>
          <w:tab w:val="num" w:pos="474"/>
        </w:tabs>
        <w:ind w:left="262" w:hanging="148"/>
      </w:pPr>
      <w:rPr>
        <w:rFonts w:hint="default"/>
      </w:rPr>
    </w:lvl>
    <w:lvl w:ilvl="1">
      <w:start w:val="1"/>
      <w:numFmt w:val="decimal"/>
      <w:pStyle w:val="HHeading2"/>
      <w:lvlText w:val="%1.%2"/>
      <w:lvlJc w:val="left"/>
      <w:pPr>
        <w:tabs>
          <w:tab w:val="num" w:pos="360"/>
        </w:tabs>
        <w:ind w:left="0" w:firstLine="0"/>
      </w:pPr>
      <w:rPr>
        <w:rFonts w:hint="default"/>
      </w:rPr>
    </w:lvl>
    <w:lvl w:ilvl="2">
      <w:start w:val="1"/>
      <w:numFmt w:val="decimal"/>
      <w:pStyle w:val="HHeading3"/>
      <w:lvlText w:val="%1.%2.%3"/>
      <w:lvlJc w:val="left"/>
      <w:pPr>
        <w:tabs>
          <w:tab w:val="num" w:pos="720"/>
        </w:tabs>
        <w:ind w:left="0" w:firstLine="0"/>
      </w:pPr>
      <w:rPr>
        <w:rFonts w:hint="default"/>
      </w:rPr>
    </w:lvl>
    <w:lvl w:ilvl="3">
      <w:start w:val="1"/>
      <w:numFmt w:val="decimal"/>
      <w:pStyle w:val="HHeading4"/>
      <w:lvlText w:val="%1.%2.%3.%4"/>
      <w:lvlJc w:val="left"/>
      <w:pPr>
        <w:tabs>
          <w:tab w:val="num" w:pos="1080"/>
        </w:tabs>
        <w:ind w:left="0" w:firstLine="0"/>
      </w:pPr>
      <w:rPr>
        <w:rFonts w:hint="default"/>
      </w:rPr>
    </w:lvl>
    <w:lvl w:ilvl="4">
      <w:start w:val="1"/>
      <w:numFmt w:val="decimal"/>
      <w:lvlText w:val="%1.%2.%3.%4.%5"/>
      <w:lvlJc w:val="left"/>
      <w:pPr>
        <w:tabs>
          <w:tab w:val="num" w:pos="838"/>
        </w:tabs>
        <w:ind w:left="838" w:hanging="1008"/>
      </w:pPr>
      <w:rPr>
        <w:rFonts w:hint="default"/>
      </w:rPr>
    </w:lvl>
    <w:lvl w:ilvl="5">
      <w:start w:val="1"/>
      <w:numFmt w:val="decimal"/>
      <w:lvlText w:val="%1.%2.%3.%4.%5.%6"/>
      <w:lvlJc w:val="left"/>
      <w:pPr>
        <w:tabs>
          <w:tab w:val="num" w:pos="982"/>
        </w:tabs>
        <w:ind w:left="982" w:hanging="1152"/>
      </w:pPr>
      <w:rPr>
        <w:rFonts w:hint="default"/>
      </w:rPr>
    </w:lvl>
    <w:lvl w:ilvl="6">
      <w:start w:val="1"/>
      <w:numFmt w:val="decimal"/>
      <w:lvlText w:val="%1.%2.%3.%4.%5.%6.%7"/>
      <w:lvlJc w:val="left"/>
      <w:pPr>
        <w:tabs>
          <w:tab w:val="num" w:pos="1126"/>
        </w:tabs>
        <w:ind w:left="1126" w:hanging="1296"/>
      </w:pPr>
      <w:rPr>
        <w:rFonts w:hint="default"/>
      </w:rPr>
    </w:lvl>
    <w:lvl w:ilvl="7">
      <w:start w:val="1"/>
      <w:numFmt w:val="decimal"/>
      <w:lvlText w:val="%1.%2.%3.%4.%5.%6.%7.%8"/>
      <w:lvlJc w:val="left"/>
      <w:pPr>
        <w:tabs>
          <w:tab w:val="num" w:pos="1270"/>
        </w:tabs>
        <w:ind w:left="1270" w:hanging="1440"/>
      </w:pPr>
      <w:rPr>
        <w:rFonts w:hint="default"/>
      </w:rPr>
    </w:lvl>
    <w:lvl w:ilvl="8">
      <w:start w:val="1"/>
      <w:numFmt w:val="decimal"/>
      <w:lvlText w:val="%1.%2.%3.%4.%5.%6.%7.%8.%9"/>
      <w:lvlJc w:val="left"/>
      <w:pPr>
        <w:tabs>
          <w:tab w:val="num" w:pos="1414"/>
        </w:tabs>
        <w:ind w:left="1414" w:hanging="1584"/>
      </w:pPr>
      <w:rPr>
        <w:rFonts w:hint="default"/>
      </w:rPr>
    </w:lvl>
  </w:abstractNum>
  <w:abstractNum w:abstractNumId="35" w15:restartNumberingAfterBreak="0">
    <w:nsid w:val="7E752836"/>
    <w:multiLevelType w:val="hybridMultilevel"/>
    <w:tmpl w:val="FB2C5A82"/>
    <w:lvl w:ilvl="0" w:tplc="8890A148">
      <w:start w:val="1"/>
      <w:numFmt w:val="bullet"/>
      <w:pStyle w:val="Htablebullet"/>
      <w:lvlText w:val=""/>
      <w:lvlJc w:val="left"/>
      <w:pPr>
        <w:ind w:left="501" w:hanging="360"/>
      </w:pPr>
      <w:rPr>
        <w:rFonts w:ascii="Symbol" w:hAnsi="Symbol" w:hint="default"/>
        <w:color w:val="57825E"/>
      </w:rPr>
    </w:lvl>
    <w:lvl w:ilvl="1" w:tplc="04070003">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3"/>
  </w:num>
  <w:num w:numId="2">
    <w:abstractNumId w:val="23"/>
  </w:num>
  <w:num w:numId="3">
    <w:abstractNumId w:val="27"/>
  </w:num>
  <w:num w:numId="4">
    <w:abstractNumId w:val="19"/>
  </w:num>
  <w:num w:numId="5">
    <w:abstractNumId w:val="35"/>
  </w:num>
  <w:num w:numId="6">
    <w:abstractNumId w:val="34"/>
  </w:num>
  <w:num w:numId="7">
    <w:abstractNumId w:val="25"/>
  </w:num>
  <w:num w:numId="8">
    <w:abstractNumId w:val="22"/>
  </w:num>
  <w:num w:numId="9">
    <w:abstractNumId w:val="11"/>
  </w:num>
  <w:num w:numId="10">
    <w:abstractNumId w:val="10"/>
  </w:num>
  <w:num w:numId="11">
    <w:abstractNumId w:val="17"/>
  </w:num>
  <w:num w:numId="12">
    <w:abstractNumId w:val="14"/>
  </w:num>
  <w:num w:numId="13">
    <w:abstractNumId w:val="21"/>
  </w:num>
  <w:num w:numId="14">
    <w:abstractNumId w:val="24"/>
  </w:num>
  <w:num w:numId="15">
    <w:abstractNumId w:val="16"/>
  </w:num>
  <w:num w:numId="16">
    <w:abstractNumId w:val="32"/>
  </w:num>
  <w:num w:numId="17">
    <w:abstractNumId w:val="26"/>
  </w:num>
  <w:num w:numId="18">
    <w:abstractNumId w:val="28"/>
  </w:num>
  <w:num w:numId="19">
    <w:abstractNumId w:val="27"/>
    <w:lvlOverride w:ilvl="0">
      <w:startOverride w:val="1"/>
    </w:lvlOverride>
  </w:num>
  <w:num w:numId="20">
    <w:abstractNumId w:val="20"/>
  </w:num>
  <w:num w:numId="21">
    <w:abstractNumId w:val="15"/>
  </w:num>
  <w:num w:numId="22">
    <w:abstractNumId w:val="30"/>
  </w:num>
  <w:num w:numId="23">
    <w:abstractNumId w:val="29"/>
  </w:num>
  <w:num w:numId="24">
    <w:abstractNumId w:val="27"/>
    <w:lvlOverride w:ilvl="0">
      <w:startOverride w:val="1"/>
    </w:lvlOverride>
  </w:num>
  <w:num w:numId="25">
    <w:abstractNumId w:val="12"/>
  </w:num>
  <w:num w:numId="26">
    <w:abstractNumId w:val="33"/>
  </w:num>
  <w:num w:numId="27">
    <w:abstractNumId w:val="3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 w:numId="3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7290"/>
    <w:rsid w:val="00387226"/>
    <w:rsid w:val="007B323F"/>
    <w:rsid w:val="007F4DD3"/>
    <w:rsid w:val="00866B4D"/>
    <w:rsid w:val="00867290"/>
    <w:rsid w:val="008D05D4"/>
    <w:rsid w:val="00D85FF6"/>
    <w:rsid w:val="00D934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479F39-D65F-4CCF-81C3-E8AFF1C569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67290"/>
    <w:pPr>
      <w:keepNext/>
      <w:framePr w:hSpace="142" w:vSpace="142" w:wrap="notBeside" w:vAnchor="page" w:hAnchor="margin" w:y="1532"/>
      <w:numPr>
        <w:numId w:val="1"/>
      </w:numPr>
      <w:pBdr>
        <w:left w:val="single" w:sz="48" w:space="8" w:color="33CCCC"/>
      </w:pBdr>
      <w:tabs>
        <w:tab w:val="clear" w:pos="474"/>
        <w:tab w:val="left" w:pos="227"/>
      </w:tabs>
      <w:suppressAutoHyphens/>
      <w:spacing w:before="60" w:after="20" w:line="240" w:lineRule="auto"/>
      <w:ind w:left="227" w:hanging="227"/>
      <w:outlineLvl w:val="0"/>
    </w:pPr>
    <w:rPr>
      <w:rFonts w:ascii="Arial" w:eastAsia="Times New Roman" w:hAnsi="Arial" w:cs="Arial"/>
      <w:b/>
      <w:bCs/>
      <w:kern w:val="32"/>
      <w:sz w:val="24"/>
      <w:szCs w:val="32"/>
      <w:lang w:val="hr-HR" w:eastAsia="hr-HR" w:bidi="hr-HR"/>
    </w:rPr>
  </w:style>
  <w:style w:type="paragraph" w:styleId="Heading2">
    <w:name w:val="heading 2"/>
    <w:basedOn w:val="Normal"/>
    <w:next w:val="Normal"/>
    <w:link w:val="Heading2Char"/>
    <w:uiPriority w:val="9"/>
    <w:qFormat/>
    <w:rsid w:val="00867290"/>
    <w:pPr>
      <w:keepNext/>
      <w:numPr>
        <w:ilvl w:val="1"/>
        <w:numId w:val="1"/>
      </w:numPr>
      <w:tabs>
        <w:tab w:val="clear" w:pos="360"/>
        <w:tab w:val="left" w:pos="454"/>
      </w:tabs>
      <w:suppressAutoHyphens/>
      <w:spacing w:before="240" w:after="140" w:line="260" w:lineRule="exact"/>
      <w:ind w:left="454" w:hanging="454"/>
      <w:outlineLvl w:val="1"/>
    </w:pPr>
    <w:rPr>
      <w:rFonts w:ascii="Arial" w:eastAsia="Times New Roman" w:hAnsi="Arial" w:cs="Arial"/>
      <w:b/>
      <w:bCs/>
      <w:iCs/>
      <w:szCs w:val="28"/>
      <w:lang w:val="hr-HR" w:eastAsia="hr-HR" w:bidi="hr-HR"/>
    </w:rPr>
  </w:style>
  <w:style w:type="paragraph" w:styleId="Heading3">
    <w:name w:val="heading 3"/>
    <w:basedOn w:val="Normal"/>
    <w:next w:val="Normal"/>
    <w:link w:val="Heading3Char"/>
    <w:uiPriority w:val="9"/>
    <w:qFormat/>
    <w:rsid w:val="00867290"/>
    <w:pPr>
      <w:keepNext/>
      <w:numPr>
        <w:ilvl w:val="2"/>
        <w:numId w:val="1"/>
      </w:numPr>
      <w:tabs>
        <w:tab w:val="clear" w:pos="720"/>
        <w:tab w:val="left" w:pos="567"/>
      </w:tabs>
      <w:suppressAutoHyphens/>
      <w:spacing w:before="240" w:after="140" w:line="240" w:lineRule="exact"/>
      <w:ind w:left="567" w:hanging="567"/>
      <w:outlineLvl w:val="2"/>
    </w:pPr>
    <w:rPr>
      <w:rFonts w:ascii="Arial" w:eastAsia="Times New Roman" w:hAnsi="Arial" w:cs="Arial"/>
      <w:b/>
      <w:bCs/>
      <w:color w:val="5F5F5F"/>
      <w:sz w:val="20"/>
      <w:szCs w:val="26"/>
      <w:lang w:val="hr-HR" w:eastAsia="hr-HR" w:bidi="hr-HR"/>
    </w:rPr>
  </w:style>
  <w:style w:type="paragraph" w:styleId="Heading4">
    <w:name w:val="heading 4"/>
    <w:aliases w:val="Heading 4 Char1,Título 4 Car,Heading 4 Char1 Car,no vale 2,no vale 2 Car,Überschrift 4 Zchn,Nadpis 4 Char Zchn,Nadpis 4 Char1 Char Zchn,Nadpis 4 Char Char Char Zchn,Heading 4 Char2 Char Char Char Zchn"/>
    <w:next w:val="Normal"/>
    <w:link w:val="Heading4Char"/>
    <w:uiPriority w:val="99"/>
    <w:qFormat/>
    <w:rsid w:val="00867290"/>
    <w:pPr>
      <w:keepNext/>
      <w:numPr>
        <w:ilvl w:val="3"/>
        <w:numId w:val="1"/>
      </w:numPr>
      <w:tabs>
        <w:tab w:val="clear" w:pos="1080"/>
        <w:tab w:val="left" w:pos="680"/>
      </w:tabs>
      <w:suppressAutoHyphens/>
      <w:spacing w:before="240" w:after="0" w:line="240" w:lineRule="auto"/>
      <w:ind w:left="680" w:hanging="680"/>
      <w:outlineLvl w:val="3"/>
    </w:pPr>
    <w:rPr>
      <w:rFonts w:ascii="Arial" w:eastAsia="Times New Roman" w:hAnsi="Arial" w:cs="Times New Roman"/>
      <w:b/>
      <w:bCs/>
      <w:color w:val="5F5F5F"/>
      <w:sz w:val="18"/>
      <w:szCs w:val="28"/>
      <w:lang w:val="hr-HR" w:eastAsia="hr-HR" w:bidi="hr-HR"/>
    </w:rPr>
  </w:style>
  <w:style w:type="paragraph" w:styleId="Heading5">
    <w:name w:val="heading 5"/>
    <w:basedOn w:val="Normal"/>
    <w:next w:val="Normal"/>
    <w:link w:val="Heading5Char"/>
    <w:uiPriority w:val="9"/>
    <w:qFormat/>
    <w:rsid w:val="00867290"/>
    <w:pPr>
      <w:suppressAutoHyphens/>
      <w:spacing w:before="200" w:after="100" w:line="220" w:lineRule="atLeast"/>
      <w:outlineLvl w:val="4"/>
    </w:pPr>
    <w:rPr>
      <w:rFonts w:ascii="Arial" w:eastAsia="Times New Roman" w:hAnsi="Arial" w:cs="Times New Roman"/>
      <w:b/>
      <w:bCs/>
      <w:iCs/>
      <w:color w:val="5F5F5F"/>
      <w:sz w:val="18"/>
      <w:szCs w:val="26"/>
      <w:lang w:val="hr-HR" w:eastAsia="hr-HR" w:bidi="hr-HR"/>
    </w:rPr>
  </w:style>
  <w:style w:type="paragraph" w:styleId="Heading6">
    <w:name w:val="heading 6"/>
    <w:basedOn w:val="Normal"/>
    <w:next w:val="Normal"/>
    <w:link w:val="Heading6Char"/>
    <w:uiPriority w:val="9"/>
    <w:qFormat/>
    <w:rsid w:val="00867290"/>
    <w:pPr>
      <w:suppressAutoHyphens/>
      <w:spacing w:before="140" w:after="140" w:line="200" w:lineRule="exact"/>
      <w:outlineLvl w:val="5"/>
    </w:pPr>
    <w:rPr>
      <w:rFonts w:ascii="Arial" w:eastAsia="Times New Roman" w:hAnsi="Arial" w:cs="Times New Roman"/>
      <w:b/>
      <w:bCs/>
      <w:color w:val="576C88" w:themeColor="text2" w:themeTint="D9"/>
      <w:sz w:val="20"/>
      <w:lang w:val="hr-HR" w:eastAsia="hr-HR" w:bidi="hr-HR"/>
    </w:rPr>
  </w:style>
  <w:style w:type="paragraph" w:styleId="Heading7">
    <w:name w:val="heading 7"/>
    <w:basedOn w:val="Normal"/>
    <w:next w:val="Normal"/>
    <w:link w:val="Heading7Char"/>
    <w:uiPriority w:val="9"/>
    <w:qFormat/>
    <w:rsid w:val="00867290"/>
    <w:pPr>
      <w:suppressAutoHyphens/>
      <w:spacing w:before="140" w:after="140" w:line="200" w:lineRule="exact"/>
      <w:outlineLvl w:val="6"/>
    </w:pPr>
    <w:rPr>
      <w:rFonts w:ascii="Arial" w:eastAsia="Times New Roman" w:hAnsi="Arial" w:cs="Times New Roman"/>
      <w:b/>
      <w:color w:val="808080"/>
      <w:sz w:val="16"/>
      <w:szCs w:val="24"/>
      <w:lang w:val="hr-HR" w:eastAsia="hr-HR" w:bidi="hr-HR"/>
    </w:rPr>
  </w:style>
  <w:style w:type="paragraph" w:styleId="Heading8">
    <w:name w:val="heading 8"/>
    <w:basedOn w:val="Normal"/>
    <w:next w:val="Normal"/>
    <w:link w:val="Heading8Char"/>
    <w:uiPriority w:val="9"/>
    <w:qFormat/>
    <w:rsid w:val="00867290"/>
    <w:pPr>
      <w:suppressAutoHyphens/>
      <w:spacing w:before="140" w:after="140" w:line="200" w:lineRule="exact"/>
      <w:outlineLvl w:val="7"/>
    </w:pPr>
    <w:rPr>
      <w:rFonts w:ascii="Arial" w:eastAsia="Times New Roman" w:hAnsi="Arial" w:cs="Times New Roman"/>
      <w:b/>
      <w:iCs/>
      <w:color w:val="808080"/>
      <w:sz w:val="16"/>
      <w:szCs w:val="24"/>
      <w:lang w:val="hr-HR" w:eastAsia="hr-HR" w:bidi="hr-HR"/>
    </w:rPr>
  </w:style>
  <w:style w:type="paragraph" w:styleId="Heading9">
    <w:name w:val="heading 9"/>
    <w:basedOn w:val="Heading1"/>
    <w:next w:val="Normal"/>
    <w:link w:val="Heading9Char"/>
    <w:qFormat/>
    <w:rsid w:val="00867290"/>
    <w:pPr>
      <w:framePr w:wrap="notBeside"/>
      <w:numPr>
        <w:numId w:val="0"/>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67290"/>
    <w:rPr>
      <w:rFonts w:ascii="Arial" w:eastAsia="Times New Roman" w:hAnsi="Arial" w:cs="Arial"/>
      <w:b/>
      <w:bCs/>
      <w:kern w:val="32"/>
      <w:sz w:val="24"/>
      <w:szCs w:val="32"/>
      <w:lang w:val="hr-HR" w:eastAsia="hr-HR" w:bidi="hr-HR"/>
    </w:rPr>
  </w:style>
  <w:style w:type="character" w:customStyle="1" w:styleId="Heading2Char">
    <w:name w:val="Heading 2 Char"/>
    <w:basedOn w:val="DefaultParagraphFont"/>
    <w:link w:val="Heading2"/>
    <w:uiPriority w:val="9"/>
    <w:rsid w:val="00867290"/>
    <w:rPr>
      <w:rFonts w:ascii="Arial" w:eastAsia="Times New Roman" w:hAnsi="Arial" w:cs="Arial"/>
      <w:b/>
      <w:bCs/>
      <w:iCs/>
      <w:szCs w:val="28"/>
      <w:lang w:val="hr-HR" w:eastAsia="hr-HR" w:bidi="hr-HR"/>
    </w:rPr>
  </w:style>
  <w:style w:type="character" w:customStyle="1" w:styleId="Heading3Char">
    <w:name w:val="Heading 3 Char"/>
    <w:basedOn w:val="DefaultParagraphFont"/>
    <w:link w:val="Heading3"/>
    <w:uiPriority w:val="9"/>
    <w:rsid w:val="00867290"/>
    <w:rPr>
      <w:rFonts w:ascii="Arial" w:eastAsia="Times New Roman" w:hAnsi="Arial" w:cs="Arial"/>
      <w:b/>
      <w:bCs/>
      <w:color w:val="5F5F5F"/>
      <w:sz w:val="20"/>
      <w:szCs w:val="26"/>
      <w:lang w:val="hr-HR" w:eastAsia="hr-HR" w:bidi="hr-HR"/>
    </w:rPr>
  </w:style>
  <w:style w:type="character" w:customStyle="1" w:styleId="Heading4Char">
    <w:name w:val="Heading 4 Char"/>
    <w:aliases w:val="Heading 4 Char1 Char,Título 4 Car Char,Heading 4 Char1 Car Char,no vale 2 Char,no vale 2 Car Char,Überschrift 4 Zchn Char,Nadpis 4 Char Zchn Char,Nadpis 4 Char1 Char Zchn Char,Nadpis 4 Char Char Char Zchn Char"/>
    <w:basedOn w:val="DefaultParagraphFont"/>
    <w:link w:val="Heading4"/>
    <w:uiPriority w:val="99"/>
    <w:rsid w:val="00867290"/>
    <w:rPr>
      <w:rFonts w:ascii="Arial" w:eastAsia="Times New Roman" w:hAnsi="Arial" w:cs="Times New Roman"/>
      <w:b/>
      <w:bCs/>
      <w:color w:val="5F5F5F"/>
      <w:sz w:val="18"/>
      <w:szCs w:val="28"/>
      <w:lang w:val="hr-HR" w:eastAsia="hr-HR" w:bidi="hr-HR"/>
    </w:rPr>
  </w:style>
  <w:style w:type="character" w:customStyle="1" w:styleId="Heading5Char">
    <w:name w:val="Heading 5 Char"/>
    <w:basedOn w:val="DefaultParagraphFont"/>
    <w:link w:val="Heading5"/>
    <w:rsid w:val="00867290"/>
    <w:rPr>
      <w:rFonts w:ascii="Arial" w:eastAsia="Times New Roman" w:hAnsi="Arial" w:cs="Times New Roman"/>
      <w:b/>
      <w:bCs/>
      <w:iCs/>
      <w:color w:val="5F5F5F"/>
      <w:sz w:val="18"/>
      <w:szCs w:val="26"/>
      <w:lang w:val="hr-HR" w:eastAsia="hr-HR" w:bidi="hr-HR"/>
    </w:rPr>
  </w:style>
  <w:style w:type="character" w:customStyle="1" w:styleId="Heading6Char">
    <w:name w:val="Heading 6 Char"/>
    <w:basedOn w:val="DefaultParagraphFont"/>
    <w:link w:val="Heading6"/>
    <w:uiPriority w:val="9"/>
    <w:rsid w:val="00867290"/>
    <w:rPr>
      <w:rFonts w:ascii="Arial" w:eastAsia="Times New Roman" w:hAnsi="Arial" w:cs="Times New Roman"/>
      <w:b/>
      <w:bCs/>
      <w:color w:val="576C88" w:themeColor="text2" w:themeTint="D9"/>
      <w:sz w:val="20"/>
      <w:lang w:val="hr-HR" w:eastAsia="hr-HR" w:bidi="hr-HR"/>
    </w:rPr>
  </w:style>
  <w:style w:type="character" w:customStyle="1" w:styleId="Heading7Char">
    <w:name w:val="Heading 7 Char"/>
    <w:basedOn w:val="DefaultParagraphFont"/>
    <w:link w:val="Heading7"/>
    <w:rsid w:val="00867290"/>
    <w:rPr>
      <w:rFonts w:ascii="Arial" w:eastAsia="Times New Roman" w:hAnsi="Arial" w:cs="Times New Roman"/>
      <w:b/>
      <w:color w:val="808080"/>
      <w:sz w:val="16"/>
      <w:szCs w:val="24"/>
      <w:lang w:val="hr-HR" w:eastAsia="hr-HR" w:bidi="hr-HR"/>
    </w:rPr>
  </w:style>
  <w:style w:type="character" w:customStyle="1" w:styleId="Heading8Char">
    <w:name w:val="Heading 8 Char"/>
    <w:basedOn w:val="DefaultParagraphFont"/>
    <w:link w:val="Heading8"/>
    <w:rsid w:val="00867290"/>
    <w:rPr>
      <w:rFonts w:ascii="Arial" w:eastAsia="Times New Roman" w:hAnsi="Arial" w:cs="Times New Roman"/>
      <w:b/>
      <w:iCs/>
      <w:color w:val="808080"/>
      <w:sz w:val="16"/>
      <w:szCs w:val="24"/>
      <w:lang w:val="hr-HR" w:eastAsia="hr-HR" w:bidi="hr-HR"/>
    </w:rPr>
  </w:style>
  <w:style w:type="character" w:customStyle="1" w:styleId="Heading9Char">
    <w:name w:val="Heading 9 Char"/>
    <w:basedOn w:val="DefaultParagraphFont"/>
    <w:link w:val="Heading9"/>
    <w:rsid w:val="00867290"/>
    <w:rPr>
      <w:rFonts w:ascii="Arial" w:eastAsia="Times New Roman" w:hAnsi="Arial" w:cs="Arial"/>
      <w:b/>
      <w:bCs/>
      <w:kern w:val="32"/>
      <w:sz w:val="24"/>
      <w:lang w:val="hr-HR" w:eastAsia="hr-HR" w:bidi="hr-HR"/>
    </w:rPr>
  </w:style>
  <w:style w:type="paragraph" w:styleId="TOC2">
    <w:name w:val="toc 2"/>
    <w:next w:val="Normal"/>
    <w:uiPriority w:val="39"/>
    <w:rsid w:val="00867290"/>
    <w:pPr>
      <w:tabs>
        <w:tab w:val="left" w:pos="454"/>
        <w:tab w:val="right" w:leader="dot" w:pos="8742"/>
      </w:tabs>
      <w:suppressAutoHyphens/>
      <w:spacing w:before="60" w:after="0" w:line="280" w:lineRule="exact"/>
      <w:ind w:left="454" w:right="284" w:hanging="454"/>
    </w:pPr>
    <w:rPr>
      <w:rFonts w:ascii="Arial" w:eastAsia="Times New Roman" w:hAnsi="Arial" w:cs="Times New Roman"/>
      <w:noProof/>
      <w:color w:val="262626"/>
      <w:sz w:val="20"/>
      <w:lang w:val="hr-HR" w:eastAsia="hr-HR" w:bidi="hr-HR"/>
    </w:rPr>
  </w:style>
  <w:style w:type="paragraph" w:styleId="Header">
    <w:name w:val="header"/>
    <w:link w:val="HeaderChar"/>
    <w:uiPriority w:val="99"/>
    <w:rsid w:val="00867290"/>
    <w:pPr>
      <w:pBdr>
        <w:bottom w:val="single" w:sz="4" w:space="4" w:color="auto"/>
      </w:pBdr>
      <w:tabs>
        <w:tab w:val="right" w:pos="8618"/>
      </w:tabs>
      <w:spacing w:before="60" w:after="0" w:line="240" w:lineRule="auto"/>
      <w:ind w:left="-907" w:right="-907"/>
    </w:pPr>
    <w:rPr>
      <w:rFonts w:ascii="Arial" w:eastAsia="Times New Roman" w:hAnsi="Arial" w:cs="Times New Roman"/>
      <w:color w:val="F07E31"/>
      <w:sz w:val="16"/>
      <w:szCs w:val="20"/>
      <w:lang w:val="hr-HR" w:eastAsia="hr-HR" w:bidi="hr-HR"/>
    </w:rPr>
  </w:style>
  <w:style w:type="character" w:customStyle="1" w:styleId="HeaderChar">
    <w:name w:val="Header Char"/>
    <w:basedOn w:val="DefaultParagraphFont"/>
    <w:link w:val="Header"/>
    <w:uiPriority w:val="99"/>
    <w:rsid w:val="00867290"/>
    <w:rPr>
      <w:rFonts w:ascii="Arial" w:eastAsia="Times New Roman" w:hAnsi="Arial" w:cs="Times New Roman"/>
      <w:color w:val="F07E31"/>
      <w:sz w:val="16"/>
      <w:szCs w:val="20"/>
      <w:lang w:val="hr-HR" w:eastAsia="hr-HR" w:bidi="hr-HR"/>
    </w:rPr>
  </w:style>
  <w:style w:type="paragraph" w:styleId="Footer">
    <w:name w:val="footer"/>
    <w:link w:val="FooterChar"/>
    <w:uiPriority w:val="99"/>
    <w:rsid w:val="00867290"/>
    <w:pPr>
      <w:tabs>
        <w:tab w:val="right" w:pos="8618"/>
      </w:tabs>
      <w:spacing w:after="0" w:line="240" w:lineRule="auto"/>
      <w:ind w:left="-907" w:right="-907"/>
      <w:jc w:val="center"/>
    </w:pPr>
    <w:rPr>
      <w:rFonts w:ascii="Helvetica LT Pro Light" w:eastAsia="Times New Roman" w:hAnsi="Helvetica LT Pro Light" w:cs="Times New Roman"/>
      <w:color w:val="808080"/>
      <w:sz w:val="18"/>
      <w:szCs w:val="20"/>
      <w:lang w:val="hr-HR" w:eastAsia="hr-HR" w:bidi="hr-HR"/>
    </w:rPr>
  </w:style>
  <w:style w:type="character" w:customStyle="1" w:styleId="FooterChar">
    <w:name w:val="Footer Char"/>
    <w:basedOn w:val="DefaultParagraphFont"/>
    <w:link w:val="Footer"/>
    <w:uiPriority w:val="99"/>
    <w:rsid w:val="00867290"/>
    <w:rPr>
      <w:rFonts w:ascii="Helvetica LT Pro Light" w:eastAsia="Times New Roman" w:hAnsi="Helvetica LT Pro Light" w:cs="Times New Roman"/>
      <w:color w:val="808080"/>
      <w:sz w:val="18"/>
      <w:szCs w:val="20"/>
      <w:lang w:val="hr-HR" w:eastAsia="hr-HR" w:bidi="hr-HR"/>
    </w:rPr>
  </w:style>
  <w:style w:type="character" w:styleId="PageNumber">
    <w:name w:val="page number"/>
    <w:basedOn w:val="DefaultParagraphFont"/>
    <w:semiHidden/>
    <w:rsid w:val="00867290"/>
    <w:rPr>
      <w:rFonts w:ascii="Arial" w:hAnsi="Arial"/>
      <w:color w:val="808080"/>
      <w:sz w:val="18"/>
    </w:rPr>
  </w:style>
  <w:style w:type="paragraph" w:customStyle="1" w:styleId="HTitle2">
    <w:name w:val="H_Title2"/>
    <w:basedOn w:val="Normal"/>
    <w:qFormat/>
    <w:rsid w:val="00867290"/>
    <w:pPr>
      <w:autoSpaceDE w:val="0"/>
      <w:autoSpaceDN w:val="0"/>
      <w:adjustRightInd w:val="0"/>
      <w:spacing w:after="120" w:line="280" w:lineRule="atLeast"/>
    </w:pPr>
    <w:rPr>
      <w:rFonts w:ascii="Helvetica LT Pro Light" w:eastAsia="Times New Roman" w:hAnsi="Helvetica LT Pro Light" w:cs="Times New Roman"/>
      <w:b/>
      <w:smallCaps/>
      <w:color w:val="6F6F6F"/>
      <w:sz w:val="44"/>
      <w:szCs w:val="52"/>
      <w:lang w:val="hr-HR" w:eastAsia="hr-HR" w:bidi="hr-HR"/>
    </w:rPr>
  </w:style>
  <w:style w:type="paragraph" w:customStyle="1" w:styleId="Hlistbullet">
    <w:name w:val="H_list_bullet"/>
    <w:rsid w:val="00867290"/>
    <w:pPr>
      <w:numPr>
        <w:numId w:val="2"/>
      </w:numPr>
      <w:spacing w:before="60" w:after="0" w:line="220" w:lineRule="atLeast"/>
      <w:jc w:val="both"/>
    </w:pPr>
    <w:rPr>
      <w:rFonts w:ascii="Arial" w:eastAsia="Times New Roman" w:hAnsi="Arial" w:cs="Arial"/>
      <w:color w:val="576C88" w:themeColor="text2" w:themeTint="D9"/>
      <w:sz w:val="20"/>
      <w:szCs w:val="20"/>
      <w:lang w:val="hr-HR" w:eastAsia="hr-HR" w:bidi="hr-HR"/>
    </w:rPr>
  </w:style>
  <w:style w:type="paragraph" w:customStyle="1" w:styleId="Hlistbullet2">
    <w:name w:val="H_list_bullet2"/>
    <w:basedOn w:val="Hlistbullet"/>
    <w:next w:val="HStandard"/>
    <w:rsid w:val="00867290"/>
    <w:pPr>
      <w:spacing w:after="140"/>
    </w:pPr>
  </w:style>
  <w:style w:type="paragraph" w:customStyle="1" w:styleId="Hlistabc">
    <w:name w:val="H_list_abc"/>
    <w:rsid w:val="00867290"/>
    <w:pPr>
      <w:numPr>
        <w:numId w:val="3"/>
      </w:numPr>
      <w:tabs>
        <w:tab w:val="clear" w:pos="644"/>
        <w:tab w:val="left" w:pos="567"/>
      </w:tabs>
      <w:spacing w:before="60" w:after="0" w:line="220" w:lineRule="atLeast"/>
      <w:ind w:left="568" w:hanging="284"/>
      <w:jc w:val="both"/>
    </w:pPr>
    <w:rPr>
      <w:rFonts w:ascii="Arial" w:eastAsia="Times New Roman" w:hAnsi="Arial" w:cs="Times New Roman"/>
      <w:color w:val="262626"/>
      <w:sz w:val="20"/>
      <w:szCs w:val="20"/>
      <w:lang w:val="hr-HR" w:eastAsia="hr-HR" w:bidi="hr-HR"/>
    </w:rPr>
  </w:style>
  <w:style w:type="paragraph" w:customStyle="1" w:styleId="Hlistabc2">
    <w:name w:val="H_list_abc_2"/>
    <w:basedOn w:val="Hlistabc"/>
    <w:next w:val="HStandard"/>
    <w:rsid w:val="00867290"/>
    <w:pPr>
      <w:spacing w:after="140"/>
    </w:pPr>
    <w:rPr>
      <w:color w:val="576C88" w:themeColor="text2" w:themeTint="D9"/>
    </w:rPr>
  </w:style>
  <w:style w:type="paragraph" w:customStyle="1" w:styleId="HTitle1">
    <w:name w:val="H_Title1"/>
    <w:basedOn w:val="Normal"/>
    <w:rsid w:val="00867290"/>
    <w:pPr>
      <w:autoSpaceDE w:val="0"/>
      <w:autoSpaceDN w:val="0"/>
      <w:adjustRightInd w:val="0"/>
      <w:spacing w:after="120" w:line="280" w:lineRule="atLeast"/>
      <w:jc w:val="both"/>
    </w:pPr>
    <w:rPr>
      <w:rFonts w:ascii="Helvetica LT Pro" w:eastAsia="Times New Roman" w:hAnsi="Helvetica LT Pro" w:cs="Times New Roman"/>
      <w:b/>
      <w:bCs/>
      <w:caps/>
      <w:color w:val="F07E31"/>
      <w:sz w:val="44"/>
      <w:szCs w:val="32"/>
      <w:lang w:val="hr-HR" w:eastAsia="hr-HR" w:bidi="hr-HR"/>
    </w:rPr>
  </w:style>
  <w:style w:type="paragraph" w:customStyle="1" w:styleId="Autor">
    <w:name w:val="Autor"/>
    <w:basedOn w:val="Normal"/>
    <w:rsid w:val="00867290"/>
    <w:pPr>
      <w:spacing w:after="0" w:line="280" w:lineRule="exact"/>
    </w:pPr>
    <w:rPr>
      <w:rFonts w:ascii="Arial" w:eastAsia="Times New Roman" w:hAnsi="Arial" w:cs="Times New Roman"/>
      <w:sz w:val="20"/>
      <w:szCs w:val="24"/>
      <w:lang w:val="hr-HR" w:eastAsia="hr-HR" w:bidi="hr-HR"/>
    </w:rPr>
  </w:style>
  <w:style w:type="paragraph" w:customStyle="1" w:styleId="HTitle3">
    <w:name w:val="H_Title3"/>
    <w:basedOn w:val="Autor"/>
    <w:rsid w:val="00867290"/>
    <w:rPr>
      <w:rFonts w:ascii="Helvetica LT Pro Light" w:hAnsi="Helvetica LT Pro Light"/>
      <w:b/>
      <w:color w:val="6F6F6F"/>
      <w:sz w:val="28"/>
    </w:rPr>
  </w:style>
  <w:style w:type="paragraph" w:styleId="TOC1">
    <w:name w:val="toc 1"/>
    <w:next w:val="Normal"/>
    <w:uiPriority w:val="39"/>
    <w:rsid w:val="00867290"/>
    <w:pPr>
      <w:tabs>
        <w:tab w:val="left" w:pos="454"/>
        <w:tab w:val="right" w:leader="dot" w:pos="8742"/>
      </w:tabs>
      <w:suppressAutoHyphens/>
      <w:spacing w:before="200" w:after="0" w:line="300" w:lineRule="exact"/>
      <w:ind w:left="454" w:right="284" w:hanging="454"/>
    </w:pPr>
    <w:rPr>
      <w:rFonts w:ascii="Arial" w:eastAsia="Times New Roman" w:hAnsi="Arial" w:cs="Times New Roman"/>
      <w:noProof/>
      <w:color w:val="44546A" w:themeColor="text2"/>
      <w:sz w:val="20"/>
      <w:szCs w:val="20"/>
      <w:lang w:val="hr-HR" w:eastAsia="hr-HR" w:bidi="hr-HR"/>
    </w:rPr>
  </w:style>
  <w:style w:type="paragraph" w:styleId="TOC3">
    <w:name w:val="toc 3"/>
    <w:next w:val="Normal"/>
    <w:uiPriority w:val="39"/>
    <w:rsid w:val="00867290"/>
    <w:pPr>
      <w:tabs>
        <w:tab w:val="left" w:pos="1021"/>
        <w:tab w:val="right" w:leader="dot" w:pos="8742"/>
      </w:tabs>
      <w:suppressAutoHyphens/>
      <w:spacing w:before="60" w:after="0" w:line="280" w:lineRule="exact"/>
      <w:ind w:left="1021" w:right="284" w:hanging="567"/>
    </w:pPr>
    <w:rPr>
      <w:rFonts w:ascii="Arial" w:eastAsia="Times New Roman" w:hAnsi="Arial" w:cs="Times New Roman"/>
      <w:noProof/>
      <w:color w:val="262626"/>
      <w:sz w:val="18"/>
      <w:szCs w:val="20"/>
      <w:lang w:val="hr-HR" w:eastAsia="hr-HR" w:bidi="hr-HR"/>
    </w:rPr>
  </w:style>
  <w:style w:type="paragraph" w:customStyle="1" w:styleId="Fuzeilequerformat">
    <w:name w:val="Fußzeile_querformat"/>
    <w:basedOn w:val="Footer"/>
    <w:rsid w:val="00867290"/>
    <w:pPr>
      <w:tabs>
        <w:tab w:val="clear" w:pos="8618"/>
        <w:tab w:val="right" w:pos="12871"/>
      </w:tabs>
    </w:pPr>
  </w:style>
  <w:style w:type="paragraph" w:styleId="TableofFigures">
    <w:name w:val="table of figures"/>
    <w:next w:val="HStandard"/>
    <w:uiPriority w:val="99"/>
    <w:rsid w:val="00867290"/>
    <w:pPr>
      <w:tabs>
        <w:tab w:val="left" w:pos="851"/>
        <w:tab w:val="right" w:leader="dot" w:pos="7711"/>
      </w:tabs>
      <w:suppressAutoHyphens/>
      <w:spacing w:before="60" w:after="0" w:line="280" w:lineRule="exact"/>
      <w:ind w:left="851" w:right="284" w:hanging="851"/>
    </w:pPr>
    <w:rPr>
      <w:rFonts w:ascii="Arial" w:eastAsia="Times New Roman" w:hAnsi="Arial" w:cs="Times New Roman"/>
      <w:sz w:val="20"/>
      <w:szCs w:val="20"/>
      <w:lang w:val="hr-HR" w:eastAsia="hr-HR" w:bidi="hr-HR"/>
    </w:rPr>
  </w:style>
  <w:style w:type="paragraph" w:customStyle="1" w:styleId="Hlistline3">
    <w:name w:val="H_list_line3"/>
    <w:rsid w:val="00867290"/>
    <w:pPr>
      <w:numPr>
        <w:numId w:val="4"/>
      </w:numPr>
      <w:tabs>
        <w:tab w:val="left" w:pos="851"/>
      </w:tabs>
      <w:spacing w:before="60" w:after="0" w:line="220" w:lineRule="atLeast"/>
      <w:ind w:left="851" w:hanging="284"/>
    </w:pPr>
    <w:rPr>
      <w:rFonts w:ascii="Arial" w:eastAsia="Times New Roman" w:hAnsi="Arial" w:cs="Times New Roman"/>
      <w:color w:val="262626"/>
      <w:sz w:val="20"/>
      <w:szCs w:val="20"/>
      <w:lang w:val="hr-HR" w:eastAsia="hr-HR" w:bidi="hr-HR"/>
    </w:rPr>
  </w:style>
  <w:style w:type="paragraph" w:customStyle="1" w:styleId="Hlistline4">
    <w:name w:val="H_list_line4"/>
    <w:basedOn w:val="Hlistline3"/>
    <w:next w:val="HStandard"/>
    <w:rsid w:val="00867290"/>
    <w:pPr>
      <w:spacing w:after="140"/>
    </w:pPr>
  </w:style>
  <w:style w:type="paragraph" w:customStyle="1" w:styleId="HSource">
    <w:name w:val="H_Source"/>
    <w:next w:val="HStandard"/>
    <w:rsid w:val="00867290"/>
    <w:pPr>
      <w:suppressAutoHyphens/>
      <w:spacing w:before="60" w:after="140" w:line="240" w:lineRule="auto"/>
      <w:jc w:val="center"/>
    </w:pPr>
    <w:rPr>
      <w:rFonts w:ascii="Arial" w:eastAsia="Times New Roman" w:hAnsi="Arial" w:cs="Times New Roman"/>
      <w:color w:val="576C88" w:themeColor="text2" w:themeTint="D9"/>
      <w:sz w:val="16"/>
      <w:szCs w:val="20"/>
      <w:lang w:val="hr-HR" w:eastAsia="hr-HR" w:bidi="hr-HR"/>
    </w:rPr>
  </w:style>
  <w:style w:type="paragraph" w:customStyle="1" w:styleId="Htableleft">
    <w:name w:val="H_table_left"/>
    <w:rsid w:val="00867290"/>
    <w:pPr>
      <w:suppressAutoHyphens/>
      <w:spacing w:before="40" w:after="40" w:line="240" w:lineRule="auto"/>
    </w:pPr>
    <w:rPr>
      <w:rFonts w:ascii="Arial" w:eastAsia="Times New Roman" w:hAnsi="Arial" w:cs="Times New Roman"/>
      <w:color w:val="262626"/>
      <w:sz w:val="18"/>
      <w:szCs w:val="20"/>
      <w:lang w:val="hr-HR" w:eastAsia="hr-HR" w:bidi="hr-HR"/>
    </w:rPr>
  </w:style>
  <w:style w:type="paragraph" w:customStyle="1" w:styleId="Htablecentered">
    <w:name w:val="H_table_centered"/>
    <w:basedOn w:val="Htableleft"/>
    <w:rsid w:val="00867290"/>
    <w:pPr>
      <w:jc w:val="center"/>
    </w:pPr>
  </w:style>
  <w:style w:type="paragraph" w:customStyle="1" w:styleId="Htableleftbolt">
    <w:name w:val="H_table_left_bolt"/>
    <w:basedOn w:val="Htableleft"/>
    <w:rsid w:val="00867290"/>
    <w:rPr>
      <w:b/>
      <w:color w:val="576C88" w:themeColor="text2" w:themeTint="D9"/>
      <w:sz w:val="16"/>
    </w:rPr>
  </w:style>
  <w:style w:type="paragraph" w:customStyle="1" w:styleId="Htablecenteredbolt">
    <w:name w:val="H_table_centered_bolt"/>
    <w:basedOn w:val="Htablecentered"/>
    <w:rsid w:val="00867290"/>
    <w:rPr>
      <w:b/>
      <w:color w:val="FFFFFF" w:themeColor="background1"/>
    </w:rPr>
  </w:style>
  <w:style w:type="paragraph" w:styleId="FootnoteText">
    <w:name w:val="footnote text"/>
    <w:aliases w:val="Fußnote,Geneva 9,Font: Geneva 9,Boston 10,f,ft,Footnote Text Char Char Char Char Char Char Char Char Char Char,Footnote Text Char Char,Footnote Text Char Char Char Char Char Char Char Char Char Char Char Char,Footnote Text2"/>
    <w:link w:val="FootnoteTextChar1"/>
    <w:qFormat/>
    <w:rsid w:val="00867290"/>
    <w:pPr>
      <w:tabs>
        <w:tab w:val="left" w:pos="170"/>
      </w:tabs>
      <w:spacing w:after="0" w:line="180" w:lineRule="exact"/>
      <w:ind w:left="170" w:hanging="170"/>
    </w:pPr>
    <w:rPr>
      <w:rFonts w:ascii="Arial" w:eastAsia="Times New Roman" w:hAnsi="Arial" w:cs="Times New Roman"/>
      <w:color w:val="808080"/>
      <w:sz w:val="16"/>
      <w:szCs w:val="20"/>
      <w:lang w:val="hr-HR" w:eastAsia="hr-HR" w:bidi="hr-HR"/>
    </w:rPr>
  </w:style>
  <w:style w:type="character" w:customStyle="1" w:styleId="FootnoteTextChar">
    <w:name w:val="Footnote Text Char"/>
    <w:basedOn w:val="DefaultParagraphFont"/>
    <w:uiPriority w:val="99"/>
    <w:rsid w:val="00867290"/>
    <w:rPr>
      <w:sz w:val="20"/>
      <w:szCs w:val="20"/>
    </w:rPr>
  </w:style>
  <w:style w:type="paragraph" w:customStyle="1" w:styleId="Htablebullet">
    <w:name w:val="H_table_bullet"/>
    <w:basedOn w:val="Htableleft"/>
    <w:rsid w:val="00867290"/>
    <w:pPr>
      <w:numPr>
        <w:numId w:val="5"/>
      </w:numPr>
      <w:tabs>
        <w:tab w:val="left" w:pos="142"/>
      </w:tabs>
    </w:pPr>
    <w:rPr>
      <w:rFonts w:cs="Arial"/>
      <w:color w:val="262626" w:themeColor="text1" w:themeTint="D9"/>
    </w:rPr>
  </w:style>
  <w:style w:type="character" w:styleId="FootnoteReference">
    <w:name w:val="footnote reference"/>
    <w:aliases w:val="Überschrift 4 Zchn1,Título 4 Car Zchn,Heading 4 Char1 Car Zchn,no vale 2 Zchn,no vale 2 Car Zchn,Footnote symbol,ftref,Footnote Refernece,Footnote Reference Number,BVI fnr,Fußnotenzeichen_Raxen,Heading 4 Char2 Char"/>
    <w:basedOn w:val="DefaultParagraphFont"/>
    <w:rsid w:val="00867290"/>
    <w:rPr>
      <w:rFonts w:ascii="Arial" w:hAnsi="Arial"/>
      <w:i/>
      <w:dstrike w:val="0"/>
      <w:color w:val="000000" w:themeColor="text1"/>
      <w:position w:val="6"/>
      <w:sz w:val="12"/>
      <w:vertAlign w:val="baseline"/>
    </w:rPr>
  </w:style>
  <w:style w:type="paragraph" w:customStyle="1" w:styleId="HContent">
    <w:name w:val="H_Content"/>
    <w:basedOn w:val="Heading1"/>
    <w:next w:val="HStandard"/>
    <w:rsid w:val="00867290"/>
    <w:pPr>
      <w:pageBreakBefore/>
      <w:framePr w:hSpace="0" w:vSpace="0" w:wrap="auto" w:vAnchor="margin" w:hAnchor="text" w:yAlign="inline"/>
      <w:numPr>
        <w:numId w:val="0"/>
      </w:numPr>
      <w:pBdr>
        <w:left w:val="none" w:sz="0" w:space="0" w:color="auto"/>
      </w:pBdr>
      <w:spacing w:before="360" w:after="360" w:line="280" w:lineRule="atLeast"/>
    </w:pPr>
    <w:rPr>
      <w:rFonts w:ascii="Helvetica LT Pro" w:hAnsi="Helvetica LT Pro"/>
      <w:caps/>
      <w:color w:val="F07E31"/>
      <w:sz w:val="20"/>
    </w:rPr>
  </w:style>
  <w:style w:type="paragraph" w:customStyle="1" w:styleId="HHeading1">
    <w:name w:val="H_Heading 1"/>
    <w:next w:val="HStandard"/>
    <w:rsid w:val="00867290"/>
    <w:pPr>
      <w:keepNext/>
      <w:pageBreakBefore/>
      <w:numPr>
        <w:numId w:val="6"/>
      </w:numPr>
      <w:tabs>
        <w:tab w:val="clear" w:pos="474"/>
        <w:tab w:val="left" w:pos="510"/>
      </w:tabs>
      <w:spacing w:before="360" w:after="360" w:line="280" w:lineRule="atLeast"/>
      <w:ind w:left="510" w:hanging="510"/>
      <w:outlineLvl w:val="0"/>
    </w:pPr>
    <w:rPr>
      <w:rFonts w:ascii="Arial" w:eastAsia="Times New Roman" w:hAnsi="Arial" w:cs="Times New Roman"/>
      <w:b/>
      <w:caps/>
      <w:color w:val="F07E31"/>
      <w:sz w:val="20"/>
      <w:szCs w:val="20"/>
      <w:lang w:val="hr-HR" w:eastAsia="hr-HR" w:bidi="hr-HR"/>
    </w:rPr>
  </w:style>
  <w:style w:type="paragraph" w:customStyle="1" w:styleId="HHeading2">
    <w:name w:val="H_Heading 2"/>
    <w:next w:val="HStandard"/>
    <w:rsid w:val="00867290"/>
    <w:pPr>
      <w:keepNext/>
      <w:keepLines/>
      <w:numPr>
        <w:ilvl w:val="1"/>
        <w:numId w:val="6"/>
      </w:numPr>
      <w:tabs>
        <w:tab w:val="left" w:pos="510"/>
      </w:tabs>
      <w:spacing w:before="240" w:after="140" w:line="260" w:lineRule="exact"/>
      <w:outlineLvl w:val="1"/>
    </w:pPr>
    <w:rPr>
      <w:rFonts w:ascii="Arial" w:eastAsia="Times New Roman" w:hAnsi="Arial" w:cs="Arial"/>
      <w:b/>
      <w:color w:val="6F6F6F"/>
      <w:sz w:val="20"/>
      <w:szCs w:val="20"/>
      <w:lang w:val="hr-HR" w:eastAsia="hr-HR" w:bidi="hr-HR"/>
    </w:rPr>
  </w:style>
  <w:style w:type="paragraph" w:customStyle="1" w:styleId="HHeading3">
    <w:name w:val="H_Heading 3"/>
    <w:next w:val="HStandard"/>
    <w:rsid w:val="00867290"/>
    <w:pPr>
      <w:keepNext/>
      <w:keepLines/>
      <w:numPr>
        <w:ilvl w:val="2"/>
        <w:numId w:val="6"/>
      </w:numPr>
      <w:tabs>
        <w:tab w:val="left" w:pos="567"/>
      </w:tabs>
      <w:spacing w:before="240" w:after="140" w:line="240" w:lineRule="exact"/>
      <w:outlineLvl w:val="2"/>
    </w:pPr>
    <w:rPr>
      <w:rFonts w:ascii="Arial" w:eastAsia="Times New Roman" w:hAnsi="Arial" w:cs="Arial"/>
      <w:color w:val="F07E31"/>
      <w:sz w:val="20"/>
      <w:szCs w:val="20"/>
      <w:lang w:val="hr-HR" w:eastAsia="hr-HR" w:bidi="hr-HR"/>
    </w:rPr>
  </w:style>
  <w:style w:type="paragraph" w:customStyle="1" w:styleId="HHeading4">
    <w:name w:val="H_Heading 4"/>
    <w:next w:val="HStandard"/>
    <w:rsid w:val="00867290"/>
    <w:pPr>
      <w:keepNext/>
      <w:keepLines/>
      <w:numPr>
        <w:ilvl w:val="3"/>
        <w:numId w:val="6"/>
      </w:numPr>
      <w:tabs>
        <w:tab w:val="clear" w:pos="1080"/>
        <w:tab w:val="left" w:pos="680"/>
      </w:tabs>
      <w:spacing w:before="240" w:after="140" w:line="240" w:lineRule="auto"/>
      <w:ind w:left="680" w:hanging="680"/>
      <w:outlineLvl w:val="3"/>
    </w:pPr>
    <w:rPr>
      <w:rFonts w:ascii="Helvetica LT Pro" w:eastAsia="Times New Roman" w:hAnsi="Helvetica LT Pro" w:cs="Times New Roman"/>
      <w:b/>
      <w:color w:val="5F5F5F"/>
      <w:sz w:val="18"/>
      <w:szCs w:val="20"/>
      <w:lang w:val="hr-HR" w:eastAsia="hr-HR" w:bidi="hr-HR"/>
    </w:rPr>
  </w:style>
  <w:style w:type="paragraph" w:customStyle="1" w:styleId="HHeading5">
    <w:name w:val="H_Heading 5"/>
    <w:next w:val="HStandard"/>
    <w:rsid w:val="00867290"/>
    <w:pPr>
      <w:keepNext/>
      <w:keepLines/>
      <w:spacing w:before="200" w:after="100" w:line="240" w:lineRule="auto"/>
      <w:outlineLvl w:val="4"/>
    </w:pPr>
    <w:rPr>
      <w:rFonts w:ascii="Arial" w:eastAsia="Times New Roman" w:hAnsi="Arial" w:cs="Arial"/>
      <w:b/>
      <w:color w:val="57825E"/>
      <w:sz w:val="20"/>
      <w:szCs w:val="20"/>
      <w:lang w:val="hr-HR" w:eastAsia="hr-HR" w:bidi="hr-HR"/>
    </w:rPr>
  </w:style>
  <w:style w:type="paragraph" w:customStyle="1" w:styleId="HHeading9">
    <w:name w:val="H_Heading 9"/>
    <w:basedOn w:val="HHeading1"/>
    <w:next w:val="HStandard"/>
    <w:rsid w:val="00867290"/>
    <w:pPr>
      <w:numPr>
        <w:numId w:val="0"/>
      </w:numPr>
    </w:pPr>
    <w:rPr>
      <w:noProof/>
    </w:rPr>
  </w:style>
  <w:style w:type="character" w:styleId="Hyperlink">
    <w:name w:val="Hyperlink"/>
    <w:basedOn w:val="DefaultParagraphFont"/>
    <w:uiPriority w:val="99"/>
    <w:rsid w:val="00867290"/>
    <w:rPr>
      <w:color w:val="E7E6E6" w:themeColor="background2"/>
      <w:u w:val="single"/>
    </w:rPr>
  </w:style>
  <w:style w:type="paragraph" w:customStyle="1" w:styleId="HStandard">
    <w:name w:val="H_Standard"/>
    <w:rsid w:val="00867290"/>
    <w:pPr>
      <w:spacing w:after="120" w:line="280" w:lineRule="atLeast"/>
      <w:jc w:val="both"/>
    </w:pPr>
    <w:rPr>
      <w:rFonts w:ascii="Arial" w:eastAsia="Times New Roman" w:hAnsi="Arial" w:cs="Arial"/>
      <w:color w:val="576C88" w:themeColor="text2" w:themeTint="D9"/>
      <w:sz w:val="20"/>
      <w:szCs w:val="20"/>
      <w:lang w:val="hr-HR" w:eastAsia="hr-HR" w:bidi="hr-HR"/>
    </w:rPr>
  </w:style>
  <w:style w:type="paragraph" w:styleId="DocumentMap">
    <w:name w:val="Document Map"/>
    <w:basedOn w:val="Normal"/>
    <w:link w:val="DocumentMapChar"/>
    <w:semiHidden/>
    <w:rsid w:val="00867290"/>
    <w:pPr>
      <w:shd w:val="clear" w:color="auto" w:fill="000080"/>
      <w:spacing w:before="60" w:after="140" w:line="220" w:lineRule="atLeast"/>
      <w:jc w:val="both"/>
    </w:pPr>
    <w:rPr>
      <w:rFonts w:ascii="Tahoma" w:eastAsia="Times New Roman" w:hAnsi="Tahoma" w:cs="Tahoma"/>
      <w:sz w:val="18"/>
      <w:szCs w:val="24"/>
      <w:lang w:val="hr-HR" w:eastAsia="hr-HR" w:bidi="hr-HR"/>
    </w:rPr>
  </w:style>
  <w:style w:type="character" w:customStyle="1" w:styleId="DocumentMapChar">
    <w:name w:val="Document Map Char"/>
    <w:basedOn w:val="DefaultParagraphFont"/>
    <w:link w:val="DocumentMap"/>
    <w:semiHidden/>
    <w:rsid w:val="00867290"/>
    <w:rPr>
      <w:rFonts w:ascii="Tahoma" w:eastAsia="Times New Roman" w:hAnsi="Tahoma" w:cs="Tahoma"/>
      <w:sz w:val="18"/>
      <w:szCs w:val="24"/>
      <w:shd w:val="clear" w:color="auto" w:fill="000080"/>
      <w:lang w:val="hr-HR" w:eastAsia="hr-HR" w:bidi="hr-HR"/>
    </w:rPr>
  </w:style>
  <w:style w:type="paragraph" w:styleId="BalloonText">
    <w:name w:val="Balloon Text"/>
    <w:basedOn w:val="Normal"/>
    <w:link w:val="BalloonTextChar"/>
    <w:uiPriority w:val="99"/>
    <w:semiHidden/>
    <w:unhideWhenUsed/>
    <w:rsid w:val="00867290"/>
    <w:pPr>
      <w:spacing w:after="0" w:line="240" w:lineRule="auto"/>
      <w:jc w:val="both"/>
    </w:pPr>
    <w:rPr>
      <w:rFonts w:ascii="Tahoma" w:eastAsia="Times New Roman" w:hAnsi="Tahoma" w:cs="Tahoma"/>
      <w:sz w:val="16"/>
      <w:szCs w:val="16"/>
      <w:lang w:val="hr-HR" w:eastAsia="hr-HR" w:bidi="hr-HR"/>
    </w:rPr>
  </w:style>
  <w:style w:type="character" w:customStyle="1" w:styleId="BalloonTextChar">
    <w:name w:val="Balloon Text Char"/>
    <w:basedOn w:val="DefaultParagraphFont"/>
    <w:link w:val="BalloonText"/>
    <w:uiPriority w:val="99"/>
    <w:semiHidden/>
    <w:rsid w:val="00867290"/>
    <w:rPr>
      <w:rFonts w:ascii="Tahoma" w:eastAsia="Times New Roman" w:hAnsi="Tahoma" w:cs="Tahoma"/>
      <w:sz w:val="16"/>
      <w:szCs w:val="16"/>
      <w:lang w:val="hr-HR" w:eastAsia="hr-HR" w:bidi="hr-HR"/>
    </w:rPr>
  </w:style>
  <w:style w:type="table" w:styleId="TableGrid">
    <w:name w:val="Table Grid"/>
    <w:basedOn w:val="TableNormal"/>
    <w:uiPriority w:val="59"/>
    <w:rsid w:val="00867290"/>
    <w:pPr>
      <w:spacing w:after="0" w:line="240" w:lineRule="auto"/>
    </w:pPr>
    <w:rPr>
      <w:rFonts w:ascii="Times New Roman" w:eastAsia="Times New Roman" w:hAnsi="Times New Roman" w:cs="Times New Roman"/>
      <w:sz w:val="20"/>
      <w:szCs w:val="20"/>
      <w:lang w:val="hr-HR" w:eastAsia="hr-HR" w:bidi="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Headingtables">
    <w:name w:val="H_Heading_tables"/>
    <w:next w:val="HStandard"/>
    <w:qFormat/>
    <w:rsid w:val="00867290"/>
    <w:pPr>
      <w:numPr>
        <w:numId w:val="7"/>
      </w:numPr>
      <w:spacing w:before="200" w:after="140" w:line="240" w:lineRule="auto"/>
      <w:ind w:left="0"/>
    </w:pPr>
    <w:rPr>
      <w:rFonts w:ascii="Arial" w:eastAsia="Times New Roman" w:hAnsi="Arial" w:cs="Arial"/>
      <w:b/>
      <w:color w:val="576C88" w:themeColor="text2" w:themeTint="D9"/>
      <w:sz w:val="16"/>
      <w:szCs w:val="20"/>
      <w:lang w:val="hr-HR" w:eastAsia="hr-HR" w:bidi="hr-HR"/>
    </w:rPr>
  </w:style>
  <w:style w:type="paragraph" w:customStyle="1" w:styleId="HHeadingfigures">
    <w:name w:val="H_Heading_figures"/>
    <w:basedOn w:val="HHeadingtables"/>
    <w:next w:val="HStandard"/>
    <w:qFormat/>
    <w:rsid w:val="00867290"/>
    <w:pPr>
      <w:numPr>
        <w:numId w:val="8"/>
      </w:numPr>
      <w:ind w:left="0"/>
    </w:pPr>
  </w:style>
  <w:style w:type="paragraph" w:customStyle="1" w:styleId="HHeadingmaps">
    <w:name w:val="H_Heading_maps"/>
    <w:basedOn w:val="HHeadingtables"/>
    <w:next w:val="HStandard"/>
    <w:qFormat/>
    <w:rsid w:val="00867290"/>
    <w:pPr>
      <w:keepNext/>
      <w:keepLines/>
      <w:numPr>
        <w:numId w:val="9"/>
      </w:numPr>
      <w:outlineLvl w:val="5"/>
    </w:pPr>
    <w:rPr>
      <w:b w:val="0"/>
    </w:rPr>
  </w:style>
  <w:style w:type="paragraph" w:customStyle="1" w:styleId="HHeadingboxes">
    <w:name w:val="H_Heading_boxes"/>
    <w:basedOn w:val="HHeadingtables"/>
    <w:next w:val="HStandard"/>
    <w:qFormat/>
    <w:rsid w:val="00867290"/>
    <w:pPr>
      <w:numPr>
        <w:numId w:val="10"/>
      </w:numPr>
    </w:pPr>
  </w:style>
  <w:style w:type="paragraph" w:customStyle="1" w:styleId="HBox">
    <w:name w:val="H_Box"/>
    <w:next w:val="HStandard"/>
    <w:qFormat/>
    <w:rsid w:val="00867290"/>
    <w:pPr>
      <w:pBdr>
        <w:top w:val="single" w:sz="4" w:space="4" w:color="auto"/>
        <w:left w:val="single" w:sz="4" w:space="4" w:color="auto"/>
        <w:bottom w:val="single" w:sz="4" w:space="4" w:color="auto"/>
        <w:right w:val="single" w:sz="4" w:space="4" w:color="auto"/>
      </w:pBdr>
      <w:shd w:val="pct10" w:color="auto" w:fill="auto"/>
      <w:spacing w:after="0" w:line="240" w:lineRule="auto"/>
      <w:jc w:val="both"/>
    </w:pPr>
    <w:rPr>
      <w:rFonts w:ascii="Arial" w:eastAsia="Times New Roman" w:hAnsi="Arial" w:cs="Times New Roman"/>
      <w:color w:val="262626"/>
      <w:sz w:val="20"/>
      <w:szCs w:val="20"/>
      <w:lang w:val="hr-HR" w:eastAsia="hr-HR" w:bidi="hr-HR"/>
    </w:rPr>
  </w:style>
  <w:style w:type="paragraph" w:customStyle="1" w:styleId="HBoxbullet">
    <w:name w:val="H_Box_bullet"/>
    <w:next w:val="HStandard"/>
    <w:qFormat/>
    <w:rsid w:val="00867290"/>
    <w:pPr>
      <w:numPr>
        <w:numId w:val="11"/>
      </w:numPr>
      <w:pBdr>
        <w:top w:val="single" w:sz="4" w:space="4" w:color="auto"/>
        <w:left w:val="single" w:sz="4" w:space="8" w:color="auto"/>
        <w:bottom w:val="single" w:sz="4" w:space="4" w:color="auto"/>
        <w:right w:val="single" w:sz="4" w:space="4" w:color="auto"/>
      </w:pBdr>
      <w:shd w:val="pct10" w:color="auto" w:fill="auto"/>
      <w:spacing w:after="0" w:line="240" w:lineRule="auto"/>
      <w:ind w:left="364" w:hanging="284"/>
      <w:jc w:val="both"/>
    </w:pPr>
    <w:rPr>
      <w:rFonts w:ascii="Helvetica LT Pro Light" w:eastAsia="Times New Roman" w:hAnsi="Helvetica LT Pro Light" w:cs="Times New Roman"/>
      <w:sz w:val="20"/>
      <w:szCs w:val="20"/>
      <w:lang w:val="hr-HR" w:eastAsia="hr-HR" w:bidi="hr-HR"/>
    </w:rPr>
  </w:style>
  <w:style w:type="paragraph" w:customStyle="1" w:styleId="Hdisclaimer">
    <w:name w:val="H_disclaimer"/>
    <w:qFormat/>
    <w:rsid w:val="00867290"/>
    <w:pPr>
      <w:spacing w:after="120" w:line="280" w:lineRule="atLeast"/>
      <w:jc w:val="both"/>
    </w:pPr>
    <w:rPr>
      <w:rFonts w:ascii="Helvetica LT Pro Light" w:eastAsia="Times New Roman" w:hAnsi="Helvetica LT Pro Light" w:cs="Arial"/>
      <w:color w:val="6F6F6F"/>
      <w:sz w:val="18"/>
      <w:szCs w:val="18"/>
      <w:lang w:val="hr-HR" w:eastAsia="hr-HR" w:bidi="hr-HR"/>
    </w:rPr>
  </w:style>
  <w:style w:type="paragraph" w:styleId="EndnoteText">
    <w:name w:val="endnote text"/>
    <w:basedOn w:val="Normal"/>
    <w:link w:val="EndnoteTextChar"/>
    <w:uiPriority w:val="99"/>
    <w:semiHidden/>
    <w:unhideWhenUsed/>
    <w:rsid w:val="00867290"/>
    <w:pPr>
      <w:spacing w:after="0" w:line="240" w:lineRule="auto"/>
      <w:jc w:val="both"/>
    </w:pPr>
    <w:rPr>
      <w:rFonts w:ascii="Arial" w:eastAsia="Times New Roman" w:hAnsi="Arial" w:cs="Times New Roman"/>
      <w:sz w:val="20"/>
      <w:szCs w:val="20"/>
      <w:lang w:val="hr-HR" w:eastAsia="hr-HR" w:bidi="hr-HR"/>
    </w:rPr>
  </w:style>
  <w:style w:type="character" w:customStyle="1" w:styleId="EndnoteTextChar">
    <w:name w:val="Endnote Text Char"/>
    <w:basedOn w:val="DefaultParagraphFont"/>
    <w:link w:val="EndnoteText"/>
    <w:uiPriority w:val="99"/>
    <w:semiHidden/>
    <w:rsid w:val="00867290"/>
    <w:rPr>
      <w:rFonts w:ascii="Arial" w:eastAsia="Times New Roman" w:hAnsi="Arial" w:cs="Times New Roman"/>
      <w:sz w:val="20"/>
      <w:szCs w:val="20"/>
      <w:lang w:val="hr-HR" w:eastAsia="hr-HR" w:bidi="hr-HR"/>
    </w:rPr>
  </w:style>
  <w:style w:type="character" w:styleId="EndnoteReference">
    <w:name w:val="endnote reference"/>
    <w:basedOn w:val="DefaultParagraphFont"/>
    <w:uiPriority w:val="99"/>
    <w:semiHidden/>
    <w:unhideWhenUsed/>
    <w:rsid w:val="00867290"/>
    <w:rPr>
      <w:vertAlign w:val="superscript"/>
    </w:rPr>
  </w:style>
  <w:style w:type="character" w:styleId="CommentReference">
    <w:name w:val="annotation reference"/>
    <w:basedOn w:val="DefaultParagraphFont"/>
    <w:uiPriority w:val="99"/>
    <w:unhideWhenUsed/>
    <w:rsid w:val="00867290"/>
    <w:rPr>
      <w:sz w:val="16"/>
      <w:szCs w:val="16"/>
    </w:rPr>
  </w:style>
  <w:style w:type="paragraph" w:styleId="CommentText">
    <w:name w:val="annotation text"/>
    <w:basedOn w:val="Normal"/>
    <w:link w:val="CommentTextChar"/>
    <w:uiPriority w:val="99"/>
    <w:unhideWhenUsed/>
    <w:rsid w:val="00867290"/>
    <w:pPr>
      <w:spacing w:before="60" w:after="140" w:line="240" w:lineRule="auto"/>
      <w:jc w:val="both"/>
    </w:pPr>
    <w:rPr>
      <w:rFonts w:ascii="Arial" w:eastAsia="Times New Roman" w:hAnsi="Arial" w:cs="Times New Roman"/>
      <w:sz w:val="20"/>
      <w:szCs w:val="20"/>
      <w:lang w:val="hr-HR" w:eastAsia="hr-HR" w:bidi="hr-HR"/>
    </w:rPr>
  </w:style>
  <w:style w:type="character" w:customStyle="1" w:styleId="CommentTextChar">
    <w:name w:val="Comment Text Char"/>
    <w:basedOn w:val="DefaultParagraphFont"/>
    <w:link w:val="CommentText"/>
    <w:uiPriority w:val="99"/>
    <w:rsid w:val="00867290"/>
    <w:rPr>
      <w:rFonts w:ascii="Arial" w:eastAsia="Times New Roman" w:hAnsi="Arial" w:cs="Times New Roman"/>
      <w:sz w:val="20"/>
      <w:szCs w:val="20"/>
      <w:lang w:val="hr-HR" w:eastAsia="hr-HR" w:bidi="hr-HR"/>
    </w:rPr>
  </w:style>
  <w:style w:type="paragraph" w:styleId="CommentSubject">
    <w:name w:val="annotation subject"/>
    <w:basedOn w:val="CommentText"/>
    <w:next w:val="CommentText"/>
    <w:link w:val="CommentSubjectChar"/>
    <w:uiPriority w:val="99"/>
    <w:semiHidden/>
    <w:unhideWhenUsed/>
    <w:rsid w:val="00867290"/>
    <w:rPr>
      <w:b/>
      <w:bCs/>
    </w:rPr>
  </w:style>
  <w:style w:type="character" w:customStyle="1" w:styleId="CommentSubjectChar">
    <w:name w:val="Comment Subject Char"/>
    <w:basedOn w:val="CommentTextChar"/>
    <w:link w:val="CommentSubject"/>
    <w:uiPriority w:val="99"/>
    <w:semiHidden/>
    <w:rsid w:val="00867290"/>
    <w:rPr>
      <w:rFonts w:ascii="Arial" w:eastAsia="Times New Roman" w:hAnsi="Arial" w:cs="Times New Roman"/>
      <w:b/>
      <w:bCs/>
      <w:sz w:val="20"/>
      <w:szCs w:val="20"/>
      <w:lang w:val="hr-HR" w:eastAsia="hr-HR" w:bidi="hr-HR"/>
    </w:rPr>
  </w:style>
  <w:style w:type="character" w:customStyle="1" w:styleId="FootnoteTextChar1">
    <w:name w:val="Footnote Text Char1"/>
    <w:aliases w:val="Fußnote Char,Geneva 9 Char,Font: Geneva 9 Char,Boston 10 Char,f Char,ft Char,Footnote Text Char Char Char Char Char Char Char Char Char Char Char,Footnote Text Char Char Char,Footnote Text2 Char"/>
    <w:basedOn w:val="DefaultParagraphFont"/>
    <w:link w:val="FootnoteText"/>
    <w:rsid w:val="00867290"/>
    <w:rPr>
      <w:rFonts w:ascii="Arial" w:eastAsia="Times New Roman" w:hAnsi="Arial" w:cs="Times New Roman"/>
      <w:color w:val="808080"/>
      <w:sz w:val="16"/>
      <w:szCs w:val="20"/>
      <w:lang w:val="hr-HR" w:eastAsia="hr-HR" w:bidi="hr-HR"/>
    </w:rPr>
  </w:style>
  <w:style w:type="paragraph" w:styleId="ListParagraph">
    <w:name w:val="List Paragraph"/>
    <w:basedOn w:val="Normal"/>
    <w:uiPriority w:val="34"/>
    <w:qFormat/>
    <w:rsid w:val="00867290"/>
    <w:pPr>
      <w:ind w:left="720"/>
      <w:contextualSpacing/>
    </w:pPr>
    <w:rPr>
      <w:lang w:val="hr-HR" w:eastAsia="hr-HR" w:bidi="hr-HR"/>
    </w:rPr>
  </w:style>
  <w:style w:type="paragraph" w:customStyle="1" w:styleId="Default">
    <w:name w:val="Default"/>
    <w:rsid w:val="00867290"/>
    <w:pPr>
      <w:autoSpaceDE w:val="0"/>
      <w:autoSpaceDN w:val="0"/>
      <w:adjustRightInd w:val="0"/>
      <w:spacing w:after="0" w:line="240" w:lineRule="auto"/>
    </w:pPr>
    <w:rPr>
      <w:rFonts w:ascii="EUAlbertina" w:hAnsi="EUAlbertina" w:cs="EUAlbertina"/>
      <w:color w:val="000000"/>
      <w:sz w:val="24"/>
      <w:szCs w:val="24"/>
      <w:lang w:val="hr-HR" w:eastAsia="hr-HR" w:bidi="hr-HR"/>
    </w:rPr>
  </w:style>
  <w:style w:type="paragraph" w:styleId="Caption">
    <w:name w:val="caption"/>
    <w:aliases w:val="Table"/>
    <w:basedOn w:val="Normal"/>
    <w:next w:val="Normal"/>
    <w:link w:val="CaptionChar"/>
    <w:qFormat/>
    <w:rsid w:val="00867290"/>
    <w:pPr>
      <w:keepNext/>
      <w:keepLines/>
      <w:spacing w:after="120" w:line="240" w:lineRule="auto"/>
      <w:jc w:val="both"/>
    </w:pPr>
    <w:rPr>
      <w:rFonts w:ascii="Arial" w:eastAsia="Times New Roman" w:hAnsi="Arial" w:cs="Times New Roman"/>
      <w:b/>
      <w:bCs/>
      <w:sz w:val="16"/>
      <w:szCs w:val="20"/>
      <w:lang w:val="hr-HR" w:eastAsia="hr-HR" w:bidi="hr-HR"/>
    </w:rPr>
  </w:style>
  <w:style w:type="character" w:customStyle="1" w:styleId="CaptionChar">
    <w:name w:val="Caption Char"/>
    <w:aliases w:val="Table Char"/>
    <w:link w:val="Caption"/>
    <w:locked/>
    <w:rsid w:val="00867290"/>
    <w:rPr>
      <w:rFonts w:ascii="Arial" w:eastAsia="Times New Roman" w:hAnsi="Arial" w:cs="Times New Roman"/>
      <w:b/>
      <w:bCs/>
      <w:sz w:val="16"/>
      <w:szCs w:val="20"/>
      <w:lang w:val="hr-HR" w:eastAsia="hr-HR" w:bidi="hr-HR"/>
    </w:rPr>
  </w:style>
  <w:style w:type="paragraph" w:styleId="Subtitle">
    <w:name w:val="Subtitle"/>
    <w:basedOn w:val="Normal"/>
    <w:next w:val="Normal"/>
    <w:link w:val="SubtitleChar"/>
    <w:uiPriority w:val="11"/>
    <w:qFormat/>
    <w:rsid w:val="00867290"/>
    <w:pPr>
      <w:numPr>
        <w:ilvl w:val="1"/>
      </w:numPr>
    </w:pPr>
    <w:rPr>
      <w:rFonts w:eastAsiaTheme="minorEastAsia"/>
      <w:color w:val="5A5A5A" w:themeColor="text1" w:themeTint="A5"/>
      <w:spacing w:val="15"/>
      <w:lang w:val="hr-HR" w:eastAsia="hr-HR" w:bidi="hr-HR"/>
    </w:rPr>
  </w:style>
  <w:style w:type="character" w:customStyle="1" w:styleId="SubtitleChar">
    <w:name w:val="Subtitle Char"/>
    <w:basedOn w:val="DefaultParagraphFont"/>
    <w:link w:val="Subtitle"/>
    <w:uiPriority w:val="11"/>
    <w:rsid w:val="00867290"/>
    <w:rPr>
      <w:rFonts w:eastAsiaTheme="minorEastAsia"/>
      <w:color w:val="5A5A5A" w:themeColor="text1" w:themeTint="A5"/>
      <w:spacing w:val="15"/>
      <w:lang w:val="hr-HR" w:eastAsia="hr-HR" w:bidi="hr-HR"/>
    </w:rPr>
  </w:style>
  <w:style w:type="character" w:styleId="Emphasis">
    <w:name w:val="Emphasis"/>
    <w:basedOn w:val="DefaultParagraphFont"/>
    <w:uiPriority w:val="20"/>
    <w:qFormat/>
    <w:rsid w:val="00867290"/>
    <w:rPr>
      <w:i/>
      <w:iCs/>
    </w:rPr>
  </w:style>
  <w:style w:type="paragraph" w:styleId="NormalWeb">
    <w:name w:val="Normal (Web)"/>
    <w:basedOn w:val="Normal"/>
    <w:uiPriority w:val="99"/>
    <w:semiHidden/>
    <w:unhideWhenUsed/>
    <w:rsid w:val="00867290"/>
    <w:pPr>
      <w:spacing w:before="100" w:beforeAutospacing="1" w:after="100" w:afterAutospacing="1" w:line="240" w:lineRule="auto"/>
    </w:pPr>
    <w:rPr>
      <w:rFonts w:ascii="Times New Roman" w:eastAsia="Times New Roman" w:hAnsi="Times New Roman" w:cs="Times New Roman"/>
      <w:sz w:val="24"/>
      <w:szCs w:val="24"/>
      <w:lang w:val="hr-HR" w:eastAsia="hr-HR" w:bidi="hr-HR"/>
    </w:rPr>
  </w:style>
  <w:style w:type="character" w:styleId="IntenseEmphasis">
    <w:name w:val="Intense Emphasis"/>
    <w:basedOn w:val="DefaultParagraphFont"/>
    <w:uiPriority w:val="21"/>
    <w:qFormat/>
    <w:rsid w:val="00867290"/>
    <w:rPr>
      <w:i/>
      <w:iCs/>
      <w:color w:val="5B9BD5" w:themeColor="accent1"/>
    </w:rPr>
  </w:style>
  <w:style w:type="character" w:styleId="IntenseReference">
    <w:name w:val="Intense Reference"/>
    <w:basedOn w:val="DefaultParagraphFont"/>
    <w:uiPriority w:val="32"/>
    <w:qFormat/>
    <w:rsid w:val="00867290"/>
    <w:rPr>
      <w:b/>
      <w:bCs/>
      <w:smallCaps/>
      <w:color w:val="5B9BD5" w:themeColor="accent1"/>
      <w:spacing w:val="5"/>
    </w:rPr>
  </w:style>
  <w:style w:type="paragraph" w:styleId="Title">
    <w:name w:val="Title"/>
    <w:basedOn w:val="Normal"/>
    <w:link w:val="TitleChar"/>
    <w:qFormat/>
    <w:rsid w:val="00867290"/>
    <w:pPr>
      <w:spacing w:before="240" w:after="60" w:line="240" w:lineRule="auto"/>
      <w:outlineLvl w:val="4"/>
    </w:pPr>
    <w:rPr>
      <w:rFonts w:ascii="Arial" w:eastAsia="Times New Roman" w:hAnsi="Arial" w:cs="Times New Roman"/>
      <w:b/>
      <w:i/>
      <w:snapToGrid w:val="0"/>
      <w:color w:val="749B29"/>
      <w:kern w:val="28"/>
      <w:sz w:val="20"/>
      <w:szCs w:val="20"/>
      <w:lang w:val="hr-HR" w:eastAsia="hr-HR" w:bidi="hr-HR"/>
    </w:rPr>
  </w:style>
  <w:style w:type="character" w:customStyle="1" w:styleId="TitleChar">
    <w:name w:val="Title Char"/>
    <w:basedOn w:val="DefaultParagraphFont"/>
    <w:link w:val="Title"/>
    <w:rsid w:val="00867290"/>
    <w:rPr>
      <w:rFonts w:ascii="Arial" w:eastAsia="Times New Roman" w:hAnsi="Arial" w:cs="Times New Roman"/>
      <w:b/>
      <w:i/>
      <w:snapToGrid w:val="0"/>
      <w:color w:val="749B29"/>
      <w:kern w:val="28"/>
      <w:sz w:val="20"/>
      <w:szCs w:val="20"/>
      <w:lang w:val="hr-HR" w:eastAsia="hr-HR" w:bidi="hr-HR"/>
    </w:rPr>
  </w:style>
  <w:style w:type="paragraph" w:styleId="BodyText2">
    <w:name w:val="Body Text 2"/>
    <w:basedOn w:val="Normal"/>
    <w:link w:val="BodyText2Char"/>
    <w:rsid w:val="00867290"/>
    <w:pPr>
      <w:spacing w:after="0" w:line="240" w:lineRule="auto"/>
      <w:jc w:val="both"/>
    </w:pPr>
    <w:rPr>
      <w:rFonts w:ascii="Times New Roman" w:eastAsia="Times New Roman" w:hAnsi="Times New Roman" w:cs="Times New Roman"/>
      <w:sz w:val="24"/>
      <w:szCs w:val="20"/>
      <w:lang w:val="hr-HR" w:eastAsia="hr-HR" w:bidi="hr-HR"/>
    </w:rPr>
  </w:style>
  <w:style w:type="character" w:customStyle="1" w:styleId="BodyText2Char">
    <w:name w:val="Body Text 2 Char"/>
    <w:basedOn w:val="DefaultParagraphFont"/>
    <w:link w:val="BodyText2"/>
    <w:rsid w:val="00867290"/>
    <w:rPr>
      <w:rFonts w:ascii="Times New Roman" w:eastAsia="Times New Roman" w:hAnsi="Times New Roman" w:cs="Times New Roman"/>
      <w:sz w:val="24"/>
      <w:szCs w:val="20"/>
      <w:lang w:val="hr-HR" w:eastAsia="hr-HR" w:bidi="hr-HR"/>
    </w:rPr>
  </w:style>
  <w:style w:type="paragraph" w:styleId="BodyText">
    <w:name w:val="Body Text"/>
    <w:basedOn w:val="Normal"/>
    <w:link w:val="BodyTextChar"/>
    <w:uiPriority w:val="99"/>
    <w:rsid w:val="00867290"/>
    <w:pPr>
      <w:spacing w:after="120" w:line="240" w:lineRule="auto"/>
      <w:jc w:val="both"/>
    </w:pPr>
    <w:rPr>
      <w:rFonts w:ascii="Arial" w:eastAsia="Times New Roman" w:hAnsi="Arial" w:cs="Times New Roman"/>
      <w:sz w:val="18"/>
      <w:szCs w:val="20"/>
      <w:lang w:val="hr-HR" w:eastAsia="hr-HR" w:bidi="hr-HR"/>
    </w:rPr>
  </w:style>
  <w:style w:type="character" w:customStyle="1" w:styleId="BodyTextChar">
    <w:name w:val="Body Text Char"/>
    <w:basedOn w:val="DefaultParagraphFont"/>
    <w:link w:val="BodyText"/>
    <w:uiPriority w:val="99"/>
    <w:rsid w:val="00867290"/>
    <w:rPr>
      <w:rFonts w:ascii="Arial" w:eastAsia="Times New Roman" w:hAnsi="Arial" w:cs="Times New Roman"/>
      <w:sz w:val="18"/>
      <w:szCs w:val="20"/>
      <w:lang w:val="hr-HR" w:eastAsia="hr-HR" w:bidi="hr-HR"/>
    </w:rPr>
  </w:style>
  <w:style w:type="paragraph" w:customStyle="1" w:styleId="Cuerpo">
    <w:name w:val="Cuerpo"/>
    <w:rsid w:val="00867290"/>
    <w:pPr>
      <w:pBdr>
        <w:top w:val="nil"/>
        <w:left w:val="nil"/>
        <w:bottom w:val="nil"/>
        <w:right w:val="nil"/>
        <w:between w:val="nil"/>
        <w:bar w:val="nil"/>
      </w:pBdr>
      <w:spacing w:after="0" w:line="240" w:lineRule="auto"/>
    </w:pPr>
    <w:rPr>
      <w:rFonts w:ascii="Helvetica" w:eastAsia="Arial Unicode MS" w:hAnsi="Arial Unicode MS" w:cs="Arial Unicode MS"/>
      <w:color w:val="000000"/>
      <w:bdr w:val="nil"/>
      <w:lang w:val="hr-HR" w:eastAsia="hr-HR" w:bidi="hr-HR"/>
    </w:rPr>
  </w:style>
  <w:style w:type="paragraph" w:styleId="Revision">
    <w:name w:val="Revision"/>
    <w:hidden/>
    <w:uiPriority w:val="99"/>
    <w:semiHidden/>
    <w:rsid w:val="00867290"/>
    <w:pPr>
      <w:spacing w:after="0" w:line="240" w:lineRule="auto"/>
    </w:pPr>
    <w:rPr>
      <w:lang w:val="hr-HR" w:eastAsia="hr-HR" w:bidi="hr-HR"/>
    </w:rPr>
  </w:style>
  <w:style w:type="paragraph" w:customStyle="1" w:styleId="CM4">
    <w:name w:val="CM4"/>
    <w:basedOn w:val="Normal"/>
    <w:next w:val="Normal"/>
    <w:uiPriority w:val="99"/>
    <w:rsid w:val="00867290"/>
    <w:pPr>
      <w:autoSpaceDE w:val="0"/>
      <w:autoSpaceDN w:val="0"/>
      <w:adjustRightInd w:val="0"/>
      <w:spacing w:after="0" w:line="240" w:lineRule="auto"/>
    </w:pPr>
    <w:rPr>
      <w:rFonts w:ascii="EUAlbertina" w:eastAsia="Times New Roman" w:hAnsi="EUAlbertina" w:cs="Times New Roman"/>
      <w:sz w:val="24"/>
      <w:szCs w:val="24"/>
      <w:lang w:val="hr-HR" w:eastAsia="hr-HR" w:bidi="hr-HR"/>
    </w:rPr>
  </w:style>
  <w:style w:type="table" w:styleId="LightList-Accent3">
    <w:name w:val="Light List Accent 3"/>
    <w:basedOn w:val="TableNormal"/>
    <w:uiPriority w:val="61"/>
    <w:rsid w:val="00867290"/>
    <w:pPr>
      <w:spacing w:after="0" w:line="240" w:lineRule="auto"/>
    </w:pPr>
    <w:rPr>
      <w:rFonts w:ascii="Times New Roman" w:eastAsia="Times New Roman" w:hAnsi="Times New Roman" w:cs="Times New Roman"/>
      <w:sz w:val="20"/>
      <w:szCs w:val="20"/>
      <w:lang w:val="hr-HR" w:eastAsia="hr-HR" w:bidi="hr-H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Style2">
    <w:name w:val="Style2"/>
    <w:basedOn w:val="NoSpacing"/>
    <w:link w:val="Style2Char"/>
    <w:qFormat/>
    <w:rsid w:val="00867290"/>
    <w:pPr>
      <w:numPr>
        <w:numId w:val="12"/>
      </w:numPr>
      <w:pBdr>
        <w:top w:val="nil"/>
        <w:left w:val="nil"/>
        <w:bottom w:val="nil"/>
        <w:right w:val="nil"/>
        <w:between w:val="nil"/>
        <w:bar w:val="nil"/>
      </w:pBdr>
    </w:pPr>
    <w:rPr>
      <w:rFonts w:ascii="Calibri" w:eastAsia="Arial Unicode MS" w:hAnsi="Calibri" w:cs="Calibri"/>
      <w:bdr w:val="nil"/>
    </w:rPr>
  </w:style>
  <w:style w:type="character" w:customStyle="1" w:styleId="Style2Char">
    <w:name w:val="Style2 Char"/>
    <w:basedOn w:val="DefaultParagraphFont"/>
    <w:link w:val="Style2"/>
    <w:rsid w:val="00867290"/>
    <w:rPr>
      <w:rFonts w:ascii="Calibri" w:eastAsia="Arial Unicode MS" w:hAnsi="Calibri" w:cs="Calibri"/>
      <w:bdr w:val="nil"/>
      <w:lang w:val="hr-HR" w:eastAsia="hr-HR" w:bidi="hr-HR"/>
    </w:rPr>
  </w:style>
  <w:style w:type="paragraph" w:styleId="NoSpacing">
    <w:name w:val="No Spacing"/>
    <w:uiPriority w:val="1"/>
    <w:qFormat/>
    <w:rsid w:val="00867290"/>
    <w:pPr>
      <w:spacing w:after="0" w:line="240" w:lineRule="auto"/>
    </w:pPr>
    <w:rPr>
      <w:lang w:val="hr-HR" w:eastAsia="hr-HR" w:bidi="hr-HR"/>
    </w:rPr>
  </w:style>
  <w:style w:type="table" w:customStyle="1" w:styleId="TableGrid2">
    <w:name w:val="Table Grid2"/>
    <w:basedOn w:val="TableNormal"/>
    <w:next w:val="TableGrid"/>
    <w:uiPriority w:val="39"/>
    <w:rsid w:val="00867290"/>
    <w:pPr>
      <w:spacing w:after="0" w:line="240" w:lineRule="auto"/>
    </w:pPr>
    <w:rPr>
      <w:lang w:val="hr-HR" w:eastAsia="hr-HR" w:bidi="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867290"/>
  </w:style>
  <w:style w:type="table" w:customStyle="1" w:styleId="Mriekatabuky1">
    <w:name w:val="Mriežka tabuľky1"/>
    <w:basedOn w:val="TableNormal"/>
    <w:next w:val="TableGrid"/>
    <w:uiPriority w:val="59"/>
    <w:rsid w:val="00867290"/>
    <w:pPr>
      <w:spacing w:after="0" w:line="240" w:lineRule="auto"/>
    </w:pPr>
    <w:rPr>
      <w:rFonts w:ascii="Calibri" w:eastAsia="Times New Roman" w:hAnsi="Calibri" w:cs="Times New Roman"/>
      <w:sz w:val="24"/>
      <w:szCs w:val="24"/>
      <w:lang w:val="hr-HR" w:eastAsia="hr-HR" w:bidi="hr-HR"/>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styleId="LightShading-Accent2">
    <w:name w:val="Light Shading Accent 2"/>
    <w:basedOn w:val="TableNormal"/>
    <w:uiPriority w:val="60"/>
    <w:rsid w:val="00867290"/>
    <w:pPr>
      <w:spacing w:after="0" w:line="240" w:lineRule="auto"/>
    </w:pPr>
    <w:rPr>
      <w:rFonts w:ascii="Times New Roman" w:eastAsia="Times New Roman" w:hAnsi="Times New Roman" w:cs="Times New Roman"/>
      <w:color w:val="C45911" w:themeColor="accent2" w:themeShade="BF"/>
      <w:sz w:val="20"/>
      <w:szCs w:val="20"/>
      <w:lang w:val="hr-HR" w:eastAsia="hr-HR" w:bidi="hr-HR"/>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rsid w:val="00867290"/>
    <w:pPr>
      <w:spacing w:after="0" w:line="240" w:lineRule="auto"/>
    </w:pPr>
    <w:rPr>
      <w:rFonts w:ascii="Times New Roman" w:eastAsia="Times New Roman" w:hAnsi="Times New Roman" w:cs="Times New Roman"/>
      <w:color w:val="7B7B7B" w:themeColor="accent3" w:themeShade="BF"/>
      <w:sz w:val="20"/>
      <w:szCs w:val="20"/>
      <w:lang w:val="hr-HR" w:eastAsia="hr-HR" w:bidi="hr-HR"/>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List-Accent5">
    <w:name w:val="Light List Accent 5"/>
    <w:basedOn w:val="TableNormal"/>
    <w:uiPriority w:val="61"/>
    <w:rsid w:val="00867290"/>
    <w:pPr>
      <w:spacing w:after="0" w:line="240" w:lineRule="auto"/>
    </w:pPr>
    <w:rPr>
      <w:rFonts w:ascii="Times New Roman" w:eastAsia="Times New Roman" w:hAnsi="Times New Roman" w:cs="Times New Roman"/>
      <w:sz w:val="20"/>
      <w:szCs w:val="20"/>
      <w:lang w:val="hr-HR" w:eastAsia="hr-HR" w:bidi="hr-HR"/>
    </w:r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tblBorders>
    </w:tblPr>
    <w:tblStylePr w:type="firstRow">
      <w:pPr>
        <w:spacing w:before="0" w:after="0" w:line="240" w:lineRule="auto"/>
      </w:pPr>
      <w:rPr>
        <w:b/>
        <w:bCs/>
        <w:color w:val="FFFFFF" w:themeColor="background1"/>
      </w:rPr>
      <w:tblPr/>
      <w:tcPr>
        <w:shd w:val="clear" w:color="auto" w:fill="4472C4" w:themeFill="accent5"/>
      </w:tcPr>
    </w:tblStylePr>
    <w:tblStylePr w:type="lastRow">
      <w:pPr>
        <w:spacing w:before="0" w:after="0" w:line="240" w:lineRule="auto"/>
      </w:pPr>
      <w:rPr>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tcBorders>
      </w:tcPr>
    </w:tblStylePr>
    <w:tblStylePr w:type="firstCol">
      <w:rPr>
        <w:b/>
        <w:bCs/>
      </w:rPr>
    </w:tblStylePr>
    <w:tblStylePr w:type="lastCol">
      <w:rPr>
        <w:b/>
        <w:bCs/>
      </w:r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style>
  <w:style w:type="character" w:styleId="FollowedHyperlink">
    <w:name w:val="FollowedHyperlink"/>
    <w:basedOn w:val="DefaultParagraphFont"/>
    <w:uiPriority w:val="99"/>
    <w:semiHidden/>
    <w:unhideWhenUsed/>
    <w:rsid w:val="00867290"/>
    <w:rPr>
      <w:color w:val="954F72" w:themeColor="followedHyperlink"/>
      <w:u w:val="single"/>
    </w:rPr>
  </w:style>
  <w:style w:type="paragraph" w:customStyle="1" w:styleId="Normal1">
    <w:name w:val="Normal1"/>
    <w:next w:val="Normal"/>
    <w:rsid w:val="00867290"/>
    <w:pPr>
      <w:numPr>
        <w:numId w:val="20"/>
      </w:numPr>
      <w:spacing w:after="120" w:line="280" w:lineRule="atLeast"/>
      <w:jc w:val="both"/>
    </w:pPr>
    <w:rPr>
      <w:rFonts w:ascii="Arial" w:eastAsia="Times New Roman" w:hAnsi="Arial" w:cs="Times New Roman"/>
      <w:sz w:val="20"/>
      <w:lang w:val="hr-HR" w:eastAsia="hr-HR" w:bidi="hr-HR"/>
    </w:rPr>
  </w:style>
  <w:style w:type="character" w:customStyle="1" w:styleId="FootnoteTextChar2">
    <w:name w:val="Footnote Text Char2"/>
    <w:aliases w:val="Fußnote Char1,Geneva 9 Char1,Font: Geneva 9 Char1,Boston 10 Char1,f Char1,ft Char1,Footnote Text Char Char Char Char Char Char Char Char Char Char Char1,Footnote Text Char Char Char1,Footnote Text2 Char1"/>
    <w:locked/>
    <w:rsid w:val="00867290"/>
    <w:rPr>
      <w:rFonts w:ascii="Arial" w:hAnsi="Arial" w:cs="Times New Roman"/>
      <w:sz w:val="16"/>
      <w:lang w:val="hr-HR" w:eastAsia="hr-HR"/>
    </w:rPr>
  </w:style>
  <w:style w:type="paragraph" w:customStyle="1" w:styleId="H-Standard">
    <w:name w:val="H-Standard"/>
    <w:basedOn w:val="Normal"/>
    <w:qFormat/>
    <w:rsid w:val="00867290"/>
    <w:pPr>
      <w:spacing w:after="120" w:line="280" w:lineRule="atLeast"/>
      <w:jc w:val="both"/>
    </w:pPr>
    <w:rPr>
      <w:rFonts w:ascii="Arial" w:eastAsia="Times New Roman" w:hAnsi="Arial" w:cs="Arial"/>
      <w:color w:val="576C88" w:themeColor="text2" w:themeTint="D9"/>
      <w:sz w:val="20"/>
      <w:szCs w:val="18"/>
      <w:lang w:val="hr-HR" w:eastAsia="hr-HR" w:bidi="hr-HR"/>
    </w:rPr>
  </w:style>
  <w:style w:type="paragraph" w:customStyle="1" w:styleId="H-Heading1">
    <w:name w:val="H-Heading 1"/>
    <w:basedOn w:val="Heading1"/>
    <w:qFormat/>
    <w:rsid w:val="00867290"/>
    <w:pPr>
      <w:framePr w:hSpace="0" w:vSpace="0" w:wrap="auto" w:vAnchor="margin" w:hAnchor="text" w:yAlign="inline"/>
      <w:numPr>
        <w:numId w:val="23"/>
      </w:numPr>
      <w:pBdr>
        <w:left w:val="none" w:sz="0" w:space="0" w:color="auto"/>
      </w:pBdr>
      <w:tabs>
        <w:tab w:val="clear" w:pos="227"/>
      </w:tabs>
      <w:suppressAutoHyphens w:val="0"/>
      <w:spacing w:before="360" w:after="360" w:line="280" w:lineRule="atLeast"/>
    </w:pPr>
    <w:rPr>
      <w:rFonts w:cs="Times New Roman"/>
      <w:caps/>
      <w:color w:val="DF6532"/>
      <w:szCs w:val="24"/>
    </w:rPr>
  </w:style>
  <w:style w:type="paragraph" w:customStyle="1" w:styleId="H-ParagraphList">
    <w:name w:val="H-Paragraph List"/>
    <w:basedOn w:val="ListParagraph"/>
    <w:qFormat/>
    <w:rsid w:val="00867290"/>
    <w:pPr>
      <w:numPr>
        <w:numId w:val="21"/>
      </w:numPr>
      <w:spacing w:after="120" w:line="280" w:lineRule="atLeast"/>
      <w:contextualSpacing w:val="0"/>
      <w:jc w:val="both"/>
    </w:pPr>
    <w:rPr>
      <w:rFonts w:ascii="Helvetica" w:eastAsia="Times New Roman" w:hAnsi="Helvetica" w:cs="Arial"/>
      <w:snapToGrid w:val="0"/>
      <w:color w:val="000000"/>
      <w:sz w:val="20"/>
      <w:szCs w:val="24"/>
    </w:rPr>
  </w:style>
  <w:style w:type="paragraph" w:customStyle="1" w:styleId="H-Heading2">
    <w:name w:val="H-Heading 2"/>
    <w:basedOn w:val="H-Heading1"/>
    <w:qFormat/>
    <w:rsid w:val="00867290"/>
    <w:pPr>
      <w:numPr>
        <w:ilvl w:val="1"/>
        <w:numId w:val="22"/>
      </w:numPr>
      <w:spacing w:before="240" w:after="240"/>
    </w:pPr>
    <w:rPr>
      <w:caps w:val="0"/>
      <w:color w:val="6F6F6F"/>
      <w:sz w:val="20"/>
    </w:rPr>
  </w:style>
  <w:style w:type="paragraph" w:customStyle="1" w:styleId="H-Heading3">
    <w:name w:val="H-Heading 3"/>
    <w:basedOn w:val="H-Heading2"/>
    <w:rsid w:val="00867290"/>
    <w:pPr>
      <w:numPr>
        <w:ilvl w:val="2"/>
        <w:numId w:val="23"/>
      </w:numPr>
    </w:pPr>
    <w:rPr>
      <w:b w:val="0"/>
      <w:color w:val="DF6532"/>
    </w:rPr>
  </w:style>
  <w:style w:type="paragraph" w:customStyle="1" w:styleId="H-Heading4">
    <w:name w:val="H-Heading 4"/>
    <w:basedOn w:val="H-Heading3"/>
    <w:qFormat/>
    <w:rsid w:val="00867290"/>
    <w:pPr>
      <w:numPr>
        <w:ilvl w:val="0"/>
        <w:numId w:val="0"/>
      </w:numPr>
    </w:pPr>
    <w:rPr>
      <w:b/>
      <w:color w:val="6E8967"/>
    </w:rPr>
  </w:style>
  <w:style w:type="paragraph" w:styleId="Bibliography">
    <w:name w:val="Bibliography"/>
    <w:basedOn w:val="Normal"/>
    <w:next w:val="Normal"/>
    <w:uiPriority w:val="37"/>
    <w:semiHidden/>
    <w:unhideWhenUsed/>
    <w:rsid w:val="00867290"/>
    <w:pPr>
      <w:spacing w:before="60" w:after="140" w:line="220" w:lineRule="atLeast"/>
      <w:jc w:val="both"/>
    </w:pPr>
    <w:rPr>
      <w:rFonts w:ascii="Arial" w:eastAsia="Times New Roman" w:hAnsi="Arial" w:cs="Times New Roman"/>
      <w:sz w:val="18"/>
      <w:szCs w:val="24"/>
      <w:lang w:val="hr-HR" w:eastAsia="hr-HR" w:bidi="hr-HR"/>
    </w:rPr>
  </w:style>
  <w:style w:type="paragraph" w:styleId="BlockText">
    <w:name w:val="Block Text"/>
    <w:basedOn w:val="Normal"/>
    <w:uiPriority w:val="99"/>
    <w:semiHidden/>
    <w:unhideWhenUsed/>
    <w:rsid w:val="00867290"/>
    <w:pPr>
      <w:pBdr>
        <w:top w:val="single" w:sz="2" w:space="10" w:color="5B9BD5" w:themeColor="accent1"/>
        <w:left w:val="single" w:sz="2" w:space="10" w:color="5B9BD5" w:themeColor="accent1"/>
        <w:bottom w:val="single" w:sz="2" w:space="10" w:color="5B9BD5" w:themeColor="accent1"/>
        <w:right w:val="single" w:sz="2" w:space="10" w:color="5B9BD5" w:themeColor="accent1"/>
      </w:pBdr>
      <w:spacing w:before="60" w:after="140" w:line="220" w:lineRule="atLeast"/>
      <w:ind w:left="1152" w:right="1152"/>
      <w:jc w:val="both"/>
    </w:pPr>
    <w:rPr>
      <w:rFonts w:eastAsiaTheme="minorEastAsia"/>
      <w:i/>
      <w:iCs/>
      <w:color w:val="5B9BD5" w:themeColor="accent1"/>
      <w:sz w:val="18"/>
      <w:szCs w:val="24"/>
      <w:lang w:val="hr-HR" w:eastAsia="hr-HR" w:bidi="hr-HR"/>
    </w:rPr>
  </w:style>
  <w:style w:type="paragraph" w:styleId="BodyText3">
    <w:name w:val="Body Text 3"/>
    <w:basedOn w:val="Normal"/>
    <w:link w:val="BodyText3Char"/>
    <w:uiPriority w:val="99"/>
    <w:semiHidden/>
    <w:unhideWhenUsed/>
    <w:rsid w:val="00867290"/>
    <w:pPr>
      <w:spacing w:before="60" w:after="120" w:line="220" w:lineRule="atLeast"/>
      <w:jc w:val="both"/>
    </w:pPr>
    <w:rPr>
      <w:rFonts w:ascii="Arial" w:eastAsia="Times New Roman" w:hAnsi="Arial" w:cs="Times New Roman"/>
      <w:sz w:val="16"/>
      <w:szCs w:val="16"/>
      <w:lang w:val="hr-HR" w:eastAsia="hr-HR" w:bidi="hr-HR"/>
    </w:rPr>
  </w:style>
  <w:style w:type="character" w:customStyle="1" w:styleId="BodyText3Char">
    <w:name w:val="Body Text 3 Char"/>
    <w:basedOn w:val="DefaultParagraphFont"/>
    <w:link w:val="BodyText3"/>
    <w:uiPriority w:val="99"/>
    <w:semiHidden/>
    <w:rsid w:val="00867290"/>
    <w:rPr>
      <w:rFonts w:ascii="Arial" w:eastAsia="Times New Roman" w:hAnsi="Arial" w:cs="Times New Roman"/>
      <w:sz w:val="16"/>
      <w:szCs w:val="16"/>
      <w:lang w:val="hr-HR" w:eastAsia="hr-HR" w:bidi="hr-HR"/>
    </w:rPr>
  </w:style>
  <w:style w:type="paragraph" w:styleId="BodyTextFirstIndent">
    <w:name w:val="Body Text First Indent"/>
    <w:basedOn w:val="BodyText"/>
    <w:link w:val="BodyTextFirstIndentChar"/>
    <w:uiPriority w:val="99"/>
    <w:semiHidden/>
    <w:unhideWhenUsed/>
    <w:rsid w:val="00867290"/>
    <w:pPr>
      <w:spacing w:before="60" w:after="140" w:line="220" w:lineRule="atLeast"/>
      <w:ind w:firstLine="360"/>
    </w:pPr>
    <w:rPr>
      <w:szCs w:val="24"/>
    </w:rPr>
  </w:style>
  <w:style w:type="character" w:customStyle="1" w:styleId="BodyTextFirstIndentChar">
    <w:name w:val="Body Text First Indent Char"/>
    <w:basedOn w:val="BodyTextChar"/>
    <w:link w:val="BodyTextFirstIndent"/>
    <w:uiPriority w:val="99"/>
    <w:semiHidden/>
    <w:rsid w:val="00867290"/>
    <w:rPr>
      <w:rFonts w:ascii="Arial" w:eastAsia="Times New Roman" w:hAnsi="Arial" w:cs="Times New Roman"/>
      <w:sz w:val="18"/>
      <w:szCs w:val="24"/>
      <w:lang w:val="hr-HR" w:eastAsia="hr-HR" w:bidi="hr-HR"/>
    </w:rPr>
  </w:style>
  <w:style w:type="paragraph" w:styleId="BodyTextIndent">
    <w:name w:val="Body Text Indent"/>
    <w:basedOn w:val="Normal"/>
    <w:link w:val="BodyTextIndentChar"/>
    <w:uiPriority w:val="99"/>
    <w:semiHidden/>
    <w:unhideWhenUsed/>
    <w:rsid w:val="00867290"/>
    <w:pPr>
      <w:spacing w:before="60" w:after="120" w:line="220" w:lineRule="atLeast"/>
      <w:ind w:left="283"/>
      <w:jc w:val="both"/>
    </w:pPr>
    <w:rPr>
      <w:rFonts w:ascii="Arial" w:eastAsia="Times New Roman" w:hAnsi="Arial" w:cs="Times New Roman"/>
      <w:sz w:val="18"/>
      <w:szCs w:val="24"/>
      <w:lang w:val="hr-HR" w:eastAsia="hr-HR" w:bidi="hr-HR"/>
    </w:rPr>
  </w:style>
  <w:style w:type="character" w:customStyle="1" w:styleId="BodyTextIndentChar">
    <w:name w:val="Body Text Indent Char"/>
    <w:basedOn w:val="DefaultParagraphFont"/>
    <w:link w:val="BodyTextIndent"/>
    <w:uiPriority w:val="99"/>
    <w:semiHidden/>
    <w:rsid w:val="00867290"/>
    <w:rPr>
      <w:rFonts w:ascii="Arial" w:eastAsia="Times New Roman" w:hAnsi="Arial" w:cs="Times New Roman"/>
      <w:sz w:val="18"/>
      <w:szCs w:val="24"/>
      <w:lang w:val="hr-HR" w:eastAsia="hr-HR" w:bidi="hr-HR"/>
    </w:rPr>
  </w:style>
  <w:style w:type="paragraph" w:styleId="BodyTextFirstIndent2">
    <w:name w:val="Body Text First Indent 2"/>
    <w:basedOn w:val="BodyTextIndent"/>
    <w:link w:val="BodyTextFirstIndent2Char"/>
    <w:uiPriority w:val="99"/>
    <w:semiHidden/>
    <w:unhideWhenUsed/>
    <w:rsid w:val="00867290"/>
    <w:pPr>
      <w:spacing w:after="140"/>
      <w:ind w:left="360" w:firstLine="360"/>
    </w:pPr>
  </w:style>
  <w:style w:type="character" w:customStyle="1" w:styleId="BodyTextFirstIndent2Char">
    <w:name w:val="Body Text First Indent 2 Char"/>
    <w:basedOn w:val="BodyTextIndentChar"/>
    <w:link w:val="BodyTextFirstIndent2"/>
    <w:uiPriority w:val="99"/>
    <w:semiHidden/>
    <w:rsid w:val="00867290"/>
    <w:rPr>
      <w:rFonts w:ascii="Arial" w:eastAsia="Times New Roman" w:hAnsi="Arial" w:cs="Times New Roman"/>
      <w:sz w:val="18"/>
      <w:szCs w:val="24"/>
      <w:lang w:val="hr-HR" w:eastAsia="hr-HR" w:bidi="hr-HR"/>
    </w:rPr>
  </w:style>
  <w:style w:type="paragraph" w:styleId="BodyTextIndent2">
    <w:name w:val="Body Text Indent 2"/>
    <w:basedOn w:val="Normal"/>
    <w:link w:val="BodyTextIndent2Char"/>
    <w:uiPriority w:val="99"/>
    <w:semiHidden/>
    <w:unhideWhenUsed/>
    <w:rsid w:val="00867290"/>
    <w:pPr>
      <w:spacing w:before="60" w:after="120" w:line="480" w:lineRule="auto"/>
      <w:ind w:left="283"/>
      <w:jc w:val="both"/>
    </w:pPr>
    <w:rPr>
      <w:rFonts w:ascii="Arial" w:eastAsia="Times New Roman" w:hAnsi="Arial" w:cs="Times New Roman"/>
      <w:sz w:val="18"/>
      <w:szCs w:val="24"/>
      <w:lang w:val="hr-HR" w:eastAsia="hr-HR" w:bidi="hr-HR"/>
    </w:rPr>
  </w:style>
  <w:style w:type="character" w:customStyle="1" w:styleId="BodyTextIndent2Char">
    <w:name w:val="Body Text Indent 2 Char"/>
    <w:basedOn w:val="DefaultParagraphFont"/>
    <w:link w:val="BodyTextIndent2"/>
    <w:uiPriority w:val="99"/>
    <w:semiHidden/>
    <w:rsid w:val="00867290"/>
    <w:rPr>
      <w:rFonts w:ascii="Arial" w:eastAsia="Times New Roman" w:hAnsi="Arial" w:cs="Times New Roman"/>
      <w:sz w:val="18"/>
      <w:szCs w:val="24"/>
      <w:lang w:val="hr-HR" w:eastAsia="hr-HR" w:bidi="hr-HR"/>
    </w:rPr>
  </w:style>
  <w:style w:type="paragraph" w:styleId="BodyTextIndent3">
    <w:name w:val="Body Text Indent 3"/>
    <w:basedOn w:val="Normal"/>
    <w:link w:val="BodyTextIndent3Char"/>
    <w:uiPriority w:val="99"/>
    <w:semiHidden/>
    <w:unhideWhenUsed/>
    <w:rsid w:val="00867290"/>
    <w:pPr>
      <w:spacing w:before="60" w:after="120" w:line="220" w:lineRule="atLeast"/>
      <w:ind w:left="283"/>
      <w:jc w:val="both"/>
    </w:pPr>
    <w:rPr>
      <w:rFonts w:ascii="Arial" w:eastAsia="Times New Roman" w:hAnsi="Arial" w:cs="Times New Roman"/>
      <w:sz w:val="16"/>
      <w:szCs w:val="16"/>
      <w:lang w:val="hr-HR" w:eastAsia="hr-HR" w:bidi="hr-HR"/>
    </w:rPr>
  </w:style>
  <w:style w:type="character" w:customStyle="1" w:styleId="BodyTextIndent3Char">
    <w:name w:val="Body Text Indent 3 Char"/>
    <w:basedOn w:val="DefaultParagraphFont"/>
    <w:link w:val="BodyTextIndent3"/>
    <w:uiPriority w:val="99"/>
    <w:semiHidden/>
    <w:rsid w:val="00867290"/>
    <w:rPr>
      <w:rFonts w:ascii="Arial" w:eastAsia="Times New Roman" w:hAnsi="Arial" w:cs="Times New Roman"/>
      <w:sz w:val="16"/>
      <w:szCs w:val="16"/>
      <w:lang w:val="hr-HR" w:eastAsia="hr-HR" w:bidi="hr-HR"/>
    </w:rPr>
  </w:style>
  <w:style w:type="paragraph" w:styleId="Closing">
    <w:name w:val="Closing"/>
    <w:basedOn w:val="Normal"/>
    <w:link w:val="ClosingChar"/>
    <w:uiPriority w:val="99"/>
    <w:semiHidden/>
    <w:unhideWhenUsed/>
    <w:rsid w:val="00867290"/>
    <w:pPr>
      <w:spacing w:after="0" w:line="240" w:lineRule="auto"/>
      <w:ind w:left="4252"/>
      <w:jc w:val="both"/>
    </w:pPr>
    <w:rPr>
      <w:rFonts w:ascii="Arial" w:eastAsia="Times New Roman" w:hAnsi="Arial" w:cs="Times New Roman"/>
      <w:sz w:val="18"/>
      <w:szCs w:val="24"/>
      <w:lang w:val="hr-HR" w:eastAsia="hr-HR" w:bidi="hr-HR"/>
    </w:rPr>
  </w:style>
  <w:style w:type="character" w:customStyle="1" w:styleId="ClosingChar">
    <w:name w:val="Closing Char"/>
    <w:basedOn w:val="DefaultParagraphFont"/>
    <w:link w:val="Closing"/>
    <w:uiPriority w:val="99"/>
    <w:semiHidden/>
    <w:rsid w:val="00867290"/>
    <w:rPr>
      <w:rFonts w:ascii="Arial" w:eastAsia="Times New Roman" w:hAnsi="Arial" w:cs="Times New Roman"/>
      <w:sz w:val="18"/>
      <w:szCs w:val="24"/>
      <w:lang w:val="hr-HR" w:eastAsia="hr-HR" w:bidi="hr-HR"/>
    </w:rPr>
  </w:style>
  <w:style w:type="paragraph" w:styleId="Date">
    <w:name w:val="Date"/>
    <w:basedOn w:val="Normal"/>
    <w:next w:val="Normal"/>
    <w:link w:val="DateChar"/>
    <w:uiPriority w:val="99"/>
    <w:semiHidden/>
    <w:unhideWhenUsed/>
    <w:rsid w:val="00867290"/>
    <w:pPr>
      <w:spacing w:before="60" w:after="140" w:line="220" w:lineRule="atLeast"/>
      <w:jc w:val="both"/>
    </w:pPr>
    <w:rPr>
      <w:rFonts w:ascii="Arial" w:eastAsia="Times New Roman" w:hAnsi="Arial" w:cs="Times New Roman"/>
      <w:sz w:val="18"/>
      <w:szCs w:val="24"/>
      <w:lang w:val="hr-HR" w:eastAsia="hr-HR" w:bidi="hr-HR"/>
    </w:rPr>
  </w:style>
  <w:style w:type="character" w:customStyle="1" w:styleId="DateChar">
    <w:name w:val="Date Char"/>
    <w:basedOn w:val="DefaultParagraphFont"/>
    <w:link w:val="Date"/>
    <w:uiPriority w:val="99"/>
    <w:semiHidden/>
    <w:rsid w:val="00867290"/>
    <w:rPr>
      <w:rFonts w:ascii="Arial" w:eastAsia="Times New Roman" w:hAnsi="Arial" w:cs="Times New Roman"/>
      <w:sz w:val="18"/>
      <w:szCs w:val="24"/>
      <w:lang w:val="hr-HR" w:eastAsia="hr-HR" w:bidi="hr-HR"/>
    </w:rPr>
  </w:style>
  <w:style w:type="paragraph" w:styleId="E-mailSignature">
    <w:name w:val="E-mail Signature"/>
    <w:basedOn w:val="Normal"/>
    <w:link w:val="E-mailSignatureChar"/>
    <w:uiPriority w:val="99"/>
    <w:semiHidden/>
    <w:unhideWhenUsed/>
    <w:rsid w:val="00867290"/>
    <w:pPr>
      <w:spacing w:after="0" w:line="240" w:lineRule="auto"/>
      <w:jc w:val="both"/>
    </w:pPr>
    <w:rPr>
      <w:rFonts w:ascii="Arial" w:eastAsia="Times New Roman" w:hAnsi="Arial" w:cs="Times New Roman"/>
      <w:sz w:val="18"/>
      <w:szCs w:val="24"/>
      <w:lang w:val="hr-HR" w:eastAsia="hr-HR" w:bidi="hr-HR"/>
    </w:rPr>
  </w:style>
  <w:style w:type="character" w:customStyle="1" w:styleId="E-mailSignatureChar">
    <w:name w:val="E-mail Signature Char"/>
    <w:basedOn w:val="DefaultParagraphFont"/>
    <w:link w:val="E-mailSignature"/>
    <w:uiPriority w:val="99"/>
    <w:semiHidden/>
    <w:rsid w:val="00867290"/>
    <w:rPr>
      <w:rFonts w:ascii="Arial" w:eastAsia="Times New Roman" w:hAnsi="Arial" w:cs="Times New Roman"/>
      <w:sz w:val="18"/>
      <w:szCs w:val="24"/>
      <w:lang w:val="hr-HR" w:eastAsia="hr-HR" w:bidi="hr-HR"/>
    </w:rPr>
  </w:style>
  <w:style w:type="paragraph" w:styleId="EnvelopeAddress">
    <w:name w:val="envelope address"/>
    <w:basedOn w:val="Normal"/>
    <w:uiPriority w:val="99"/>
    <w:semiHidden/>
    <w:unhideWhenUsed/>
    <w:rsid w:val="00867290"/>
    <w:pPr>
      <w:framePr w:w="7938" w:h="1985" w:hRule="exact" w:hSpace="141" w:wrap="auto" w:hAnchor="page" w:xAlign="center" w:yAlign="bottom"/>
      <w:spacing w:after="0" w:line="240" w:lineRule="auto"/>
      <w:ind w:left="2835"/>
      <w:jc w:val="both"/>
    </w:pPr>
    <w:rPr>
      <w:rFonts w:asciiTheme="majorHAnsi" w:eastAsiaTheme="majorEastAsia" w:hAnsiTheme="majorHAnsi" w:cstheme="majorBidi"/>
      <w:sz w:val="24"/>
      <w:szCs w:val="24"/>
      <w:lang w:val="hr-HR" w:eastAsia="hr-HR" w:bidi="hr-HR"/>
    </w:rPr>
  </w:style>
  <w:style w:type="paragraph" w:styleId="EnvelopeReturn">
    <w:name w:val="envelope return"/>
    <w:basedOn w:val="Normal"/>
    <w:uiPriority w:val="99"/>
    <w:semiHidden/>
    <w:unhideWhenUsed/>
    <w:rsid w:val="00867290"/>
    <w:pPr>
      <w:spacing w:after="0" w:line="240" w:lineRule="auto"/>
      <w:jc w:val="both"/>
    </w:pPr>
    <w:rPr>
      <w:rFonts w:asciiTheme="majorHAnsi" w:eastAsiaTheme="majorEastAsia" w:hAnsiTheme="majorHAnsi" w:cstheme="majorBidi"/>
      <w:sz w:val="20"/>
      <w:szCs w:val="20"/>
      <w:lang w:val="hr-HR" w:eastAsia="hr-HR" w:bidi="hr-HR"/>
    </w:rPr>
  </w:style>
  <w:style w:type="paragraph" w:styleId="HTMLAddress">
    <w:name w:val="HTML Address"/>
    <w:basedOn w:val="Normal"/>
    <w:link w:val="HTMLAddressChar"/>
    <w:uiPriority w:val="99"/>
    <w:semiHidden/>
    <w:unhideWhenUsed/>
    <w:rsid w:val="00867290"/>
    <w:pPr>
      <w:spacing w:after="0" w:line="240" w:lineRule="auto"/>
      <w:jc w:val="both"/>
    </w:pPr>
    <w:rPr>
      <w:rFonts w:ascii="Arial" w:eastAsia="Times New Roman" w:hAnsi="Arial" w:cs="Times New Roman"/>
      <w:i/>
      <w:iCs/>
      <w:sz w:val="18"/>
      <w:szCs w:val="24"/>
      <w:lang w:val="hr-HR" w:eastAsia="hr-HR" w:bidi="hr-HR"/>
    </w:rPr>
  </w:style>
  <w:style w:type="character" w:customStyle="1" w:styleId="HTMLAddressChar">
    <w:name w:val="HTML Address Char"/>
    <w:basedOn w:val="DefaultParagraphFont"/>
    <w:link w:val="HTMLAddress"/>
    <w:uiPriority w:val="99"/>
    <w:semiHidden/>
    <w:rsid w:val="00867290"/>
    <w:rPr>
      <w:rFonts w:ascii="Arial" w:eastAsia="Times New Roman" w:hAnsi="Arial" w:cs="Times New Roman"/>
      <w:i/>
      <w:iCs/>
      <w:sz w:val="18"/>
      <w:szCs w:val="24"/>
      <w:lang w:val="hr-HR" w:eastAsia="hr-HR" w:bidi="hr-HR"/>
    </w:rPr>
  </w:style>
  <w:style w:type="paragraph" w:styleId="HTMLPreformatted">
    <w:name w:val="HTML Preformatted"/>
    <w:basedOn w:val="Normal"/>
    <w:link w:val="HTMLPreformattedChar"/>
    <w:uiPriority w:val="99"/>
    <w:semiHidden/>
    <w:unhideWhenUsed/>
    <w:rsid w:val="00867290"/>
    <w:pPr>
      <w:spacing w:after="0" w:line="240" w:lineRule="auto"/>
      <w:jc w:val="both"/>
    </w:pPr>
    <w:rPr>
      <w:rFonts w:ascii="Consolas" w:eastAsia="Times New Roman" w:hAnsi="Consolas" w:cs="Times New Roman"/>
      <w:sz w:val="20"/>
      <w:szCs w:val="20"/>
      <w:lang w:val="hr-HR" w:eastAsia="hr-HR" w:bidi="hr-HR"/>
    </w:rPr>
  </w:style>
  <w:style w:type="character" w:customStyle="1" w:styleId="HTMLPreformattedChar">
    <w:name w:val="HTML Preformatted Char"/>
    <w:basedOn w:val="DefaultParagraphFont"/>
    <w:link w:val="HTMLPreformatted"/>
    <w:uiPriority w:val="99"/>
    <w:semiHidden/>
    <w:rsid w:val="00867290"/>
    <w:rPr>
      <w:rFonts w:ascii="Consolas" w:eastAsia="Times New Roman" w:hAnsi="Consolas" w:cs="Times New Roman"/>
      <w:sz w:val="20"/>
      <w:szCs w:val="20"/>
      <w:lang w:val="hr-HR" w:eastAsia="hr-HR" w:bidi="hr-HR"/>
    </w:rPr>
  </w:style>
  <w:style w:type="paragraph" w:styleId="Index1">
    <w:name w:val="index 1"/>
    <w:basedOn w:val="Normal"/>
    <w:next w:val="Normal"/>
    <w:autoRedefine/>
    <w:uiPriority w:val="99"/>
    <w:semiHidden/>
    <w:unhideWhenUsed/>
    <w:rsid w:val="00867290"/>
    <w:pPr>
      <w:spacing w:after="0" w:line="240" w:lineRule="auto"/>
      <w:ind w:left="180" w:hanging="180"/>
      <w:jc w:val="both"/>
    </w:pPr>
    <w:rPr>
      <w:rFonts w:ascii="Arial" w:eastAsia="Times New Roman" w:hAnsi="Arial" w:cs="Times New Roman"/>
      <w:sz w:val="18"/>
      <w:szCs w:val="24"/>
      <w:lang w:val="hr-HR" w:eastAsia="hr-HR" w:bidi="hr-HR"/>
    </w:rPr>
  </w:style>
  <w:style w:type="paragraph" w:styleId="Index2">
    <w:name w:val="index 2"/>
    <w:basedOn w:val="Normal"/>
    <w:next w:val="Normal"/>
    <w:autoRedefine/>
    <w:uiPriority w:val="99"/>
    <w:semiHidden/>
    <w:unhideWhenUsed/>
    <w:rsid w:val="00867290"/>
    <w:pPr>
      <w:spacing w:after="0" w:line="240" w:lineRule="auto"/>
      <w:ind w:left="360" w:hanging="180"/>
      <w:jc w:val="both"/>
    </w:pPr>
    <w:rPr>
      <w:rFonts w:ascii="Arial" w:eastAsia="Times New Roman" w:hAnsi="Arial" w:cs="Times New Roman"/>
      <w:sz w:val="18"/>
      <w:szCs w:val="24"/>
      <w:lang w:val="hr-HR" w:eastAsia="hr-HR" w:bidi="hr-HR"/>
    </w:rPr>
  </w:style>
  <w:style w:type="paragraph" w:styleId="Index3">
    <w:name w:val="index 3"/>
    <w:basedOn w:val="Normal"/>
    <w:next w:val="Normal"/>
    <w:autoRedefine/>
    <w:uiPriority w:val="99"/>
    <w:semiHidden/>
    <w:unhideWhenUsed/>
    <w:rsid w:val="00867290"/>
    <w:pPr>
      <w:spacing w:after="0" w:line="240" w:lineRule="auto"/>
      <w:ind w:left="540" w:hanging="180"/>
      <w:jc w:val="both"/>
    </w:pPr>
    <w:rPr>
      <w:rFonts w:ascii="Arial" w:eastAsia="Times New Roman" w:hAnsi="Arial" w:cs="Times New Roman"/>
      <w:sz w:val="18"/>
      <w:szCs w:val="24"/>
      <w:lang w:val="hr-HR" w:eastAsia="hr-HR" w:bidi="hr-HR"/>
    </w:rPr>
  </w:style>
  <w:style w:type="paragraph" w:styleId="Index4">
    <w:name w:val="index 4"/>
    <w:basedOn w:val="Normal"/>
    <w:next w:val="Normal"/>
    <w:autoRedefine/>
    <w:uiPriority w:val="99"/>
    <w:semiHidden/>
    <w:unhideWhenUsed/>
    <w:rsid w:val="00867290"/>
    <w:pPr>
      <w:spacing w:after="0" w:line="240" w:lineRule="auto"/>
      <w:ind w:left="720" w:hanging="180"/>
      <w:jc w:val="both"/>
    </w:pPr>
    <w:rPr>
      <w:rFonts w:ascii="Arial" w:eastAsia="Times New Roman" w:hAnsi="Arial" w:cs="Times New Roman"/>
      <w:sz w:val="18"/>
      <w:szCs w:val="24"/>
      <w:lang w:val="hr-HR" w:eastAsia="hr-HR" w:bidi="hr-HR"/>
    </w:rPr>
  </w:style>
  <w:style w:type="paragraph" w:styleId="Index5">
    <w:name w:val="index 5"/>
    <w:basedOn w:val="Normal"/>
    <w:next w:val="Normal"/>
    <w:autoRedefine/>
    <w:uiPriority w:val="99"/>
    <w:semiHidden/>
    <w:unhideWhenUsed/>
    <w:rsid w:val="00867290"/>
    <w:pPr>
      <w:spacing w:after="0" w:line="240" w:lineRule="auto"/>
      <w:ind w:left="900" w:hanging="180"/>
      <w:jc w:val="both"/>
    </w:pPr>
    <w:rPr>
      <w:rFonts w:ascii="Arial" w:eastAsia="Times New Roman" w:hAnsi="Arial" w:cs="Times New Roman"/>
      <w:sz w:val="18"/>
      <w:szCs w:val="24"/>
      <w:lang w:val="hr-HR" w:eastAsia="hr-HR" w:bidi="hr-HR"/>
    </w:rPr>
  </w:style>
  <w:style w:type="paragraph" w:styleId="Index6">
    <w:name w:val="index 6"/>
    <w:basedOn w:val="Normal"/>
    <w:next w:val="Normal"/>
    <w:autoRedefine/>
    <w:uiPriority w:val="99"/>
    <w:semiHidden/>
    <w:unhideWhenUsed/>
    <w:rsid w:val="00867290"/>
    <w:pPr>
      <w:spacing w:after="0" w:line="240" w:lineRule="auto"/>
      <w:ind w:left="1080" w:hanging="180"/>
      <w:jc w:val="both"/>
    </w:pPr>
    <w:rPr>
      <w:rFonts w:ascii="Arial" w:eastAsia="Times New Roman" w:hAnsi="Arial" w:cs="Times New Roman"/>
      <w:sz w:val="18"/>
      <w:szCs w:val="24"/>
      <w:lang w:val="hr-HR" w:eastAsia="hr-HR" w:bidi="hr-HR"/>
    </w:rPr>
  </w:style>
  <w:style w:type="paragraph" w:styleId="Index7">
    <w:name w:val="index 7"/>
    <w:basedOn w:val="Normal"/>
    <w:next w:val="Normal"/>
    <w:autoRedefine/>
    <w:uiPriority w:val="99"/>
    <w:semiHidden/>
    <w:unhideWhenUsed/>
    <w:rsid w:val="00867290"/>
    <w:pPr>
      <w:spacing w:after="0" w:line="240" w:lineRule="auto"/>
      <w:ind w:left="1260" w:hanging="180"/>
      <w:jc w:val="both"/>
    </w:pPr>
    <w:rPr>
      <w:rFonts w:ascii="Arial" w:eastAsia="Times New Roman" w:hAnsi="Arial" w:cs="Times New Roman"/>
      <w:sz w:val="18"/>
      <w:szCs w:val="24"/>
      <w:lang w:val="hr-HR" w:eastAsia="hr-HR" w:bidi="hr-HR"/>
    </w:rPr>
  </w:style>
  <w:style w:type="paragraph" w:styleId="Index8">
    <w:name w:val="index 8"/>
    <w:basedOn w:val="Normal"/>
    <w:next w:val="Normal"/>
    <w:autoRedefine/>
    <w:uiPriority w:val="99"/>
    <w:semiHidden/>
    <w:unhideWhenUsed/>
    <w:rsid w:val="00867290"/>
    <w:pPr>
      <w:spacing w:after="0" w:line="240" w:lineRule="auto"/>
      <w:ind w:left="1440" w:hanging="180"/>
      <w:jc w:val="both"/>
    </w:pPr>
    <w:rPr>
      <w:rFonts w:ascii="Arial" w:eastAsia="Times New Roman" w:hAnsi="Arial" w:cs="Times New Roman"/>
      <w:sz w:val="18"/>
      <w:szCs w:val="24"/>
      <w:lang w:val="hr-HR" w:eastAsia="hr-HR" w:bidi="hr-HR"/>
    </w:rPr>
  </w:style>
  <w:style w:type="paragraph" w:styleId="Index9">
    <w:name w:val="index 9"/>
    <w:basedOn w:val="Normal"/>
    <w:next w:val="Normal"/>
    <w:autoRedefine/>
    <w:uiPriority w:val="99"/>
    <w:semiHidden/>
    <w:unhideWhenUsed/>
    <w:rsid w:val="00867290"/>
    <w:pPr>
      <w:spacing w:after="0" w:line="240" w:lineRule="auto"/>
      <w:ind w:left="1620" w:hanging="180"/>
      <w:jc w:val="both"/>
    </w:pPr>
    <w:rPr>
      <w:rFonts w:ascii="Arial" w:eastAsia="Times New Roman" w:hAnsi="Arial" w:cs="Times New Roman"/>
      <w:sz w:val="18"/>
      <w:szCs w:val="24"/>
      <w:lang w:val="hr-HR" w:eastAsia="hr-HR" w:bidi="hr-HR"/>
    </w:rPr>
  </w:style>
  <w:style w:type="paragraph" w:styleId="IndexHeading">
    <w:name w:val="index heading"/>
    <w:basedOn w:val="Normal"/>
    <w:next w:val="Index1"/>
    <w:uiPriority w:val="99"/>
    <w:semiHidden/>
    <w:unhideWhenUsed/>
    <w:rsid w:val="00867290"/>
    <w:pPr>
      <w:spacing w:before="60" w:after="140" w:line="220" w:lineRule="atLeast"/>
      <w:jc w:val="both"/>
    </w:pPr>
    <w:rPr>
      <w:rFonts w:asciiTheme="majorHAnsi" w:eastAsiaTheme="majorEastAsia" w:hAnsiTheme="majorHAnsi" w:cstheme="majorBidi"/>
      <w:b/>
      <w:bCs/>
      <w:sz w:val="18"/>
      <w:szCs w:val="24"/>
      <w:lang w:val="hr-HR" w:eastAsia="hr-HR" w:bidi="hr-HR"/>
    </w:rPr>
  </w:style>
  <w:style w:type="paragraph" w:styleId="IntenseQuote">
    <w:name w:val="Intense Quote"/>
    <w:basedOn w:val="Normal"/>
    <w:next w:val="Normal"/>
    <w:link w:val="IntenseQuoteChar"/>
    <w:uiPriority w:val="30"/>
    <w:qFormat/>
    <w:rsid w:val="00867290"/>
    <w:pPr>
      <w:pBdr>
        <w:top w:val="single" w:sz="4" w:space="10" w:color="5B9BD5" w:themeColor="accent1"/>
        <w:bottom w:val="single" w:sz="4" w:space="10" w:color="5B9BD5" w:themeColor="accent1"/>
      </w:pBdr>
      <w:spacing w:before="360" w:after="360" w:line="220" w:lineRule="atLeast"/>
      <w:ind w:left="864" w:right="864"/>
      <w:jc w:val="center"/>
    </w:pPr>
    <w:rPr>
      <w:rFonts w:ascii="Arial" w:eastAsia="Times New Roman" w:hAnsi="Arial" w:cs="Times New Roman"/>
      <w:i/>
      <w:iCs/>
      <w:color w:val="5B9BD5" w:themeColor="accent1"/>
      <w:sz w:val="18"/>
      <w:szCs w:val="24"/>
      <w:lang w:val="hr-HR" w:eastAsia="hr-HR" w:bidi="hr-HR"/>
    </w:rPr>
  </w:style>
  <w:style w:type="character" w:customStyle="1" w:styleId="IntenseQuoteChar">
    <w:name w:val="Intense Quote Char"/>
    <w:basedOn w:val="DefaultParagraphFont"/>
    <w:link w:val="IntenseQuote"/>
    <w:uiPriority w:val="30"/>
    <w:rsid w:val="00867290"/>
    <w:rPr>
      <w:rFonts w:ascii="Arial" w:eastAsia="Times New Roman" w:hAnsi="Arial" w:cs="Times New Roman"/>
      <w:i/>
      <w:iCs/>
      <w:color w:val="5B9BD5" w:themeColor="accent1"/>
      <w:sz w:val="18"/>
      <w:szCs w:val="24"/>
      <w:lang w:val="hr-HR" w:eastAsia="hr-HR" w:bidi="hr-HR"/>
    </w:rPr>
  </w:style>
  <w:style w:type="paragraph" w:styleId="List">
    <w:name w:val="List"/>
    <w:basedOn w:val="Normal"/>
    <w:uiPriority w:val="99"/>
    <w:semiHidden/>
    <w:unhideWhenUsed/>
    <w:rsid w:val="00867290"/>
    <w:pPr>
      <w:spacing w:before="60" w:after="140" w:line="220" w:lineRule="atLeast"/>
      <w:ind w:left="283" w:hanging="283"/>
      <w:contextualSpacing/>
      <w:jc w:val="both"/>
    </w:pPr>
    <w:rPr>
      <w:rFonts w:ascii="Arial" w:eastAsia="Times New Roman" w:hAnsi="Arial" w:cs="Times New Roman"/>
      <w:sz w:val="18"/>
      <w:szCs w:val="24"/>
      <w:lang w:val="hr-HR" w:eastAsia="hr-HR" w:bidi="hr-HR"/>
    </w:rPr>
  </w:style>
  <w:style w:type="paragraph" w:styleId="List2">
    <w:name w:val="List 2"/>
    <w:basedOn w:val="Normal"/>
    <w:uiPriority w:val="99"/>
    <w:semiHidden/>
    <w:unhideWhenUsed/>
    <w:rsid w:val="00867290"/>
    <w:pPr>
      <w:spacing w:before="60" w:after="140" w:line="220" w:lineRule="atLeast"/>
      <w:ind w:left="566" w:hanging="283"/>
      <w:contextualSpacing/>
      <w:jc w:val="both"/>
    </w:pPr>
    <w:rPr>
      <w:rFonts w:ascii="Arial" w:eastAsia="Times New Roman" w:hAnsi="Arial" w:cs="Times New Roman"/>
      <w:sz w:val="18"/>
      <w:szCs w:val="24"/>
      <w:lang w:val="hr-HR" w:eastAsia="hr-HR" w:bidi="hr-HR"/>
    </w:rPr>
  </w:style>
  <w:style w:type="paragraph" w:styleId="List3">
    <w:name w:val="List 3"/>
    <w:basedOn w:val="Normal"/>
    <w:uiPriority w:val="99"/>
    <w:semiHidden/>
    <w:unhideWhenUsed/>
    <w:rsid w:val="00867290"/>
    <w:pPr>
      <w:spacing w:before="60" w:after="140" w:line="220" w:lineRule="atLeast"/>
      <w:ind w:left="849" w:hanging="283"/>
      <w:contextualSpacing/>
      <w:jc w:val="both"/>
    </w:pPr>
    <w:rPr>
      <w:rFonts w:ascii="Arial" w:eastAsia="Times New Roman" w:hAnsi="Arial" w:cs="Times New Roman"/>
      <w:sz w:val="18"/>
      <w:szCs w:val="24"/>
      <w:lang w:val="hr-HR" w:eastAsia="hr-HR" w:bidi="hr-HR"/>
    </w:rPr>
  </w:style>
  <w:style w:type="paragraph" w:styleId="List4">
    <w:name w:val="List 4"/>
    <w:basedOn w:val="Normal"/>
    <w:uiPriority w:val="99"/>
    <w:semiHidden/>
    <w:unhideWhenUsed/>
    <w:rsid w:val="00867290"/>
    <w:pPr>
      <w:spacing w:before="60" w:after="140" w:line="220" w:lineRule="atLeast"/>
      <w:ind w:left="1132" w:hanging="283"/>
      <w:contextualSpacing/>
      <w:jc w:val="both"/>
    </w:pPr>
    <w:rPr>
      <w:rFonts w:ascii="Arial" w:eastAsia="Times New Roman" w:hAnsi="Arial" w:cs="Times New Roman"/>
      <w:sz w:val="18"/>
      <w:szCs w:val="24"/>
      <w:lang w:val="hr-HR" w:eastAsia="hr-HR" w:bidi="hr-HR"/>
    </w:rPr>
  </w:style>
  <w:style w:type="paragraph" w:styleId="List5">
    <w:name w:val="List 5"/>
    <w:basedOn w:val="Normal"/>
    <w:uiPriority w:val="99"/>
    <w:semiHidden/>
    <w:unhideWhenUsed/>
    <w:rsid w:val="00867290"/>
    <w:pPr>
      <w:spacing w:before="60" w:after="140" w:line="220" w:lineRule="atLeast"/>
      <w:ind w:left="1415" w:hanging="283"/>
      <w:contextualSpacing/>
      <w:jc w:val="both"/>
    </w:pPr>
    <w:rPr>
      <w:rFonts w:ascii="Arial" w:eastAsia="Times New Roman" w:hAnsi="Arial" w:cs="Times New Roman"/>
      <w:sz w:val="18"/>
      <w:szCs w:val="24"/>
      <w:lang w:val="hr-HR" w:eastAsia="hr-HR" w:bidi="hr-HR"/>
    </w:rPr>
  </w:style>
  <w:style w:type="paragraph" w:styleId="ListBullet">
    <w:name w:val="List Bullet"/>
    <w:basedOn w:val="Normal"/>
    <w:uiPriority w:val="99"/>
    <w:semiHidden/>
    <w:unhideWhenUsed/>
    <w:rsid w:val="00867290"/>
    <w:pPr>
      <w:numPr>
        <w:numId w:val="28"/>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ListBullet2">
    <w:name w:val="List Bullet 2"/>
    <w:basedOn w:val="Normal"/>
    <w:uiPriority w:val="99"/>
    <w:semiHidden/>
    <w:unhideWhenUsed/>
    <w:rsid w:val="00867290"/>
    <w:pPr>
      <w:numPr>
        <w:numId w:val="29"/>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ListBullet3">
    <w:name w:val="List Bullet 3"/>
    <w:basedOn w:val="Normal"/>
    <w:uiPriority w:val="99"/>
    <w:semiHidden/>
    <w:unhideWhenUsed/>
    <w:rsid w:val="00867290"/>
    <w:pPr>
      <w:numPr>
        <w:numId w:val="30"/>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ListBullet4">
    <w:name w:val="List Bullet 4"/>
    <w:basedOn w:val="Normal"/>
    <w:uiPriority w:val="99"/>
    <w:semiHidden/>
    <w:unhideWhenUsed/>
    <w:rsid w:val="00867290"/>
    <w:pPr>
      <w:numPr>
        <w:numId w:val="31"/>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ListBullet5">
    <w:name w:val="List Bullet 5"/>
    <w:basedOn w:val="Normal"/>
    <w:uiPriority w:val="99"/>
    <w:semiHidden/>
    <w:unhideWhenUsed/>
    <w:rsid w:val="00867290"/>
    <w:pPr>
      <w:numPr>
        <w:numId w:val="32"/>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ListContinue">
    <w:name w:val="List Continue"/>
    <w:basedOn w:val="Normal"/>
    <w:uiPriority w:val="99"/>
    <w:semiHidden/>
    <w:unhideWhenUsed/>
    <w:rsid w:val="00867290"/>
    <w:pPr>
      <w:spacing w:before="60" w:after="120" w:line="220" w:lineRule="atLeast"/>
      <w:ind w:left="283"/>
      <w:contextualSpacing/>
      <w:jc w:val="both"/>
    </w:pPr>
    <w:rPr>
      <w:rFonts w:ascii="Arial" w:eastAsia="Times New Roman" w:hAnsi="Arial" w:cs="Times New Roman"/>
      <w:sz w:val="18"/>
      <w:szCs w:val="24"/>
      <w:lang w:val="hr-HR" w:eastAsia="hr-HR" w:bidi="hr-HR"/>
    </w:rPr>
  </w:style>
  <w:style w:type="paragraph" w:styleId="ListContinue2">
    <w:name w:val="List Continue 2"/>
    <w:basedOn w:val="Normal"/>
    <w:uiPriority w:val="99"/>
    <w:semiHidden/>
    <w:unhideWhenUsed/>
    <w:rsid w:val="00867290"/>
    <w:pPr>
      <w:spacing w:before="60" w:after="120" w:line="220" w:lineRule="atLeast"/>
      <w:ind w:left="566"/>
      <w:contextualSpacing/>
      <w:jc w:val="both"/>
    </w:pPr>
    <w:rPr>
      <w:rFonts w:ascii="Arial" w:eastAsia="Times New Roman" w:hAnsi="Arial" w:cs="Times New Roman"/>
      <w:sz w:val="18"/>
      <w:szCs w:val="24"/>
      <w:lang w:val="hr-HR" w:eastAsia="hr-HR" w:bidi="hr-HR"/>
    </w:rPr>
  </w:style>
  <w:style w:type="paragraph" w:styleId="ListContinue3">
    <w:name w:val="List Continue 3"/>
    <w:basedOn w:val="Normal"/>
    <w:uiPriority w:val="99"/>
    <w:semiHidden/>
    <w:unhideWhenUsed/>
    <w:rsid w:val="00867290"/>
    <w:pPr>
      <w:spacing w:before="60" w:after="120" w:line="220" w:lineRule="atLeast"/>
      <w:ind w:left="849"/>
      <w:contextualSpacing/>
      <w:jc w:val="both"/>
    </w:pPr>
    <w:rPr>
      <w:rFonts w:ascii="Arial" w:eastAsia="Times New Roman" w:hAnsi="Arial" w:cs="Times New Roman"/>
      <w:sz w:val="18"/>
      <w:szCs w:val="24"/>
      <w:lang w:val="hr-HR" w:eastAsia="hr-HR" w:bidi="hr-HR"/>
    </w:rPr>
  </w:style>
  <w:style w:type="paragraph" w:styleId="ListContinue4">
    <w:name w:val="List Continue 4"/>
    <w:basedOn w:val="Normal"/>
    <w:uiPriority w:val="99"/>
    <w:semiHidden/>
    <w:unhideWhenUsed/>
    <w:rsid w:val="00867290"/>
    <w:pPr>
      <w:spacing w:before="60" w:after="120" w:line="220" w:lineRule="atLeast"/>
      <w:ind w:left="1132"/>
      <w:contextualSpacing/>
      <w:jc w:val="both"/>
    </w:pPr>
    <w:rPr>
      <w:rFonts w:ascii="Arial" w:eastAsia="Times New Roman" w:hAnsi="Arial" w:cs="Times New Roman"/>
      <w:sz w:val="18"/>
      <w:szCs w:val="24"/>
      <w:lang w:val="hr-HR" w:eastAsia="hr-HR" w:bidi="hr-HR"/>
    </w:rPr>
  </w:style>
  <w:style w:type="paragraph" w:styleId="ListContinue5">
    <w:name w:val="List Continue 5"/>
    <w:basedOn w:val="Normal"/>
    <w:uiPriority w:val="99"/>
    <w:semiHidden/>
    <w:unhideWhenUsed/>
    <w:rsid w:val="00867290"/>
    <w:pPr>
      <w:spacing w:before="60" w:after="120" w:line="220" w:lineRule="atLeast"/>
      <w:ind w:left="1415"/>
      <w:contextualSpacing/>
      <w:jc w:val="both"/>
    </w:pPr>
    <w:rPr>
      <w:rFonts w:ascii="Arial" w:eastAsia="Times New Roman" w:hAnsi="Arial" w:cs="Times New Roman"/>
      <w:sz w:val="18"/>
      <w:szCs w:val="24"/>
      <w:lang w:val="hr-HR" w:eastAsia="hr-HR" w:bidi="hr-HR"/>
    </w:rPr>
  </w:style>
  <w:style w:type="paragraph" w:styleId="ListNumber">
    <w:name w:val="List Number"/>
    <w:basedOn w:val="Normal"/>
    <w:uiPriority w:val="99"/>
    <w:semiHidden/>
    <w:unhideWhenUsed/>
    <w:rsid w:val="00867290"/>
    <w:pPr>
      <w:numPr>
        <w:numId w:val="33"/>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ListNumber2">
    <w:name w:val="List Number 2"/>
    <w:basedOn w:val="Normal"/>
    <w:uiPriority w:val="99"/>
    <w:semiHidden/>
    <w:unhideWhenUsed/>
    <w:rsid w:val="00867290"/>
    <w:pPr>
      <w:numPr>
        <w:numId w:val="34"/>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ListNumber3">
    <w:name w:val="List Number 3"/>
    <w:basedOn w:val="Normal"/>
    <w:uiPriority w:val="99"/>
    <w:semiHidden/>
    <w:unhideWhenUsed/>
    <w:rsid w:val="00867290"/>
    <w:pPr>
      <w:numPr>
        <w:numId w:val="35"/>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ListNumber4">
    <w:name w:val="List Number 4"/>
    <w:basedOn w:val="Normal"/>
    <w:uiPriority w:val="99"/>
    <w:semiHidden/>
    <w:unhideWhenUsed/>
    <w:rsid w:val="00867290"/>
    <w:pPr>
      <w:numPr>
        <w:numId w:val="36"/>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ListNumber5">
    <w:name w:val="List Number 5"/>
    <w:basedOn w:val="Normal"/>
    <w:uiPriority w:val="99"/>
    <w:semiHidden/>
    <w:unhideWhenUsed/>
    <w:rsid w:val="00867290"/>
    <w:pPr>
      <w:numPr>
        <w:numId w:val="37"/>
      </w:numPr>
      <w:spacing w:before="60" w:after="140" w:line="220" w:lineRule="atLeast"/>
      <w:contextualSpacing/>
      <w:jc w:val="both"/>
    </w:pPr>
    <w:rPr>
      <w:rFonts w:ascii="Arial" w:eastAsia="Times New Roman" w:hAnsi="Arial" w:cs="Times New Roman"/>
      <w:sz w:val="18"/>
      <w:szCs w:val="24"/>
      <w:lang w:val="hr-HR" w:eastAsia="hr-HR" w:bidi="hr-HR"/>
    </w:rPr>
  </w:style>
  <w:style w:type="paragraph" w:styleId="MacroText">
    <w:name w:val="macro"/>
    <w:link w:val="MacroTextChar"/>
    <w:uiPriority w:val="99"/>
    <w:semiHidden/>
    <w:unhideWhenUsed/>
    <w:rsid w:val="00867290"/>
    <w:pPr>
      <w:tabs>
        <w:tab w:val="left" w:pos="480"/>
        <w:tab w:val="left" w:pos="960"/>
        <w:tab w:val="left" w:pos="1440"/>
        <w:tab w:val="left" w:pos="1920"/>
        <w:tab w:val="left" w:pos="2400"/>
        <w:tab w:val="left" w:pos="2880"/>
        <w:tab w:val="left" w:pos="3360"/>
        <w:tab w:val="left" w:pos="3840"/>
        <w:tab w:val="left" w:pos="4320"/>
      </w:tabs>
      <w:spacing w:before="60" w:after="0" w:line="220" w:lineRule="atLeast"/>
      <w:jc w:val="both"/>
    </w:pPr>
    <w:rPr>
      <w:rFonts w:ascii="Consolas" w:eastAsia="Times New Roman" w:hAnsi="Consolas" w:cs="Times New Roman"/>
      <w:sz w:val="20"/>
      <w:szCs w:val="20"/>
      <w:lang w:val="hr-HR" w:eastAsia="hr-HR" w:bidi="hr-HR"/>
    </w:rPr>
  </w:style>
  <w:style w:type="character" w:customStyle="1" w:styleId="MacroTextChar">
    <w:name w:val="Macro Text Char"/>
    <w:basedOn w:val="DefaultParagraphFont"/>
    <w:link w:val="MacroText"/>
    <w:uiPriority w:val="99"/>
    <w:semiHidden/>
    <w:rsid w:val="00867290"/>
    <w:rPr>
      <w:rFonts w:ascii="Consolas" w:eastAsia="Times New Roman" w:hAnsi="Consolas" w:cs="Times New Roman"/>
      <w:sz w:val="20"/>
      <w:szCs w:val="20"/>
      <w:lang w:val="hr-HR" w:eastAsia="hr-HR" w:bidi="hr-HR"/>
    </w:rPr>
  </w:style>
  <w:style w:type="paragraph" w:styleId="MessageHeader">
    <w:name w:val="Message Header"/>
    <w:basedOn w:val="Normal"/>
    <w:link w:val="MessageHeaderChar"/>
    <w:uiPriority w:val="99"/>
    <w:semiHidden/>
    <w:unhideWhenUsed/>
    <w:rsid w:val="0086729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Theme="majorHAnsi" w:eastAsiaTheme="majorEastAsia" w:hAnsiTheme="majorHAnsi" w:cstheme="majorBidi"/>
      <w:sz w:val="24"/>
      <w:szCs w:val="24"/>
      <w:lang w:val="hr-HR" w:eastAsia="hr-HR" w:bidi="hr-HR"/>
    </w:rPr>
  </w:style>
  <w:style w:type="character" w:customStyle="1" w:styleId="MessageHeaderChar">
    <w:name w:val="Message Header Char"/>
    <w:basedOn w:val="DefaultParagraphFont"/>
    <w:link w:val="MessageHeader"/>
    <w:uiPriority w:val="99"/>
    <w:semiHidden/>
    <w:rsid w:val="00867290"/>
    <w:rPr>
      <w:rFonts w:asciiTheme="majorHAnsi" w:eastAsiaTheme="majorEastAsia" w:hAnsiTheme="majorHAnsi" w:cstheme="majorBidi"/>
      <w:sz w:val="24"/>
      <w:szCs w:val="24"/>
      <w:shd w:val="pct20" w:color="auto" w:fill="auto"/>
      <w:lang w:val="hr-HR" w:eastAsia="hr-HR" w:bidi="hr-HR"/>
    </w:rPr>
  </w:style>
  <w:style w:type="paragraph" w:styleId="NormalIndent">
    <w:name w:val="Normal Indent"/>
    <w:basedOn w:val="Normal"/>
    <w:uiPriority w:val="99"/>
    <w:semiHidden/>
    <w:unhideWhenUsed/>
    <w:rsid w:val="00867290"/>
    <w:pPr>
      <w:spacing w:before="60" w:after="140" w:line="220" w:lineRule="atLeast"/>
      <w:ind w:left="708"/>
      <w:jc w:val="both"/>
    </w:pPr>
    <w:rPr>
      <w:rFonts w:ascii="Arial" w:eastAsia="Times New Roman" w:hAnsi="Arial" w:cs="Times New Roman"/>
      <w:sz w:val="18"/>
      <w:szCs w:val="24"/>
      <w:lang w:val="hr-HR" w:eastAsia="hr-HR" w:bidi="hr-HR"/>
    </w:rPr>
  </w:style>
  <w:style w:type="paragraph" w:styleId="NoteHeading">
    <w:name w:val="Note Heading"/>
    <w:basedOn w:val="Normal"/>
    <w:next w:val="Normal"/>
    <w:link w:val="NoteHeadingChar"/>
    <w:uiPriority w:val="99"/>
    <w:semiHidden/>
    <w:unhideWhenUsed/>
    <w:rsid w:val="00867290"/>
    <w:pPr>
      <w:spacing w:after="0" w:line="240" w:lineRule="auto"/>
      <w:jc w:val="both"/>
    </w:pPr>
    <w:rPr>
      <w:rFonts w:ascii="Arial" w:eastAsia="Times New Roman" w:hAnsi="Arial" w:cs="Times New Roman"/>
      <w:sz w:val="18"/>
      <w:szCs w:val="24"/>
      <w:lang w:val="hr-HR" w:eastAsia="hr-HR" w:bidi="hr-HR"/>
    </w:rPr>
  </w:style>
  <w:style w:type="character" w:customStyle="1" w:styleId="NoteHeadingChar">
    <w:name w:val="Note Heading Char"/>
    <w:basedOn w:val="DefaultParagraphFont"/>
    <w:link w:val="NoteHeading"/>
    <w:uiPriority w:val="99"/>
    <w:semiHidden/>
    <w:rsid w:val="00867290"/>
    <w:rPr>
      <w:rFonts w:ascii="Arial" w:eastAsia="Times New Roman" w:hAnsi="Arial" w:cs="Times New Roman"/>
      <w:sz w:val="18"/>
      <w:szCs w:val="24"/>
      <w:lang w:val="hr-HR" w:eastAsia="hr-HR" w:bidi="hr-HR"/>
    </w:rPr>
  </w:style>
  <w:style w:type="paragraph" w:styleId="PlainText">
    <w:name w:val="Plain Text"/>
    <w:basedOn w:val="Normal"/>
    <w:link w:val="PlainTextChar"/>
    <w:uiPriority w:val="99"/>
    <w:semiHidden/>
    <w:unhideWhenUsed/>
    <w:rsid w:val="00867290"/>
    <w:pPr>
      <w:spacing w:after="0" w:line="240" w:lineRule="auto"/>
      <w:jc w:val="both"/>
    </w:pPr>
    <w:rPr>
      <w:rFonts w:ascii="Consolas" w:eastAsia="Times New Roman" w:hAnsi="Consolas" w:cs="Times New Roman"/>
      <w:sz w:val="21"/>
      <w:szCs w:val="21"/>
      <w:lang w:val="hr-HR" w:eastAsia="hr-HR" w:bidi="hr-HR"/>
    </w:rPr>
  </w:style>
  <w:style w:type="character" w:customStyle="1" w:styleId="PlainTextChar">
    <w:name w:val="Plain Text Char"/>
    <w:basedOn w:val="DefaultParagraphFont"/>
    <w:link w:val="PlainText"/>
    <w:uiPriority w:val="99"/>
    <w:semiHidden/>
    <w:rsid w:val="00867290"/>
    <w:rPr>
      <w:rFonts w:ascii="Consolas" w:eastAsia="Times New Roman" w:hAnsi="Consolas" w:cs="Times New Roman"/>
      <w:sz w:val="21"/>
      <w:szCs w:val="21"/>
      <w:lang w:val="hr-HR" w:eastAsia="hr-HR" w:bidi="hr-HR"/>
    </w:rPr>
  </w:style>
  <w:style w:type="paragraph" w:styleId="Quote">
    <w:name w:val="Quote"/>
    <w:basedOn w:val="Normal"/>
    <w:next w:val="Normal"/>
    <w:link w:val="QuoteChar"/>
    <w:uiPriority w:val="29"/>
    <w:qFormat/>
    <w:rsid w:val="00867290"/>
    <w:pPr>
      <w:spacing w:before="200" w:line="220" w:lineRule="atLeast"/>
      <w:ind w:left="864" w:right="864"/>
      <w:jc w:val="center"/>
    </w:pPr>
    <w:rPr>
      <w:rFonts w:ascii="Arial" w:eastAsia="Times New Roman" w:hAnsi="Arial" w:cs="Times New Roman"/>
      <w:i/>
      <w:iCs/>
      <w:color w:val="404040" w:themeColor="text1" w:themeTint="BF"/>
      <w:sz w:val="18"/>
      <w:szCs w:val="24"/>
      <w:lang w:val="hr-HR" w:eastAsia="hr-HR" w:bidi="hr-HR"/>
    </w:rPr>
  </w:style>
  <w:style w:type="character" w:customStyle="1" w:styleId="QuoteChar">
    <w:name w:val="Quote Char"/>
    <w:basedOn w:val="DefaultParagraphFont"/>
    <w:link w:val="Quote"/>
    <w:uiPriority w:val="29"/>
    <w:rsid w:val="00867290"/>
    <w:rPr>
      <w:rFonts w:ascii="Arial" w:eastAsia="Times New Roman" w:hAnsi="Arial" w:cs="Times New Roman"/>
      <w:i/>
      <w:iCs/>
      <w:color w:val="404040" w:themeColor="text1" w:themeTint="BF"/>
      <w:sz w:val="18"/>
      <w:szCs w:val="24"/>
      <w:lang w:val="hr-HR" w:eastAsia="hr-HR" w:bidi="hr-HR"/>
    </w:rPr>
  </w:style>
  <w:style w:type="paragraph" w:styleId="Salutation">
    <w:name w:val="Salutation"/>
    <w:basedOn w:val="Normal"/>
    <w:next w:val="Normal"/>
    <w:link w:val="SalutationChar"/>
    <w:uiPriority w:val="99"/>
    <w:semiHidden/>
    <w:unhideWhenUsed/>
    <w:rsid w:val="00867290"/>
    <w:pPr>
      <w:spacing w:before="60" w:after="140" w:line="220" w:lineRule="atLeast"/>
      <w:jc w:val="both"/>
    </w:pPr>
    <w:rPr>
      <w:rFonts w:ascii="Arial" w:eastAsia="Times New Roman" w:hAnsi="Arial" w:cs="Times New Roman"/>
      <w:sz w:val="18"/>
      <w:szCs w:val="24"/>
      <w:lang w:val="hr-HR" w:eastAsia="hr-HR" w:bidi="hr-HR"/>
    </w:rPr>
  </w:style>
  <w:style w:type="character" w:customStyle="1" w:styleId="SalutationChar">
    <w:name w:val="Salutation Char"/>
    <w:basedOn w:val="DefaultParagraphFont"/>
    <w:link w:val="Salutation"/>
    <w:uiPriority w:val="99"/>
    <w:semiHidden/>
    <w:rsid w:val="00867290"/>
    <w:rPr>
      <w:rFonts w:ascii="Arial" w:eastAsia="Times New Roman" w:hAnsi="Arial" w:cs="Times New Roman"/>
      <w:sz w:val="18"/>
      <w:szCs w:val="24"/>
      <w:lang w:val="hr-HR" w:eastAsia="hr-HR" w:bidi="hr-HR"/>
    </w:rPr>
  </w:style>
  <w:style w:type="paragraph" w:styleId="Signature">
    <w:name w:val="Signature"/>
    <w:basedOn w:val="Normal"/>
    <w:link w:val="SignatureChar"/>
    <w:uiPriority w:val="99"/>
    <w:semiHidden/>
    <w:unhideWhenUsed/>
    <w:rsid w:val="00867290"/>
    <w:pPr>
      <w:spacing w:after="0" w:line="240" w:lineRule="auto"/>
      <w:ind w:left="4252"/>
      <w:jc w:val="both"/>
    </w:pPr>
    <w:rPr>
      <w:rFonts w:ascii="Arial" w:eastAsia="Times New Roman" w:hAnsi="Arial" w:cs="Times New Roman"/>
      <w:sz w:val="18"/>
      <w:szCs w:val="24"/>
      <w:lang w:val="hr-HR" w:eastAsia="hr-HR" w:bidi="hr-HR"/>
    </w:rPr>
  </w:style>
  <w:style w:type="character" w:customStyle="1" w:styleId="SignatureChar">
    <w:name w:val="Signature Char"/>
    <w:basedOn w:val="DefaultParagraphFont"/>
    <w:link w:val="Signature"/>
    <w:uiPriority w:val="99"/>
    <w:semiHidden/>
    <w:rsid w:val="00867290"/>
    <w:rPr>
      <w:rFonts w:ascii="Arial" w:eastAsia="Times New Roman" w:hAnsi="Arial" w:cs="Times New Roman"/>
      <w:sz w:val="18"/>
      <w:szCs w:val="24"/>
      <w:lang w:val="hr-HR" w:eastAsia="hr-HR" w:bidi="hr-HR"/>
    </w:rPr>
  </w:style>
  <w:style w:type="paragraph" w:styleId="TableofAuthorities">
    <w:name w:val="table of authorities"/>
    <w:basedOn w:val="Normal"/>
    <w:next w:val="Normal"/>
    <w:uiPriority w:val="99"/>
    <w:semiHidden/>
    <w:unhideWhenUsed/>
    <w:rsid w:val="00867290"/>
    <w:pPr>
      <w:spacing w:before="60" w:after="0" w:line="220" w:lineRule="atLeast"/>
      <w:ind w:left="180" w:hanging="180"/>
      <w:jc w:val="both"/>
    </w:pPr>
    <w:rPr>
      <w:rFonts w:ascii="Arial" w:eastAsia="Times New Roman" w:hAnsi="Arial" w:cs="Times New Roman"/>
      <w:sz w:val="18"/>
      <w:szCs w:val="24"/>
      <w:lang w:val="hr-HR" w:eastAsia="hr-HR" w:bidi="hr-HR"/>
    </w:rPr>
  </w:style>
  <w:style w:type="paragraph" w:styleId="TOAHeading">
    <w:name w:val="toa heading"/>
    <w:basedOn w:val="Normal"/>
    <w:next w:val="Normal"/>
    <w:uiPriority w:val="99"/>
    <w:semiHidden/>
    <w:unhideWhenUsed/>
    <w:rsid w:val="00867290"/>
    <w:pPr>
      <w:spacing w:before="120" w:after="140" w:line="220" w:lineRule="atLeast"/>
      <w:jc w:val="both"/>
    </w:pPr>
    <w:rPr>
      <w:rFonts w:asciiTheme="majorHAnsi" w:eastAsiaTheme="majorEastAsia" w:hAnsiTheme="majorHAnsi" w:cstheme="majorBidi"/>
      <w:b/>
      <w:bCs/>
      <w:sz w:val="24"/>
      <w:szCs w:val="24"/>
      <w:lang w:val="hr-HR" w:eastAsia="hr-HR" w:bidi="hr-HR"/>
    </w:rPr>
  </w:style>
  <w:style w:type="paragraph" w:styleId="TOC4">
    <w:name w:val="toc 4"/>
    <w:basedOn w:val="Normal"/>
    <w:next w:val="Normal"/>
    <w:autoRedefine/>
    <w:uiPriority w:val="39"/>
    <w:semiHidden/>
    <w:unhideWhenUsed/>
    <w:rsid w:val="00867290"/>
    <w:pPr>
      <w:spacing w:before="60" w:after="100" w:line="220" w:lineRule="atLeast"/>
      <w:ind w:left="540"/>
      <w:jc w:val="both"/>
    </w:pPr>
    <w:rPr>
      <w:rFonts w:ascii="Arial" w:eastAsia="Times New Roman" w:hAnsi="Arial" w:cs="Times New Roman"/>
      <w:sz w:val="18"/>
      <w:szCs w:val="24"/>
      <w:lang w:val="hr-HR" w:eastAsia="hr-HR" w:bidi="hr-HR"/>
    </w:rPr>
  </w:style>
  <w:style w:type="paragraph" w:styleId="TOC5">
    <w:name w:val="toc 5"/>
    <w:basedOn w:val="Normal"/>
    <w:next w:val="Normal"/>
    <w:autoRedefine/>
    <w:uiPriority w:val="39"/>
    <w:semiHidden/>
    <w:unhideWhenUsed/>
    <w:rsid w:val="00867290"/>
    <w:pPr>
      <w:spacing w:before="60" w:after="100" w:line="220" w:lineRule="atLeast"/>
      <w:ind w:left="720"/>
      <w:jc w:val="both"/>
    </w:pPr>
    <w:rPr>
      <w:rFonts w:ascii="Arial" w:eastAsia="Times New Roman" w:hAnsi="Arial" w:cs="Times New Roman"/>
      <w:sz w:val="18"/>
      <w:szCs w:val="24"/>
      <w:lang w:val="hr-HR" w:eastAsia="hr-HR" w:bidi="hr-HR"/>
    </w:rPr>
  </w:style>
  <w:style w:type="paragraph" w:styleId="TOC6">
    <w:name w:val="toc 6"/>
    <w:basedOn w:val="Normal"/>
    <w:next w:val="Normal"/>
    <w:autoRedefine/>
    <w:uiPriority w:val="39"/>
    <w:semiHidden/>
    <w:unhideWhenUsed/>
    <w:rsid w:val="00867290"/>
    <w:pPr>
      <w:spacing w:before="60" w:after="100" w:line="220" w:lineRule="atLeast"/>
      <w:ind w:left="900"/>
      <w:jc w:val="both"/>
    </w:pPr>
    <w:rPr>
      <w:rFonts w:ascii="Arial" w:eastAsia="Times New Roman" w:hAnsi="Arial" w:cs="Times New Roman"/>
      <w:sz w:val="18"/>
      <w:szCs w:val="24"/>
      <w:lang w:val="hr-HR" w:eastAsia="hr-HR" w:bidi="hr-HR"/>
    </w:rPr>
  </w:style>
  <w:style w:type="paragraph" w:styleId="TOC7">
    <w:name w:val="toc 7"/>
    <w:basedOn w:val="Normal"/>
    <w:next w:val="Normal"/>
    <w:autoRedefine/>
    <w:uiPriority w:val="39"/>
    <w:semiHidden/>
    <w:unhideWhenUsed/>
    <w:rsid w:val="00867290"/>
    <w:pPr>
      <w:spacing w:before="60" w:after="100" w:line="220" w:lineRule="atLeast"/>
      <w:ind w:left="1080"/>
      <w:jc w:val="both"/>
    </w:pPr>
    <w:rPr>
      <w:rFonts w:ascii="Arial" w:eastAsia="Times New Roman" w:hAnsi="Arial" w:cs="Times New Roman"/>
      <w:sz w:val="18"/>
      <w:szCs w:val="24"/>
      <w:lang w:val="hr-HR" w:eastAsia="hr-HR" w:bidi="hr-HR"/>
    </w:rPr>
  </w:style>
  <w:style w:type="paragraph" w:styleId="TOC8">
    <w:name w:val="toc 8"/>
    <w:basedOn w:val="Normal"/>
    <w:next w:val="Normal"/>
    <w:autoRedefine/>
    <w:uiPriority w:val="39"/>
    <w:semiHidden/>
    <w:unhideWhenUsed/>
    <w:rsid w:val="00867290"/>
    <w:pPr>
      <w:spacing w:before="60" w:after="100" w:line="220" w:lineRule="atLeast"/>
      <w:ind w:left="1260"/>
      <w:jc w:val="both"/>
    </w:pPr>
    <w:rPr>
      <w:rFonts w:ascii="Arial" w:eastAsia="Times New Roman" w:hAnsi="Arial" w:cs="Times New Roman"/>
      <w:sz w:val="18"/>
      <w:szCs w:val="24"/>
      <w:lang w:val="hr-HR" w:eastAsia="hr-HR" w:bidi="hr-HR"/>
    </w:rPr>
  </w:style>
  <w:style w:type="paragraph" w:styleId="TOC9">
    <w:name w:val="toc 9"/>
    <w:basedOn w:val="Normal"/>
    <w:next w:val="Normal"/>
    <w:autoRedefine/>
    <w:uiPriority w:val="39"/>
    <w:semiHidden/>
    <w:unhideWhenUsed/>
    <w:rsid w:val="00867290"/>
    <w:pPr>
      <w:spacing w:before="60" w:after="100" w:line="220" w:lineRule="atLeast"/>
      <w:ind w:left="1440"/>
      <w:jc w:val="both"/>
    </w:pPr>
    <w:rPr>
      <w:rFonts w:ascii="Arial" w:eastAsia="Times New Roman" w:hAnsi="Arial" w:cs="Times New Roman"/>
      <w:sz w:val="18"/>
      <w:szCs w:val="24"/>
      <w:lang w:val="hr-HR" w:eastAsia="hr-HR" w:bidi="hr-HR"/>
    </w:rPr>
  </w:style>
  <w:style w:type="paragraph" w:styleId="TOCHeading">
    <w:name w:val="TOC Heading"/>
    <w:basedOn w:val="Heading1"/>
    <w:next w:val="Normal"/>
    <w:uiPriority w:val="39"/>
    <w:semiHidden/>
    <w:unhideWhenUsed/>
    <w:qFormat/>
    <w:rsid w:val="00867290"/>
    <w:pPr>
      <w:keepLines/>
      <w:framePr w:hSpace="0" w:vSpace="0" w:wrap="auto" w:vAnchor="margin" w:hAnchor="text" w:yAlign="inline"/>
      <w:numPr>
        <w:numId w:val="0"/>
      </w:numPr>
      <w:pBdr>
        <w:left w:val="none" w:sz="0" w:space="0" w:color="auto"/>
      </w:pBdr>
      <w:tabs>
        <w:tab w:val="clear" w:pos="227"/>
      </w:tabs>
      <w:suppressAutoHyphens w:val="0"/>
      <w:spacing w:before="240" w:after="0" w:line="220" w:lineRule="atLeast"/>
      <w:jc w:val="both"/>
      <w:outlineLvl w:val="9"/>
    </w:pPr>
    <w:rPr>
      <w:rFonts w:asciiTheme="majorHAnsi" w:eastAsiaTheme="majorEastAsia" w:hAnsiTheme="majorHAnsi" w:cstheme="majorBidi"/>
      <w:b w:val="0"/>
      <w:bCs w:val="0"/>
      <w:color w:val="2E74B5" w:themeColor="accent1" w:themeShade="BF"/>
      <w:kern w:val="0"/>
      <w:sz w:val="32"/>
    </w:rPr>
  </w:style>
  <w:style w:type="paragraph" w:customStyle="1" w:styleId="ZCom">
    <w:name w:val="Z_Com"/>
    <w:basedOn w:val="Normal"/>
    <w:next w:val="ZDGName"/>
    <w:rsid w:val="00867290"/>
    <w:pPr>
      <w:widowControl w:val="0"/>
      <w:autoSpaceDE w:val="0"/>
      <w:autoSpaceDN w:val="0"/>
      <w:spacing w:after="0" w:line="240" w:lineRule="auto"/>
      <w:ind w:right="85"/>
      <w:jc w:val="both"/>
    </w:pPr>
    <w:rPr>
      <w:rFonts w:ascii="Arial" w:eastAsia="Times New Roman" w:hAnsi="Arial" w:cs="Arial"/>
      <w:sz w:val="24"/>
      <w:szCs w:val="24"/>
      <w:lang w:eastAsia="en-GB"/>
    </w:rPr>
  </w:style>
  <w:style w:type="paragraph" w:customStyle="1" w:styleId="ZDGName">
    <w:name w:val="Z_DGName"/>
    <w:basedOn w:val="Normal"/>
    <w:rsid w:val="00867290"/>
    <w:pPr>
      <w:widowControl w:val="0"/>
      <w:autoSpaceDE w:val="0"/>
      <w:autoSpaceDN w:val="0"/>
      <w:spacing w:after="0" w:line="240" w:lineRule="auto"/>
      <w:ind w:right="85"/>
    </w:pPr>
    <w:rPr>
      <w:rFonts w:ascii="Arial" w:eastAsia="Times New Roman" w:hAnsi="Arial" w:cs="Arial"/>
      <w:sz w:val="16"/>
      <w:szCs w:val="1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hyperlink" Target="http://enrd.ec.europa.eu/enrd-static/app_templates/enrd_assets/pdf/guidebook/nrn_handbook_webversion.pdf" TargetMode="External"/><Relationship Id="rId47" Type="http://schemas.openxmlformats.org/officeDocument/2006/relationships/hyperlink" Target="http://enrd.ec.europa.eu/app_templates/enrd_assets/pdf/evaluation/epe_master.pdf" TargetMode="External"/><Relationship Id="rId63" Type="http://schemas.openxmlformats.org/officeDocument/2006/relationships/image" Target="media/image29.jpg"/><Relationship Id="rId68" Type="http://schemas.openxmlformats.org/officeDocument/2006/relationships/image" Target="media/image34.jpg"/><Relationship Id="rId16" Type="http://schemas.openxmlformats.org/officeDocument/2006/relationships/hyperlink" Target="http://www.fao.org/home/en/" TargetMode="External"/><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hyperlink" Target="http://enrd.ec.europa.eu/enrd-static/evaluation/library/evaluation-helpdesk-publications/en/evaluation-helpdesk-publications_en.html" TargetMode="External"/><Relationship Id="rId45" Type="http://schemas.openxmlformats.org/officeDocument/2006/relationships/hyperlink" Target="http://enrd.ec.europa.eu/enrd-static/app_templates/enrd_assets/pdf/evaluation/national-rural-networks/GPW10_Italy.pdf" TargetMode="External"/><Relationship Id="rId53" Type="http://schemas.openxmlformats.org/officeDocument/2006/relationships/image" Target="media/image26.jpeg"/><Relationship Id="rId58" Type="http://schemas.openxmlformats.org/officeDocument/2006/relationships/hyperlink" Target="http://www.communitymatters.com.au/RE_chapter.pdf" TargetMode="External"/><Relationship Id="rId66" Type="http://schemas.openxmlformats.org/officeDocument/2006/relationships/image" Target="media/image32.jpg"/><Relationship Id="rId74" Type="http://schemas.openxmlformats.org/officeDocument/2006/relationships/footer" Target="footer9.xml"/><Relationship Id="rId79" Type="http://schemas.openxmlformats.org/officeDocument/2006/relationships/customXml" Target="../customXml/item3.xml"/><Relationship Id="rId5" Type="http://schemas.openxmlformats.org/officeDocument/2006/relationships/footnotes" Target="footnotes.xml"/><Relationship Id="rId61" Type="http://schemas.openxmlformats.org/officeDocument/2006/relationships/header" Target="header7.xml"/><Relationship Id="rId19" Type="http://schemas.openxmlformats.org/officeDocument/2006/relationships/image" Target="media/image6.jpeg"/><Relationship Id="rId14" Type="http://schemas.openxmlformats.org/officeDocument/2006/relationships/header" Target="header3.xml"/><Relationship Id="rId22" Type="http://schemas.openxmlformats.org/officeDocument/2006/relationships/image" Target="media/image9.jpeg"/><Relationship Id="rId27" Type="http://schemas.openxmlformats.org/officeDocument/2006/relationships/header" Target="header4.xml"/><Relationship Id="rId30" Type="http://schemas.openxmlformats.org/officeDocument/2006/relationships/footer" Target="footer5.xml"/><Relationship Id="rId35" Type="http://schemas.openxmlformats.org/officeDocument/2006/relationships/image" Target="media/image18.emf"/><Relationship Id="rId43" Type="http://schemas.openxmlformats.org/officeDocument/2006/relationships/hyperlink" Target="http://evi.sagepub.com/content/13/4/439.full.pdf" TargetMode="External"/><Relationship Id="rId48" Type="http://schemas.openxmlformats.org/officeDocument/2006/relationships/hyperlink" Target="http://enrd.ec.europa.eu/enrd-static/app_templates/enrd_assets/pdf/guidebook/nrn_handbook_webversion.pdf" TargetMode="External"/><Relationship Id="rId56" Type="http://schemas.openxmlformats.org/officeDocument/2006/relationships/image" Target="media/image27.jpeg"/><Relationship Id="rId64" Type="http://schemas.openxmlformats.org/officeDocument/2006/relationships/image" Target="media/image30.jpg"/><Relationship Id="rId69" Type="http://schemas.openxmlformats.org/officeDocument/2006/relationships/image" Target="media/image35.jpg"/><Relationship Id="rId77" Type="http://schemas.openxmlformats.org/officeDocument/2006/relationships/customXml" Target="../customXml/item1.xml"/><Relationship Id="rId8" Type="http://schemas.openxmlformats.org/officeDocument/2006/relationships/image" Target="media/image2.jpeg"/><Relationship Id="rId51" Type="http://schemas.openxmlformats.org/officeDocument/2006/relationships/image" Target="media/image25.jpeg"/><Relationship Id="rId72" Type="http://schemas.openxmlformats.org/officeDocument/2006/relationships/footer" Target="footer8.xml"/><Relationship Id="rId3"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en.wikipedia.org/wiki/Geographic_information_system" TargetMode="External"/><Relationship Id="rId25" Type="http://schemas.openxmlformats.org/officeDocument/2006/relationships/image" Target="media/image12.jpe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3.emf"/><Relationship Id="rId59" Type="http://schemas.openxmlformats.org/officeDocument/2006/relationships/header" Target="header6.xml"/><Relationship Id="rId67" Type="http://schemas.openxmlformats.org/officeDocument/2006/relationships/image" Target="media/image33.jpg"/><Relationship Id="rId20" Type="http://schemas.openxmlformats.org/officeDocument/2006/relationships/image" Target="media/image7.jpeg"/><Relationship Id="rId41" Type="http://schemas.openxmlformats.org/officeDocument/2006/relationships/hyperlink" Target="http://enrd.ec.europa.eu/enrd-static/evaluation/library/evaluation-helpdesk-publications/en/evaluation-helpdesk-publications_en.html" TargetMode="External"/><Relationship Id="rId54" Type="http://schemas.openxmlformats.org/officeDocument/2006/relationships/hyperlink" Target="http://betterevaluation.org/plan/approach/critical_system_heuristics" TargetMode="External"/><Relationship Id="rId62" Type="http://schemas.openxmlformats.org/officeDocument/2006/relationships/footer" Target="footer7.xml"/><Relationship Id="rId70" Type="http://schemas.openxmlformats.org/officeDocument/2006/relationships/image" Target="media/image36.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image" Target="media/image10.emf"/><Relationship Id="rId28" Type="http://schemas.openxmlformats.org/officeDocument/2006/relationships/footer" Target="footer4.xml"/><Relationship Id="rId36" Type="http://schemas.openxmlformats.org/officeDocument/2006/relationships/image" Target="media/image19.emf"/><Relationship Id="rId49" Type="http://schemas.openxmlformats.org/officeDocument/2006/relationships/hyperlink" Target="http://enrd.ec.europa.eu/enrd-static/networks-and-networking/nrn-self-assessment-tool-kit/practical-tools-for-nrn-self-assessment/en/practical-tools-for-nrn-self-assessment_en.html" TargetMode="External"/><Relationship Id="rId57" Type="http://schemas.openxmlformats.org/officeDocument/2006/relationships/image" Target="media/image28.jpeg"/><Relationship Id="rId10" Type="http://schemas.openxmlformats.org/officeDocument/2006/relationships/header" Target="header1.xml"/><Relationship Id="rId31" Type="http://schemas.openxmlformats.org/officeDocument/2006/relationships/image" Target="media/image14.jpeg"/><Relationship Id="rId44" Type="http://schemas.openxmlformats.org/officeDocument/2006/relationships/hyperlink" Target="http://www.communitymatters.com.au/RE_chapter.pdf" TargetMode="External"/><Relationship Id="rId52" Type="http://schemas.openxmlformats.org/officeDocument/2006/relationships/hyperlink" Target="http://www.cdc.gov/pcd/issues/2005/jan/04_0050.htm" TargetMode="External"/><Relationship Id="rId60" Type="http://schemas.openxmlformats.org/officeDocument/2006/relationships/footer" Target="footer6.xml"/><Relationship Id="rId65" Type="http://schemas.openxmlformats.org/officeDocument/2006/relationships/image" Target="media/image31.jpg"/><Relationship Id="rId73" Type="http://schemas.openxmlformats.org/officeDocument/2006/relationships/header" Target="header9.xml"/><Relationship Id="rId78"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footer" Target="footer2.xml"/><Relationship Id="rId18" Type="http://schemas.openxmlformats.org/officeDocument/2006/relationships/image" Target="media/image5.emf"/><Relationship Id="rId39" Type="http://schemas.openxmlformats.org/officeDocument/2006/relationships/image" Target="media/image22.png"/><Relationship Id="rId34" Type="http://schemas.openxmlformats.org/officeDocument/2006/relationships/image" Target="media/image17.jpeg"/><Relationship Id="rId50" Type="http://schemas.openxmlformats.org/officeDocument/2006/relationships/image" Target="media/image24.jpeg"/><Relationship Id="rId55" Type="http://schemas.openxmlformats.org/officeDocument/2006/relationships/hyperlink" Target="http://oro.open.ac.uk/3464/" TargetMode="External"/><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header" Target="header8.xml"/><Relationship Id="rId2" Type="http://schemas.openxmlformats.org/officeDocument/2006/relationships/styles" Target="styles.xml"/><Relationship Id="rId29"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notes.xml.rels><?xml version="1.0" encoding="UTF-8" standalone="yes"?>
<Relationships xmlns="http://schemas.openxmlformats.org/package/2006/relationships"><Relationship Id="rId8" Type="http://schemas.openxmlformats.org/officeDocument/2006/relationships/hyperlink" Target="http://www1.worldbank.org/publicsector/anticorrupt/PoliticalEconomy/stakeholderanalysis.htm" TargetMode="External"/><Relationship Id="rId13" Type="http://schemas.openxmlformats.org/officeDocument/2006/relationships/hyperlink" Target="http://ec.europa.eu/smart-regulation/guidelines/tool_13_en.htm" TargetMode="External"/><Relationship Id="rId18" Type="http://schemas.openxmlformats.org/officeDocument/2006/relationships/hyperlink" Target="http://enrd.ec.europa.eu/enrd-static/app_templates/enrd_assets/pdf/guidebook/nrn_handbook_webversion.pdf" TargetMode="External"/><Relationship Id="rId26" Type="http://schemas.openxmlformats.org/officeDocument/2006/relationships/hyperlink" Target="http://enrd.ec.europa.eu/app_templates/filedownload.cfm?id=83C6EDCD-9413-1C64-4EAA-1E4E8EC9ED3E" TargetMode="External"/><Relationship Id="rId39" Type="http://schemas.openxmlformats.org/officeDocument/2006/relationships/hyperlink" Target="http://asgpp.org/pdf/psychodrama.conciseintro.pdf" TargetMode="External"/><Relationship Id="rId3" Type="http://schemas.openxmlformats.org/officeDocument/2006/relationships/hyperlink" Target="http://enrd.ec.europa.eu/app_templates/filedownload.cfm?id=7797A2AE-91CD-8D82-C9DB-D30E043439F1" TargetMode="External"/><Relationship Id="rId21" Type="http://schemas.openxmlformats.org/officeDocument/2006/relationships/hyperlink" Target="http://enrd.ec.europa.eu/enrd-static/evaluation/good-practices-workshops/national-rural-networks/en/national-rural-networks_en.html" TargetMode="External"/><Relationship Id="rId34" Type="http://schemas.openxmlformats.org/officeDocument/2006/relationships/hyperlink" Target="http://enrd.ec.europa.eu/enrd-static/evaluation/library/evaluation-helpdesk-publications/en/evaluation-helpdesk-publications_en.html" TargetMode="External"/><Relationship Id="rId42" Type="http://schemas.openxmlformats.org/officeDocument/2006/relationships/hyperlink" Target="https://en.wikipedia.org/wiki/Behavior" TargetMode="External"/><Relationship Id="rId7" Type="http://schemas.openxmlformats.org/officeDocument/2006/relationships/hyperlink" Target="http://www.who.int/workforcealliance/knowledge/toolkit/33.pdf" TargetMode="External"/><Relationship Id="rId12" Type="http://schemas.openxmlformats.org/officeDocument/2006/relationships/hyperlink" Target="https://enrd.ec.europa.eu/en/networking/network-self-assessment" TargetMode="External"/><Relationship Id="rId17" Type="http://schemas.openxmlformats.org/officeDocument/2006/relationships/hyperlink" Target="http://enrd.ec.europa.eu/enrd-static/app_templates/enrd_assets/pdf/guidebook/nrn_handbook_webversion.pdf" TargetMode="External"/><Relationship Id="rId25" Type="http://schemas.openxmlformats.org/officeDocument/2006/relationships/hyperlink" Target="http://enrd.ec.europa.eu/app_templates/filedownload.cfm?id=872FF4F3-F76A-CCF3-63D8-A0B1FB70F601" TargetMode="External"/><Relationship Id="rId33" Type="http://schemas.openxmlformats.org/officeDocument/2006/relationships/hyperlink" Target="http://www.iareg.org/fileadmin/iareg/media/papers/WP2_02.pdf" TargetMode="External"/><Relationship Id="rId38" Type="http://schemas.openxmlformats.org/officeDocument/2006/relationships/hyperlink" Target="http://ec.europa.eu/regional_policy/archive/conferences/evaluation2009/abstracts/martinuzzi.pdf" TargetMode="External"/><Relationship Id="rId2" Type="http://schemas.openxmlformats.org/officeDocument/2006/relationships/hyperlink" Target="http://enrd.ec.europa.eu/en/evaluation-helpdesks-publications" TargetMode="External"/><Relationship Id="rId16" Type="http://schemas.openxmlformats.org/officeDocument/2006/relationships/hyperlink" Target="http://enrd.ec.europa.eu/en/evaluation-helpdesks-publications" TargetMode="External"/><Relationship Id="rId20" Type="http://schemas.openxmlformats.org/officeDocument/2006/relationships/hyperlink" Target="http://enrd.ec.europa.eu/enrd-static/evaluation/good-practices-workshops/national-rural-network-programmes/en/national-rural-network-programmes_en.html" TargetMode="External"/><Relationship Id="rId29" Type="http://schemas.openxmlformats.org/officeDocument/2006/relationships/hyperlink" Target="http://ec.europa.eu/dgs/internal_market/docs/evaluation/evaluation_guide_annexes.pdf" TargetMode="External"/><Relationship Id="rId41" Type="http://schemas.openxmlformats.org/officeDocument/2006/relationships/hyperlink" Target="https://enrd.ec.europa.eu/sites/enrd/files/assets/pdf/evaluation/national-rural-networks/GPW10_Scotland.pdf" TargetMode="External"/><Relationship Id="rId1" Type="http://schemas.openxmlformats.org/officeDocument/2006/relationships/hyperlink" Target="http://enrd.ec.europa.eu/app_templates/enrd_assets/pdf/evaluation/EP_Guidelines_Draft_March2014.pdf" TargetMode="External"/><Relationship Id="rId6" Type="http://schemas.openxmlformats.org/officeDocument/2006/relationships/hyperlink" Target="https://enrd.ec.europa.eu/sites/enrd/files/assets/pdf/evaluation/national-rural-networks/GPW_10_NRN_shape.pdf" TargetMode="External"/><Relationship Id="rId11" Type="http://schemas.openxmlformats.org/officeDocument/2006/relationships/hyperlink" Target="http://enrd.ec.europa.eu/networks-and-networking/nrn-toolkit/en/nrn-toolkit_en.cfm" TargetMode="External"/><Relationship Id="rId24" Type="http://schemas.openxmlformats.org/officeDocument/2006/relationships/hyperlink" Target="http://ec.europa.eu/agriculture/cap-post-2013/monitoring-evaluation/index_en.htm" TargetMode="External"/><Relationship Id="rId32" Type="http://schemas.openxmlformats.org/officeDocument/2006/relationships/hyperlink" Target="http://avitem.org/IMG/pdf/cuaderno_resindex_eng.pdf" TargetMode="External"/><Relationship Id="rId37" Type="http://schemas.openxmlformats.org/officeDocument/2006/relationships/hyperlink" Target="https://en.wikipedia.org/wiki/Collective_intelligence" TargetMode="External"/><Relationship Id="rId40" Type="http://schemas.openxmlformats.org/officeDocument/2006/relationships/hyperlink" Target="http://enrd.ec.europa.eu/enrd-static/networks-and-networking/nrn-self-assessment-tool-kit/practical-tools-for-nrn-self-assessment/en/practical-tools-for-nrn-self-assessment_en.html" TargetMode="External"/><Relationship Id="rId5" Type="http://schemas.openxmlformats.org/officeDocument/2006/relationships/hyperlink" Target="http://enrd.ec.europa.eu/app_templates/enrd_assets/pdf/evaluation/EP_Guidelines_Draft_March2014.pdf" TargetMode="External"/><Relationship Id="rId15" Type="http://schemas.openxmlformats.org/officeDocument/2006/relationships/hyperlink" Target="http://enrd.ec.europa.eu/app_templates/enrd_assets/pdf/gateway/guidance-fiche-art54-nrn-draft-jan2014.pdf" TargetMode="External"/><Relationship Id="rId23" Type="http://schemas.openxmlformats.org/officeDocument/2006/relationships/hyperlink" Target="http://enrd.ec.europa.eu/app_templates/filedownload.cfm?id=872FF4F3-F76A-CCF3-63D8-A0B1FB70F601" TargetMode="External"/><Relationship Id="rId28" Type="http://schemas.openxmlformats.org/officeDocument/2006/relationships/hyperlink" Target="http://www.wfp.org/evaluation/methods-and-tools/eqas-evaluation-quality-assurance-system" TargetMode="External"/><Relationship Id="rId36" Type="http://schemas.openxmlformats.org/officeDocument/2006/relationships/hyperlink" Target="https://kwiksurveys.com/" TargetMode="External"/><Relationship Id="rId10" Type="http://schemas.openxmlformats.org/officeDocument/2006/relationships/hyperlink" Target="http://enrd.ec.europa.eu/enrd-static/networks-and-networking/nrn-toolkit/principles-and-practice-of-networking/network-definitions-and-diversity/en/rural-networks-and-networking_en.html" TargetMode="External"/><Relationship Id="rId19" Type="http://schemas.openxmlformats.org/officeDocument/2006/relationships/hyperlink" Target="http://ec.europa.eu/smart-regulation/guidelines/tool_13_en.htm" TargetMode="External"/><Relationship Id="rId31" Type="http://schemas.openxmlformats.org/officeDocument/2006/relationships/hyperlink" Target="http://documents.worldbank.org/curated/en/2004/01/3050371/measuring-social-capital-integrated-questionnaire" TargetMode="External"/><Relationship Id="rId44" Type="http://schemas.openxmlformats.org/officeDocument/2006/relationships/hyperlink" Target="http://ec.europa.eu/agriculture/evaluation/rural-development-reports/2014/investment-support-rdp/fulltext_en.pdf" TargetMode="External"/><Relationship Id="rId4" Type="http://schemas.openxmlformats.org/officeDocument/2006/relationships/hyperlink" Target="http://enrd.ec.europa.eu/app_templates/enrd_assets/pdf/evaluation/EP_Guidelines_Draft_March2014.pdf" TargetMode="External"/><Relationship Id="rId9" Type="http://schemas.openxmlformats.org/officeDocument/2006/relationships/hyperlink" Target="http://www.fao.org/docrep/008/y5702e/y5702e00.htm" TargetMode="External"/><Relationship Id="rId14" Type="http://schemas.openxmlformats.org/officeDocument/2006/relationships/hyperlink" Target="https://enrd.ec.europa.eu/en/evaluation-helpdesks-publications" TargetMode="External"/><Relationship Id="rId22" Type="http://schemas.openxmlformats.org/officeDocument/2006/relationships/hyperlink" Target="http://enrd.ec.europa.eu/enrd-static/evaluation/library/evaluation-helpdesk-publications/en/evaluation-helpdesk-publications_en.html" TargetMode="External"/><Relationship Id="rId27" Type="http://schemas.openxmlformats.org/officeDocument/2006/relationships/hyperlink" Target="http://ec.europa.eu/agriculture/rurdev/eval/guidance/note_b_en.pdf" TargetMode="External"/><Relationship Id="rId30" Type="http://schemas.openxmlformats.org/officeDocument/2006/relationships/hyperlink" Target="http://enrd.ec.europa.eu/enrd-static/evaluation/library/evaluation-helpdesk-publications/en/evaluation-helpdesk-publications_en.html" TargetMode="External"/><Relationship Id="rId35" Type="http://schemas.openxmlformats.org/officeDocument/2006/relationships/hyperlink" Target="https://www.surveymonkey.com/" TargetMode="External"/><Relationship Id="rId43" Type="http://schemas.openxmlformats.org/officeDocument/2006/relationships/hyperlink" Target="http://enrd.ec.europa.eu/enrd-static/evaluation/library/evaluation-helpdesk-publications/en/evaluation-helpdesk-publications_e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279C08E096F64D9575D7E38D98307C" ma:contentTypeVersion="2" ma:contentTypeDescription="Create a new document." ma:contentTypeScope="" ma:versionID="71ede7a5c95837e53d4ce6c4243f2b97">
  <xsd:schema xmlns:xsd="http://www.w3.org/2001/XMLSchema" xmlns:xs="http://www.w3.org/2001/XMLSchema" xmlns:p="http://schemas.microsoft.com/office/2006/metadata/properties" xmlns:ns2="294d1de4-3ac5-42cb-af17-fa7f1cfff024" targetNamespace="http://schemas.microsoft.com/office/2006/metadata/properties" ma:root="true" ma:fieldsID="f90ef1d7018f4d3ca0c16474ab77add8" ns2:_="">
    <xsd:import namespace="294d1de4-3ac5-42cb-af17-fa7f1cfff024"/>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4d1de4-3ac5-42cb-af17-fa7f1cfff024"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A8E8954-EA7E-4A51-B1D6-799376808517}"/>
</file>

<file path=customXml/itemProps2.xml><?xml version="1.0" encoding="utf-8"?>
<ds:datastoreItem xmlns:ds="http://schemas.openxmlformats.org/officeDocument/2006/customXml" ds:itemID="{CCF0CA3D-B5CD-4A04-913D-37DECA0016A7}"/>
</file>

<file path=customXml/itemProps3.xml><?xml version="1.0" encoding="utf-8"?>
<ds:datastoreItem xmlns:ds="http://schemas.openxmlformats.org/officeDocument/2006/customXml" ds:itemID="{8E457D9E-90FC-4E94-83FD-C3CE30974CDA}"/>
</file>

<file path=docProps/app.xml><?xml version="1.0" encoding="utf-8"?>
<Properties xmlns="http://schemas.openxmlformats.org/officeDocument/2006/extended-properties" xmlns:vt="http://schemas.openxmlformats.org/officeDocument/2006/docPropsVTypes">
  <Template>Normal</Template>
  <TotalTime>1</TotalTime>
  <Pages>122</Pages>
  <Words>38459</Words>
  <Characters>219218</Characters>
  <Application>Microsoft Office Word</Application>
  <DocSecurity>0</DocSecurity>
  <Lines>1826</Lines>
  <Paragraphs>514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257163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Myles Stiffler</dc:creator>
  <cp:keywords/>
  <dc:description/>
  <cp:lastModifiedBy>Myles Stiffler</cp:lastModifiedBy>
  <cp:revision>1</cp:revision>
  <dcterms:created xsi:type="dcterms:W3CDTF">2016-10-24T15:47:00Z</dcterms:created>
  <dcterms:modified xsi:type="dcterms:W3CDTF">2016-10-24T15:48:00Z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0x01010061279C08E096F64D9575D7E38D98307C</vt:lpwstr>
  </property>
</Properties>
</file>