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5.xml" ContentType="application/vnd.openxmlformats-officedocument.wordprocessingml.footer+xml"/>
  <Override PartName="/word/header8.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60A11" w:rsidRPr="004F4478" w:rsidRDefault="00860A11" w:rsidP="00923616">
      <w:pPr>
        <w:pStyle w:val="HStandard"/>
      </w:pPr>
      <w:r w:rsidRPr="004F4478">
        <w:rPr>
          <w:noProof/>
          <w:lang w:val="en-GB" w:eastAsia="en-GB" w:bidi="ar-SA"/>
        </w:rPr>
        <w:drawing>
          <wp:anchor distT="0" distB="0" distL="114300" distR="114300" simplePos="0" relativeHeight="251659264" behindDoc="1" locked="0" layoutInCell="1" allowOverlap="1" wp14:anchorId="50383517" wp14:editId="175990CB">
            <wp:simplePos x="0" y="0"/>
            <wp:positionH relativeFrom="margin">
              <wp:posOffset>-1064260</wp:posOffset>
            </wp:positionH>
            <wp:positionV relativeFrom="margin">
              <wp:posOffset>-749300</wp:posOffset>
            </wp:positionV>
            <wp:extent cx="7561580" cy="10683240"/>
            <wp:effectExtent l="19050" t="0" r="1270" b="0"/>
            <wp:wrapSquare wrapText="bothSides"/>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omne-template.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7561580" cy="10683240"/>
                    </a:xfrm>
                    <a:prstGeom prst="rect">
                      <a:avLst/>
                    </a:prstGeom>
                  </pic:spPr>
                </pic:pic>
              </a:graphicData>
            </a:graphic>
          </wp:anchor>
        </w:drawing>
      </w:r>
      <w:r w:rsidRPr="004F4478">
        <w:rPr>
          <w:noProof/>
          <w:szCs w:val="24"/>
          <w:lang w:val="en-GB" w:eastAsia="en-GB" w:bidi="ar-SA"/>
        </w:rPr>
        <mc:AlternateContent>
          <mc:Choice Requires="wps">
            <w:drawing>
              <wp:anchor distT="0" distB="0" distL="114300" distR="114300" simplePos="0" relativeHeight="251661312" behindDoc="1" locked="0" layoutInCell="1" allowOverlap="1" wp14:anchorId="621482A0" wp14:editId="47E42DE2">
                <wp:simplePos x="0" y="0"/>
                <wp:positionH relativeFrom="page">
                  <wp:posOffset>2052320</wp:posOffset>
                </wp:positionH>
                <wp:positionV relativeFrom="page">
                  <wp:posOffset>5022850</wp:posOffset>
                </wp:positionV>
                <wp:extent cx="4341495" cy="3855720"/>
                <wp:effectExtent l="0" t="0" r="1905" b="11430"/>
                <wp:wrapTight wrapText="bothSides">
                  <wp:wrapPolygon edited="0">
                    <wp:start x="0" y="0"/>
                    <wp:lineTo x="0" y="21557"/>
                    <wp:lineTo x="21515" y="21557"/>
                    <wp:lineTo x="21515" y="0"/>
                    <wp:lineTo x="0" y="0"/>
                  </wp:wrapPolygon>
                </wp:wrapTight>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1495" cy="3855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0A11" w:rsidRPr="007C19BE" w:rsidRDefault="00860A11" w:rsidP="00185B1D">
                            <w:pPr>
                              <w:pStyle w:val="HTitle1"/>
                              <w:rPr>
                                <w:rFonts w:ascii="Arial" w:hAnsi="Arial" w:cs="Arial"/>
                              </w:rPr>
                            </w:pPr>
                            <w:r>
                              <w:rPr>
                                <w:rFonts w:ascii="Arial" w:hAnsi="Arial"/>
                              </w:rPr>
                              <w:t>GUIDELINES</w:t>
                            </w:r>
                          </w:p>
                          <w:p w:rsidR="00860A11" w:rsidRPr="002B46F3" w:rsidRDefault="00860A11" w:rsidP="00185B1D">
                            <w:pPr>
                              <w:pStyle w:val="HTitle2"/>
                              <w:rPr>
                                <w:rFonts w:ascii="Arial" w:hAnsi="Arial" w:cs="Arial"/>
                                <w:color w:val="262626" w:themeColor="text1" w:themeTint="D9"/>
                              </w:rPr>
                            </w:pPr>
                            <w:r>
                              <w:rPr>
                                <w:rFonts w:ascii="Arial" w:hAnsi="Arial"/>
                                <w:color w:val="262626" w:themeColor="text1" w:themeTint="D9"/>
                              </w:rPr>
                              <w:t>EVALUATION DES RÉSEAUX RURAUX NATIONAUX 2014-2020</w:t>
                            </w:r>
                          </w:p>
                          <w:p w:rsidR="00860A11" w:rsidRPr="002B46F3" w:rsidRDefault="00860A11" w:rsidP="00185B1D">
                            <w:pPr>
                              <w:pStyle w:val="HTitle2"/>
                              <w:rPr>
                                <w:rFonts w:ascii="Arial" w:hAnsi="Arial" w:cs="Arial"/>
                                <w:color w:val="262626" w:themeColor="text1" w:themeTint="D9"/>
                                <w:szCs w:val="40"/>
                              </w:rPr>
                            </w:pPr>
                          </w:p>
                          <w:p w:rsidR="00860A11" w:rsidRPr="00712034" w:rsidRDefault="00860A11" w:rsidP="00185B1D">
                            <w:pPr>
                              <w:pStyle w:val="HTitle3"/>
                              <w:rPr>
                                <w:color w:val="262626" w:themeColor="text1" w:themeTint="D9"/>
                              </w:rPr>
                            </w:pPr>
                            <w:r>
                              <w:rPr>
                                <w:color w:val="262626" w:themeColor="text1" w:themeTint="D9"/>
                              </w:rPr>
                              <w:t>JULY 2016</w:t>
                            </w:r>
                          </w:p>
                          <w:p w:rsidR="00860A11" w:rsidRPr="00DE5388" w:rsidRDefault="00860A11" w:rsidP="00185B1D">
                            <w:pPr>
                              <w:pStyle w:val="HTitle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1482A0" id="_x0000_t202" coordsize="21600,21600" o:spt="202" path="m,l,21600r21600,l21600,xe">
                <v:stroke joinstyle="miter"/>
                <v:path gradientshapeok="t" o:connecttype="rect"/>
              </v:shapetype>
              <v:shape id="Text Box 5" o:spid="_x0000_s1026" type="#_x0000_t202" style="position:absolute;left:0;text-align:left;margin-left:161.6pt;margin-top:395.5pt;width:341.85pt;height:303.6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" filled="f" stroked="f">
                <v:textbox inset="0,0,0,0">
                  <w:txbxContent>
                    <w:p w:rsidR="00860A11" w:rsidRPr="007C19BE" w:rsidRDefault="00860A11" w:rsidP="00185B1D">
                      <w:pPr>
                        <w:pStyle w:val="HTitle1"/>
                        <w:rPr>
                          <w:rFonts w:ascii="Arial" w:hAnsi="Arial" w:cs="Arial"/>
                        </w:rPr>
                      </w:pPr>
                      <w:r>
                        <w:rPr>
                          <w:rFonts w:ascii="Arial" w:hAnsi="Arial"/>
                        </w:rPr>
                        <w:t>GUIDELINES</w:t>
                      </w:r>
                    </w:p>
                    <w:p w:rsidR="00860A11" w:rsidRPr="002B46F3" w:rsidRDefault="00860A11" w:rsidP="00185B1D">
                      <w:pPr>
                        <w:pStyle w:val="HTitle2"/>
                        <w:rPr>
                          <w:rFonts w:ascii="Arial" w:hAnsi="Arial" w:cs="Arial"/>
                          <w:color w:val="262626" w:themeColor="text1" w:themeTint="D9"/>
                        </w:rPr>
                      </w:pPr>
                      <w:r>
                        <w:rPr>
                          <w:rFonts w:ascii="Arial" w:hAnsi="Arial"/>
                          <w:color w:val="262626" w:themeColor="text1" w:themeTint="D9"/>
                        </w:rPr>
                        <w:t>EVALUATION DES RÉSEAUX RURAUX NATIONAUX 2014-2020</w:t>
                      </w:r>
                    </w:p>
                    <w:p w:rsidR="00860A11" w:rsidRPr="002B46F3" w:rsidRDefault="00860A11" w:rsidP="00185B1D">
                      <w:pPr>
                        <w:pStyle w:val="HTitle2"/>
                        <w:rPr>
                          <w:rFonts w:ascii="Arial" w:hAnsi="Arial" w:cs="Arial"/>
                          <w:color w:val="262626" w:themeColor="text1" w:themeTint="D9"/>
                          <w:szCs w:val="40"/>
                        </w:rPr>
                      </w:pPr>
                    </w:p>
                    <w:p w:rsidR="00860A11" w:rsidRPr="00712034" w:rsidRDefault="00860A11" w:rsidP="00185B1D">
                      <w:pPr>
                        <w:pStyle w:val="HTitle3"/>
                        <w:rPr>
                          <w:color w:val="262626" w:themeColor="text1" w:themeTint="D9"/>
                        </w:rPr>
                      </w:pPr>
                      <w:r>
                        <w:rPr>
                          <w:color w:val="262626" w:themeColor="text1" w:themeTint="D9"/>
                        </w:rPr>
                        <w:t>JULY 2016</w:t>
                      </w:r>
                    </w:p>
                    <w:p w:rsidR="00860A11" w:rsidRPr="00DE5388" w:rsidRDefault="00860A11" w:rsidP="00185B1D">
                      <w:pPr>
                        <w:pStyle w:val="HTitle3"/>
                      </w:pPr>
                    </w:p>
                  </w:txbxContent>
                </v:textbox>
                <w10:wrap type="tight" anchorx="page" anchory="page"/>
              </v:shape>
            </w:pict>
          </mc:Fallback>
        </mc:AlternateContent>
      </w:r>
      <w:r w:rsidRPr="004F4478">
        <w:br w:type="page"/>
      </w:r>
    </w:p>
    <w:p w:rsidR="00860A11" w:rsidRPr="004F4478" w:rsidRDefault="00860A11" w:rsidP="00923616">
      <w:pPr>
        <w:pStyle w:val="HStandard"/>
      </w:pPr>
    </w:p>
    <w:p w:rsidR="00860A11" w:rsidRPr="004F4478" w:rsidRDefault="00860A11" w:rsidP="00923616">
      <w:pPr>
        <w:pStyle w:val="HStandard"/>
      </w:pPr>
    </w:p>
    <w:p w:rsidR="00860A11" w:rsidRPr="004F4478" w:rsidRDefault="00860A11" w:rsidP="00923616">
      <w:pPr>
        <w:pStyle w:val="HStandard"/>
      </w:pPr>
    </w:p>
    <w:p w:rsidR="00860A11" w:rsidRPr="004F4478" w:rsidRDefault="00860A11" w:rsidP="00923616">
      <w:pPr>
        <w:pStyle w:val="HStandard"/>
      </w:pPr>
    </w:p>
    <w:p w:rsidR="00860A11" w:rsidRPr="004F4478" w:rsidRDefault="00860A11">
      <w:pPr>
        <w:spacing w:after="0" w:line="240" w:lineRule="auto"/>
        <w:rPr>
          <w:rFonts w:cs="Arial"/>
          <w:color w:val="576C88" w:themeColor="text2" w:themeTint="D9"/>
          <w:sz w:val="20"/>
          <w:szCs w:val="20"/>
        </w:rPr>
      </w:pPr>
      <w:r w:rsidRPr="004F4478">
        <w:rPr>
          <w:noProof/>
          <w:lang w:eastAsia="en-GB"/>
        </w:rPr>
        <mc:AlternateContent>
          <mc:Choice Requires="wps">
            <w:drawing>
              <wp:anchor distT="0" distB="0" distL="114300" distR="114300" simplePos="0" relativeHeight="251660288" behindDoc="0" locked="0" layoutInCell="1" allowOverlap="1" wp14:anchorId="17C11750" wp14:editId="65A8143A">
                <wp:simplePos x="0" y="0"/>
                <wp:positionH relativeFrom="margin">
                  <wp:posOffset>-387985</wp:posOffset>
                </wp:positionH>
                <wp:positionV relativeFrom="paragraph">
                  <wp:posOffset>2812415</wp:posOffset>
                </wp:positionV>
                <wp:extent cx="6583680" cy="5161915"/>
                <wp:effectExtent l="0" t="0" r="0" b="0"/>
                <wp:wrapNone/>
                <wp:docPr id="1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3680" cy="5161915"/>
                        </a:xfrm>
                        <a:prstGeom prst="rect">
                          <a:avLst/>
                        </a:prstGeom>
                        <a:solidFill>
                          <a:srgbClr val="FFFFFF">
                            <a:alpha val="0"/>
                          </a:srgbClr>
                        </a:solidFill>
                        <a:ln>
                          <a:noFill/>
                        </a:ln>
                        <a:extLst/>
                      </wps:spPr>
                      <wps:txbx>
                        <w:txbxContent>
                          <w:p w:rsidR="00860A11" w:rsidRPr="004F4478" w:rsidRDefault="00860A11" w:rsidP="005B24FC">
                            <w:pPr>
                              <w:pStyle w:val="Hdisclaimer"/>
                              <w:rPr>
                                <w:rFonts w:ascii="Arial" w:hAnsi="Arial"/>
                                <w:color w:val="262626" w:themeColor="text1" w:themeTint="D9"/>
                                <w:lang w:val="en-GB"/>
                              </w:rPr>
                            </w:pPr>
                            <w:r w:rsidRPr="004F4478">
                              <w:rPr>
                                <w:rFonts w:ascii="Arial" w:hAnsi="Arial"/>
                                <w:color w:val="262626" w:themeColor="text1" w:themeTint="D9"/>
                                <w:lang w:val="en-GB"/>
                              </w:rPr>
                              <w:t>Copyright notice</w:t>
                            </w:r>
                          </w:p>
                          <w:p w:rsidR="00860A11" w:rsidRPr="004F4478" w:rsidRDefault="00860A11" w:rsidP="005B24FC">
                            <w:pPr>
                              <w:pStyle w:val="Hdisclaimer"/>
                              <w:rPr>
                                <w:rFonts w:ascii="Arial" w:hAnsi="Arial"/>
                                <w:color w:val="262626" w:themeColor="text1" w:themeTint="D9"/>
                                <w:lang w:val="en-GB"/>
                              </w:rPr>
                            </w:pPr>
                            <w:r w:rsidRPr="004F4478">
                              <w:rPr>
                                <w:rFonts w:ascii="Arial" w:hAnsi="Arial"/>
                                <w:color w:val="262626" w:themeColor="text1" w:themeTint="D9"/>
                                <w:lang w:val="en-GB"/>
                              </w:rPr>
                              <w:t>© European Union, 2016</w:t>
                            </w:r>
                          </w:p>
                          <w:p w:rsidR="00860A11" w:rsidRPr="004F4478" w:rsidRDefault="00860A11" w:rsidP="005B24FC">
                            <w:pPr>
                              <w:pStyle w:val="Hdisclaimer"/>
                              <w:rPr>
                                <w:rFonts w:ascii="Arial" w:hAnsi="Arial"/>
                                <w:color w:val="262626" w:themeColor="text1" w:themeTint="D9"/>
                                <w:lang w:val="en-GB"/>
                              </w:rPr>
                            </w:pPr>
                            <w:r w:rsidRPr="004F4478">
                              <w:rPr>
                                <w:rFonts w:ascii="Arial" w:hAnsi="Arial"/>
                                <w:color w:val="262626" w:themeColor="text1" w:themeTint="D9"/>
                                <w:lang w:val="en-GB"/>
                              </w:rPr>
                              <w:t>Reproduction is authorised provided the source is acknowledged.</w:t>
                            </w:r>
                          </w:p>
                          <w:p w:rsidR="00860A11" w:rsidRPr="004F4478" w:rsidRDefault="00860A11" w:rsidP="005B24FC">
                            <w:pPr>
                              <w:pStyle w:val="Hdisclaimer"/>
                              <w:rPr>
                                <w:rFonts w:ascii="Arial" w:hAnsi="Arial"/>
                                <w:color w:val="262626" w:themeColor="text1" w:themeTint="D9"/>
                                <w:lang w:val="en-GB"/>
                              </w:rPr>
                            </w:pPr>
                            <w:r w:rsidRPr="004F4478">
                              <w:rPr>
                                <w:rFonts w:ascii="Arial" w:hAnsi="Arial"/>
                                <w:color w:val="262626" w:themeColor="text1" w:themeTint="D9"/>
                                <w:lang w:val="en-GB"/>
                              </w:rPr>
                              <w:t xml:space="preserve">Recommended citation: </w:t>
                            </w:r>
                          </w:p>
                          <w:p w:rsidR="00860A11" w:rsidRPr="004F4478" w:rsidRDefault="00860A11" w:rsidP="00707EDB">
                            <w:pPr>
                              <w:pStyle w:val="Hdisclaimer"/>
                              <w:rPr>
                                <w:rFonts w:ascii="Arial" w:hAnsi="Arial"/>
                                <w:color w:val="262626" w:themeColor="text1" w:themeTint="D9"/>
                                <w:lang w:val="en-GB"/>
                              </w:rPr>
                            </w:pPr>
                            <w:r w:rsidRPr="004F4478">
                              <w:rPr>
                                <w:rFonts w:ascii="Arial" w:hAnsi="Arial"/>
                                <w:color w:val="262626" w:themeColor="text1" w:themeTint="D9"/>
                                <w:lang w:val="en-GB"/>
                              </w:rPr>
                              <w:t>EUROPEAN COMMISSION – Directorate-General for Agriculture and Rural Development – Unit E.4 (2016): Guidelines Evaluation of National Rural Networks 2014-2020. Brussels.</w:t>
                            </w:r>
                          </w:p>
                          <w:p w:rsidR="00860A11" w:rsidRPr="004F4478" w:rsidRDefault="00860A11" w:rsidP="005B24FC">
                            <w:pPr>
                              <w:pStyle w:val="Hdisclaimer"/>
                              <w:rPr>
                                <w:rFonts w:ascii="Arial" w:hAnsi="Arial"/>
                                <w:color w:val="262626" w:themeColor="text1" w:themeTint="D9"/>
                                <w:lang w:val="en-GB"/>
                              </w:rPr>
                            </w:pPr>
                            <w:r w:rsidRPr="004F4478">
                              <w:rPr>
                                <w:rFonts w:ascii="Arial" w:hAnsi="Arial"/>
                                <w:color w:val="262626" w:themeColor="text1" w:themeTint="D9"/>
                                <w:lang w:val="en-GB"/>
                              </w:rPr>
                              <w:t>Disclaimer:</w:t>
                            </w:r>
                          </w:p>
                          <w:p w:rsidR="00860A11" w:rsidRPr="004F4478" w:rsidRDefault="00860A11" w:rsidP="005B24FC">
                            <w:pPr>
                              <w:pStyle w:val="Hdisclaimer"/>
                              <w:rPr>
                                <w:rFonts w:ascii="Arial" w:hAnsi="Arial"/>
                                <w:color w:val="262626" w:themeColor="text1" w:themeTint="D9"/>
                                <w:lang w:val="en-GB"/>
                              </w:rPr>
                            </w:pPr>
                            <w:r w:rsidRPr="004F4478">
                              <w:rPr>
                                <w:rFonts w:ascii="Arial" w:hAnsi="Arial"/>
                                <w:color w:val="262626" w:themeColor="text1" w:themeTint="D9"/>
                                <w:lang w:val="en-GB"/>
                              </w:rPr>
                              <w:t>The information and views set out in this publication are those of the author(s) and do not necessarily reflect the official opinion of the Commission. The Commission does not guarantee the accuracy of the data included in this publication. Neither the Commission nor any person acting on the Commission’s behalf may be held responsible for the use which may be made of the information contained therein.</w:t>
                            </w:r>
                          </w:p>
                          <w:p w:rsidR="00860A11" w:rsidRPr="002B46F3" w:rsidRDefault="00860A11" w:rsidP="005B24FC">
                            <w:pPr>
                              <w:pStyle w:val="Hdisclaimer"/>
                              <w:tabs>
                                <w:tab w:val="right" w:pos="10065"/>
                              </w:tabs>
                              <w:rPr>
                                <w:rFonts w:ascii="Arial" w:hAnsi="Arial"/>
                                <w:color w:val="262626" w:themeColor="text1" w:themeTint="D9"/>
                              </w:rPr>
                            </w:pPr>
                            <w:r>
                              <w:rPr>
                                <w:rFonts w:ascii="Arial" w:hAnsi="Arial"/>
                                <w:noProof/>
                                <w:color w:val="262626" w:themeColor="text1" w:themeTint="D9"/>
                                <w:lang w:val="en-GB" w:eastAsia="en-GB" w:bidi="ar-SA"/>
                              </w:rPr>
                              <w:drawing>
                                <wp:inline distT="0" distB="0" distL="0" distR="0" wp14:anchorId="5E60BDC9" wp14:editId="405DA947">
                                  <wp:extent cx="1676400" cy="792474"/>
                                  <wp:effectExtent l="0" t="0" r="0" b="8255"/>
                                  <wp:docPr id="11" name="Image 4" descr="Logo-O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Logo-OK3.jpg"/>
                                          <pic:cNvPicPr>
                                            <a:picLocks noChangeAspect="1"/>
                                          </pic:cNvPicPr>
                                        </pic:nvPicPr>
                                        <pic:blipFill rotWithShape="1">
                                          <a:blip r:embed="rId8">
                                            <a:extLst>
                                              <a:ext uri="{28A0092B-C50C-407E-A947-70E740481C1C}">
                                                <a14:useLocalDpi xmlns:a14="http://schemas.microsoft.com/office/drawing/2010/main" val="0"/>
                                              </a:ext>
                                            </a:extLst>
                                          </a:blip>
                                          <a:srcRect l="19669" r="17921"/>
                                          <a:stretch/>
                                        </pic:blipFill>
                                        <pic:spPr bwMode="auto">
                                          <a:xfrm>
                                            <a:off x="0" y="0"/>
                                            <a:ext cx="1679386" cy="793886"/>
                                          </a:xfrm>
                                          <a:prstGeom prst="rect">
                                            <a:avLst/>
                                          </a:prstGeom>
                                          <a:ln>
                                            <a:noFill/>
                                          </a:ln>
                                          <a:extLst>
                                            <a:ext uri="{53640926-AAD7-44D8-BBD7-CCE9431645EC}">
                                              <a14:shadowObscured xmlns:a14="http://schemas.microsoft.com/office/drawing/2010/main"/>
                                            </a:ext>
                                          </a:extLst>
                                        </pic:spPr>
                                      </pic:pic>
                                    </a:graphicData>
                                  </a:graphic>
                                </wp:inline>
                              </w:drawing>
                            </w:r>
                            <w:r>
                              <w:tab/>
                            </w:r>
                            <w:r>
                              <w:rPr>
                                <w:rFonts w:ascii="Arial" w:hAnsi="Arial"/>
                                <w:noProof/>
                                <w:color w:val="262626" w:themeColor="text1" w:themeTint="D9"/>
                                <w:lang w:val="en-GB" w:eastAsia="en-GB" w:bidi="ar-SA"/>
                              </w:rPr>
                              <w:drawing>
                                <wp:inline distT="0" distB="0" distL="0" distR="0" wp14:anchorId="6433D9CA" wp14:editId="343701C9">
                                  <wp:extent cx="1808480" cy="665125"/>
                                  <wp:effectExtent l="0" t="0" r="1270" b="1905"/>
                                  <wp:docPr id="23" name="Image 9" descr="V:\Public\Projets en cours\METIS\Template word\logoRURAL develop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Public\Projets en cours\METIS\Template word\logoRURAL development.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08480" cy="665125"/>
                                          </a:xfrm>
                                          <a:prstGeom prst="rect">
                                            <a:avLst/>
                                          </a:prstGeom>
                                          <a:noFill/>
                                          <a:ln>
                                            <a:noFill/>
                                          </a:ln>
                                        </pic:spPr>
                                      </pic:pic>
                                    </a:graphicData>
                                  </a:graphic>
                                </wp:inline>
                              </w:drawing>
                            </w:r>
                          </w:p>
                          <w:p w:rsidR="00860A11" w:rsidRPr="004F4478" w:rsidRDefault="00860A11" w:rsidP="005B24FC">
                            <w:pPr>
                              <w:pStyle w:val="Hdisclaimer"/>
                              <w:rPr>
                                <w:rFonts w:ascii="Arial" w:hAnsi="Arial"/>
                                <w:color w:val="262626" w:themeColor="text1" w:themeTint="D9"/>
                                <w:lang w:val="en-GB"/>
                              </w:rPr>
                            </w:pPr>
                            <w:r w:rsidRPr="004F4478">
                              <w:rPr>
                                <w:rFonts w:ascii="Arial" w:hAnsi="Arial"/>
                                <w:color w:val="262626" w:themeColor="text1" w:themeTint="D9"/>
                                <w:lang w:val="en-GB"/>
                              </w:rPr>
                              <w:t>The Evaluation Helpdesk is responsible for the evaluation function within the European Network for Rural Development (ENRD) by providing guidance on the evaluation of RDPs and policies falling under the remit and guidance of DG AGRI’s Unit E.4 'Evaluation and studies' of the European Commission (EC). In order to improve the evaluation of EU rural development policy the Evaluation Helpdesk supports all evaluation stakeholders, in particular DG AGRI, national authorities, RDP managing authorities and evaluators, through the development and dissemination of appropriate methodologies and tools; the collection and exchange of good practices; capacity building, and communicating with network members on evaluation related topics.</w:t>
                            </w:r>
                          </w:p>
                          <w:p w:rsidR="00860A11" w:rsidRPr="004F4478" w:rsidRDefault="00860A11" w:rsidP="005B24FC">
                            <w:pPr>
                              <w:pStyle w:val="Hdisclaimer"/>
                              <w:rPr>
                                <w:rFonts w:ascii="Arial" w:hAnsi="Arial"/>
                                <w:color w:val="262626" w:themeColor="text1" w:themeTint="D9"/>
                                <w:lang w:val="en-GB"/>
                              </w:rPr>
                            </w:pPr>
                            <w:r w:rsidRPr="004F4478">
                              <w:rPr>
                                <w:rFonts w:ascii="Arial" w:hAnsi="Arial"/>
                                <w:color w:val="262626" w:themeColor="text1" w:themeTint="D9"/>
                                <w:lang w:val="en-GB"/>
                              </w:rPr>
                              <w:t>Additional information about the activities of European Evaluation Helpdesk for Rural Development is available on the Internet through the Europa server (http://enrd.ec.europa.eu).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C11750" id="Text Box 7" o:spid="_x0000_s1027" type="#_x0000_t202" style="position:absolute;margin-left:-30.55pt;margin-top:221.45pt;width:518.4pt;height:406.4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" stroked="f">
                <v:fill opacity="0"/>
                <v:textbox>
                  <w:txbxContent>
                    <w:p w:rsidR="00860A11" w:rsidRPr="004F4478" w:rsidRDefault="00860A11" w:rsidP="005B24FC">
                      <w:pPr>
                        <w:pStyle w:val="Hdisclaimer"/>
                        <w:rPr>
                          <w:rFonts w:ascii="Arial" w:hAnsi="Arial"/>
                          <w:color w:val="262626" w:themeColor="text1" w:themeTint="D9"/>
                          <w:lang w:val="en-GB"/>
                        </w:rPr>
                      </w:pPr>
                      <w:r w:rsidRPr="004F4478">
                        <w:rPr>
                          <w:rFonts w:ascii="Arial" w:hAnsi="Arial"/>
                          <w:color w:val="262626" w:themeColor="text1" w:themeTint="D9"/>
                          <w:lang w:val="en-GB"/>
                        </w:rPr>
                        <w:t>Copyright notice</w:t>
                      </w:r>
                    </w:p>
                    <w:p w:rsidR="00860A11" w:rsidRPr="004F4478" w:rsidRDefault="00860A11" w:rsidP="005B24FC">
                      <w:pPr>
                        <w:pStyle w:val="Hdisclaimer"/>
                        <w:rPr>
                          <w:rFonts w:ascii="Arial" w:hAnsi="Arial"/>
                          <w:color w:val="262626" w:themeColor="text1" w:themeTint="D9"/>
                          <w:lang w:val="en-GB"/>
                        </w:rPr>
                      </w:pPr>
                      <w:r w:rsidRPr="004F4478">
                        <w:rPr>
                          <w:rFonts w:ascii="Arial" w:hAnsi="Arial"/>
                          <w:color w:val="262626" w:themeColor="text1" w:themeTint="D9"/>
                          <w:lang w:val="en-GB"/>
                        </w:rPr>
                        <w:t>© European Union, 2016</w:t>
                      </w:r>
                    </w:p>
                    <w:p w:rsidR="00860A11" w:rsidRPr="004F4478" w:rsidRDefault="00860A11" w:rsidP="005B24FC">
                      <w:pPr>
                        <w:pStyle w:val="Hdisclaimer"/>
                        <w:rPr>
                          <w:rFonts w:ascii="Arial" w:hAnsi="Arial"/>
                          <w:color w:val="262626" w:themeColor="text1" w:themeTint="D9"/>
                          <w:lang w:val="en-GB"/>
                        </w:rPr>
                      </w:pPr>
                      <w:r w:rsidRPr="004F4478">
                        <w:rPr>
                          <w:rFonts w:ascii="Arial" w:hAnsi="Arial"/>
                          <w:color w:val="262626" w:themeColor="text1" w:themeTint="D9"/>
                          <w:lang w:val="en-GB"/>
                        </w:rPr>
                        <w:t>Reproduction is authorised provided the source is acknowledged.</w:t>
                      </w:r>
                    </w:p>
                    <w:p w:rsidR="00860A11" w:rsidRPr="004F4478" w:rsidRDefault="00860A11" w:rsidP="005B24FC">
                      <w:pPr>
                        <w:pStyle w:val="Hdisclaimer"/>
                        <w:rPr>
                          <w:rFonts w:ascii="Arial" w:hAnsi="Arial"/>
                          <w:color w:val="262626" w:themeColor="text1" w:themeTint="D9"/>
                          <w:lang w:val="en-GB"/>
                        </w:rPr>
                      </w:pPr>
                      <w:r w:rsidRPr="004F4478">
                        <w:rPr>
                          <w:rFonts w:ascii="Arial" w:hAnsi="Arial"/>
                          <w:color w:val="262626" w:themeColor="text1" w:themeTint="D9"/>
                          <w:lang w:val="en-GB"/>
                        </w:rPr>
                        <w:t xml:space="preserve">Recommended citation: </w:t>
                      </w:r>
                    </w:p>
                    <w:p w:rsidR="00860A11" w:rsidRPr="004F4478" w:rsidRDefault="00860A11" w:rsidP="00707EDB">
                      <w:pPr>
                        <w:pStyle w:val="Hdisclaimer"/>
                        <w:rPr>
                          <w:rFonts w:ascii="Arial" w:hAnsi="Arial"/>
                          <w:color w:val="262626" w:themeColor="text1" w:themeTint="D9"/>
                          <w:lang w:val="en-GB"/>
                        </w:rPr>
                      </w:pPr>
                      <w:r w:rsidRPr="004F4478">
                        <w:rPr>
                          <w:rFonts w:ascii="Arial" w:hAnsi="Arial"/>
                          <w:color w:val="262626" w:themeColor="text1" w:themeTint="D9"/>
                          <w:lang w:val="en-GB"/>
                        </w:rPr>
                        <w:t>EUROPEAN COMMISSION – Directorate-General for Agriculture and Rural Development – Unit E.4 (2016): Guidelines Evaluation of National Rural Networks 2014-2020. Brussels.</w:t>
                      </w:r>
                    </w:p>
                    <w:p w:rsidR="00860A11" w:rsidRPr="004F4478" w:rsidRDefault="00860A11" w:rsidP="005B24FC">
                      <w:pPr>
                        <w:pStyle w:val="Hdisclaimer"/>
                        <w:rPr>
                          <w:rFonts w:ascii="Arial" w:hAnsi="Arial"/>
                          <w:color w:val="262626" w:themeColor="text1" w:themeTint="D9"/>
                          <w:lang w:val="en-GB"/>
                        </w:rPr>
                      </w:pPr>
                      <w:r w:rsidRPr="004F4478">
                        <w:rPr>
                          <w:rFonts w:ascii="Arial" w:hAnsi="Arial"/>
                          <w:color w:val="262626" w:themeColor="text1" w:themeTint="D9"/>
                          <w:lang w:val="en-GB"/>
                        </w:rPr>
                        <w:t>Disclaimer:</w:t>
                      </w:r>
                    </w:p>
                    <w:p w:rsidR="00860A11" w:rsidRPr="004F4478" w:rsidRDefault="00860A11" w:rsidP="005B24FC">
                      <w:pPr>
                        <w:pStyle w:val="Hdisclaimer"/>
                        <w:rPr>
                          <w:rFonts w:ascii="Arial" w:hAnsi="Arial"/>
                          <w:color w:val="262626" w:themeColor="text1" w:themeTint="D9"/>
                          <w:lang w:val="en-GB"/>
                        </w:rPr>
                      </w:pPr>
                      <w:r w:rsidRPr="004F4478">
                        <w:rPr>
                          <w:rFonts w:ascii="Arial" w:hAnsi="Arial"/>
                          <w:color w:val="262626" w:themeColor="text1" w:themeTint="D9"/>
                          <w:lang w:val="en-GB"/>
                        </w:rPr>
                        <w:t>The information and views set out in this publication are those of the author(s) and do not necessarily reflect the official opinion of the Commission. The Commission does not guarantee the accuracy of the data included in this publication. Neither the Commission nor any person acting on the Commission’s behalf may be held responsible for the use which may be made of the information contained therein.</w:t>
                      </w:r>
                    </w:p>
                    <w:p w:rsidR="00860A11" w:rsidRPr="002B46F3" w:rsidRDefault="00860A11" w:rsidP="005B24FC">
                      <w:pPr>
                        <w:pStyle w:val="Hdisclaimer"/>
                        <w:tabs>
                          <w:tab w:val="right" w:pos="10065"/>
                        </w:tabs>
                        <w:rPr>
                          <w:rFonts w:ascii="Arial" w:hAnsi="Arial"/>
                          <w:color w:val="262626" w:themeColor="text1" w:themeTint="D9"/>
                        </w:rPr>
                      </w:pPr>
                      <w:r>
                        <w:rPr>
                          <w:rFonts w:ascii="Arial" w:hAnsi="Arial"/>
                          <w:noProof/>
                          <w:color w:val="262626" w:themeColor="text1" w:themeTint="D9"/>
                          <w:lang w:val="en-GB" w:eastAsia="en-GB" w:bidi="ar-SA"/>
                        </w:rPr>
                        <w:drawing>
                          <wp:inline distT="0" distB="0" distL="0" distR="0" wp14:anchorId="5E60BDC9" wp14:editId="405DA947">
                            <wp:extent cx="1676400" cy="792474"/>
                            <wp:effectExtent l="0" t="0" r="0" b="8255"/>
                            <wp:docPr id="11" name="Image 4" descr="Logo-O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Logo-OK3.jpg"/>
                                    <pic:cNvPicPr>
                                      <a:picLocks noChangeAspect="1"/>
                                    </pic:cNvPicPr>
                                  </pic:nvPicPr>
                                  <pic:blipFill rotWithShape="1">
                                    <a:blip r:embed="rId8">
                                      <a:extLst>
                                        <a:ext uri="{28A0092B-C50C-407E-A947-70E740481C1C}">
                                          <a14:useLocalDpi xmlns:a14="http://schemas.microsoft.com/office/drawing/2010/main" val="0"/>
                                        </a:ext>
                                      </a:extLst>
                                    </a:blip>
                                    <a:srcRect l="19669" r="17921"/>
                                    <a:stretch/>
                                  </pic:blipFill>
                                  <pic:spPr bwMode="auto">
                                    <a:xfrm>
                                      <a:off x="0" y="0"/>
                                      <a:ext cx="1679386" cy="793886"/>
                                    </a:xfrm>
                                    <a:prstGeom prst="rect">
                                      <a:avLst/>
                                    </a:prstGeom>
                                    <a:ln>
                                      <a:noFill/>
                                    </a:ln>
                                    <a:extLst>
                                      <a:ext uri="{53640926-AAD7-44D8-BBD7-CCE9431645EC}">
                                        <a14:shadowObscured xmlns:a14="http://schemas.microsoft.com/office/drawing/2010/main"/>
                                      </a:ext>
                                    </a:extLst>
                                  </pic:spPr>
                                </pic:pic>
                              </a:graphicData>
                            </a:graphic>
                          </wp:inline>
                        </w:drawing>
                      </w:r>
                      <w:r>
                        <w:tab/>
                      </w:r>
                      <w:r>
                        <w:rPr>
                          <w:rFonts w:ascii="Arial" w:hAnsi="Arial"/>
                          <w:noProof/>
                          <w:color w:val="262626" w:themeColor="text1" w:themeTint="D9"/>
                          <w:lang w:val="en-GB" w:eastAsia="en-GB" w:bidi="ar-SA"/>
                        </w:rPr>
                        <w:drawing>
                          <wp:inline distT="0" distB="0" distL="0" distR="0" wp14:anchorId="6433D9CA" wp14:editId="343701C9">
                            <wp:extent cx="1808480" cy="665125"/>
                            <wp:effectExtent l="0" t="0" r="1270" b="1905"/>
                            <wp:docPr id="23" name="Image 9" descr="V:\Public\Projets en cours\METIS\Template word\logoRURAL develop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Public\Projets en cours\METIS\Template word\logoRURAL development.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08480" cy="665125"/>
                                    </a:xfrm>
                                    <a:prstGeom prst="rect">
                                      <a:avLst/>
                                    </a:prstGeom>
                                    <a:noFill/>
                                    <a:ln>
                                      <a:noFill/>
                                    </a:ln>
                                  </pic:spPr>
                                </pic:pic>
                              </a:graphicData>
                            </a:graphic>
                          </wp:inline>
                        </w:drawing>
                      </w:r>
                    </w:p>
                    <w:p w:rsidR="00860A11" w:rsidRPr="004F4478" w:rsidRDefault="00860A11" w:rsidP="005B24FC">
                      <w:pPr>
                        <w:pStyle w:val="Hdisclaimer"/>
                        <w:rPr>
                          <w:rFonts w:ascii="Arial" w:hAnsi="Arial"/>
                          <w:color w:val="262626" w:themeColor="text1" w:themeTint="D9"/>
                          <w:lang w:val="en-GB"/>
                        </w:rPr>
                      </w:pPr>
                      <w:r w:rsidRPr="004F4478">
                        <w:rPr>
                          <w:rFonts w:ascii="Arial" w:hAnsi="Arial"/>
                          <w:color w:val="262626" w:themeColor="text1" w:themeTint="D9"/>
                          <w:lang w:val="en-GB"/>
                        </w:rPr>
                        <w:t>The Evaluation Helpdesk is responsible for the evaluation function within the European Network for Rural Development (ENRD) by providing guidance on the evaluation of RDPs and policies falling under the remit and guidance of DG AGRI’s Unit E.4 'Evaluation and studies' of the European Commission (EC). In order to improve the evaluation of EU rural development policy the Evaluation Helpdesk supports all evaluation stakeholders, in particular DG AGRI, national authorities, RDP managing authorities and evaluators, through the development and dissemination of appropriate methodologies and tools; the collection and exchange of good practices; capacity building, and communicating with network members on evaluation related topics.</w:t>
                      </w:r>
                    </w:p>
                    <w:p w:rsidR="00860A11" w:rsidRPr="004F4478" w:rsidRDefault="00860A11" w:rsidP="005B24FC">
                      <w:pPr>
                        <w:pStyle w:val="Hdisclaimer"/>
                        <w:rPr>
                          <w:rFonts w:ascii="Arial" w:hAnsi="Arial"/>
                          <w:color w:val="262626" w:themeColor="text1" w:themeTint="D9"/>
                          <w:lang w:val="en-GB"/>
                        </w:rPr>
                      </w:pPr>
                      <w:r w:rsidRPr="004F4478">
                        <w:rPr>
                          <w:rFonts w:ascii="Arial" w:hAnsi="Arial"/>
                          <w:color w:val="262626" w:themeColor="text1" w:themeTint="D9"/>
                          <w:lang w:val="en-GB"/>
                        </w:rPr>
                        <w:t>Additional information about the activities of European Evaluation Helpdesk for Rural Development is available on the Internet through the Europa server (http://enrd.ec.europa.eu).</w:t>
                      </w:r>
                    </w:p>
                  </w:txbxContent>
                </v:textbox>
                <w10:wrap anchorx="margin"/>
              </v:shape>
            </w:pict>
          </mc:Fallback>
        </mc:AlternateContent>
      </w:r>
      <w:r w:rsidRPr="004F4478">
        <w:br w:type="page"/>
      </w:r>
    </w:p>
    <w:p w:rsidR="00860A11" w:rsidRPr="004F4478" w:rsidRDefault="00860A11" w:rsidP="00923616">
      <w:pPr>
        <w:pStyle w:val="HStandard"/>
        <w:sectPr w:rsidR="00860A11" w:rsidRPr="004F4478" w:rsidSect="008B0117">
          <w:pgSz w:w="11906" w:h="16838"/>
          <w:pgMar w:top="1440" w:right="1440" w:bottom="1440" w:left="1440" w:header="708" w:footer="708" w:gutter="0"/>
          <w:cols w:space="708"/>
          <w:docGrid w:linePitch="360"/>
        </w:sectPr>
      </w:pPr>
      <w:r w:rsidRPr="004F4478">
        <w:rPr>
          <w:noProof/>
          <w:lang w:val="en-GB" w:eastAsia="en-GB" w:bidi="ar-SA"/>
        </w:rPr>
        <w:lastRenderedPageBreak/>
        <mc:AlternateContent>
          <mc:Choice Requires="wps">
            <w:drawing>
              <wp:anchor distT="0" distB="0" distL="114300" distR="114300" simplePos="0" relativeHeight="251662336" behindDoc="1" locked="0" layoutInCell="1" allowOverlap="1" wp14:anchorId="7C1CEFCD" wp14:editId="7D28798A">
                <wp:simplePos x="0" y="0"/>
                <wp:positionH relativeFrom="page">
                  <wp:posOffset>2052320</wp:posOffset>
                </wp:positionH>
                <wp:positionV relativeFrom="page">
                  <wp:posOffset>5022850</wp:posOffset>
                </wp:positionV>
                <wp:extent cx="4341495" cy="3855720"/>
                <wp:effectExtent l="0" t="0" r="1905" b="11430"/>
                <wp:wrapTight wrapText="bothSides">
                  <wp:wrapPolygon edited="0">
                    <wp:start x="0" y="0"/>
                    <wp:lineTo x="0" y="21557"/>
                    <wp:lineTo x="21515" y="21557"/>
                    <wp:lineTo x="21515" y="0"/>
                    <wp:lineTo x="0" y="0"/>
                  </wp:wrapPolygon>
                </wp:wrapTight>
                <wp:docPr id="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1495" cy="3855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0A11" w:rsidRPr="004F4478" w:rsidRDefault="00860A11" w:rsidP="00F10C08">
                            <w:pPr>
                              <w:pStyle w:val="HTitle1"/>
                              <w:rPr>
                                <w:rFonts w:ascii="Arial" w:hAnsi="Arial" w:cs="Arial"/>
                                <w:lang w:val="en-GB"/>
                              </w:rPr>
                            </w:pPr>
                            <w:r w:rsidRPr="004F4478">
                              <w:rPr>
                                <w:rFonts w:ascii="Arial" w:hAnsi="Arial"/>
                                <w:lang w:val="en-GB"/>
                              </w:rPr>
                              <w:t>GUIDELINES</w:t>
                            </w:r>
                          </w:p>
                          <w:p w:rsidR="00860A11" w:rsidRPr="004F4478" w:rsidRDefault="00860A11" w:rsidP="00F10C08">
                            <w:pPr>
                              <w:pStyle w:val="HTitle2"/>
                              <w:rPr>
                                <w:rFonts w:ascii="Arial" w:hAnsi="Arial" w:cs="Arial"/>
                                <w:color w:val="262626" w:themeColor="text1" w:themeTint="D9"/>
                                <w:lang w:val="en-GB"/>
                              </w:rPr>
                            </w:pPr>
                            <w:r w:rsidRPr="004F4478">
                              <w:rPr>
                                <w:rFonts w:ascii="Arial" w:hAnsi="Arial"/>
                                <w:color w:val="262626" w:themeColor="text1" w:themeTint="D9"/>
                                <w:lang w:val="en-GB"/>
                              </w:rPr>
                              <w:t>EVALUATION OF NATIONAL RURAL NETWORKS 2014-2020</w:t>
                            </w:r>
                          </w:p>
                          <w:p w:rsidR="00860A11" w:rsidRPr="004F4478" w:rsidRDefault="00860A11" w:rsidP="00F10C08">
                            <w:pPr>
                              <w:pStyle w:val="HTitle2"/>
                              <w:rPr>
                                <w:rFonts w:ascii="Arial" w:hAnsi="Arial" w:cs="Arial"/>
                                <w:color w:val="262626" w:themeColor="text1" w:themeTint="D9"/>
                                <w:szCs w:val="40"/>
                                <w:lang w:val="en-GB"/>
                              </w:rPr>
                            </w:pPr>
                          </w:p>
                          <w:p w:rsidR="00860A11" w:rsidRPr="00DE5388" w:rsidRDefault="00860A11" w:rsidP="00F10C08">
                            <w:pPr>
                              <w:pStyle w:val="HTitle3"/>
                            </w:pPr>
                            <w:r>
                              <w:t>JULY 2016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1CEFCD" id="_x0000_s1028" type="#_x0000_t202" style="position:absolute;left:0;text-align:left;margin-left:161.6pt;margin-top:395.5pt;width:341.85pt;height:303.6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" filled="f" stroked="f">
                <v:textbox inset="0,0,0,0">
                  <w:txbxContent>
                    <w:p w:rsidR="00860A11" w:rsidRPr="004F4478" w:rsidRDefault="00860A11" w:rsidP="00F10C08">
                      <w:pPr>
                        <w:pStyle w:val="HTitle1"/>
                        <w:rPr>
                          <w:rFonts w:ascii="Arial" w:hAnsi="Arial" w:cs="Arial"/>
                          <w:lang w:val="en-GB"/>
                        </w:rPr>
                      </w:pPr>
                      <w:r w:rsidRPr="004F4478">
                        <w:rPr>
                          <w:rFonts w:ascii="Arial" w:hAnsi="Arial"/>
                          <w:lang w:val="en-GB"/>
                        </w:rPr>
                        <w:t>GUIDELINES</w:t>
                      </w:r>
                    </w:p>
                    <w:p w:rsidR="00860A11" w:rsidRPr="004F4478" w:rsidRDefault="00860A11" w:rsidP="00F10C08">
                      <w:pPr>
                        <w:pStyle w:val="HTitle2"/>
                        <w:rPr>
                          <w:rFonts w:ascii="Arial" w:hAnsi="Arial" w:cs="Arial"/>
                          <w:color w:val="262626" w:themeColor="text1" w:themeTint="D9"/>
                          <w:lang w:val="en-GB"/>
                        </w:rPr>
                      </w:pPr>
                      <w:r w:rsidRPr="004F4478">
                        <w:rPr>
                          <w:rFonts w:ascii="Arial" w:hAnsi="Arial"/>
                          <w:color w:val="262626" w:themeColor="text1" w:themeTint="D9"/>
                          <w:lang w:val="en-GB"/>
                        </w:rPr>
                        <w:t>EVALUATION OF NATIONAL RURAL NETWORKS 2014-2020</w:t>
                      </w:r>
                    </w:p>
                    <w:p w:rsidR="00860A11" w:rsidRPr="004F4478" w:rsidRDefault="00860A11" w:rsidP="00F10C08">
                      <w:pPr>
                        <w:pStyle w:val="HTitle2"/>
                        <w:rPr>
                          <w:rFonts w:ascii="Arial" w:hAnsi="Arial" w:cs="Arial"/>
                          <w:color w:val="262626" w:themeColor="text1" w:themeTint="D9"/>
                          <w:szCs w:val="40"/>
                          <w:lang w:val="en-GB"/>
                        </w:rPr>
                      </w:pPr>
                    </w:p>
                    <w:p w:rsidR="00860A11" w:rsidRPr="00DE5388" w:rsidRDefault="00860A11" w:rsidP="00F10C08">
                      <w:pPr>
                        <w:pStyle w:val="HTitle3"/>
                      </w:pPr>
                      <w:r>
                        <w:t>JULY 2016</w:t>
                      </w:r>
                    </w:p>
                  </w:txbxContent>
                </v:textbox>
                <w10:wrap type="tight" anchorx="page" anchory="page"/>
              </v:shape>
            </w:pict>
          </mc:Fallback>
        </mc:AlternateContent>
      </w:r>
    </w:p>
    <w:p w:rsidR="00860A11" w:rsidRPr="004F4478" w:rsidRDefault="00860A11">
      <w:pPr>
        <w:spacing w:after="0" w:line="240" w:lineRule="auto"/>
        <w:rPr>
          <w:rFonts w:cs="Arial"/>
          <w:b/>
          <w:bCs/>
          <w:caps/>
          <w:color w:val="F07E31"/>
          <w:kern w:val="32"/>
          <w:sz w:val="20"/>
          <w:szCs w:val="32"/>
        </w:rPr>
      </w:pPr>
      <w:r w:rsidRPr="004F4478">
        <w:lastRenderedPageBreak/>
        <w:br w:type="page"/>
      </w:r>
    </w:p>
    <w:p w:rsidR="00860A11" w:rsidRPr="00B9291E" w:rsidRDefault="00860A11" w:rsidP="000B62C2">
      <w:pPr>
        <w:pStyle w:val="HContent"/>
        <w:rPr>
          <w:rFonts w:ascii="Arial" w:hAnsi="Arial"/>
          <w:lang w:val="en-GB"/>
        </w:rPr>
      </w:pPr>
      <w:r w:rsidRPr="00B9291E">
        <w:rPr>
          <w:rFonts w:ascii="Arial" w:hAnsi="Arial"/>
          <w:lang w:val="en-GB"/>
        </w:rPr>
        <w:lastRenderedPageBreak/>
        <w:t>Content</w:t>
      </w:r>
    </w:p>
    <w:p w:rsidR="00860A11" w:rsidRDefault="00860A11">
      <w:pPr>
        <w:pStyle w:val="TOC1"/>
        <w:rPr>
          <w:rFonts w:asciiTheme="minorHAnsi" w:eastAsiaTheme="minorEastAsia" w:hAnsiTheme="minorHAnsi" w:cstheme="minorBidi"/>
          <w:color w:val="auto"/>
          <w:sz w:val="22"/>
          <w:szCs w:val="22"/>
          <w:lang w:val="en-GB" w:eastAsia="en-GB" w:bidi="ar-SA"/>
        </w:rPr>
      </w:pPr>
      <w:r w:rsidRPr="004F4478">
        <w:rPr>
          <w:noProof w:val="0"/>
          <w:color w:val="576C88" w:themeColor="text2" w:themeTint="D9"/>
        </w:rPr>
        <w:fldChar w:fldCharType="begin"/>
      </w:r>
      <w:r w:rsidRPr="00B9291E">
        <w:rPr>
          <w:noProof w:val="0"/>
          <w:color w:val="576C88" w:themeColor="text2" w:themeTint="D9"/>
          <w:lang w:val="en-GB"/>
        </w:rPr>
        <w:instrText xml:space="preserve"> TOC \h \z \t "H_Heading 1;1;H_Heading 2;2;H_Heading 3;3;H_Heading 9;1" </w:instrText>
      </w:r>
      <w:r w:rsidRPr="004F4478">
        <w:rPr>
          <w:noProof w:val="0"/>
          <w:color w:val="576C88" w:themeColor="text2" w:themeTint="D9"/>
        </w:rPr>
        <w:fldChar w:fldCharType="separate"/>
      </w:r>
      <w:hyperlink w:anchor="_Toc463945852" w:history="1">
        <w:r w:rsidRPr="00BC0A7D">
          <w:rPr>
            <w:rStyle w:val="Hyperlink"/>
            <w:rFonts w:cs="Arial"/>
            <w:highlight w:val="yellow"/>
          </w:rPr>
          <w:t>1</w:t>
        </w:r>
        <w:r>
          <w:rPr>
            <w:rFonts w:asciiTheme="minorHAnsi" w:eastAsiaTheme="minorEastAsia" w:hAnsiTheme="minorHAnsi" w:cstheme="minorBidi"/>
            <w:color w:val="auto"/>
            <w:sz w:val="22"/>
            <w:szCs w:val="22"/>
            <w:lang w:val="en-GB" w:eastAsia="en-GB" w:bidi="ar-SA"/>
          </w:rPr>
          <w:tab/>
        </w:r>
        <w:r w:rsidRPr="00BC0A7D">
          <w:rPr>
            <w:rStyle w:val="Hyperlink"/>
            <w:highlight w:val="yellow"/>
          </w:rPr>
          <w:t>INTRODUCTION</w:t>
        </w:r>
        <w:r>
          <w:rPr>
            <w:webHidden/>
          </w:rPr>
          <w:tab/>
        </w:r>
        <w:r>
          <w:rPr>
            <w:webHidden/>
          </w:rPr>
          <w:fldChar w:fldCharType="begin"/>
        </w:r>
        <w:r>
          <w:rPr>
            <w:webHidden/>
          </w:rPr>
          <w:instrText xml:space="preserve"> PAGEREF _Toc463945852 \h </w:instrText>
        </w:r>
        <w:r>
          <w:rPr>
            <w:webHidden/>
          </w:rPr>
        </w:r>
        <w:r>
          <w:rPr>
            <w:webHidden/>
          </w:rPr>
          <w:fldChar w:fldCharType="separate"/>
        </w:r>
        <w:r>
          <w:rPr>
            <w:webHidden/>
          </w:rPr>
          <w:t>11</w:t>
        </w:r>
        <w:r>
          <w:rPr>
            <w:webHidden/>
          </w:rPr>
          <w:fldChar w:fldCharType="end"/>
        </w:r>
      </w:hyperlink>
    </w:p>
    <w:p w:rsidR="00860A11" w:rsidRDefault="00860A11">
      <w:pPr>
        <w:pStyle w:val="TOC2"/>
        <w:rPr>
          <w:rFonts w:asciiTheme="minorHAnsi" w:eastAsiaTheme="minorEastAsia" w:hAnsiTheme="minorHAnsi" w:cstheme="minorBidi"/>
          <w:color w:val="auto"/>
          <w:sz w:val="22"/>
          <w:lang w:val="en-GB" w:eastAsia="en-GB" w:bidi="ar-SA"/>
        </w:rPr>
      </w:pPr>
      <w:hyperlink w:anchor="_Toc463945853" w:history="1">
        <w:r w:rsidRPr="00BC0A7D">
          <w:rPr>
            <w:rStyle w:val="Hyperlink"/>
            <w:highlight w:val="yellow"/>
          </w:rPr>
          <w:t>1.1</w:t>
        </w:r>
        <w:r>
          <w:rPr>
            <w:rFonts w:asciiTheme="minorHAnsi" w:eastAsiaTheme="minorEastAsia" w:hAnsiTheme="minorHAnsi" w:cstheme="minorBidi"/>
            <w:color w:val="auto"/>
            <w:sz w:val="22"/>
            <w:lang w:val="en-GB" w:eastAsia="en-GB" w:bidi="ar-SA"/>
          </w:rPr>
          <w:tab/>
        </w:r>
        <w:r w:rsidRPr="00BC0A7D">
          <w:rPr>
            <w:rStyle w:val="Hyperlink"/>
            <w:highlight w:val="yellow"/>
          </w:rPr>
          <w:t>Lignes directrices pour l’évaluation des réseaux ruraux nationaux</w:t>
        </w:r>
        <w:r>
          <w:rPr>
            <w:webHidden/>
          </w:rPr>
          <w:tab/>
        </w:r>
        <w:r>
          <w:rPr>
            <w:webHidden/>
          </w:rPr>
          <w:fldChar w:fldCharType="begin"/>
        </w:r>
        <w:r>
          <w:rPr>
            <w:webHidden/>
          </w:rPr>
          <w:instrText xml:space="preserve"> PAGEREF _Toc463945853 \h </w:instrText>
        </w:r>
        <w:r>
          <w:rPr>
            <w:webHidden/>
          </w:rPr>
        </w:r>
        <w:r>
          <w:rPr>
            <w:webHidden/>
          </w:rPr>
          <w:fldChar w:fldCharType="separate"/>
        </w:r>
        <w:r>
          <w:rPr>
            <w:webHidden/>
          </w:rPr>
          <w:t>11</w:t>
        </w:r>
        <w:r>
          <w:rPr>
            <w:webHidden/>
          </w:rPr>
          <w:fldChar w:fldCharType="end"/>
        </w:r>
      </w:hyperlink>
    </w:p>
    <w:p w:rsidR="00860A11" w:rsidRDefault="00860A11">
      <w:pPr>
        <w:pStyle w:val="TOC2"/>
        <w:rPr>
          <w:rFonts w:asciiTheme="minorHAnsi" w:eastAsiaTheme="minorEastAsia" w:hAnsiTheme="minorHAnsi" w:cstheme="minorBidi"/>
          <w:color w:val="auto"/>
          <w:sz w:val="22"/>
          <w:lang w:val="en-GB" w:eastAsia="en-GB" w:bidi="ar-SA"/>
        </w:rPr>
      </w:pPr>
      <w:hyperlink w:anchor="_Toc463945854" w:history="1">
        <w:r w:rsidRPr="00BC0A7D">
          <w:rPr>
            <w:rStyle w:val="Hyperlink"/>
            <w:highlight w:val="yellow"/>
          </w:rPr>
          <w:t>1.2</w:t>
        </w:r>
        <w:r>
          <w:rPr>
            <w:rFonts w:asciiTheme="minorHAnsi" w:eastAsiaTheme="minorEastAsia" w:hAnsiTheme="minorHAnsi" w:cstheme="minorBidi"/>
            <w:color w:val="auto"/>
            <w:sz w:val="22"/>
            <w:lang w:val="en-GB" w:eastAsia="en-GB" w:bidi="ar-SA"/>
          </w:rPr>
          <w:tab/>
        </w:r>
        <w:r w:rsidRPr="00BC0A7D">
          <w:rPr>
            <w:rStyle w:val="Hyperlink"/>
            <w:highlight w:val="yellow"/>
          </w:rPr>
          <w:t>Réseaux et réseautage dans la politique de développement rural de l'UE</w:t>
        </w:r>
        <w:r>
          <w:rPr>
            <w:webHidden/>
          </w:rPr>
          <w:tab/>
        </w:r>
        <w:r>
          <w:rPr>
            <w:webHidden/>
          </w:rPr>
          <w:fldChar w:fldCharType="begin"/>
        </w:r>
        <w:r>
          <w:rPr>
            <w:webHidden/>
          </w:rPr>
          <w:instrText xml:space="preserve"> PAGEREF _Toc463945854 \h </w:instrText>
        </w:r>
        <w:r>
          <w:rPr>
            <w:webHidden/>
          </w:rPr>
        </w:r>
        <w:r>
          <w:rPr>
            <w:webHidden/>
          </w:rPr>
          <w:fldChar w:fldCharType="separate"/>
        </w:r>
        <w:r>
          <w:rPr>
            <w:webHidden/>
          </w:rPr>
          <w:t>13</w:t>
        </w:r>
        <w:r>
          <w:rPr>
            <w:webHidden/>
          </w:rPr>
          <w:fldChar w:fldCharType="end"/>
        </w:r>
      </w:hyperlink>
    </w:p>
    <w:p w:rsidR="00860A11" w:rsidRDefault="00860A11">
      <w:pPr>
        <w:pStyle w:val="TOC2"/>
        <w:rPr>
          <w:rFonts w:asciiTheme="minorHAnsi" w:eastAsiaTheme="minorEastAsia" w:hAnsiTheme="minorHAnsi" w:cstheme="minorBidi"/>
          <w:color w:val="auto"/>
          <w:sz w:val="22"/>
          <w:lang w:val="en-GB" w:eastAsia="en-GB" w:bidi="ar-SA"/>
        </w:rPr>
      </w:pPr>
      <w:hyperlink w:anchor="_Toc463945855" w:history="1">
        <w:r w:rsidRPr="00BC0A7D">
          <w:rPr>
            <w:rStyle w:val="Hyperlink"/>
            <w:highlight w:val="yellow"/>
          </w:rPr>
          <w:t>1.3</w:t>
        </w:r>
        <w:r>
          <w:rPr>
            <w:rFonts w:asciiTheme="minorHAnsi" w:eastAsiaTheme="minorEastAsia" w:hAnsiTheme="minorHAnsi" w:cstheme="minorBidi"/>
            <w:color w:val="auto"/>
            <w:sz w:val="22"/>
            <w:lang w:val="en-GB" w:eastAsia="en-GB" w:bidi="ar-SA"/>
          </w:rPr>
          <w:tab/>
        </w:r>
        <w:r w:rsidRPr="00BC0A7D">
          <w:rPr>
            <w:rStyle w:val="Hyperlink"/>
            <w:highlight w:val="yellow"/>
          </w:rPr>
          <w:t>Pourquoi et comment évaluer les RRN?</w:t>
        </w:r>
        <w:r>
          <w:rPr>
            <w:webHidden/>
          </w:rPr>
          <w:tab/>
        </w:r>
        <w:r>
          <w:rPr>
            <w:webHidden/>
          </w:rPr>
          <w:fldChar w:fldCharType="begin"/>
        </w:r>
        <w:r>
          <w:rPr>
            <w:webHidden/>
          </w:rPr>
          <w:instrText xml:space="preserve"> PAGEREF _Toc463945855 \h </w:instrText>
        </w:r>
        <w:r>
          <w:rPr>
            <w:webHidden/>
          </w:rPr>
        </w:r>
        <w:r>
          <w:rPr>
            <w:webHidden/>
          </w:rPr>
          <w:fldChar w:fldCharType="separate"/>
        </w:r>
        <w:r>
          <w:rPr>
            <w:webHidden/>
          </w:rPr>
          <w:t>18</w:t>
        </w:r>
        <w:r>
          <w:rPr>
            <w:webHidden/>
          </w:rPr>
          <w:fldChar w:fldCharType="end"/>
        </w:r>
      </w:hyperlink>
    </w:p>
    <w:p w:rsidR="00860A11" w:rsidRDefault="00860A11">
      <w:pPr>
        <w:pStyle w:val="TOC2"/>
        <w:rPr>
          <w:rFonts w:asciiTheme="minorHAnsi" w:eastAsiaTheme="minorEastAsia" w:hAnsiTheme="minorHAnsi" w:cstheme="minorBidi"/>
          <w:color w:val="auto"/>
          <w:sz w:val="22"/>
          <w:lang w:val="en-GB" w:eastAsia="en-GB" w:bidi="ar-SA"/>
        </w:rPr>
      </w:pPr>
      <w:hyperlink w:anchor="_Toc463945856" w:history="1">
        <w:r w:rsidRPr="00BC0A7D">
          <w:rPr>
            <w:rStyle w:val="Hyperlink"/>
            <w:highlight w:val="yellow"/>
          </w:rPr>
          <w:t>1.4</w:t>
        </w:r>
        <w:r>
          <w:rPr>
            <w:rFonts w:asciiTheme="minorHAnsi" w:eastAsiaTheme="minorEastAsia" w:hAnsiTheme="minorHAnsi" w:cstheme="minorBidi"/>
            <w:color w:val="auto"/>
            <w:sz w:val="22"/>
            <w:lang w:val="en-GB" w:eastAsia="en-GB" w:bidi="ar-SA"/>
          </w:rPr>
          <w:tab/>
        </w:r>
        <w:r w:rsidRPr="00BC0A7D">
          <w:rPr>
            <w:rStyle w:val="Hyperlink"/>
            <w:highlight w:val="yellow"/>
          </w:rPr>
          <w:t>Cahier des charges de l'évaluation du RRN dans la politique de développement rural de l'UE</w:t>
        </w:r>
        <w:r>
          <w:rPr>
            <w:webHidden/>
          </w:rPr>
          <w:tab/>
        </w:r>
        <w:r>
          <w:rPr>
            <w:webHidden/>
          </w:rPr>
          <w:fldChar w:fldCharType="begin"/>
        </w:r>
        <w:r>
          <w:rPr>
            <w:webHidden/>
          </w:rPr>
          <w:instrText xml:space="preserve"> PAGEREF _Toc463945856 \h </w:instrText>
        </w:r>
        <w:r>
          <w:rPr>
            <w:webHidden/>
          </w:rPr>
        </w:r>
        <w:r>
          <w:rPr>
            <w:webHidden/>
          </w:rPr>
          <w:fldChar w:fldCharType="separate"/>
        </w:r>
        <w:r>
          <w:rPr>
            <w:webHidden/>
          </w:rPr>
          <w:t>21</w:t>
        </w:r>
        <w:r>
          <w:rPr>
            <w:webHidden/>
          </w:rPr>
          <w:fldChar w:fldCharType="end"/>
        </w:r>
      </w:hyperlink>
    </w:p>
    <w:p w:rsidR="00860A11" w:rsidRDefault="00860A11">
      <w:pPr>
        <w:pStyle w:val="TOC3"/>
        <w:rPr>
          <w:rFonts w:asciiTheme="minorHAnsi" w:eastAsiaTheme="minorEastAsia" w:hAnsiTheme="minorHAnsi" w:cstheme="minorBidi"/>
          <w:color w:val="auto"/>
          <w:sz w:val="22"/>
          <w:szCs w:val="22"/>
          <w:lang w:val="en-GB" w:eastAsia="en-GB" w:bidi="ar-SA"/>
        </w:rPr>
      </w:pPr>
      <w:hyperlink w:anchor="_Toc463945857" w:history="1">
        <w:r w:rsidRPr="00BC0A7D">
          <w:rPr>
            <w:rStyle w:val="Hyperlink"/>
            <w:highlight w:val="yellow"/>
          </w:rPr>
          <w:t>1.4.1</w:t>
        </w:r>
        <w:r>
          <w:rPr>
            <w:rFonts w:asciiTheme="minorHAnsi" w:eastAsiaTheme="minorEastAsia" w:hAnsiTheme="minorHAnsi" w:cstheme="minorBidi"/>
            <w:color w:val="auto"/>
            <w:sz w:val="22"/>
            <w:szCs w:val="22"/>
            <w:lang w:val="en-GB" w:eastAsia="en-GB" w:bidi="ar-SA"/>
          </w:rPr>
          <w:tab/>
        </w:r>
        <w:r w:rsidRPr="00BC0A7D">
          <w:rPr>
            <w:rStyle w:val="Hyperlink"/>
            <w:highlight w:val="yellow"/>
          </w:rPr>
          <w:t>Chronologie des obligations légales en matière d'évaluation et de rapports</w:t>
        </w:r>
        <w:r>
          <w:rPr>
            <w:webHidden/>
          </w:rPr>
          <w:tab/>
        </w:r>
        <w:r>
          <w:rPr>
            <w:webHidden/>
          </w:rPr>
          <w:fldChar w:fldCharType="begin"/>
        </w:r>
        <w:r>
          <w:rPr>
            <w:webHidden/>
          </w:rPr>
          <w:instrText xml:space="preserve"> PAGEREF _Toc463945857 \h </w:instrText>
        </w:r>
        <w:r>
          <w:rPr>
            <w:webHidden/>
          </w:rPr>
        </w:r>
        <w:r>
          <w:rPr>
            <w:webHidden/>
          </w:rPr>
          <w:fldChar w:fldCharType="separate"/>
        </w:r>
        <w:r>
          <w:rPr>
            <w:webHidden/>
          </w:rPr>
          <w:t>21</w:t>
        </w:r>
        <w:r>
          <w:rPr>
            <w:webHidden/>
          </w:rPr>
          <w:fldChar w:fldCharType="end"/>
        </w:r>
      </w:hyperlink>
    </w:p>
    <w:p w:rsidR="00860A11" w:rsidRDefault="00860A11">
      <w:pPr>
        <w:pStyle w:val="TOC3"/>
        <w:rPr>
          <w:rFonts w:asciiTheme="minorHAnsi" w:eastAsiaTheme="minorEastAsia" w:hAnsiTheme="minorHAnsi" w:cstheme="minorBidi"/>
          <w:color w:val="auto"/>
          <w:sz w:val="22"/>
          <w:szCs w:val="22"/>
          <w:lang w:val="en-GB" w:eastAsia="en-GB" w:bidi="ar-SA"/>
        </w:rPr>
      </w:pPr>
      <w:hyperlink w:anchor="_Toc463945858" w:history="1">
        <w:r w:rsidRPr="00BC0A7D">
          <w:rPr>
            <w:rStyle w:val="Hyperlink"/>
            <w:highlight w:val="yellow"/>
          </w:rPr>
          <w:t>1.4.2</w:t>
        </w:r>
        <w:r>
          <w:rPr>
            <w:rFonts w:asciiTheme="minorHAnsi" w:eastAsiaTheme="minorEastAsia" w:hAnsiTheme="minorHAnsi" w:cstheme="minorBidi"/>
            <w:color w:val="auto"/>
            <w:sz w:val="22"/>
            <w:szCs w:val="22"/>
            <w:lang w:val="en-GB" w:eastAsia="en-GB" w:bidi="ar-SA"/>
          </w:rPr>
          <w:tab/>
        </w:r>
        <w:r w:rsidRPr="00BC0A7D">
          <w:rPr>
            <w:rStyle w:val="Hyperlink"/>
            <w:highlight w:val="yellow"/>
          </w:rPr>
          <w:t>Objectif de l’évaluation de RRN: que faut-il évaluer?</w:t>
        </w:r>
        <w:r>
          <w:rPr>
            <w:webHidden/>
          </w:rPr>
          <w:tab/>
        </w:r>
        <w:r>
          <w:rPr>
            <w:webHidden/>
          </w:rPr>
          <w:fldChar w:fldCharType="begin"/>
        </w:r>
        <w:r>
          <w:rPr>
            <w:webHidden/>
          </w:rPr>
          <w:instrText xml:space="preserve"> PAGEREF _Toc463945858 \h </w:instrText>
        </w:r>
        <w:r>
          <w:rPr>
            <w:webHidden/>
          </w:rPr>
        </w:r>
        <w:r>
          <w:rPr>
            <w:webHidden/>
          </w:rPr>
          <w:fldChar w:fldCharType="separate"/>
        </w:r>
        <w:r>
          <w:rPr>
            <w:webHidden/>
          </w:rPr>
          <w:t>22</w:t>
        </w:r>
        <w:r>
          <w:rPr>
            <w:webHidden/>
          </w:rPr>
          <w:fldChar w:fldCharType="end"/>
        </w:r>
      </w:hyperlink>
    </w:p>
    <w:p w:rsidR="00860A11" w:rsidRDefault="00860A11">
      <w:pPr>
        <w:pStyle w:val="TOC3"/>
        <w:rPr>
          <w:rFonts w:asciiTheme="minorHAnsi" w:eastAsiaTheme="minorEastAsia" w:hAnsiTheme="minorHAnsi" w:cstheme="minorBidi"/>
          <w:color w:val="auto"/>
          <w:sz w:val="22"/>
          <w:szCs w:val="22"/>
          <w:lang w:val="en-GB" w:eastAsia="en-GB" w:bidi="ar-SA"/>
        </w:rPr>
      </w:pPr>
      <w:hyperlink w:anchor="_Toc463945859" w:history="1">
        <w:r w:rsidRPr="00BC0A7D">
          <w:rPr>
            <w:rStyle w:val="Hyperlink"/>
            <w:highlight w:val="yellow"/>
          </w:rPr>
          <w:t>1.4.3</w:t>
        </w:r>
        <w:r>
          <w:rPr>
            <w:rFonts w:asciiTheme="minorHAnsi" w:eastAsiaTheme="minorEastAsia" w:hAnsiTheme="minorHAnsi" w:cstheme="minorBidi"/>
            <w:color w:val="auto"/>
            <w:sz w:val="22"/>
            <w:szCs w:val="22"/>
            <w:lang w:val="en-GB" w:eastAsia="en-GB" w:bidi="ar-SA"/>
          </w:rPr>
          <w:tab/>
        </w:r>
        <w:r w:rsidRPr="00BC0A7D">
          <w:rPr>
            <w:rStyle w:val="Hyperlink"/>
            <w:highlight w:val="yellow"/>
          </w:rPr>
          <w:t>Éléments d'évaluation des RRN</w:t>
        </w:r>
        <w:r>
          <w:rPr>
            <w:webHidden/>
          </w:rPr>
          <w:tab/>
        </w:r>
        <w:r>
          <w:rPr>
            <w:webHidden/>
          </w:rPr>
          <w:fldChar w:fldCharType="begin"/>
        </w:r>
        <w:r>
          <w:rPr>
            <w:webHidden/>
          </w:rPr>
          <w:instrText xml:space="preserve"> PAGEREF _Toc463945859 \h </w:instrText>
        </w:r>
        <w:r>
          <w:rPr>
            <w:webHidden/>
          </w:rPr>
        </w:r>
        <w:r>
          <w:rPr>
            <w:webHidden/>
          </w:rPr>
          <w:fldChar w:fldCharType="separate"/>
        </w:r>
        <w:r>
          <w:rPr>
            <w:webHidden/>
          </w:rPr>
          <w:t>30</w:t>
        </w:r>
        <w:r>
          <w:rPr>
            <w:webHidden/>
          </w:rPr>
          <w:fldChar w:fldCharType="end"/>
        </w:r>
      </w:hyperlink>
    </w:p>
    <w:p w:rsidR="00860A11" w:rsidRDefault="00860A11">
      <w:pPr>
        <w:pStyle w:val="TOC1"/>
        <w:rPr>
          <w:rFonts w:asciiTheme="minorHAnsi" w:eastAsiaTheme="minorEastAsia" w:hAnsiTheme="minorHAnsi" w:cstheme="minorBidi"/>
          <w:color w:val="auto"/>
          <w:sz w:val="22"/>
          <w:szCs w:val="22"/>
          <w:lang w:val="en-GB" w:eastAsia="en-GB" w:bidi="ar-SA"/>
        </w:rPr>
      </w:pPr>
      <w:hyperlink w:anchor="_Toc463945860" w:history="1">
        <w:r w:rsidRPr="00BC0A7D">
          <w:rPr>
            <w:rStyle w:val="Hyperlink"/>
            <w:rFonts w:cs="Arial"/>
            <w:highlight w:val="yellow"/>
          </w:rPr>
          <w:t>2</w:t>
        </w:r>
        <w:r>
          <w:rPr>
            <w:rFonts w:asciiTheme="minorHAnsi" w:eastAsiaTheme="minorEastAsia" w:hAnsiTheme="minorHAnsi" w:cstheme="minorBidi"/>
            <w:color w:val="auto"/>
            <w:sz w:val="22"/>
            <w:szCs w:val="22"/>
            <w:lang w:val="en-GB" w:eastAsia="en-GB" w:bidi="ar-SA"/>
          </w:rPr>
          <w:tab/>
        </w:r>
        <w:r w:rsidRPr="00BC0A7D">
          <w:rPr>
            <w:rStyle w:val="Hyperlink"/>
            <w:highlight w:val="yellow"/>
          </w:rPr>
          <w:t>PARTIE I - GESTION DE L'ÉVALUATION DES RRN</w:t>
        </w:r>
        <w:r>
          <w:rPr>
            <w:webHidden/>
          </w:rPr>
          <w:tab/>
        </w:r>
        <w:r>
          <w:rPr>
            <w:webHidden/>
          </w:rPr>
          <w:fldChar w:fldCharType="begin"/>
        </w:r>
        <w:r>
          <w:rPr>
            <w:webHidden/>
          </w:rPr>
          <w:instrText xml:space="preserve"> PAGEREF _Toc463945860 \h </w:instrText>
        </w:r>
        <w:r>
          <w:rPr>
            <w:webHidden/>
          </w:rPr>
        </w:r>
        <w:r>
          <w:rPr>
            <w:webHidden/>
          </w:rPr>
          <w:fldChar w:fldCharType="separate"/>
        </w:r>
        <w:r>
          <w:rPr>
            <w:webHidden/>
          </w:rPr>
          <w:t>35</w:t>
        </w:r>
        <w:r>
          <w:rPr>
            <w:webHidden/>
          </w:rPr>
          <w:fldChar w:fldCharType="end"/>
        </w:r>
      </w:hyperlink>
    </w:p>
    <w:p w:rsidR="00860A11" w:rsidRDefault="00860A11">
      <w:pPr>
        <w:pStyle w:val="TOC2"/>
        <w:rPr>
          <w:rFonts w:asciiTheme="minorHAnsi" w:eastAsiaTheme="minorEastAsia" w:hAnsiTheme="minorHAnsi" w:cstheme="minorBidi"/>
          <w:color w:val="auto"/>
          <w:sz w:val="22"/>
          <w:lang w:val="en-GB" w:eastAsia="en-GB" w:bidi="ar-SA"/>
        </w:rPr>
      </w:pPr>
      <w:hyperlink w:anchor="_Toc463945861" w:history="1">
        <w:r w:rsidRPr="00BC0A7D">
          <w:rPr>
            <w:rStyle w:val="Hyperlink"/>
            <w:highlight w:val="yellow"/>
          </w:rPr>
          <w:t>2.1</w:t>
        </w:r>
        <w:r>
          <w:rPr>
            <w:rFonts w:asciiTheme="minorHAnsi" w:eastAsiaTheme="minorEastAsia" w:hAnsiTheme="minorHAnsi" w:cstheme="minorBidi"/>
            <w:color w:val="auto"/>
            <w:sz w:val="22"/>
            <w:lang w:val="en-GB" w:eastAsia="en-GB" w:bidi="ar-SA"/>
          </w:rPr>
          <w:tab/>
        </w:r>
        <w:r w:rsidRPr="00BC0A7D">
          <w:rPr>
            <w:rStyle w:val="Hyperlink"/>
            <w:highlight w:val="yellow"/>
          </w:rPr>
          <w:t>Qui participe à l'évaluation du RRN et à quel titre?</w:t>
        </w:r>
        <w:r>
          <w:rPr>
            <w:webHidden/>
          </w:rPr>
          <w:tab/>
        </w:r>
        <w:r>
          <w:rPr>
            <w:webHidden/>
          </w:rPr>
          <w:fldChar w:fldCharType="begin"/>
        </w:r>
        <w:r>
          <w:rPr>
            <w:webHidden/>
          </w:rPr>
          <w:instrText xml:space="preserve"> PAGEREF _Toc463945861 \h </w:instrText>
        </w:r>
        <w:r>
          <w:rPr>
            <w:webHidden/>
          </w:rPr>
        </w:r>
        <w:r>
          <w:rPr>
            <w:webHidden/>
          </w:rPr>
          <w:fldChar w:fldCharType="separate"/>
        </w:r>
        <w:r>
          <w:rPr>
            <w:webHidden/>
          </w:rPr>
          <w:t>35</w:t>
        </w:r>
        <w:r>
          <w:rPr>
            <w:webHidden/>
          </w:rPr>
          <w:fldChar w:fldCharType="end"/>
        </w:r>
      </w:hyperlink>
    </w:p>
    <w:p w:rsidR="00860A11" w:rsidRDefault="00860A11">
      <w:pPr>
        <w:pStyle w:val="TOC3"/>
        <w:rPr>
          <w:rFonts w:asciiTheme="minorHAnsi" w:eastAsiaTheme="minorEastAsia" w:hAnsiTheme="minorHAnsi" w:cstheme="minorBidi"/>
          <w:color w:val="auto"/>
          <w:sz w:val="22"/>
          <w:szCs w:val="22"/>
          <w:lang w:val="en-GB" w:eastAsia="en-GB" w:bidi="ar-SA"/>
        </w:rPr>
      </w:pPr>
      <w:hyperlink w:anchor="_Toc463945862" w:history="1">
        <w:r w:rsidRPr="00BC0A7D">
          <w:rPr>
            <w:rStyle w:val="Hyperlink"/>
            <w:highlight w:val="yellow"/>
          </w:rPr>
          <w:t>2.1.1</w:t>
        </w:r>
        <w:r>
          <w:rPr>
            <w:rFonts w:asciiTheme="minorHAnsi" w:eastAsiaTheme="minorEastAsia" w:hAnsiTheme="minorHAnsi" w:cstheme="minorBidi"/>
            <w:color w:val="auto"/>
            <w:sz w:val="22"/>
            <w:szCs w:val="22"/>
            <w:lang w:val="en-GB" w:eastAsia="en-GB" w:bidi="ar-SA"/>
          </w:rPr>
          <w:tab/>
        </w:r>
        <w:r w:rsidRPr="00BC0A7D">
          <w:rPr>
            <w:rStyle w:val="Hyperlink"/>
            <w:highlight w:val="yellow"/>
          </w:rPr>
          <w:t>Les acteurs impliqués dans l'exploitation du réseau</w:t>
        </w:r>
        <w:r>
          <w:rPr>
            <w:webHidden/>
          </w:rPr>
          <w:tab/>
        </w:r>
        <w:r>
          <w:rPr>
            <w:webHidden/>
          </w:rPr>
          <w:fldChar w:fldCharType="begin"/>
        </w:r>
        <w:r>
          <w:rPr>
            <w:webHidden/>
          </w:rPr>
          <w:instrText xml:space="preserve"> PAGEREF _Toc463945862 \h </w:instrText>
        </w:r>
        <w:r>
          <w:rPr>
            <w:webHidden/>
          </w:rPr>
        </w:r>
        <w:r>
          <w:rPr>
            <w:webHidden/>
          </w:rPr>
          <w:fldChar w:fldCharType="separate"/>
        </w:r>
        <w:r>
          <w:rPr>
            <w:webHidden/>
          </w:rPr>
          <w:t>35</w:t>
        </w:r>
        <w:r>
          <w:rPr>
            <w:webHidden/>
          </w:rPr>
          <w:fldChar w:fldCharType="end"/>
        </w:r>
      </w:hyperlink>
    </w:p>
    <w:p w:rsidR="00860A11" w:rsidRDefault="00860A11">
      <w:pPr>
        <w:pStyle w:val="TOC3"/>
        <w:rPr>
          <w:rFonts w:asciiTheme="minorHAnsi" w:eastAsiaTheme="minorEastAsia" w:hAnsiTheme="minorHAnsi" w:cstheme="minorBidi"/>
          <w:color w:val="auto"/>
          <w:sz w:val="22"/>
          <w:szCs w:val="22"/>
          <w:lang w:val="en-GB" w:eastAsia="en-GB" w:bidi="ar-SA"/>
        </w:rPr>
      </w:pPr>
      <w:hyperlink w:anchor="_Toc463945863" w:history="1">
        <w:r w:rsidRPr="00BC0A7D">
          <w:rPr>
            <w:rStyle w:val="Hyperlink"/>
            <w:highlight w:val="yellow"/>
          </w:rPr>
          <w:t>2.1.2</w:t>
        </w:r>
        <w:r>
          <w:rPr>
            <w:rFonts w:asciiTheme="minorHAnsi" w:eastAsiaTheme="minorEastAsia" w:hAnsiTheme="minorHAnsi" w:cstheme="minorBidi"/>
            <w:color w:val="auto"/>
            <w:sz w:val="22"/>
            <w:szCs w:val="22"/>
            <w:lang w:val="en-GB" w:eastAsia="en-GB" w:bidi="ar-SA"/>
          </w:rPr>
          <w:tab/>
        </w:r>
        <w:r w:rsidRPr="00BC0A7D">
          <w:rPr>
            <w:rStyle w:val="Hyperlink"/>
            <w:highlight w:val="yellow"/>
          </w:rPr>
          <w:t>Les membres du réseau</w:t>
        </w:r>
        <w:r>
          <w:rPr>
            <w:webHidden/>
          </w:rPr>
          <w:tab/>
        </w:r>
        <w:r>
          <w:rPr>
            <w:webHidden/>
          </w:rPr>
          <w:fldChar w:fldCharType="begin"/>
        </w:r>
        <w:r>
          <w:rPr>
            <w:webHidden/>
          </w:rPr>
          <w:instrText xml:space="preserve"> PAGEREF _Toc463945863 \h </w:instrText>
        </w:r>
        <w:r>
          <w:rPr>
            <w:webHidden/>
          </w:rPr>
        </w:r>
        <w:r>
          <w:rPr>
            <w:webHidden/>
          </w:rPr>
          <w:fldChar w:fldCharType="separate"/>
        </w:r>
        <w:r>
          <w:rPr>
            <w:webHidden/>
          </w:rPr>
          <w:t>37</w:t>
        </w:r>
        <w:r>
          <w:rPr>
            <w:webHidden/>
          </w:rPr>
          <w:fldChar w:fldCharType="end"/>
        </w:r>
      </w:hyperlink>
    </w:p>
    <w:p w:rsidR="00860A11" w:rsidRDefault="00860A11">
      <w:pPr>
        <w:pStyle w:val="TOC3"/>
        <w:rPr>
          <w:rFonts w:asciiTheme="minorHAnsi" w:eastAsiaTheme="minorEastAsia" w:hAnsiTheme="minorHAnsi" w:cstheme="minorBidi"/>
          <w:color w:val="auto"/>
          <w:sz w:val="22"/>
          <w:szCs w:val="22"/>
          <w:lang w:val="en-GB" w:eastAsia="en-GB" w:bidi="ar-SA"/>
        </w:rPr>
      </w:pPr>
      <w:hyperlink w:anchor="_Toc463945864" w:history="1">
        <w:r w:rsidRPr="00BC0A7D">
          <w:rPr>
            <w:rStyle w:val="Hyperlink"/>
            <w:highlight w:val="yellow"/>
          </w:rPr>
          <w:t>2.1.3</w:t>
        </w:r>
        <w:r>
          <w:rPr>
            <w:rFonts w:asciiTheme="minorHAnsi" w:eastAsiaTheme="minorEastAsia" w:hAnsiTheme="minorHAnsi" w:cstheme="minorBidi"/>
            <w:color w:val="auto"/>
            <w:sz w:val="22"/>
            <w:szCs w:val="22"/>
            <w:lang w:val="en-GB" w:eastAsia="en-GB" w:bidi="ar-SA"/>
          </w:rPr>
          <w:tab/>
        </w:r>
        <w:r w:rsidRPr="00BC0A7D">
          <w:rPr>
            <w:rStyle w:val="Hyperlink"/>
            <w:highlight w:val="yellow"/>
          </w:rPr>
          <w:t>Acteurs de l’évaluation du réseau</w:t>
        </w:r>
        <w:r>
          <w:rPr>
            <w:webHidden/>
          </w:rPr>
          <w:tab/>
        </w:r>
        <w:r>
          <w:rPr>
            <w:webHidden/>
          </w:rPr>
          <w:fldChar w:fldCharType="begin"/>
        </w:r>
        <w:r>
          <w:rPr>
            <w:webHidden/>
          </w:rPr>
          <w:instrText xml:space="preserve"> PAGEREF _Toc463945864 \h </w:instrText>
        </w:r>
        <w:r>
          <w:rPr>
            <w:webHidden/>
          </w:rPr>
        </w:r>
        <w:r>
          <w:rPr>
            <w:webHidden/>
          </w:rPr>
          <w:fldChar w:fldCharType="separate"/>
        </w:r>
        <w:r>
          <w:rPr>
            <w:webHidden/>
          </w:rPr>
          <w:t>38</w:t>
        </w:r>
        <w:r>
          <w:rPr>
            <w:webHidden/>
          </w:rPr>
          <w:fldChar w:fldCharType="end"/>
        </w:r>
      </w:hyperlink>
    </w:p>
    <w:p w:rsidR="00860A11" w:rsidRDefault="00860A11">
      <w:pPr>
        <w:pStyle w:val="TOC2"/>
        <w:rPr>
          <w:rFonts w:asciiTheme="minorHAnsi" w:eastAsiaTheme="minorEastAsia" w:hAnsiTheme="minorHAnsi" w:cstheme="minorBidi"/>
          <w:color w:val="auto"/>
          <w:sz w:val="22"/>
          <w:lang w:val="en-GB" w:eastAsia="en-GB" w:bidi="ar-SA"/>
        </w:rPr>
      </w:pPr>
      <w:hyperlink w:anchor="_Toc463945865" w:history="1">
        <w:r w:rsidRPr="00BC0A7D">
          <w:rPr>
            <w:rStyle w:val="Hyperlink"/>
            <w:highlight w:val="yellow"/>
          </w:rPr>
          <w:t>2.2</w:t>
        </w:r>
        <w:r>
          <w:rPr>
            <w:rFonts w:asciiTheme="minorHAnsi" w:eastAsiaTheme="minorEastAsia" w:hAnsiTheme="minorHAnsi" w:cstheme="minorBidi"/>
            <w:color w:val="auto"/>
            <w:sz w:val="22"/>
            <w:lang w:val="en-GB" w:eastAsia="en-GB" w:bidi="ar-SA"/>
          </w:rPr>
          <w:tab/>
        </w:r>
        <w:r w:rsidRPr="00BC0A7D">
          <w:rPr>
            <w:rStyle w:val="Hyperlink"/>
            <w:highlight w:val="yellow"/>
          </w:rPr>
          <w:t>Les étapes clés  de l'évaluation du RRN</w:t>
        </w:r>
        <w:r>
          <w:rPr>
            <w:webHidden/>
          </w:rPr>
          <w:tab/>
        </w:r>
        <w:r>
          <w:rPr>
            <w:webHidden/>
          </w:rPr>
          <w:fldChar w:fldCharType="begin"/>
        </w:r>
        <w:r>
          <w:rPr>
            <w:webHidden/>
          </w:rPr>
          <w:instrText xml:space="preserve"> PAGEREF _Toc463945865 \h </w:instrText>
        </w:r>
        <w:r>
          <w:rPr>
            <w:webHidden/>
          </w:rPr>
        </w:r>
        <w:r>
          <w:rPr>
            <w:webHidden/>
          </w:rPr>
          <w:fldChar w:fldCharType="separate"/>
        </w:r>
        <w:r>
          <w:rPr>
            <w:webHidden/>
          </w:rPr>
          <w:t>38</w:t>
        </w:r>
        <w:r>
          <w:rPr>
            <w:webHidden/>
          </w:rPr>
          <w:fldChar w:fldCharType="end"/>
        </w:r>
      </w:hyperlink>
    </w:p>
    <w:p w:rsidR="00860A11" w:rsidRDefault="00860A11">
      <w:pPr>
        <w:pStyle w:val="TOC3"/>
        <w:rPr>
          <w:rFonts w:asciiTheme="minorHAnsi" w:eastAsiaTheme="minorEastAsia" w:hAnsiTheme="minorHAnsi" w:cstheme="minorBidi"/>
          <w:color w:val="auto"/>
          <w:sz w:val="22"/>
          <w:szCs w:val="22"/>
          <w:lang w:val="en-GB" w:eastAsia="en-GB" w:bidi="ar-SA"/>
        </w:rPr>
      </w:pPr>
      <w:hyperlink w:anchor="_Toc463945866" w:history="1">
        <w:r w:rsidRPr="00BC0A7D">
          <w:rPr>
            <w:rStyle w:val="Hyperlink"/>
            <w:highlight w:val="yellow"/>
          </w:rPr>
          <w:t>2.2.1</w:t>
        </w:r>
        <w:r>
          <w:rPr>
            <w:rFonts w:asciiTheme="minorHAnsi" w:eastAsiaTheme="minorEastAsia" w:hAnsiTheme="minorHAnsi" w:cstheme="minorBidi"/>
            <w:color w:val="auto"/>
            <w:sz w:val="22"/>
            <w:szCs w:val="22"/>
            <w:lang w:val="en-GB" w:eastAsia="en-GB" w:bidi="ar-SA"/>
          </w:rPr>
          <w:tab/>
        </w:r>
        <w:r w:rsidRPr="00BC0A7D">
          <w:rPr>
            <w:rStyle w:val="Hyperlink"/>
            <w:highlight w:val="yellow"/>
          </w:rPr>
          <w:t>Planification de l'évaluation du RRN</w:t>
        </w:r>
        <w:r>
          <w:rPr>
            <w:webHidden/>
          </w:rPr>
          <w:tab/>
        </w:r>
        <w:r>
          <w:rPr>
            <w:webHidden/>
          </w:rPr>
          <w:fldChar w:fldCharType="begin"/>
        </w:r>
        <w:r>
          <w:rPr>
            <w:webHidden/>
          </w:rPr>
          <w:instrText xml:space="preserve"> PAGEREF _Toc463945866 \h </w:instrText>
        </w:r>
        <w:r>
          <w:rPr>
            <w:webHidden/>
          </w:rPr>
        </w:r>
        <w:r>
          <w:rPr>
            <w:webHidden/>
          </w:rPr>
          <w:fldChar w:fldCharType="separate"/>
        </w:r>
        <w:r>
          <w:rPr>
            <w:webHidden/>
          </w:rPr>
          <w:t>39</w:t>
        </w:r>
        <w:r>
          <w:rPr>
            <w:webHidden/>
          </w:rPr>
          <w:fldChar w:fldCharType="end"/>
        </w:r>
      </w:hyperlink>
    </w:p>
    <w:p w:rsidR="00860A11" w:rsidRDefault="00860A11">
      <w:pPr>
        <w:pStyle w:val="TOC3"/>
        <w:rPr>
          <w:rFonts w:asciiTheme="minorHAnsi" w:eastAsiaTheme="minorEastAsia" w:hAnsiTheme="minorHAnsi" w:cstheme="minorBidi"/>
          <w:color w:val="auto"/>
          <w:sz w:val="22"/>
          <w:szCs w:val="22"/>
          <w:lang w:val="en-GB" w:eastAsia="en-GB" w:bidi="ar-SA"/>
        </w:rPr>
      </w:pPr>
      <w:hyperlink w:anchor="_Toc463945867" w:history="1">
        <w:r w:rsidRPr="00BC0A7D">
          <w:rPr>
            <w:rStyle w:val="Hyperlink"/>
            <w:highlight w:val="yellow"/>
          </w:rPr>
          <w:t>2.2.2</w:t>
        </w:r>
        <w:r>
          <w:rPr>
            <w:rFonts w:asciiTheme="minorHAnsi" w:eastAsiaTheme="minorEastAsia" w:hAnsiTheme="minorHAnsi" w:cstheme="minorBidi"/>
            <w:color w:val="auto"/>
            <w:sz w:val="22"/>
            <w:szCs w:val="22"/>
            <w:lang w:val="en-GB" w:eastAsia="en-GB" w:bidi="ar-SA"/>
          </w:rPr>
          <w:tab/>
        </w:r>
        <w:r w:rsidRPr="00BC0A7D">
          <w:rPr>
            <w:rStyle w:val="Hyperlink"/>
            <w:highlight w:val="yellow"/>
          </w:rPr>
          <w:t>Préparation de l’évaluation des RRN</w:t>
        </w:r>
        <w:r>
          <w:rPr>
            <w:webHidden/>
          </w:rPr>
          <w:tab/>
        </w:r>
        <w:r>
          <w:rPr>
            <w:webHidden/>
          </w:rPr>
          <w:fldChar w:fldCharType="begin"/>
        </w:r>
        <w:r>
          <w:rPr>
            <w:webHidden/>
          </w:rPr>
          <w:instrText xml:space="preserve"> PAGEREF _Toc463945867 \h </w:instrText>
        </w:r>
        <w:r>
          <w:rPr>
            <w:webHidden/>
          </w:rPr>
        </w:r>
        <w:r>
          <w:rPr>
            <w:webHidden/>
          </w:rPr>
          <w:fldChar w:fldCharType="separate"/>
        </w:r>
        <w:r>
          <w:rPr>
            <w:webHidden/>
          </w:rPr>
          <w:t>45</w:t>
        </w:r>
        <w:r>
          <w:rPr>
            <w:webHidden/>
          </w:rPr>
          <w:fldChar w:fldCharType="end"/>
        </w:r>
      </w:hyperlink>
    </w:p>
    <w:p w:rsidR="00860A11" w:rsidRDefault="00860A11">
      <w:pPr>
        <w:pStyle w:val="TOC3"/>
        <w:rPr>
          <w:rFonts w:asciiTheme="minorHAnsi" w:eastAsiaTheme="minorEastAsia" w:hAnsiTheme="minorHAnsi" w:cstheme="minorBidi"/>
          <w:color w:val="auto"/>
          <w:sz w:val="22"/>
          <w:szCs w:val="22"/>
          <w:lang w:val="en-GB" w:eastAsia="en-GB" w:bidi="ar-SA"/>
        </w:rPr>
      </w:pPr>
      <w:hyperlink w:anchor="_Toc463945868" w:history="1">
        <w:r w:rsidRPr="00BC0A7D">
          <w:rPr>
            <w:rStyle w:val="Hyperlink"/>
            <w:highlight w:val="yellow"/>
          </w:rPr>
          <w:t>2.2.3</w:t>
        </w:r>
        <w:r>
          <w:rPr>
            <w:rFonts w:asciiTheme="minorHAnsi" w:eastAsiaTheme="minorEastAsia" w:hAnsiTheme="minorHAnsi" w:cstheme="minorBidi"/>
            <w:color w:val="auto"/>
            <w:sz w:val="22"/>
            <w:szCs w:val="22"/>
            <w:lang w:val="en-GB" w:eastAsia="en-GB" w:bidi="ar-SA"/>
          </w:rPr>
          <w:tab/>
        </w:r>
        <w:r w:rsidRPr="00BC0A7D">
          <w:rPr>
            <w:rStyle w:val="Hyperlink"/>
            <w:highlight w:val="yellow"/>
          </w:rPr>
          <w:t>Mise en œuvre de l’évaluation</w:t>
        </w:r>
        <w:r>
          <w:rPr>
            <w:webHidden/>
          </w:rPr>
          <w:tab/>
        </w:r>
        <w:r>
          <w:rPr>
            <w:webHidden/>
          </w:rPr>
          <w:fldChar w:fldCharType="begin"/>
        </w:r>
        <w:r>
          <w:rPr>
            <w:webHidden/>
          </w:rPr>
          <w:instrText xml:space="preserve"> PAGEREF _Toc463945868 \h </w:instrText>
        </w:r>
        <w:r>
          <w:rPr>
            <w:webHidden/>
          </w:rPr>
        </w:r>
        <w:r>
          <w:rPr>
            <w:webHidden/>
          </w:rPr>
          <w:fldChar w:fldCharType="separate"/>
        </w:r>
        <w:r>
          <w:rPr>
            <w:webHidden/>
          </w:rPr>
          <w:t>65</w:t>
        </w:r>
        <w:r>
          <w:rPr>
            <w:webHidden/>
          </w:rPr>
          <w:fldChar w:fldCharType="end"/>
        </w:r>
      </w:hyperlink>
    </w:p>
    <w:p w:rsidR="00860A11" w:rsidRDefault="00860A11">
      <w:pPr>
        <w:pStyle w:val="TOC3"/>
        <w:rPr>
          <w:rFonts w:asciiTheme="minorHAnsi" w:eastAsiaTheme="minorEastAsia" w:hAnsiTheme="minorHAnsi" w:cstheme="minorBidi"/>
          <w:color w:val="auto"/>
          <w:sz w:val="22"/>
          <w:szCs w:val="22"/>
          <w:lang w:val="en-GB" w:eastAsia="en-GB" w:bidi="ar-SA"/>
        </w:rPr>
      </w:pPr>
      <w:hyperlink w:anchor="_Toc463945869" w:history="1">
        <w:r w:rsidRPr="00BC0A7D">
          <w:rPr>
            <w:rStyle w:val="Hyperlink"/>
            <w:highlight w:val="yellow"/>
          </w:rPr>
          <w:t>2.2.4</w:t>
        </w:r>
        <w:r>
          <w:rPr>
            <w:rFonts w:asciiTheme="minorHAnsi" w:eastAsiaTheme="minorEastAsia" w:hAnsiTheme="minorHAnsi" w:cstheme="minorBidi"/>
            <w:color w:val="auto"/>
            <w:sz w:val="22"/>
            <w:szCs w:val="22"/>
            <w:lang w:val="en-GB" w:eastAsia="en-GB" w:bidi="ar-SA"/>
          </w:rPr>
          <w:tab/>
        </w:r>
        <w:r w:rsidRPr="00BC0A7D">
          <w:rPr>
            <w:rStyle w:val="Hyperlink"/>
            <w:highlight w:val="yellow"/>
          </w:rPr>
          <w:t>Communiquer et diffuser les résultats de l'évaluation</w:t>
        </w:r>
        <w:r>
          <w:rPr>
            <w:webHidden/>
          </w:rPr>
          <w:tab/>
        </w:r>
        <w:r>
          <w:rPr>
            <w:webHidden/>
          </w:rPr>
          <w:fldChar w:fldCharType="begin"/>
        </w:r>
        <w:r>
          <w:rPr>
            <w:webHidden/>
          </w:rPr>
          <w:instrText xml:space="preserve"> PAGEREF _Toc463945869 \h </w:instrText>
        </w:r>
        <w:r>
          <w:rPr>
            <w:webHidden/>
          </w:rPr>
        </w:r>
        <w:r>
          <w:rPr>
            <w:webHidden/>
          </w:rPr>
          <w:fldChar w:fldCharType="separate"/>
        </w:r>
        <w:r>
          <w:rPr>
            <w:webHidden/>
          </w:rPr>
          <w:t>67</w:t>
        </w:r>
        <w:r>
          <w:rPr>
            <w:webHidden/>
          </w:rPr>
          <w:fldChar w:fldCharType="end"/>
        </w:r>
      </w:hyperlink>
    </w:p>
    <w:p w:rsidR="00860A11" w:rsidRPr="00B9291E" w:rsidRDefault="00860A11">
      <w:pPr>
        <w:pStyle w:val="TOC1"/>
        <w:rPr>
          <w:rFonts w:asciiTheme="minorHAnsi" w:eastAsiaTheme="minorEastAsia" w:hAnsiTheme="minorHAnsi" w:cstheme="minorBidi"/>
          <w:noProof w:val="0"/>
          <w:color w:val="auto"/>
          <w:sz w:val="22"/>
          <w:szCs w:val="22"/>
          <w:lang w:val="en-GB"/>
        </w:rPr>
      </w:pPr>
      <w:r w:rsidRPr="004F4478">
        <w:rPr>
          <w:rFonts w:cs="Arial"/>
          <w:noProof w:val="0"/>
          <w:color w:val="576C88" w:themeColor="text2" w:themeTint="D9"/>
        </w:rPr>
        <w:fldChar w:fldCharType="end"/>
      </w:r>
    </w:p>
    <w:p w:rsidR="00860A11" w:rsidRPr="00B9291E" w:rsidRDefault="00860A11" w:rsidP="00B67939">
      <w:pPr>
        <w:pStyle w:val="HContent"/>
        <w:tabs>
          <w:tab w:val="right" w:leader="dot" w:pos="8742"/>
        </w:tabs>
        <w:rPr>
          <w:rFonts w:ascii="Arial" w:hAnsi="Arial"/>
          <w:lang w:val="en-GB"/>
        </w:rPr>
      </w:pPr>
      <w:r w:rsidRPr="00B9291E">
        <w:rPr>
          <w:rFonts w:ascii="Arial" w:hAnsi="Arial"/>
          <w:lang w:val="en-GB"/>
        </w:rPr>
        <w:lastRenderedPageBreak/>
        <w:t>Tables, Figures and BOXES</w:t>
      </w:r>
    </w:p>
    <w:p w:rsidR="00860A11" w:rsidRDefault="00860A11">
      <w:pPr>
        <w:pStyle w:val="TOC1"/>
        <w:rPr>
          <w:rFonts w:asciiTheme="minorHAnsi" w:eastAsiaTheme="minorEastAsia" w:hAnsiTheme="minorHAnsi" w:cstheme="minorBidi"/>
          <w:color w:val="auto"/>
          <w:sz w:val="22"/>
          <w:szCs w:val="22"/>
          <w:lang w:val="en-GB" w:eastAsia="en-GB" w:bidi="ar-SA"/>
        </w:rPr>
      </w:pPr>
      <w:r w:rsidRPr="004F4478">
        <w:rPr>
          <w:rFonts w:cs="Arial"/>
          <w:noProof w:val="0"/>
          <w:color w:val="576C88" w:themeColor="text2" w:themeTint="D9"/>
        </w:rPr>
        <w:fldChar w:fldCharType="begin"/>
      </w:r>
      <w:r w:rsidRPr="00B9291E">
        <w:rPr>
          <w:rFonts w:cs="Arial"/>
          <w:noProof w:val="0"/>
          <w:color w:val="576C88" w:themeColor="text2" w:themeTint="D9"/>
          <w:lang w:val="en-GB"/>
        </w:rPr>
        <w:instrText xml:space="preserve"> TOC \h \z \t "H_Heading_tables;1" </w:instrText>
      </w:r>
      <w:r w:rsidRPr="004F4478">
        <w:rPr>
          <w:rFonts w:cs="Arial"/>
          <w:noProof w:val="0"/>
          <w:color w:val="576C88" w:themeColor="text2" w:themeTint="D9"/>
        </w:rPr>
        <w:fldChar w:fldCharType="separate"/>
      </w:r>
      <w:hyperlink w:anchor="_Toc463945779" w:history="1">
        <w:r w:rsidRPr="007B6D26">
          <w:rPr>
            <w:rStyle w:val="Hyperlink"/>
            <w:highlight w:val="yellow"/>
          </w:rPr>
          <w:t>Table 1. Cadre commun d'évaluation pour le RRN</w:t>
        </w:r>
        <w:r>
          <w:rPr>
            <w:webHidden/>
          </w:rPr>
          <w:tab/>
        </w:r>
        <w:r>
          <w:rPr>
            <w:webHidden/>
          </w:rPr>
          <w:fldChar w:fldCharType="begin"/>
        </w:r>
        <w:r>
          <w:rPr>
            <w:webHidden/>
          </w:rPr>
          <w:instrText xml:space="preserve"> PAGEREF _Toc463945779 \h </w:instrText>
        </w:r>
        <w:r>
          <w:rPr>
            <w:webHidden/>
          </w:rPr>
        </w:r>
        <w:r>
          <w:rPr>
            <w:webHidden/>
          </w:rPr>
          <w:fldChar w:fldCharType="separate"/>
        </w:r>
        <w:r>
          <w:rPr>
            <w:webHidden/>
          </w:rPr>
          <w:t>33</w:t>
        </w:r>
        <w:r>
          <w:rPr>
            <w:webHidden/>
          </w:rPr>
          <w:fldChar w:fldCharType="end"/>
        </w:r>
      </w:hyperlink>
    </w:p>
    <w:p w:rsidR="00860A11" w:rsidRDefault="00860A11">
      <w:pPr>
        <w:pStyle w:val="TOC1"/>
        <w:rPr>
          <w:rFonts w:asciiTheme="minorHAnsi" w:eastAsiaTheme="minorEastAsia" w:hAnsiTheme="minorHAnsi" w:cstheme="minorBidi"/>
          <w:color w:val="auto"/>
          <w:sz w:val="22"/>
          <w:szCs w:val="22"/>
          <w:lang w:val="en-GB" w:eastAsia="en-GB" w:bidi="ar-SA"/>
        </w:rPr>
      </w:pPr>
      <w:hyperlink w:anchor="_Toc463945780" w:history="1">
        <w:r w:rsidRPr="007B6D26">
          <w:rPr>
            <w:rStyle w:val="Hyperlink"/>
            <w:highlight w:val="yellow"/>
          </w:rPr>
          <w:t>Table 2. Plan de communication de l'évaluation</w:t>
        </w:r>
        <w:r>
          <w:rPr>
            <w:webHidden/>
          </w:rPr>
          <w:tab/>
        </w:r>
        <w:r>
          <w:rPr>
            <w:webHidden/>
          </w:rPr>
          <w:fldChar w:fldCharType="begin"/>
        </w:r>
        <w:r>
          <w:rPr>
            <w:webHidden/>
          </w:rPr>
          <w:instrText xml:space="preserve"> PAGEREF _Toc463945780 \h </w:instrText>
        </w:r>
        <w:r>
          <w:rPr>
            <w:webHidden/>
          </w:rPr>
        </w:r>
        <w:r>
          <w:rPr>
            <w:webHidden/>
          </w:rPr>
          <w:fldChar w:fldCharType="separate"/>
        </w:r>
        <w:r>
          <w:rPr>
            <w:webHidden/>
          </w:rPr>
          <w:t>42</w:t>
        </w:r>
        <w:r>
          <w:rPr>
            <w:webHidden/>
          </w:rPr>
          <w:fldChar w:fldCharType="end"/>
        </w:r>
      </w:hyperlink>
    </w:p>
    <w:p w:rsidR="00860A11" w:rsidRDefault="00860A11">
      <w:pPr>
        <w:pStyle w:val="TOC1"/>
        <w:rPr>
          <w:rFonts w:asciiTheme="minorHAnsi" w:eastAsiaTheme="minorEastAsia" w:hAnsiTheme="minorHAnsi" w:cstheme="minorBidi"/>
          <w:color w:val="auto"/>
          <w:sz w:val="22"/>
          <w:szCs w:val="22"/>
          <w:lang w:val="en-GB" w:eastAsia="en-GB" w:bidi="ar-SA"/>
        </w:rPr>
      </w:pPr>
      <w:hyperlink w:anchor="_Toc463945781" w:history="1">
        <w:r w:rsidRPr="007B6D26">
          <w:rPr>
            <w:rStyle w:val="Hyperlink"/>
            <w:highlight w:val="yellow"/>
          </w:rPr>
          <w:t>Table 3. Le renforcement des capacités d'évaluation: ressources humaines</w:t>
        </w:r>
        <w:r>
          <w:rPr>
            <w:webHidden/>
          </w:rPr>
          <w:tab/>
        </w:r>
        <w:r>
          <w:rPr>
            <w:webHidden/>
          </w:rPr>
          <w:fldChar w:fldCharType="begin"/>
        </w:r>
        <w:r>
          <w:rPr>
            <w:webHidden/>
          </w:rPr>
          <w:instrText xml:space="preserve"> PAGEREF _Toc463945781 \h </w:instrText>
        </w:r>
        <w:r>
          <w:rPr>
            <w:webHidden/>
          </w:rPr>
        </w:r>
        <w:r>
          <w:rPr>
            <w:webHidden/>
          </w:rPr>
          <w:fldChar w:fldCharType="separate"/>
        </w:r>
        <w:r>
          <w:rPr>
            <w:webHidden/>
          </w:rPr>
          <w:t>43</w:t>
        </w:r>
        <w:r>
          <w:rPr>
            <w:webHidden/>
          </w:rPr>
          <w:fldChar w:fldCharType="end"/>
        </w:r>
      </w:hyperlink>
    </w:p>
    <w:p w:rsidR="00860A11" w:rsidRDefault="00860A11">
      <w:pPr>
        <w:pStyle w:val="TOC1"/>
        <w:rPr>
          <w:rFonts w:asciiTheme="minorHAnsi" w:eastAsiaTheme="minorEastAsia" w:hAnsiTheme="minorHAnsi" w:cstheme="minorBidi"/>
          <w:color w:val="auto"/>
          <w:sz w:val="22"/>
          <w:szCs w:val="22"/>
          <w:lang w:val="en-GB" w:eastAsia="en-GB" w:bidi="ar-SA"/>
        </w:rPr>
      </w:pPr>
      <w:hyperlink w:anchor="_Toc463945782" w:history="1">
        <w:r w:rsidRPr="007B6D26">
          <w:rPr>
            <w:rStyle w:val="Hyperlink"/>
            <w:highlight w:val="yellow"/>
          </w:rPr>
          <w:t>Table 4. Responsabilités des parties prenantes dans la planification de l'évaluation des RRN</w:t>
        </w:r>
        <w:r>
          <w:rPr>
            <w:webHidden/>
          </w:rPr>
          <w:tab/>
        </w:r>
        <w:r>
          <w:rPr>
            <w:webHidden/>
          </w:rPr>
          <w:fldChar w:fldCharType="begin"/>
        </w:r>
        <w:r>
          <w:rPr>
            <w:webHidden/>
          </w:rPr>
          <w:instrText xml:space="preserve"> PAGEREF _Toc463945782 \h </w:instrText>
        </w:r>
        <w:r>
          <w:rPr>
            <w:webHidden/>
          </w:rPr>
        </w:r>
        <w:r>
          <w:rPr>
            <w:webHidden/>
          </w:rPr>
          <w:fldChar w:fldCharType="separate"/>
        </w:r>
        <w:r>
          <w:rPr>
            <w:webHidden/>
          </w:rPr>
          <w:t>44</w:t>
        </w:r>
        <w:r>
          <w:rPr>
            <w:webHidden/>
          </w:rPr>
          <w:fldChar w:fldCharType="end"/>
        </w:r>
      </w:hyperlink>
    </w:p>
    <w:p w:rsidR="00860A11" w:rsidRDefault="00860A11">
      <w:pPr>
        <w:pStyle w:val="TOC1"/>
        <w:rPr>
          <w:rFonts w:asciiTheme="minorHAnsi" w:eastAsiaTheme="minorEastAsia" w:hAnsiTheme="minorHAnsi" w:cstheme="minorBidi"/>
          <w:color w:val="auto"/>
          <w:sz w:val="22"/>
          <w:szCs w:val="22"/>
          <w:lang w:val="en-GB" w:eastAsia="en-GB" w:bidi="ar-SA"/>
        </w:rPr>
      </w:pPr>
      <w:hyperlink w:anchor="_Toc463945783" w:history="1">
        <w:r w:rsidRPr="007B6D26">
          <w:rPr>
            <w:rStyle w:val="Hyperlink"/>
            <w:highlight w:val="yellow"/>
          </w:rPr>
          <w:t>Table 5. Hiérarchie des objectifs et des effets attendus du RRN</w:t>
        </w:r>
        <w:r>
          <w:rPr>
            <w:webHidden/>
          </w:rPr>
          <w:tab/>
        </w:r>
        <w:r>
          <w:rPr>
            <w:webHidden/>
          </w:rPr>
          <w:fldChar w:fldCharType="begin"/>
        </w:r>
        <w:r>
          <w:rPr>
            <w:webHidden/>
          </w:rPr>
          <w:instrText xml:space="preserve"> PAGEREF _Toc463945783 \h </w:instrText>
        </w:r>
        <w:r>
          <w:rPr>
            <w:webHidden/>
          </w:rPr>
        </w:r>
        <w:r>
          <w:rPr>
            <w:webHidden/>
          </w:rPr>
          <w:fldChar w:fldCharType="separate"/>
        </w:r>
        <w:r>
          <w:rPr>
            <w:webHidden/>
          </w:rPr>
          <w:t>50</w:t>
        </w:r>
        <w:r>
          <w:rPr>
            <w:webHidden/>
          </w:rPr>
          <w:fldChar w:fldCharType="end"/>
        </w:r>
      </w:hyperlink>
    </w:p>
    <w:p w:rsidR="00860A11" w:rsidRDefault="00860A11">
      <w:pPr>
        <w:pStyle w:val="TOC1"/>
        <w:rPr>
          <w:rFonts w:asciiTheme="minorHAnsi" w:eastAsiaTheme="minorEastAsia" w:hAnsiTheme="minorHAnsi" w:cstheme="minorBidi"/>
          <w:color w:val="auto"/>
          <w:sz w:val="22"/>
          <w:szCs w:val="22"/>
          <w:lang w:val="en-GB" w:eastAsia="en-GB" w:bidi="ar-SA"/>
        </w:rPr>
      </w:pPr>
      <w:hyperlink w:anchor="_Toc463945784" w:history="1">
        <w:r w:rsidRPr="007B6D26">
          <w:rPr>
            <w:rStyle w:val="Hyperlink"/>
            <w:highlight w:val="yellow"/>
          </w:rPr>
          <w:t>Table 6. Les liens entre les objectifs et les questions d'évaluation (exemple)</w:t>
        </w:r>
        <w:r>
          <w:rPr>
            <w:webHidden/>
          </w:rPr>
          <w:tab/>
        </w:r>
        <w:r>
          <w:rPr>
            <w:webHidden/>
          </w:rPr>
          <w:fldChar w:fldCharType="begin"/>
        </w:r>
        <w:r>
          <w:rPr>
            <w:webHidden/>
          </w:rPr>
          <w:instrText xml:space="preserve"> PAGEREF _Toc463945784 \h </w:instrText>
        </w:r>
        <w:r>
          <w:rPr>
            <w:webHidden/>
          </w:rPr>
        </w:r>
        <w:r>
          <w:rPr>
            <w:webHidden/>
          </w:rPr>
          <w:fldChar w:fldCharType="separate"/>
        </w:r>
        <w:r>
          <w:rPr>
            <w:webHidden/>
          </w:rPr>
          <w:t>55</w:t>
        </w:r>
        <w:r>
          <w:rPr>
            <w:webHidden/>
          </w:rPr>
          <w:fldChar w:fldCharType="end"/>
        </w:r>
      </w:hyperlink>
    </w:p>
    <w:p w:rsidR="00860A11" w:rsidRDefault="00860A11">
      <w:pPr>
        <w:pStyle w:val="TOC1"/>
        <w:rPr>
          <w:rFonts w:asciiTheme="minorHAnsi" w:eastAsiaTheme="minorEastAsia" w:hAnsiTheme="minorHAnsi" w:cstheme="minorBidi"/>
          <w:color w:val="auto"/>
          <w:sz w:val="22"/>
          <w:szCs w:val="22"/>
          <w:lang w:val="en-GB" w:eastAsia="en-GB" w:bidi="ar-SA"/>
        </w:rPr>
      </w:pPr>
      <w:hyperlink w:anchor="_Toc463945785" w:history="1">
        <w:r w:rsidRPr="007B6D26">
          <w:rPr>
            <w:rStyle w:val="Hyperlink"/>
            <w:highlight w:val="yellow"/>
          </w:rPr>
          <w:t>Table 7. Exemple de liaison entre les objectifs, les questions d'évaluation et les indicateurs se rapportant  au RRN</w:t>
        </w:r>
        <w:r>
          <w:rPr>
            <w:webHidden/>
          </w:rPr>
          <w:tab/>
        </w:r>
        <w:r>
          <w:rPr>
            <w:webHidden/>
          </w:rPr>
          <w:fldChar w:fldCharType="begin"/>
        </w:r>
        <w:r>
          <w:rPr>
            <w:webHidden/>
          </w:rPr>
          <w:instrText xml:space="preserve"> PAGEREF _Toc463945785 \h </w:instrText>
        </w:r>
        <w:r>
          <w:rPr>
            <w:webHidden/>
          </w:rPr>
        </w:r>
        <w:r>
          <w:rPr>
            <w:webHidden/>
          </w:rPr>
          <w:fldChar w:fldCharType="separate"/>
        </w:r>
        <w:r>
          <w:rPr>
            <w:webHidden/>
          </w:rPr>
          <w:t>58</w:t>
        </w:r>
        <w:r>
          <w:rPr>
            <w:webHidden/>
          </w:rPr>
          <w:fldChar w:fldCharType="end"/>
        </w:r>
      </w:hyperlink>
    </w:p>
    <w:p w:rsidR="00860A11" w:rsidRDefault="00860A11">
      <w:pPr>
        <w:pStyle w:val="TOC1"/>
        <w:rPr>
          <w:rFonts w:asciiTheme="minorHAnsi" w:eastAsiaTheme="minorEastAsia" w:hAnsiTheme="minorHAnsi" w:cstheme="minorBidi"/>
          <w:color w:val="auto"/>
          <w:sz w:val="22"/>
          <w:szCs w:val="22"/>
          <w:lang w:val="en-GB" w:eastAsia="en-GB" w:bidi="ar-SA"/>
        </w:rPr>
      </w:pPr>
      <w:hyperlink w:anchor="_Toc463945786" w:history="1">
        <w:r w:rsidRPr="007B6D26">
          <w:rPr>
            <w:rStyle w:val="Hyperlink"/>
            <w:highlight w:val="yellow"/>
          </w:rPr>
          <w:t>Table 8. Exemple d'éléments d'évaluation du RRN</w:t>
        </w:r>
        <w:r>
          <w:rPr>
            <w:webHidden/>
          </w:rPr>
          <w:tab/>
        </w:r>
        <w:r>
          <w:rPr>
            <w:webHidden/>
          </w:rPr>
          <w:fldChar w:fldCharType="begin"/>
        </w:r>
        <w:r>
          <w:rPr>
            <w:webHidden/>
          </w:rPr>
          <w:instrText xml:space="preserve"> PAGEREF _Toc463945786 \h </w:instrText>
        </w:r>
        <w:r>
          <w:rPr>
            <w:webHidden/>
          </w:rPr>
        </w:r>
        <w:r>
          <w:rPr>
            <w:webHidden/>
          </w:rPr>
          <w:fldChar w:fldCharType="separate"/>
        </w:r>
        <w:r>
          <w:rPr>
            <w:webHidden/>
          </w:rPr>
          <w:t>59</w:t>
        </w:r>
        <w:r>
          <w:rPr>
            <w:webHidden/>
          </w:rPr>
          <w:fldChar w:fldCharType="end"/>
        </w:r>
      </w:hyperlink>
    </w:p>
    <w:p w:rsidR="00860A11" w:rsidRDefault="00860A11">
      <w:pPr>
        <w:pStyle w:val="TOC1"/>
        <w:rPr>
          <w:rFonts w:asciiTheme="minorHAnsi" w:eastAsiaTheme="minorEastAsia" w:hAnsiTheme="minorHAnsi" w:cstheme="minorBidi"/>
          <w:color w:val="auto"/>
          <w:sz w:val="22"/>
          <w:szCs w:val="22"/>
          <w:lang w:val="en-GB" w:eastAsia="en-GB" w:bidi="ar-SA"/>
        </w:rPr>
      </w:pPr>
      <w:hyperlink w:anchor="_Toc463945787" w:history="1">
        <w:r w:rsidRPr="007B6D26">
          <w:rPr>
            <w:rStyle w:val="Hyperlink"/>
            <w:highlight w:val="yellow"/>
          </w:rPr>
          <w:t>Table 9. Matrice de suivi de l’évaluation</w:t>
        </w:r>
        <w:r>
          <w:rPr>
            <w:webHidden/>
          </w:rPr>
          <w:tab/>
        </w:r>
        <w:r>
          <w:rPr>
            <w:webHidden/>
          </w:rPr>
          <w:fldChar w:fldCharType="begin"/>
        </w:r>
        <w:r>
          <w:rPr>
            <w:webHidden/>
          </w:rPr>
          <w:instrText xml:space="preserve"> PAGEREF _Toc463945787 \h </w:instrText>
        </w:r>
        <w:r>
          <w:rPr>
            <w:webHidden/>
          </w:rPr>
        </w:r>
        <w:r>
          <w:rPr>
            <w:webHidden/>
          </w:rPr>
          <w:fldChar w:fldCharType="separate"/>
        </w:r>
        <w:r>
          <w:rPr>
            <w:webHidden/>
          </w:rPr>
          <w:t>68</w:t>
        </w:r>
        <w:r>
          <w:rPr>
            <w:webHidden/>
          </w:rPr>
          <w:fldChar w:fldCharType="end"/>
        </w:r>
      </w:hyperlink>
    </w:p>
    <w:p w:rsidR="00860A11" w:rsidRDefault="00860A11">
      <w:pPr>
        <w:pStyle w:val="TOC1"/>
        <w:rPr>
          <w:rFonts w:asciiTheme="minorHAnsi" w:eastAsiaTheme="minorEastAsia" w:hAnsiTheme="minorHAnsi" w:cstheme="minorBidi"/>
          <w:color w:val="auto"/>
          <w:sz w:val="22"/>
          <w:szCs w:val="22"/>
          <w:lang w:val="en-GB" w:eastAsia="en-GB" w:bidi="ar-SA"/>
        </w:rPr>
      </w:pPr>
      <w:hyperlink w:anchor="_Toc463945788" w:history="1">
        <w:r w:rsidRPr="007B6D26">
          <w:rPr>
            <w:rStyle w:val="Hyperlink"/>
            <w:highlight w:val="yellow"/>
          </w:rPr>
          <w:t>Table 10. Responsabilités des parties prenantes dans la communication et le suivi des résultats de l'évaluation des RRN</w:t>
        </w:r>
        <w:r>
          <w:rPr>
            <w:webHidden/>
          </w:rPr>
          <w:tab/>
        </w:r>
        <w:r>
          <w:rPr>
            <w:webHidden/>
          </w:rPr>
          <w:fldChar w:fldCharType="begin"/>
        </w:r>
        <w:r>
          <w:rPr>
            <w:webHidden/>
          </w:rPr>
          <w:instrText xml:space="preserve"> PAGEREF _Toc463945788 \h </w:instrText>
        </w:r>
        <w:r>
          <w:rPr>
            <w:webHidden/>
          </w:rPr>
        </w:r>
        <w:r>
          <w:rPr>
            <w:webHidden/>
          </w:rPr>
          <w:fldChar w:fldCharType="separate"/>
        </w:r>
        <w:r>
          <w:rPr>
            <w:webHidden/>
          </w:rPr>
          <w:t>69</w:t>
        </w:r>
        <w:r>
          <w:rPr>
            <w:webHidden/>
          </w:rPr>
          <w:fldChar w:fldCharType="end"/>
        </w:r>
      </w:hyperlink>
    </w:p>
    <w:p w:rsidR="00860A11" w:rsidRDefault="00860A11">
      <w:pPr>
        <w:pStyle w:val="TOC1"/>
      </w:pPr>
      <w:r w:rsidRPr="004F4478">
        <w:rPr>
          <w:rFonts w:cs="Arial"/>
          <w:noProof w:val="0"/>
          <w:color w:val="576C88" w:themeColor="text2" w:themeTint="D9"/>
          <w:szCs w:val="22"/>
        </w:rPr>
        <w:fldChar w:fldCharType="end"/>
      </w:r>
      <w:r w:rsidRPr="004F4478">
        <w:rPr>
          <w:rFonts w:cs="Arial"/>
          <w:noProof w:val="0"/>
          <w:color w:val="576C88" w:themeColor="text2" w:themeTint="D9"/>
          <w:szCs w:val="22"/>
        </w:rPr>
        <w:fldChar w:fldCharType="begin"/>
      </w:r>
      <w:r w:rsidRPr="00B9291E">
        <w:rPr>
          <w:rFonts w:cs="Arial"/>
          <w:noProof w:val="0"/>
          <w:color w:val="576C88" w:themeColor="text2" w:themeTint="D9"/>
          <w:lang w:val="en-GB"/>
        </w:rPr>
        <w:instrText xml:space="preserve"> TOC \h \z \t "H_Heading_figures;1" </w:instrText>
      </w:r>
      <w:r w:rsidRPr="004F4478">
        <w:rPr>
          <w:rFonts w:cs="Arial"/>
          <w:noProof w:val="0"/>
          <w:color w:val="576C88" w:themeColor="text2" w:themeTint="D9"/>
          <w:szCs w:val="22"/>
        </w:rPr>
        <w:fldChar w:fldCharType="separate"/>
      </w:r>
    </w:p>
    <w:p w:rsidR="00860A11" w:rsidRDefault="00860A11">
      <w:pPr>
        <w:pStyle w:val="TOC1"/>
        <w:rPr>
          <w:rFonts w:asciiTheme="minorHAnsi" w:eastAsiaTheme="minorEastAsia" w:hAnsiTheme="minorHAnsi" w:cstheme="minorBidi"/>
          <w:color w:val="auto"/>
          <w:sz w:val="22"/>
          <w:szCs w:val="22"/>
          <w:lang w:val="en-GB" w:eastAsia="en-GB" w:bidi="ar-SA"/>
        </w:rPr>
      </w:pPr>
      <w:hyperlink w:anchor="_Toc463945748" w:history="1">
        <w:r w:rsidRPr="00DB7FBE">
          <w:rPr>
            <w:rStyle w:val="Hyperlink"/>
            <w:highlight w:val="yellow"/>
          </w:rPr>
          <w:t>Figure 1. Structure de gouvernance des réseaux ruraux de l’UE</w:t>
        </w:r>
        <w:r>
          <w:rPr>
            <w:webHidden/>
          </w:rPr>
          <w:tab/>
        </w:r>
        <w:r>
          <w:rPr>
            <w:webHidden/>
          </w:rPr>
          <w:fldChar w:fldCharType="begin"/>
        </w:r>
        <w:r>
          <w:rPr>
            <w:webHidden/>
          </w:rPr>
          <w:instrText xml:space="preserve"> PAGEREF _Toc463945748 \h </w:instrText>
        </w:r>
        <w:r>
          <w:rPr>
            <w:webHidden/>
          </w:rPr>
        </w:r>
        <w:r>
          <w:rPr>
            <w:webHidden/>
          </w:rPr>
          <w:fldChar w:fldCharType="separate"/>
        </w:r>
        <w:r>
          <w:rPr>
            <w:webHidden/>
          </w:rPr>
          <w:t>14</w:t>
        </w:r>
        <w:r>
          <w:rPr>
            <w:webHidden/>
          </w:rPr>
          <w:fldChar w:fldCharType="end"/>
        </w:r>
      </w:hyperlink>
    </w:p>
    <w:p w:rsidR="00860A11" w:rsidRDefault="00860A11">
      <w:pPr>
        <w:pStyle w:val="TOC1"/>
        <w:rPr>
          <w:rFonts w:asciiTheme="minorHAnsi" w:eastAsiaTheme="minorEastAsia" w:hAnsiTheme="minorHAnsi" w:cstheme="minorBidi"/>
          <w:color w:val="auto"/>
          <w:sz w:val="22"/>
          <w:szCs w:val="22"/>
          <w:lang w:val="en-GB" w:eastAsia="en-GB" w:bidi="ar-SA"/>
        </w:rPr>
      </w:pPr>
      <w:hyperlink w:anchor="_Toc463945749" w:history="1">
        <w:r w:rsidRPr="00DB7FBE">
          <w:rPr>
            <w:rStyle w:val="Hyperlink"/>
            <w:highlight w:val="yellow"/>
          </w:rPr>
          <w:t>Figure 2. Architecture du RRN</w:t>
        </w:r>
        <w:r>
          <w:rPr>
            <w:webHidden/>
          </w:rPr>
          <w:tab/>
        </w:r>
        <w:r>
          <w:rPr>
            <w:webHidden/>
          </w:rPr>
          <w:fldChar w:fldCharType="begin"/>
        </w:r>
        <w:r>
          <w:rPr>
            <w:webHidden/>
          </w:rPr>
          <w:instrText xml:space="preserve"> PAGEREF _Toc463945749 \h </w:instrText>
        </w:r>
        <w:r>
          <w:rPr>
            <w:webHidden/>
          </w:rPr>
        </w:r>
        <w:r>
          <w:rPr>
            <w:webHidden/>
          </w:rPr>
          <w:fldChar w:fldCharType="separate"/>
        </w:r>
        <w:r>
          <w:rPr>
            <w:webHidden/>
          </w:rPr>
          <w:t>15</w:t>
        </w:r>
        <w:r>
          <w:rPr>
            <w:webHidden/>
          </w:rPr>
          <w:fldChar w:fldCharType="end"/>
        </w:r>
      </w:hyperlink>
    </w:p>
    <w:p w:rsidR="00860A11" w:rsidRDefault="00860A11">
      <w:pPr>
        <w:pStyle w:val="TOC1"/>
        <w:rPr>
          <w:rFonts w:asciiTheme="minorHAnsi" w:eastAsiaTheme="minorEastAsia" w:hAnsiTheme="minorHAnsi" w:cstheme="minorBidi"/>
          <w:color w:val="auto"/>
          <w:sz w:val="22"/>
          <w:szCs w:val="22"/>
          <w:lang w:val="en-GB" w:eastAsia="en-GB" w:bidi="ar-SA"/>
        </w:rPr>
      </w:pPr>
      <w:hyperlink w:anchor="_Toc463945750" w:history="1">
        <w:r w:rsidRPr="00DB7FBE">
          <w:rPr>
            <w:rStyle w:val="Hyperlink"/>
            <w:highlight w:val="yellow"/>
          </w:rPr>
          <w:t>Figure 3. Comparaisons entre l'auto-évaluation et l'évaluation des RRN</w:t>
        </w:r>
        <w:r>
          <w:rPr>
            <w:webHidden/>
          </w:rPr>
          <w:tab/>
        </w:r>
        <w:r>
          <w:rPr>
            <w:webHidden/>
          </w:rPr>
          <w:fldChar w:fldCharType="begin"/>
        </w:r>
        <w:r>
          <w:rPr>
            <w:webHidden/>
          </w:rPr>
          <w:instrText xml:space="preserve"> PAGEREF _Toc463945750 \h </w:instrText>
        </w:r>
        <w:r>
          <w:rPr>
            <w:webHidden/>
          </w:rPr>
        </w:r>
        <w:r>
          <w:rPr>
            <w:webHidden/>
          </w:rPr>
          <w:fldChar w:fldCharType="separate"/>
        </w:r>
        <w:r>
          <w:rPr>
            <w:webHidden/>
          </w:rPr>
          <w:t>19</w:t>
        </w:r>
        <w:r>
          <w:rPr>
            <w:webHidden/>
          </w:rPr>
          <w:fldChar w:fldCharType="end"/>
        </w:r>
      </w:hyperlink>
    </w:p>
    <w:p w:rsidR="00860A11" w:rsidRDefault="00860A11">
      <w:pPr>
        <w:pStyle w:val="TOC1"/>
        <w:rPr>
          <w:rFonts w:asciiTheme="minorHAnsi" w:eastAsiaTheme="minorEastAsia" w:hAnsiTheme="minorHAnsi" w:cstheme="minorBidi"/>
          <w:color w:val="auto"/>
          <w:sz w:val="22"/>
          <w:szCs w:val="22"/>
          <w:lang w:val="en-GB" w:eastAsia="en-GB" w:bidi="ar-SA"/>
        </w:rPr>
      </w:pPr>
      <w:hyperlink w:anchor="_Toc463945751" w:history="1">
        <w:r w:rsidRPr="00DB7FBE">
          <w:rPr>
            <w:rStyle w:val="Hyperlink"/>
            <w:highlight w:val="yellow"/>
          </w:rPr>
          <w:t>Figure 4. Calendrier du rapport d’évaluation de RRN</w:t>
        </w:r>
        <w:r>
          <w:rPr>
            <w:webHidden/>
          </w:rPr>
          <w:tab/>
        </w:r>
        <w:r>
          <w:rPr>
            <w:webHidden/>
          </w:rPr>
          <w:fldChar w:fldCharType="begin"/>
        </w:r>
        <w:r>
          <w:rPr>
            <w:webHidden/>
          </w:rPr>
          <w:instrText xml:space="preserve"> PAGEREF _Toc463945751 \h </w:instrText>
        </w:r>
        <w:r>
          <w:rPr>
            <w:webHidden/>
          </w:rPr>
        </w:r>
        <w:r>
          <w:rPr>
            <w:webHidden/>
          </w:rPr>
          <w:fldChar w:fldCharType="separate"/>
        </w:r>
        <w:r>
          <w:rPr>
            <w:webHidden/>
          </w:rPr>
          <w:t>20</w:t>
        </w:r>
        <w:r>
          <w:rPr>
            <w:webHidden/>
          </w:rPr>
          <w:fldChar w:fldCharType="end"/>
        </w:r>
      </w:hyperlink>
    </w:p>
    <w:p w:rsidR="00860A11" w:rsidRDefault="00860A11">
      <w:pPr>
        <w:pStyle w:val="TOC1"/>
        <w:rPr>
          <w:rFonts w:asciiTheme="minorHAnsi" w:eastAsiaTheme="minorEastAsia" w:hAnsiTheme="minorHAnsi" w:cstheme="minorBidi"/>
          <w:color w:val="auto"/>
          <w:sz w:val="22"/>
          <w:szCs w:val="22"/>
          <w:lang w:val="en-GB" w:eastAsia="en-GB" w:bidi="ar-SA"/>
        </w:rPr>
      </w:pPr>
      <w:hyperlink w:anchor="_Toc463945752" w:history="1">
        <w:r w:rsidRPr="00DB7FBE">
          <w:rPr>
            <w:rStyle w:val="Hyperlink"/>
            <w:highlight w:val="yellow"/>
          </w:rPr>
          <w:t>Figure 5. Objectif de l’évaluation du RRN</w:t>
        </w:r>
        <w:r>
          <w:rPr>
            <w:webHidden/>
          </w:rPr>
          <w:tab/>
        </w:r>
        <w:r>
          <w:rPr>
            <w:webHidden/>
          </w:rPr>
          <w:fldChar w:fldCharType="begin"/>
        </w:r>
        <w:r>
          <w:rPr>
            <w:webHidden/>
          </w:rPr>
          <w:instrText xml:space="preserve"> PAGEREF _Toc463945752 \h </w:instrText>
        </w:r>
        <w:r>
          <w:rPr>
            <w:webHidden/>
          </w:rPr>
        </w:r>
        <w:r>
          <w:rPr>
            <w:webHidden/>
          </w:rPr>
          <w:fldChar w:fldCharType="separate"/>
        </w:r>
        <w:r>
          <w:rPr>
            <w:webHidden/>
          </w:rPr>
          <w:t>22</w:t>
        </w:r>
        <w:r>
          <w:rPr>
            <w:webHidden/>
          </w:rPr>
          <w:fldChar w:fldCharType="end"/>
        </w:r>
      </w:hyperlink>
    </w:p>
    <w:p w:rsidR="00860A11" w:rsidRDefault="00860A11">
      <w:pPr>
        <w:pStyle w:val="TOC1"/>
        <w:rPr>
          <w:rFonts w:asciiTheme="minorHAnsi" w:eastAsiaTheme="minorEastAsia" w:hAnsiTheme="minorHAnsi" w:cstheme="minorBidi"/>
          <w:color w:val="auto"/>
          <w:sz w:val="22"/>
          <w:szCs w:val="22"/>
          <w:lang w:val="en-GB" w:eastAsia="en-GB" w:bidi="ar-SA"/>
        </w:rPr>
      </w:pPr>
      <w:hyperlink w:anchor="_Toc463945753" w:history="1">
        <w:r w:rsidRPr="00DB7FBE">
          <w:rPr>
            <w:rStyle w:val="Hyperlink"/>
            <w:highlight w:val="yellow"/>
          </w:rPr>
          <w:t>Figure 6. Cohérence verticale et horizontale entre les objectifs et les effets du RRN</w:t>
        </w:r>
        <w:r>
          <w:rPr>
            <w:webHidden/>
          </w:rPr>
          <w:tab/>
        </w:r>
        <w:r>
          <w:rPr>
            <w:webHidden/>
          </w:rPr>
          <w:fldChar w:fldCharType="begin"/>
        </w:r>
        <w:r>
          <w:rPr>
            <w:webHidden/>
          </w:rPr>
          <w:instrText xml:space="preserve"> PAGEREF _Toc463945753 \h </w:instrText>
        </w:r>
        <w:r>
          <w:rPr>
            <w:webHidden/>
          </w:rPr>
        </w:r>
        <w:r>
          <w:rPr>
            <w:webHidden/>
          </w:rPr>
          <w:fldChar w:fldCharType="separate"/>
        </w:r>
        <w:r>
          <w:rPr>
            <w:webHidden/>
          </w:rPr>
          <w:t>24</w:t>
        </w:r>
        <w:r>
          <w:rPr>
            <w:webHidden/>
          </w:rPr>
          <w:fldChar w:fldCharType="end"/>
        </w:r>
      </w:hyperlink>
    </w:p>
    <w:p w:rsidR="00860A11" w:rsidRDefault="00860A11">
      <w:pPr>
        <w:pStyle w:val="TOC1"/>
        <w:rPr>
          <w:rFonts w:asciiTheme="minorHAnsi" w:eastAsiaTheme="minorEastAsia" w:hAnsiTheme="minorHAnsi" w:cstheme="minorBidi"/>
          <w:color w:val="auto"/>
          <w:sz w:val="22"/>
          <w:szCs w:val="22"/>
          <w:lang w:val="en-GB" w:eastAsia="en-GB" w:bidi="ar-SA"/>
        </w:rPr>
      </w:pPr>
      <w:hyperlink w:anchor="_Toc463945754" w:history="1">
        <w:r w:rsidRPr="00DB7FBE">
          <w:rPr>
            <w:rStyle w:val="Hyperlink"/>
            <w:highlight w:val="yellow"/>
          </w:rPr>
          <w:t>Figure 7. Effets du RRN et contribution aux réalisations, résultats et incidences du PDR</w:t>
        </w:r>
        <w:r>
          <w:rPr>
            <w:webHidden/>
          </w:rPr>
          <w:tab/>
        </w:r>
        <w:r>
          <w:rPr>
            <w:webHidden/>
          </w:rPr>
          <w:fldChar w:fldCharType="begin"/>
        </w:r>
        <w:r>
          <w:rPr>
            <w:webHidden/>
          </w:rPr>
          <w:instrText xml:space="preserve"> PAGEREF _Toc463945754 \h </w:instrText>
        </w:r>
        <w:r>
          <w:rPr>
            <w:webHidden/>
          </w:rPr>
        </w:r>
        <w:r>
          <w:rPr>
            <w:webHidden/>
          </w:rPr>
          <w:fldChar w:fldCharType="separate"/>
        </w:r>
        <w:r>
          <w:rPr>
            <w:webHidden/>
          </w:rPr>
          <w:t>27</w:t>
        </w:r>
        <w:r>
          <w:rPr>
            <w:webHidden/>
          </w:rPr>
          <w:fldChar w:fldCharType="end"/>
        </w:r>
      </w:hyperlink>
    </w:p>
    <w:p w:rsidR="00860A11" w:rsidRDefault="00860A11">
      <w:pPr>
        <w:pStyle w:val="TOC1"/>
        <w:rPr>
          <w:rFonts w:asciiTheme="minorHAnsi" w:eastAsiaTheme="minorEastAsia" w:hAnsiTheme="minorHAnsi" w:cstheme="minorBidi"/>
          <w:color w:val="auto"/>
          <w:sz w:val="22"/>
          <w:szCs w:val="22"/>
          <w:lang w:val="en-GB" w:eastAsia="en-GB" w:bidi="ar-SA"/>
        </w:rPr>
      </w:pPr>
      <w:hyperlink w:anchor="_Toc463945755" w:history="1">
        <w:r w:rsidRPr="00DB7FBE">
          <w:rPr>
            <w:rStyle w:val="Hyperlink"/>
            <w:highlight w:val="yellow"/>
          </w:rPr>
          <w:t>Figure 8. Contribution du RRN aux objectifs nationaux, du PDR et de l’UE</w:t>
        </w:r>
        <w:r>
          <w:rPr>
            <w:webHidden/>
          </w:rPr>
          <w:tab/>
        </w:r>
        <w:r>
          <w:rPr>
            <w:webHidden/>
          </w:rPr>
          <w:fldChar w:fldCharType="begin"/>
        </w:r>
        <w:r>
          <w:rPr>
            <w:webHidden/>
          </w:rPr>
          <w:instrText xml:space="preserve"> PAGEREF _Toc463945755 \h </w:instrText>
        </w:r>
        <w:r>
          <w:rPr>
            <w:webHidden/>
          </w:rPr>
        </w:r>
        <w:r>
          <w:rPr>
            <w:webHidden/>
          </w:rPr>
          <w:fldChar w:fldCharType="separate"/>
        </w:r>
        <w:r>
          <w:rPr>
            <w:webHidden/>
          </w:rPr>
          <w:t>27</w:t>
        </w:r>
        <w:r>
          <w:rPr>
            <w:webHidden/>
          </w:rPr>
          <w:fldChar w:fldCharType="end"/>
        </w:r>
      </w:hyperlink>
    </w:p>
    <w:p w:rsidR="00860A11" w:rsidRDefault="00860A11">
      <w:pPr>
        <w:pStyle w:val="TOC1"/>
        <w:rPr>
          <w:rFonts w:asciiTheme="minorHAnsi" w:eastAsiaTheme="minorEastAsia" w:hAnsiTheme="minorHAnsi" w:cstheme="minorBidi"/>
          <w:color w:val="auto"/>
          <w:sz w:val="22"/>
          <w:szCs w:val="22"/>
          <w:lang w:val="en-GB" w:eastAsia="en-GB" w:bidi="ar-SA"/>
        </w:rPr>
      </w:pPr>
      <w:hyperlink w:anchor="_Toc463945756" w:history="1">
        <w:r w:rsidRPr="00DB7FBE">
          <w:rPr>
            <w:rStyle w:val="Hyperlink"/>
            <w:highlight w:val="yellow"/>
          </w:rPr>
          <w:t>Figure 9. Vue d'ensemble des éléments du CMES pour le RRN, à compléter avec des éléments spécifiques au programme du RRN</w:t>
        </w:r>
        <w:r>
          <w:rPr>
            <w:webHidden/>
          </w:rPr>
          <w:tab/>
        </w:r>
        <w:r>
          <w:rPr>
            <w:webHidden/>
          </w:rPr>
          <w:fldChar w:fldCharType="begin"/>
        </w:r>
        <w:r>
          <w:rPr>
            <w:webHidden/>
          </w:rPr>
          <w:instrText xml:space="preserve"> PAGEREF _Toc463945756 \h </w:instrText>
        </w:r>
        <w:r>
          <w:rPr>
            <w:webHidden/>
          </w:rPr>
        </w:r>
        <w:r>
          <w:rPr>
            <w:webHidden/>
          </w:rPr>
          <w:fldChar w:fldCharType="separate"/>
        </w:r>
        <w:r>
          <w:rPr>
            <w:webHidden/>
          </w:rPr>
          <w:t>31</w:t>
        </w:r>
        <w:r>
          <w:rPr>
            <w:webHidden/>
          </w:rPr>
          <w:fldChar w:fldCharType="end"/>
        </w:r>
      </w:hyperlink>
    </w:p>
    <w:p w:rsidR="00860A11" w:rsidRDefault="00860A11">
      <w:pPr>
        <w:pStyle w:val="TOC1"/>
        <w:rPr>
          <w:rFonts w:asciiTheme="minorHAnsi" w:eastAsiaTheme="minorEastAsia" w:hAnsiTheme="minorHAnsi" w:cstheme="minorBidi"/>
          <w:color w:val="auto"/>
          <w:sz w:val="22"/>
          <w:szCs w:val="22"/>
          <w:lang w:val="en-GB" w:eastAsia="en-GB" w:bidi="ar-SA"/>
        </w:rPr>
      </w:pPr>
      <w:hyperlink w:anchor="_Toc463945757" w:history="1">
        <w:r w:rsidRPr="00DB7FBE">
          <w:rPr>
            <w:rStyle w:val="Hyperlink"/>
            <w:highlight w:val="yellow"/>
          </w:rPr>
          <w:t>Figure 10. Étapes de l'évaluation du RRN</w:t>
        </w:r>
        <w:r>
          <w:rPr>
            <w:webHidden/>
          </w:rPr>
          <w:tab/>
        </w:r>
        <w:r>
          <w:rPr>
            <w:webHidden/>
          </w:rPr>
          <w:fldChar w:fldCharType="begin"/>
        </w:r>
        <w:r>
          <w:rPr>
            <w:webHidden/>
          </w:rPr>
          <w:instrText xml:space="preserve"> PAGEREF _Toc463945757 \h </w:instrText>
        </w:r>
        <w:r>
          <w:rPr>
            <w:webHidden/>
          </w:rPr>
        </w:r>
        <w:r>
          <w:rPr>
            <w:webHidden/>
          </w:rPr>
          <w:fldChar w:fldCharType="separate"/>
        </w:r>
        <w:r>
          <w:rPr>
            <w:webHidden/>
          </w:rPr>
          <w:t>38</w:t>
        </w:r>
        <w:r>
          <w:rPr>
            <w:webHidden/>
          </w:rPr>
          <w:fldChar w:fldCharType="end"/>
        </w:r>
      </w:hyperlink>
    </w:p>
    <w:p w:rsidR="00860A11" w:rsidRDefault="00860A11">
      <w:pPr>
        <w:pStyle w:val="TOC1"/>
        <w:rPr>
          <w:rFonts w:asciiTheme="minorHAnsi" w:eastAsiaTheme="minorEastAsia" w:hAnsiTheme="minorHAnsi" w:cstheme="minorBidi"/>
          <w:color w:val="auto"/>
          <w:sz w:val="22"/>
          <w:szCs w:val="22"/>
          <w:lang w:val="en-GB" w:eastAsia="en-GB" w:bidi="ar-SA"/>
        </w:rPr>
      </w:pPr>
      <w:hyperlink w:anchor="_Toc463945758" w:history="1">
        <w:r w:rsidRPr="00DB7FBE">
          <w:rPr>
            <w:rStyle w:val="Hyperlink"/>
            <w:highlight w:val="yellow"/>
          </w:rPr>
          <w:t>Figure 11. Liens possibles entre les objectifs communs de RRN et les groupes d’actions communes</w:t>
        </w:r>
        <w:r>
          <w:rPr>
            <w:webHidden/>
          </w:rPr>
          <w:tab/>
        </w:r>
        <w:r>
          <w:rPr>
            <w:webHidden/>
          </w:rPr>
          <w:fldChar w:fldCharType="begin"/>
        </w:r>
        <w:r>
          <w:rPr>
            <w:webHidden/>
          </w:rPr>
          <w:instrText xml:space="preserve"> PAGEREF _Toc463945758 \h </w:instrText>
        </w:r>
        <w:r>
          <w:rPr>
            <w:webHidden/>
          </w:rPr>
        </w:r>
        <w:r>
          <w:rPr>
            <w:webHidden/>
          </w:rPr>
          <w:fldChar w:fldCharType="separate"/>
        </w:r>
        <w:r>
          <w:rPr>
            <w:webHidden/>
          </w:rPr>
          <w:t>46</w:t>
        </w:r>
        <w:r>
          <w:rPr>
            <w:webHidden/>
          </w:rPr>
          <w:fldChar w:fldCharType="end"/>
        </w:r>
      </w:hyperlink>
    </w:p>
    <w:p w:rsidR="00860A11" w:rsidRDefault="00860A11">
      <w:pPr>
        <w:pStyle w:val="TOC1"/>
        <w:rPr>
          <w:rFonts w:asciiTheme="minorHAnsi" w:eastAsiaTheme="minorEastAsia" w:hAnsiTheme="minorHAnsi" w:cstheme="minorBidi"/>
          <w:color w:val="auto"/>
          <w:sz w:val="22"/>
          <w:szCs w:val="22"/>
          <w:lang w:val="en-GB" w:eastAsia="en-GB" w:bidi="ar-SA"/>
        </w:rPr>
      </w:pPr>
      <w:hyperlink w:anchor="_Toc463945759" w:history="1">
        <w:r w:rsidRPr="00DB7FBE">
          <w:rPr>
            <w:rStyle w:val="Hyperlink"/>
            <w:highlight w:val="yellow"/>
          </w:rPr>
          <w:t>Figure 12. Liaison entre les objectifs communs et spécifiques du programme RRN, entre les groupes d'actions et les réalisations attendues, entre les résultats et les impacts</w:t>
        </w:r>
        <w:r>
          <w:rPr>
            <w:webHidden/>
          </w:rPr>
          <w:tab/>
        </w:r>
        <w:r>
          <w:rPr>
            <w:webHidden/>
          </w:rPr>
          <w:fldChar w:fldCharType="begin"/>
        </w:r>
        <w:r>
          <w:rPr>
            <w:webHidden/>
          </w:rPr>
          <w:instrText xml:space="preserve"> PAGEREF _Toc463945759 \h </w:instrText>
        </w:r>
        <w:r>
          <w:rPr>
            <w:webHidden/>
          </w:rPr>
        </w:r>
        <w:r>
          <w:rPr>
            <w:webHidden/>
          </w:rPr>
          <w:fldChar w:fldCharType="separate"/>
        </w:r>
        <w:r>
          <w:rPr>
            <w:webHidden/>
          </w:rPr>
          <w:t>49</w:t>
        </w:r>
        <w:r>
          <w:rPr>
            <w:webHidden/>
          </w:rPr>
          <w:fldChar w:fldCharType="end"/>
        </w:r>
      </w:hyperlink>
    </w:p>
    <w:p w:rsidR="00860A11" w:rsidRDefault="00860A11">
      <w:pPr>
        <w:pStyle w:val="TOC1"/>
        <w:rPr>
          <w:rFonts w:asciiTheme="minorHAnsi" w:eastAsiaTheme="minorEastAsia" w:hAnsiTheme="minorHAnsi" w:cstheme="minorBidi"/>
          <w:color w:val="auto"/>
          <w:sz w:val="22"/>
          <w:szCs w:val="22"/>
          <w:lang w:val="en-GB" w:eastAsia="en-GB" w:bidi="ar-SA"/>
        </w:rPr>
      </w:pPr>
      <w:hyperlink w:anchor="_Toc463945760" w:history="1">
        <w:r w:rsidRPr="00DB7FBE">
          <w:rPr>
            <w:rStyle w:val="Hyperlink"/>
            <w:highlight w:val="yellow"/>
          </w:rPr>
          <w:t>Figure 13. Cohérence entre les questions, les critères d'évaluation et les indicateurs</w:t>
        </w:r>
        <w:r>
          <w:rPr>
            <w:webHidden/>
          </w:rPr>
          <w:tab/>
        </w:r>
        <w:r>
          <w:rPr>
            <w:webHidden/>
          </w:rPr>
          <w:fldChar w:fldCharType="begin"/>
        </w:r>
        <w:r>
          <w:rPr>
            <w:webHidden/>
          </w:rPr>
          <w:instrText xml:space="preserve"> PAGEREF _Toc463945760 \h </w:instrText>
        </w:r>
        <w:r>
          <w:rPr>
            <w:webHidden/>
          </w:rPr>
        </w:r>
        <w:r>
          <w:rPr>
            <w:webHidden/>
          </w:rPr>
          <w:fldChar w:fldCharType="separate"/>
        </w:r>
        <w:r>
          <w:rPr>
            <w:webHidden/>
          </w:rPr>
          <w:t>55</w:t>
        </w:r>
        <w:r>
          <w:rPr>
            <w:webHidden/>
          </w:rPr>
          <w:fldChar w:fldCharType="end"/>
        </w:r>
      </w:hyperlink>
    </w:p>
    <w:p w:rsidR="00860A11" w:rsidRDefault="00860A11">
      <w:pPr>
        <w:pStyle w:val="TOC1"/>
        <w:rPr>
          <w:rFonts w:asciiTheme="minorHAnsi" w:eastAsiaTheme="minorEastAsia" w:hAnsiTheme="minorHAnsi" w:cstheme="minorBidi"/>
          <w:color w:val="auto"/>
          <w:sz w:val="22"/>
          <w:szCs w:val="22"/>
          <w:lang w:val="en-GB" w:eastAsia="en-GB" w:bidi="ar-SA"/>
        </w:rPr>
      </w:pPr>
      <w:hyperlink w:anchor="_Toc463945761" w:history="1">
        <w:r w:rsidRPr="00DB7FBE">
          <w:rPr>
            <w:rStyle w:val="Hyperlink"/>
            <w:highlight w:val="yellow"/>
          </w:rPr>
          <w:t>Figure 14. La cohérence entre la logique d'intervention du RRN et les éléments d'évaluation</w:t>
        </w:r>
        <w:r>
          <w:rPr>
            <w:webHidden/>
          </w:rPr>
          <w:tab/>
        </w:r>
        <w:r>
          <w:rPr>
            <w:webHidden/>
          </w:rPr>
          <w:fldChar w:fldCharType="begin"/>
        </w:r>
        <w:r>
          <w:rPr>
            <w:webHidden/>
          </w:rPr>
          <w:instrText xml:space="preserve"> PAGEREF _Toc463945761 \h </w:instrText>
        </w:r>
        <w:r>
          <w:rPr>
            <w:webHidden/>
          </w:rPr>
        </w:r>
        <w:r>
          <w:rPr>
            <w:webHidden/>
          </w:rPr>
          <w:fldChar w:fldCharType="separate"/>
        </w:r>
        <w:r>
          <w:rPr>
            <w:webHidden/>
          </w:rPr>
          <w:t>59</w:t>
        </w:r>
        <w:r>
          <w:rPr>
            <w:webHidden/>
          </w:rPr>
          <w:fldChar w:fldCharType="end"/>
        </w:r>
      </w:hyperlink>
    </w:p>
    <w:p w:rsidR="00860A11" w:rsidRDefault="00860A11">
      <w:pPr>
        <w:pStyle w:val="TOC1"/>
        <w:rPr>
          <w:rFonts w:asciiTheme="minorHAnsi" w:eastAsiaTheme="minorEastAsia" w:hAnsiTheme="minorHAnsi" w:cstheme="minorBidi"/>
          <w:color w:val="auto"/>
          <w:sz w:val="22"/>
          <w:szCs w:val="22"/>
          <w:lang w:val="en-GB" w:eastAsia="en-GB" w:bidi="ar-SA"/>
        </w:rPr>
      </w:pPr>
      <w:hyperlink w:anchor="_Toc463945762" w:history="1">
        <w:r w:rsidRPr="00DB7FBE">
          <w:rPr>
            <w:rStyle w:val="Hyperlink"/>
            <w:highlight w:val="yellow"/>
          </w:rPr>
          <w:t>Figure 15. Responsabilités des parties prenantes dans la préparation de l’évaluation du RRN</w:t>
        </w:r>
        <w:r>
          <w:rPr>
            <w:webHidden/>
          </w:rPr>
          <w:tab/>
        </w:r>
        <w:r>
          <w:rPr>
            <w:webHidden/>
          </w:rPr>
          <w:fldChar w:fldCharType="begin"/>
        </w:r>
        <w:r>
          <w:rPr>
            <w:webHidden/>
          </w:rPr>
          <w:instrText xml:space="preserve"> PAGEREF _Toc463945762 \h </w:instrText>
        </w:r>
        <w:r>
          <w:rPr>
            <w:webHidden/>
          </w:rPr>
        </w:r>
        <w:r>
          <w:rPr>
            <w:webHidden/>
          </w:rPr>
          <w:fldChar w:fldCharType="separate"/>
        </w:r>
        <w:r>
          <w:rPr>
            <w:webHidden/>
          </w:rPr>
          <w:t>63</w:t>
        </w:r>
        <w:r>
          <w:rPr>
            <w:webHidden/>
          </w:rPr>
          <w:fldChar w:fldCharType="end"/>
        </w:r>
      </w:hyperlink>
    </w:p>
    <w:p w:rsidR="00860A11" w:rsidRDefault="00860A11">
      <w:pPr>
        <w:pStyle w:val="TOC1"/>
        <w:rPr>
          <w:rFonts w:asciiTheme="minorHAnsi" w:eastAsiaTheme="minorEastAsia" w:hAnsiTheme="minorHAnsi" w:cstheme="minorBidi"/>
          <w:color w:val="auto"/>
          <w:sz w:val="22"/>
          <w:szCs w:val="22"/>
          <w:lang w:val="en-GB" w:eastAsia="en-GB" w:bidi="ar-SA"/>
        </w:rPr>
      </w:pPr>
      <w:hyperlink w:anchor="_Toc463945763" w:history="1">
        <w:r w:rsidRPr="00DB7FBE">
          <w:rPr>
            <w:rStyle w:val="Hyperlink"/>
            <w:highlight w:val="yellow"/>
          </w:rPr>
          <w:t>Figure 16. Responsabilités des parties prenantes dans la mise en œuvre de l'évaluation du RRN</w:t>
        </w:r>
        <w:r>
          <w:rPr>
            <w:webHidden/>
          </w:rPr>
          <w:tab/>
        </w:r>
        <w:r>
          <w:rPr>
            <w:webHidden/>
          </w:rPr>
          <w:fldChar w:fldCharType="begin"/>
        </w:r>
        <w:r>
          <w:rPr>
            <w:webHidden/>
          </w:rPr>
          <w:instrText xml:space="preserve"> PAGEREF _Toc463945763 \h </w:instrText>
        </w:r>
        <w:r>
          <w:rPr>
            <w:webHidden/>
          </w:rPr>
        </w:r>
        <w:r>
          <w:rPr>
            <w:webHidden/>
          </w:rPr>
          <w:fldChar w:fldCharType="separate"/>
        </w:r>
        <w:r>
          <w:rPr>
            <w:webHidden/>
          </w:rPr>
          <w:t>66</w:t>
        </w:r>
        <w:r>
          <w:rPr>
            <w:webHidden/>
          </w:rPr>
          <w:fldChar w:fldCharType="end"/>
        </w:r>
      </w:hyperlink>
    </w:p>
    <w:p w:rsidR="00860A11" w:rsidRPr="00B9291E" w:rsidRDefault="00860A11">
      <w:pPr>
        <w:pStyle w:val="TOC1"/>
        <w:rPr>
          <w:rFonts w:asciiTheme="minorHAnsi" w:eastAsiaTheme="minorEastAsia" w:hAnsiTheme="minorHAnsi" w:cstheme="minorBidi"/>
          <w:noProof w:val="0"/>
          <w:color w:val="576C88" w:themeColor="text2" w:themeTint="D9"/>
          <w:sz w:val="22"/>
          <w:szCs w:val="22"/>
          <w:lang w:val="en-GB"/>
        </w:rPr>
      </w:pPr>
      <w:r w:rsidRPr="004F4478">
        <w:rPr>
          <w:rFonts w:cs="Arial"/>
          <w:noProof w:val="0"/>
          <w:color w:val="576C88" w:themeColor="text2" w:themeTint="D9"/>
          <w:szCs w:val="22"/>
        </w:rPr>
        <w:fldChar w:fldCharType="end"/>
      </w:r>
    </w:p>
    <w:p w:rsidR="00860A11" w:rsidRDefault="00860A11">
      <w:pPr>
        <w:pStyle w:val="TOC2"/>
        <w:rPr>
          <w:rFonts w:asciiTheme="minorHAnsi" w:eastAsiaTheme="minorEastAsia" w:hAnsiTheme="minorHAnsi" w:cstheme="minorBidi"/>
          <w:color w:val="auto"/>
          <w:sz w:val="22"/>
          <w:lang w:val="en-GB" w:eastAsia="en-GB" w:bidi="ar-SA"/>
        </w:rPr>
      </w:pPr>
      <w:r w:rsidRPr="004F4478">
        <w:rPr>
          <w:rFonts w:cs="Arial"/>
          <w:noProof w:val="0"/>
          <w:color w:val="576C88" w:themeColor="text2" w:themeTint="D9"/>
        </w:rPr>
        <w:fldChar w:fldCharType="begin"/>
      </w:r>
      <w:r w:rsidRPr="00B9291E">
        <w:rPr>
          <w:rFonts w:cs="Arial"/>
          <w:noProof w:val="0"/>
          <w:color w:val="576C88" w:themeColor="text2" w:themeTint="D9"/>
          <w:lang w:val="en-GB"/>
        </w:rPr>
        <w:instrText xml:space="preserve"> TOC \h \z \t "Überschrift 1;1;Überschrift 2;2;Überschrift 3;3;H_Heading_boxes;2" </w:instrText>
      </w:r>
      <w:r w:rsidRPr="004F4478">
        <w:rPr>
          <w:rFonts w:cs="Arial"/>
          <w:noProof w:val="0"/>
          <w:color w:val="576C88" w:themeColor="text2" w:themeTint="D9"/>
        </w:rPr>
        <w:fldChar w:fldCharType="separate"/>
      </w:r>
      <w:hyperlink w:anchor="_Toc463945899" w:history="1">
        <w:r w:rsidRPr="002C1B25">
          <w:rPr>
            <w:rStyle w:val="Hyperlink"/>
            <w:highlight w:val="yellow"/>
          </w:rPr>
          <w:t>Box 1. Le Groupe de pilotage de l'évaluation, instrument de gestion du processus d'évaluation.</w:t>
        </w:r>
        <w:r>
          <w:rPr>
            <w:webHidden/>
          </w:rPr>
          <w:tab/>
        </w:r>
        <w:r>
          <w:rPr>
            <w:webHidden/>
          </w:rPr>
          <w:fldChar w:fldCharType="begin"/>
        </w:r>
        <w:r>
          <w:rPr>
            <w:webHidden/>
          </w:rPr>
          <w:instrText xml:space="preserve"> PAGEREF _Toc463945899 \h </w:instrText>
        </w:r>
        <w:r>
          <w:rPr>
            <w:webHidden/>
          </w:rPr>
        </w:r>
        <w:r>
          <w:rPr>
            <w:webHidden/>
          </w:rPr>
          <w:fldChar w:fldCharType="separate"/>
        </w:r>
        <w:r>
          <w:rPr>
            <w:webHidden/>
          </w:rPr>
          <w:t>37</w:t>
        </w:r>
        <w:r>
          <w:rPr>
            <w:webHidden/>
          </w:rPr>
          <w:fldChar w:fldCharType="end"/>
        </w:r>
      </w:hyperlink>
    </w:p>
    <w:p w:rsidR="00860A11" w:rsidRDefault="00860A11">
      <w:pPr>
        <w:pStyle w:val="TOC2"/>
        <w:rPr>
          <w:rFonts w:asciiTheme="minorHAnsi" w:eastAsiaTheme="minorEastAsia" w:hAnsiTheme="minorHAnsi" w:cstheme="minorBidi"/>
          <w:color w:val="auto"/>
          <w:sz w:val="22"/>
          <w:lang w:val="en-GB" w:eastAsia="en-GB" w:bidi="ar-SA"/>
        </w:rPr>
      </w:pPr>
      <w:hyperlink w:anchor="_Toc463945900" w:history="1">
        <w:r w:rsidRPr="002C1B25">
          <w:rPr>
            <w:rStyle w:val="Hyperlink"/>
            <w:highlight w:val="yellow"/>
          </w:rPr>
          <w:t>Box 2. Mandat d'évaluation</w:t>
        </w:r>
        <w:r>
          <w:rPr>
            <w:webHidden/>
          </w:rPr>
          <w:tab/>
        </w:r>
        <w:r>
          <w:rPr>
            <w:webHidden/>
          </w:rPr>
          <w:fldChar w:fldCharType="begin"/>
        </w:r>
        <w:r>
          <w:rPr>
            <w:webHidden/>
          </w:rPr>
          <w:instrText xml:space="preserve"> PAGEREF _Toc463945900 \h </w:instrText>
        </w:r>
        <w:r>
          <w:rPr>
            <w:webHidden/>
          </w:rPr>
        </w:r>
        <w:r>
          <w:rPr>
            <w:webHidden/>
          </w:rPr>
          <w:fldChar w:fldCharType="separate"/>
        </w:r>
        <w:r>
          <w:rPr>
            <w:webHidden/>
          </w:rPr>
          <w:t>63</w:t>
        </w:r>
        <w:r>
          <w:rPr>
            <w:webHidden/>
          </w:rPr>
          <w:fldChar w:fldCharType="end"/>
        </w:r>
      </w:hyperlink>
    </w:p>
    <w:p w:rsidR="00860A11" w:rsidRPr="00B9291E" w:rsidRDefault="00860A11">
      <w:pPr>
        <w:pStyle w:val="HStandard"/>
        <w:tabs>
          <w:tab w:val="right" w:leader="dot" w:pos="8742"/>
        </w:tabs>
        <w:rPr>
          <w:rFonts w:asciiTheme="minorHAnsi" w:eastAsiaTheme="minorEastAsia" w:hAnsiTheme="minorHAnsi" w:cstheme="minorBidi"/>
          <w:sz w:val="22"/>
          <w:lang w:val="en-GB"/>
        </w:rPr>
        <w:sectPr w:rsidR="00860A11" w:rsidRPr="00B9291E" w:rsidSect="00085973">
          <w:headerReference w:type="even" r:id="rId10"/>
          <w:headerReference w:type="default" r:id="rId11"/>
          <w:footerReference w:type="even" r:id="rId12"/>
          <w:footerReference w:type="default" r:id="rId13"/>
          <w:headerReference w:type="first" r:id="rId14"/>
          <w:footerReference w:type="first" r:id="rId15"/>
          <w:pgSz w:w="11906" w:h="16838" w:code="9"/>
          <w:pgMar w:top="1440" w:right="1440" w:bottom="1440" w:left="1440" w:header="1134" w:footer="1021" w:gutter="0"/>
          <w:cols w:space="708"/>
          <w:titlePg/>
          <w:docGrid w:linePitch="360"/>
        </w:sectPr>
      </w:pPr>
      <w:r w:rsidRPr="004F4478">
        <w:fldChar w:fldCharType="end"/>
      </w:r>
    </w:p>
    <w:p w:rsidR="00860A11" w:rsidRPr="00B9291E" w:rsidRDefault="00860A11" w:rsidP="005A6A10">
      <w:pPr>
        <w:pStyle w:val="HStandard"/>
        <w:tabs>
          <w:tab w:val="right" w:leader="dot" w:pos="8742"/>
        </w:tabs>
        <w:rPr>
          <w:b/>
          <w:color w:val="E7E6E6" w:themeColor="background2"/>
          <w:lang w:val="en-GB"/>
        </w:rPr>
      </w:pPr>
      <w:r w:rsidRPr="00B9291E">
        <w:rPr>
          <w:lang w:val="en-GB"/>
        </w:rPr>
        <w:lastRenderedPageBreak/>
        <w:br w:type="page"/>
      </w:r>
    </w:p>
    <w:p w:rsidR="00860A11" w:rsidRPr="00B9291E" w:rsidRDefault="00860A11" w:rsidP="005A6A10">
      <w:pPr>
        <w:pStyle w:val="HStandard"/>
        <w:tabs>
          <w:tab w:val="right" w:leader="dot" w:pos="8742"/>
        </w:tabs>
        <w:rPr>
          <w:b/>
          <w:color w:val="E7E6E6" w:themeColor="background2"/>
          <w:lang w:val="en-GB"/>
        </w:rPr>
      </w:pPr>
      <w:r w:rsidRPr="00B9291E">
        <w:rPr>
          <w:b/>
          <w:color w:val="E7E6E6" w:themeColor="background2"/>
          <w:lang w:val="en-GB"/>
        </w:rPr>
        <w:lastRenderedPageBreak/>
        <w:t>ACRONYM LIST</w:t>
      </w:r>
    </w:p>
    <w:p w:rsidR="00860A11" w:rsidRPr="00B9291E" w:rsidRDefault="00860A11" w:rsidP="00AE6F26">
      <w:pPr>
        <w:pStyle w:val="HStandard"/>
        <w:rPr>
          <w:lang w:val="en-GB"/>
        </w:rPr>
      </w:pPr>
      <w:r w:rsidRPr="00B9291E">
        <w:rPr>
          <w:lang w:val="en-GB"/>
        </w:rPr>
        <w:t>AIR</w:t>
      </w:r>
      <w:r w:rsidRPr="00B9291E">
        <w:rPr>
          <w:lang w:val="en-GB"/>
        </w:rPr>
        <w:tab/>
      </w:r>
      <w:r w:rsidRPr="00B9291E">
        <w:rPr>
          <w:lang w:val="en-GB"/>
        </w:rPr>
        <w:tab/>
      </w:r>
      <w:r w:rsidRPr="00B9291E">
        <w:rPr>
          <w:lang w:val="en-GB"/>
        </w:rPr>
        <w:tab/>
        <w:t>Annual Implementation Report</w:t>
      </w:r>
    </w:p>
    <w:p w:rsidR="00860A11" w:rsidRPr="00B9291E" w:rsidRDefault="00860A11" w:rsidP="00AE6F26">
      <w:pPr>
        <w:pStyle w:val="HStandard"/>
        <w:rPr>
          <w:lang w:val="en-GB"/>
        </w:rPr>
      </w:pPr>
      <w:r w:rsidRPr="00B9291E">
        <w:rPr>
          <w:lang w:val="en-GB"/>
        </w:rPr>
        <w:t>AWU</w:t>
      </w:r>
      <w:r w:rsidRPr="00B9291E">
        <w:rPr>
          <w:lang w:val="en-GB"/>
        </w:rPr>
        <w:tab/>
      </w:r>
      <w:r w:rsidRPr="00B9291E">
        <w:rPr>
          <w:lang w:val="en-GB"/>
        </w:rPr>
        <w:tab/>
        <w:t>Annual Work Units</w:t>
      </w:r>
    </w:p>
    <w:p w:rsidR="00860A11" w:rsidRPr="00B9291E" w:rsidRDefault="00860A11" w:rsidP="00AE6F26">
      <w:pPr>
        <w:pStyle w:val="HStandard"/>
        <w:rPr>
          <w:lang w:val="en-GB"/>
        </w:rPr>
      </w:pPr>
      <w:r w:rsidRPr="00B9291E">
        <w:rPr>
          <w:lang w:val="en-GB"/>
        </w:rPr>
        <w:t>CAP</w:t>
      </w:r>
      <w:r w:rsidRPr="00B9291E">
        <w:rPr>
          <w:lang w:val="en-GB"/>
        </w:rPr>
        <w:tab/>
      </w:r>
      <w:r w:rsidRPr="00B9291E">
        <w:rPr>
          <w:lang w:val="en-GB"/>
        </w:rPr>
        <w:tab/>
        <w:t xml:space="preserve">Common Agricultural Policy </w:t>
      </w:r>
    </w:p>
    <w:p w:rsidR="00860A11" w:rsidRPr="00B9291E" w:rsidRDefault="00860A11" w:rsidP="00AE6F26">
      <w:pPr>
        <w:pStyle w:val="HStandard"/>
        <w:rPr>
          <w:lang w:val="en-GB"/>
        </w:rPr>
      </w:pPr>
      <w:r w:rsidRPr="00B9291E">
        <w:rPr>
          <w:lang w:val="en-GB"/>
        </w:rPr>
        <w:t>CCI</w:t>
      </w:r>
      <w:r w:rsidRPr="00B9291E">
        <w:rPr>
          <w:lang w:val="en-GB"/>
        </w:rPr>
        <w:tab/>
      </w:r>
      <w:r w:rsidRPr="00B9291E">
        <w:rPr>
          <w:lang w:val="en-GB"/>
        </w:rPr>
        <w:tab/>
        <w:t>Common Context Indicators</w:t>
      </w:r>
    </w:p>
    <w:p w:rsidR="00860A11" w:rsidRPr="00B9291E" w:rsidRDefault="00860A11" w:rsidP="00AE6F26">
      <w:pPr>
        <w:pStyle w:val="HStandard"/>
        <w:rPr>
          <w:lang w:val="en-GB"/>
        </w:rPr>
      </w:pPr>
      <w:r w:rsidRPr="00B9291E">
        <w:rPr>
          <w:lang w:val="en-GB"/>
        </w:rPr>
        <w:t>CEQ</w:t>
      </w:r>
      <w:r w:rsidRPr="00B9291E">
        <w:rPr>
          <w:lang w:val="en-GB"/>
        </w:rPr>
        <w:tab/>
      </w:r>
      <w:r w:rsidRPr="00B9291E">
        <w:rPr>
          <w:lang w:val="en-GB"/>
        </w:rPr>
        <w:tab/>
        <w:t>Common Evaluation Questions</w:t>
      </w:r>
    </w:p>
    <w:p w:rsidR="00860A11" w:rsidRPr="00B9291E" w:rsidRDefault="00860A11" w:rsidP="00AE6F26">
      <w:pPr>
        <w:pStyle w:val="HStandard"/>
        <w:rPr>
          <w:lang w:val="en-GB"/>
        </w:rPr>
      </w:pPr>
      <w:r w:rsidRPr="00B9291E">
        <w:rPr>
          <w:lang w:val="en-GB"/>
        </w:rPr>
        <w:t>CLLD</w:t>
      </w:r>
      <w:r w:rsidRPr="00B9291E">
        <w:rPr>
          <w:lang w:val="en-GB"/>
        </w:rPr>
        <w:tab/>
      </w:r>
      <w:r w:rsidRPr="00B9291E">
        <w:rPr>
          <w:lang w:val="en-GB"/>
        </w:rPr>
        <w:tab/>
        <w:t>Community-Led Local Development</w:t>
      </w:r>
    </w:p>
    <w:p w:rsidR="00860A11" w:rsidRPr="00B9291E" w:rsidRDefault="00860A11" w:rsidP="00AE6F26">
      <w:pPr>
        <w:pStyle w:val="HStandard"/>
        <w:rPr>
          <w:lang w:val="en-GB"/>
        </w:rPr>
      </w:pPr>
      <w:r w:rsidRPr="00B9291E">
        <w:rPr>
          <w:lang w:val="en-GB"/>
        </w:rPr>
        <w:t xml:space="preserve">CMES </w:t>
      </w:r>
      <w:r w:rsidRPr="00B9291E">
        <w:rPr>
          <w:lang w:val="en-GB"/>
        </w:rPr>
        <w:tab/>
      </w:r>
      <w:r w:rsidRPr="00B9291E">
        <w:rPr>
          <w:lang w:val="en-GB"/>
        </w:rPr>
        <w:tab/>
        <w:t>Common Monitoring and Evaluation System</w:t>
      </w:r>
    </w:p>
    <w:p w:rsidR="00860A11" w:rsidRPr="00B9291E" w:rsidRDefault="00860A11" w:rsidP="00AE6F26">
      <w:pPr>
        <w:pStyle w:val="HStandard"/>
        <w:rPr>
          <w:lang w:val="en-GB"/>
        </w:rPr>
      </w:pPr>
      <w:r w:rsidRPr="00B9291E">
        <w:rPr>
          <w:lang w:val="en-GB"/>
        </w:rPr>
        <w:t xml:space="preserve">CO </w:t>
      </w:r>
      <w:r w:rsidRPr="00B9291E">
        <w:rPr>
          <w:lang w:val="en-GB"/>
        </w:rPr>
        <w:tab/>
      </w:r>
      <w:r w:rsidRPr="00B9291E">
        <w:rPr>
          <w:lang w:val="en-GB"/>
        </w:rPr>
        <w:tab/>
        <w:t>Common objective</w:t>
      </w:r>
    </w:p>
    <w:p w:rsidR="00860A11" w:rsidRPr="00B9291E" w:rsidRDefault="00860A11" w:rsidP="00AE6F26">
      <w:pPr>
        <w:pStyle w:val="HStandard"/>
        <w:rPr>
          <w:lang w:val="en-GB"/>
        </w:rPr>
      </w:pPr>
      <w:r w:rsidRPr="00B9291E">
        <w:rPr>
          <w:lang w:val="en-GB"/>
        </w:rPr>
        <w:t>DG AGRI</w:t>
      </w:r>
      <w:r w:rsidRPr="00B9291E">
        <w:rPr>
          <w:lang w:val="en-GB"/>
        </w:rPr>
        <w:tab/>
        <w:t>Directorate-General for Agriculture and Rural Development</w:t>
      </w:r>
    </w:p>
    <w:p w:rsidR="00860A11" w:rsidRPr="00B9291E" w:rsidRDefault="00860A11" w:rsidP="00AE6F26">
      <w:pPr>
        <w:pStyle w:val="HStandard"/>
        <w:rPr>
          <w:lang w:val="en-GB"/>
        </w:rPr>
      </w:pPr>
      <w:r w:rsidRPr="00B9291E">
        <w:rPr>
          <w:lang w:val="en-GB"/>
        </w:rPr>
        <w:t>EARDF</w:t>
      </w:r>
      <w:r w:rsidRPr="00B9291E">
        <w:rPr>
          <w:lang w:val="en-GB"/>
        </w:rPr>
        <w:tab/>
      </w:r>
      <w:r w:rsidRPr="00B9291E">
        <w:rPr>
          <w:lang w:val="en-GB"/>
        </w:rPr>
        <w:tab/>
        <w:t>European Agricultural Fund for Rural Development</w:t>
      </w:r>
    </w:p>
    <w:p w:rsidR="00860A11" w:rsidRPr="00B9291E" w:rsidRDefault="00860A11" w:rsidP="00AE6F26">
      <w:pPr>
        <w:pStyle w:val="HStandard"/>
        <w:rPr>
          <w:lang w:val="en-GB"/>
        </w:rPr>
      </w:pPr>
      <w:r w:rsidRPr="00B9291E">
        <w:rPr>
          <w:lang w:val="en-GB"/>
        </w:rPr>
        <w:t>EIP</w:t>
      </w:r>
      <w:r w:rsidRPr="00B9291E">
        <w:rPr>
          <w:lang w:val="en-GB"/>
        </w:rPr>
        <w:tab/>
      </w:r>
      <w:r w:rsidRPr="00B9291E">
        <w:rPr>
          <w:lang w:val="en-GB"/>
        </w:rPr>
        <w:tab/>
      </w:r>
      <w:r w:rsidRPr="00B9291E">
        <w:rPr>
          <w:lang w:val="en-GB"/>
        </w:rPr>
        <w:tab/>
        <w:t>European Innovation Partnership</w:t>
      </w:r>
    </w:p>
    <w:p w:rsidR="00860A11" w:rsidRPr="00B9291E" w:rsidRDefault="00860A11" w:rsidP="00AE6F26">
      <w:pPr>
        <w:pStyle w:val="HStandard"/>
        <w:rPr>
          <w:lang w:val="en-GB"/>
        </w:rPr>
      </w:pPr>
      <w:r w:rsidRPr="00B9291E">
        <w:rPr>
          <w:lang w:val="en-GB"/>
        </w:rPr>
        <w:t>ENRD</w:t>
      </w:r>
      <w:r w:rsidRPr="00B9291E">
        <w:rPr>
          <w:lang w:val="en-GB"/>
        </w:rPr>
        <w:tab/>
      </w:r>
      <w:r w:rsidRPr="00B9291E">
        <w:rPr>
          <w:lang w:val="en-GB"/>
        </w:rPr>
        <w:tab/>
        <w:t>European Network for Rural Development</w:t>
      </w:r>
    </w:p>
    <w:p w:rsidR="00860A11" w:rsidRPr="004F4478" w:rsidRDefault="00860A11" w:rsidP="00AE6F26">
      <w:pPr>
        <w:pStyle w:val="HStandard"/>
      </w:pPr>
      <w:r w:rsidRPr="004F4478">
        <w:t>EQ</w:t>
      </w:r>
      <w:r w:rsidRPr="004F4478">
        <w:tab/>
      </w:r>
      <w:r w:rsidRPr="004F4478">
        <w:tab/>
      </w:r>
      <w:r w:rsidRPr="004F4478">
        <w:tab/>
      </w:r>
      <w:r w:rsidRPr="004F4478">
        <w:tab/>
      </w:r>
      <w:r w:rsidRPr="004F4478">
        <w:tab/>
        <w:t>Evaluation Question</w:t>
      </w:r>
    </w:p>
    <w:p w:rsidR="00860A11" w:rsidRPr="004F4478" w:rsidRDefault="00860A11" w:rsidP="00AE6F26">
      <w:pPr>
        <w:pStyle w:val="HStandard"/>
      </w:pPr>
      <w:r w:rsidRPr="004F4478">
        <w:t>EP</w:t>
      </w:r>
      <w:r w:rsidRPr="004F4478">
        <w:tab/>
      </w:r>
      <w:r w:rsidRPr="004F4478">
        <w:tab/>
      </w:r>
      <w:r w:rsidRPr="004F4478">
        <w:tab/>
      </w:r>
      <w:r w:rsidRPr="004F4478">
        <w:tab/>
      </w:r>
      <w:r w:rsidRPr="004F4478">
        <w:tab/>
        <w:t>Evaluation Plan</w:t>
      </w:r>
    </w:p>
    <w:p w:rsidR="00860A11" w:rsidRPr="00B9291E" w:rsidRDefault="00860A11" w:rsidP="00AE6F26">
      <w:pPr>
        <w:pStyle w:val="HStandard"/>
        <w:rPr>
          <w:lang w:val="en-GB"/>
        </w:rPr>
      </w:pPr>
      <w:r w:rsidRPr="00B9291E">
        <w:rPr>
          <w:lang w:val="en-GB"/>
        </w:rPr>
        <w:t>ERDF</w:t>
      </w:r>
      <w:r w:rsidRPr="00B9291E">
        <w:rPr>
          <w:lang w:val="en-GB"/>
        </w:rPr>
        <w:tab/>
      </w:r>
      <w:r w:rsidRPr="00B9291E">
        <w:rPr>
          <w:lang w:val="en-GB"/>
        </w:rPr>
        <w:tab/>
        <w:t>European Regional Development Fund</w:t>
      </w:r>
    </w:p>
    <w:p w:rsidR="00860A11" w:rsidRPr="00B9291E" w:rsidRDefault="00860A11" w:rsidP="00AE6F26">
      <w:pPr>
        <w:pStyle w:val="HStandard"/>
        <w:rPr>
          <w:lang w:val="en-GB"/>
        </w:rPr>
      </w:pPr>
      <w:r w:rsidRPr="00B9291E">
        <w:rPr>
          <w:lang w:val="en-GB"/>
        </w:rPr>
        <w:t>ESI</w:t>
      </w:r>
      <w:r w:rsidRPr="00B9291E">
        <w:rPr>
          <w:lang w:val="en-GB"/>
        </w:rPr>
        <w:tab/>
      </w:r>
      <w:r w:rsidRPr="00B9291E">
        <w:rPr>
          <w:lang w:val="en-GB"/>
        </w:rPr>
        <w:tab/>
      </w:r>
      <w:r w:rsidRPr="00B9291E">
        <w:rPr>
          <w:lang w:val="en-GB"/>
        </w:rPr>
        <w:tab/>
        <w:t>European Structural and Investment</w:t>
      </w:r>
    </w:p>
    <w:p w:rsidR="00860A11" w:rsidRPr="00B9291E" w:rsidRDefault="00860A11" w:rsidP="00AE6F26">
      <w:pPr>
        <w:pStyle w:val="HStandard"/>
        <w:rPr>
          <w:lang w:val="en-GB"/>
        </w:rPr>
      </w:pPr>
      <w:r w:rsidRPr="00B9291E">
        <w:rPr>
          <w:lang w:val="en-GB"/>
        </w:rPr>
        <w:t>EU</w:t>
      </w:r>
      <w:r w:rsidRPr="00B9291E">
        <w:rPr>
          <w:lang w:val="en-GB"/>
        </w:rPr>
        <w:tab/>
      </w:r>
      <w:r w:rsidRPr="00B9291E">
        <w:rPr>
          <w:lang w:val="en-GB"/>
        </w:rPr>
        <w:tab/>
      </w:r>
      <w:r w:rsidRPr="00B9291E">
        <w:rPr>
          <w:lang w:val="en-GB"/>
        </w:rPr>
        <w:tab/>
        <w:t>European Union</w:t>
      </w:r>
    </w:p>
    <w:p w:rsidR="00860A11" w:rsidRPr="00B9291E" w:rsidRDefault="00860A11" w:rsidP="00AE6F26">
      <w:pPr>
        <w:pStyle w:val="HStandard"/>
        <w:rPr>
          <w:lang w:val="en-GB"/>
        </w:rPr>
      </w:pPr>
      <w:r w:rsidRPr="00B9291E">
        <w:rPr>
          <w:lang w:val="en-GB"/>
        </w:rPr>
        <w:t>FA</w:t>
      </w:r>
      <w:r w:rsidRPr="00B9291E">
        <w:rPr>
          <w:lang w:val="en-GB"/>
        </w:rPr>
        <w:tab/>
      </w:r>
      <w:r w:rsidRPr="00B9291E">
        <w:rPr>
          <w:lang w:val="en-GB"/>
        </w:rPr>
        <w:tab/>
      </w:r>
      <w:r w:rsidRPr="00B9291E">
        <w:rPr>
          <w:lang w:val="en-GB"/>
        </w:rPr>
        <w:tab/>
        <w:t>Focus Area</w:t>
      </w:r>
    </w:p>
    <w:p w:rsidR="00860A11" w:rsidRPr="00B9291E" w:rsidRDefault="00860A11" w:rsidP="00AE6F26">
      <w:pPr>
        <w:pStyle w:val="HStandard"/>
        <w:rPr>
          <w:lang w:val="en-GB"/>
        </w:rPr>
      </w:pPr>
      <w:r w:rsidRPr="00B9291E">
        <w:rPr>
          <w:lang w:val="en-GB"/>
        </w:rPr>
        <w:t>FAO</w:t>
      </w:r>
      <w:r w:rsidRPr="00B9291E">
        <w:rPr>
          <w:lang w:val="en-GB"/>
        </w:rPr>
        <w:tab/>
      </w:r>
      <w:r w:rsidRPr="00B9291E">
        <w:rPr>
          <w:lang w:val="en-GB"/>
        </w:rPr>
        <w:tab/>
      </w:r>
      <w:hyperlink r:id="rId16">
        <w:r w:rsidRPr="00B9291E">
          <w:rPr>
            <w:lang w:val="en-GB"/>
          </w:rPr>
          <w:t>Food and Agriculture Organization</w:t>
        </w:r>
      </w:hyperlink>
    </w:p>
    <w:p w:rsidR="00860A11" w:rsidRPr="00B9291E" w:rsidRDefault="00860A11" w:rsidP="00AE6F26">
      <w:pPr>
        <w:pStyle w:val="HStandard"/>
        <w:rPr>
          <w:lang w:val="en-GB"/>
        </w:rPr>
      </w:pPr>
      <w:r w:rsidRPr="00B9291E">
        <w:rPr>
          <w:lang w:val="en-GB"/>
        </w:rPr>
        <w:t>GIS</w:t>
      </w:r>
      <w:r w:rsidRPr="00B9291E">
        <w:rPr>
          <w:lang w:val="en-GB"/>
        </w:rPr>
        <w:tab/>
      </w:r>
      <w:r w:rsidRPr="00B9291E">
        <w:rPr>
          <w:lang w:val="en-GB"/>
        </w:rPr>
        <w:tab/>
      </w:r>
      <w:hyperlink r:id="rId17">
        <w:r w:rsidRPr="00B9291E">
          <w:rPr>
            <w:lang w:val="en-GB"/>
          </w:rPr>
          <w:t>Geographic information system</w:t>
        </w:r>
      </w:hyperlink>
    </w:p>
    <w:p w:rsidR="00860A11" w:rsidRPr="00B9291E" w:rsidRDefault="00860A11" w:rsidP="00AE6F26">
      <w:pPr>
        <w:pStyle w:val="HStandard"/>
        <w:rPr>
          <w:lang w:val="de-DE"/>
        </w:rPr>
      </w:pPr>
      <w:r w:rsidRPr="00B9291E">
        <w:rPr>
          <w:lang w:val="de-DE"/>
        </w:rPr>
        <w:t>GIZ</w:t>
      </w:r>
      <w:r w:rsidRPr="00B9291E">
        <w:rPr>
          <w:lang w:val="de-DE"/>
        </w:rPr>
        <w:tab/>
      </w:r>
      <w:r w:rsidRPr="00B9291E">
        <w:rPr>
          <w:lang w:val="de-DE"/>
        </w:rPr>
        <w:tab/>
      </w:r>
      <w:r w:rsidRPr="00B9291E">
        <w:rPr>
          <w:lang w:val="de-DE"/>
        </w:rPr>
        <w:tab/>
      </w:r>
      <w:r w:rsidRPr="00B9291E">
        <w:rPr>
          <w:lang w:val="de-DE"/>
        </w:rPr>
        <w:tab/>
      </w:r>
      <w:r w:rsidRPr="00B9291E">
        <w:rPr>
          <w:lang w:val="de-DE"/>
        </w:rPr>
        <w:tab/>
        <w:t>Gesellschaft für Internationale Zusammenarbeit</w:t>
      </w:r>
    </w:p>
    <w:p w:rsidR="00860A11" w:rsidRPr="00B9291E" w:rsidRDefault="00860A11" w:rsidP="00AE6F26">
      <w:pPr>
        <w:pStyle w:val="HStandard"/>
        <w:rPr>
          <w:lang w:val="de-DE"/>
        </w:rPr>
      </w:pPr>
      <w:r w:rsidRPr="00B9291E">
        <w:rPr>
          <w:lang w:val="de-DE"/>
        </w:rPr>
        <w:t>IL</w:t>
      </w:r>
      <w:r w:rsidRPr="00B9291E">
        <w:rPr>
          <w:lang w:val="de-DE"/>
        </w:rPr>
        <w:tab/>
      </w:r>
      <w:r w:rsidRPr="00B9291E">
        <w:rPr>
          <w:lang w:val="de-DE"/>
        </w:rPr>
        <w:tab/>
      </w:r>
      <w:r w:rsidRPr="00B9291E">
        <w:rPr>
          <w:lang w:val="de-DE"/>
        </w:rPr>
        <w:tab/>
      </w:r>
      <w:r w:rsidRPr="00B9291E">
        <w:rPr>
          <w:lang w:val="de-DE"/>
        </w:rPr>
        <w:tab/>
      </w:r>
      <w:r w:rsidRPr="00B9291E">
        <w:rPr>
          <w:lang w:val="de-DE"/>
        </w:rPr>
        <w:tab/>
        <w:t>Intervention Logic</w:t>
      </w:r>
    </w:p>
    <w:p w:rsidR="00860A11" w:rsidRPr="00B9291E" w:rsidRDefault="00860A11" w:rsidP="00AE6F26">
      <w:pPr>
        <w:pStyle w:val="HStandard"/>
        <w:rPr>
          <w:lang w:val="en-GB"/>
        </w:rPr>
      </w:pPr>
      <w:r w:rsidRPr="00B9291E">
        <w:rPr>
          <w:lang w:val="en-GB"/>
        </w:rPr>
        <w:t>JC</w:t>
      </w:r>
      <w:r w:rsidRPr="00B9291E">
        <w:rPr>
          <w:lang w:val="en-GB"/>
        </w:rPr>
        <w:tab/>
      </w:r>
      <w:r w:rsidRPr="00B9291E">
        <w:rPr>
          <w:lang w:val="en-GB"/>
        </w:rPr>
        <w:tab/>
      </w:r>
      <w:r w:rsidRPr="00B9291E">
        <w:rPr>
          <w:lang w:val="en-GB"/>
        </w:rPr>
        <w:tab/>
        <w:t>Judgement Criteria</w:t>
      </w:r>
    </w:p>
    <w:p w:rsidR="00860A11" w:rsidRPr="00B9291E" w:rsidRDefault="00860A11" w:rsidP="00AE6F26">
      <w:pPr>
        <w:pStyle w:val="HStandard"/>
        <w:rPr>
          <w:lang w:val="en-GB"/>
        </w:rPr>
      </w:pPr>
      <w:r w:rsidRPr="00B9291E">
        <w:rPr>
          <w:lang w:val="en-GB"/>
        </w:rPr>
        <w:t>LAG</w:t>
      </w:r>
      <w:r w:rsidRPr="00B9291E">
        <w:rPr>
          <w:lang w:val="en-GB"/>
        </w:rPr>
        <w:tab/>
      </w:r>
      <w:r w:rsidRPr="00B9291E">
        <w:rPr>
          <w:lang w:val="en-GB"/>
        </w:rPr>
        <w:tab/>
      </w:r>
      <w:r w:rsidRPr="00B9291E">
        <w:rPr>
          <w:lang w:val="en-GB"/>
        </w:rPr>
        <w:tab/>
        <w:t>Local Action Group</w:t>
      </w:r>
    </w:p>
    <w:p w:rsidR="00860A11" w:rsidRPr="004F4478" w:rsidRDefault="00860A11" w:rsidP="00AE6F26">
      <w:pPr>
        <w:pStyle w:val="HStandard"/>
      </w:pPr>
      <w:r w:rsidRPr="004F4478">
        <w:t>LEADER</w:t>
      </w:r>
      <w:r w:rsidRPr="004F4478">
        <w:tab/>
        <w:t>Liaison Entre Actions de Développement de l'Économie Rurale</w:t>
      </w:r>
    </w:p>
    <w:p w:rsidR="00860A11" w:rsidRPr="00B9291E" w:rsidRDefault="00860A11" w:rsidP="00AE6F26">
      <w:pPr>
        <w:pStyle w:val="HStandard"/>
        <w:rPr>
          <w:lang w:val="en-GB"/>
        </w:rPr>
      </w:pPr>
      <w:r w:rsidRPr="00B9291E">
        <w:rPr>
          <w:lang w:val="en-GB"/>
        </w:rPr>
        <w:t>MA</w:t>
      </w:r>
      <w:r w:rsidRPr="00B9291E">
        <w:rPr>
          <w:lang w:val="en-GB"/>
        </w:rPr>
        <w:tab/>
      </w:r>
      <w:r w:rsidRPr="00B9291E">
        <w:rPr>
          <w:lang w:val="en-GB"/>
        </w:rPr>
        <w:tab/>
      </w:r>
      <w:r w:rsidRPr="00B9291E">
        <w:rPr>
          <w:lang w:val="en-GB"/>
        </w:rPr>
        <w:tab/>
      </w:r>
      <w:r w:rsidRPr="00B9291E">
        <w:rPr>
          <w:lang w:val="en-GB"/>
        </w:rPr>
        <w:tab/>
      </w:r>
      <w:r w:rsidRPr="00B9291E">
        <w:rPr>
          <w:lang w:val="en-GB"/>
        </w:rPr>
        <w:tab/>
        <w:t>Managing Authority</w:t>
      </w:r>
    </w:p>
    <w:p w:rsidR="00860A11" w:rsidRPr="00B9291E" w:rsidRDefault="00860A11" w:rsidP="00AE6F26">
      <w:pPr>
        <w:pStyle w:val="HStandard"/>
        <w:rPr>
          <w:lang w:val="en-GB"/>
        </w:rPr>
      </w:pPr>
      <w:r w:rsidRPr="00B9291E">
        <w:rPr>
          <w:lang w:val="en-GB"/>
        </w:rPr>
        <w:t>MAPP</w:t>
      </w:r>
      <w:r w:rsidRPr="00B9291E">
        <w:rPr>
          <w:lang w:val="en-GB"/>
        </w:rPr>
        <w:tab/>
      </w:r>
      <w:r w:rsidRPr="00B9291E">
        <w:rPr>
          <w:lang w:val="en-GB"/>
        </w:rPr>
        <w:tab/>
      </w:r>
      <w:r w:rsidRPr="00B9291E">
        <w:rPr>
          <w:lang w:val="en-GB"/>
        </w:rPr>
        <w:tab/>
        <w:t>Method for Impact Assessment of Programmes and Project</w:t>
      </w:r>
    </w:p>
    <w:p w:rsidR="00860A11" w:rsidRPr="00B9291E" w:rsidRDefault="00860A11" w:rsidP="00AE6F26">
      <w:pPr>
        <w:pStyle w:val="HStandard"/>
        <w:rPr>
          <w:lang w:val="en-GB"/>
        </w:rPr>
      </w:pPr>
      <w:r w:rsidRPr="00B9291E">
        <w:rPr>
          <w:lang w:val="en-GB"/>
        </w:rPr>
        <w:t>MS</w:t>
      </w:r>
      <w:r w:rsidRPr="00B9291E">
        <w:rPr>
          <w:lang w:val="en-GB"/>
        </w:rPr>
        <w:tab/>
      </w:r>
      <w:r w:rsidRPr="00B9291E">
        <w:rPr>
          <w:lang w:val="en-GB"/>
        </w:rPr>
        <w:tab/>
      </w:r>
      <w:r w:rsidRPr="00B9291E">
        <w:rPr>
          <w:lang w:val="en-GB"/>
        </w:rPr>
        <w:tab/>
        <w:t>Member State</w:t>
      </w:r>
    </w:p>
    <w:p w:rsidR="00860A11" w:rsidRPr="00B9291E" w:rsidRDefault="00860A11" w:rsidP="00AE6F26">
      <w:pPr>
        <w:pStyle w:val="HStandard"/>
        <w:rPr>
          <w:lang w:val="en-GB"/>
        </w:rPr>
      </w:pPr>
      <w:r w:rsidRPr="00B9291E">
        <w:rPr>
          <w:lang w:val="en-GB"/>
        </w:rPr>
        <w:t>NGO</w:t>
      </w:r>
      <w:r w:rsidRPr="00B9291E">
        <w:rPr>
          <w:lang w:val="en-GB"/>
        </w:rPr>
        <w:tab/>
      </w:r>
      <w:r w:rsidRPr="00B9291E">
        <w:rPr>
          <w:lang w:val="en-GB"/>
        </w:rPr>
        <w:tab/>
        <w:t>Non-governmental organization</w:t>
      </w:r>
    </w:p>
    <w:p w:rsidR="00860A11" w:rsidRPr="00B9291E" w:rsidRDefault="00860A11" w:rsidP="00AE6F26">
      <w:pPr>
        <w:pStyle w:val="HStandard"/>
        <w:rPr>
          <w:lang w:val="en-GB"/>
        </w:rPr>
      </w:pPr>
      <w:r w:rsidRPr="00B9291E">
        <w:rPr>
          <w:lang w:val="en-GB"/>
        </w:rPr>
        <w:t>NRN</w:t>
      </w:r>
      <w:r w:rsidRPr="00B9291E">
        <w:rPr>
          <w:lang w:val="en-GB"/>
        </w:rPr>
        <w:tab/>
      </w:r>
      <w:r w:rsidRPr="00B9291E">
        <w:rPr>
          <w:lang w:val="en-GB"/>
        </w:rPr>
        <w:tab/>
        <w:t>National Rural Network</w:t>
      </w:r>
    </w:p>
    <w:p w:rsidR="00860A11" w:rsidRPr="00B9291E" w:rsidRDefault="00860A11" w:rsidP="00AE6F26">
      <w:pPr>
        <w:pStyle w:val="HStandard"/>
        <w:rPr>
          <w:lang w:val="en-GB"/>
        </w:rPr>
      </w:pPr>
      <w:r w:rsidRPr="00B9291E">
        <w:rPr>
          <w:lang w:val="en-GB"/>
        </w:rPr>
        <w:t>NRNP</w:t>
      </w:r>
      <w:r w:rsidRPr="00B9291E">
        <w:rPr>
          <w:lang w:val="en-GB"/>
        </w:rPr>
        <w:tab/>
      </w:r>
      <w:r w:rsidRPr="00B9291E">
        <w:rPr>
          <w:lang w:val="en-GB"/>
        </w:rPr>
        <w:tab/>
        <w:t>National Rural Network Programme</w:t>
      </w:r>
    </w:p>
    <w:p w:rsidR="00860A11" w:rsidRPr="00B9291E" w:rsidRDefault="00860A11" w:rsidP="00AE6F26">
      <w:pPr>
        <w:pStyle w:val="HStandard"/>
        <w:rPr>
          <w:lang w:val="en-GB"/>
        </w:rPr>
      </w:pPr>
      <w:r w:rsidRPr="00B9291E">
        <w:rPr>
          <w:lang w:val="en-GB"/>
        </w:rPr>
        <w:t>NSU</w:t>
      </w:r>
      <w:r w:rsidRPr="00B9291E">
        <w:rPr>
          <w:lang w:val="en-GB"/>
        </w:rPr>
        <w:tab/>
      </w:r>
      <w:r w:rsidRPr="00B9291E">
        <w:rPr>
          <w:lang w:val="en-GB"/>
        </w:rPr>
        <w:tab/>
        <w:t>Network Support Unit</w:t>
      </w:r>
    </w:p>
    <w:p w:rsidR="00860A11" w:rsidRPr="00B9291E" w:rsidRDefault="00860A11" w:rsidP="00AE6F26">
      <w:pPr>
        <w:pStyle w:val="HStandard"/>
        <w:rPr>
          <w:lang w:val="en-GB"/>
        </w:rPr>
      </w:pPr>
      <w:r w:rsidRPr="00B9291E">
        <w:rPr>
          <w:lang w:val="en-GB"/>
        </w:rPr>
        <w:t>O</w:t>
      </w:r>
      <w:r w:rsidRPr="00B9291E">
        <w:rPr>
          <w:lang w:val="en-GB"/>
        </w:rPr>
        <w:tab/>
      </w:r>
      <w:r w:rsidRPr="00B9291E">
        <w:rPr>
          <w:lang w:val="en-GB"/>
        </w:rPr>
        <w:tab/>
      </w:r>
      <w:r w:rsidRPr="00B9291E">
        <w:rPr>
          <w:lang w:val="en-GB"/>
        </w:rPr>
        <w:tab/>
        <w:t>Output indicators</w:t>
      </w:r>
    </w:p>
    <w:p w:rsidR="00860A11" w:rsidRPr="00B9291E" w:rsidRDefault="00860A11" w:rsidP="00AE6F26">
      <w:pPr>
        <w:pStyle w:val="HStandard"/>
        <w:rPr>
          <w:lang w:val="en-GB"/>
        </w:rPr>
      </w:pPr>
      <w:r w:rsidRPr="00B9291E">
        <w:rPr>
          <w:lang w:val="en-GB"/>
        </w:rPr>
        <w:lastRenderedPageBreak/>
        <w:t>OP</w:t>
      </w:r>
      <w:r w:rsidRPr="00B9291E">
        <w:rPr>
          <w:lang w:val="en-GB"/>
        </w:rPr>
        <w:tab/>
      </w:r>
      <w:r w:rsidRPr="00B9291E">
        <w:rPr>
          <w:lang w:val="en-GB"/>
        </w:rPr>
        <w:tab/>
      </w:r>
      <w:r w:rsidRPr="00B9291E">
        <w:rPr>
          <w:lang w:val="en-GB"/>
        </w:rPr>
        <w:tab/>
        <w:t>Operational Programme</w:t>
      </w:r>
    </w:p>
    <w:p w:rsidR="00860A11" w:rsidRPr="00B9291E" w:rsidRDefault="00860A11" w:rsidP="00AE6F26">
      <w:pPr>
        <w:pStyle w:val="HStandard"/>
        <w:rPr>
          <w:lang w:val="en-GB"/>
        </w:rPr>
      </w:pPr>
      <w:r w:rsidRPr="00B9291E">
        <w:rPr>
          <w:lang w:val="en-GB"/>
        </w:rPr>
        <w:t>PA</w:t>
      </w:r>
      <w:r w:rsidRPr="00B9291E">
        <w:rPr>
          <w:lang w:val="en-GB"/>
        </w:rPr>
        <w:tab/>
      </w:r>
      <w:r w:rsidRPr="00B9291E">
        <w:rPr>
          <w:lang w:val="en-GB"/>
        </w:rPr>
        <w:tab/>
      </w:r>
      <w:r w:rsidRPr="00B9291E">
        <w:rPr>
          <w:lang w:val="en-GB"/>
        </w:rPr>
        <w:tab/>
        <w:t>Paying Agency</w:t>
      </w:r>
    </w:p>
    <w:p w:rsidR="00860A11" w:rsidRPr="00B9291E" w:rsidRDefault="00860A11" w:rsidP="00AE6F26">
      <w:pPr>
        <w:pStyle w:val="HStandard"/>
        <w:rPr>
          <w:lang w:val="en-GB"/>
        </w:rPr>
      </w:pPr>
      <w:r w:rsidRPr="00B9291E">
        <w:rPr>
          <w:lang w:val="en-GB"/>
        </w:rPr>
        <w:t>PSEQ</w:t>
      </w:r>
      <w:r w:rsidRPr="00B9291E">
        <w:rPr>
          <w:lang w:val="en-GB"/>
        </w:rPr>
        <w:tab/>
      </w:r>
      <w:r w:rsidRPr="00B9291E">
        <w:rPr>
          <w:lang w:val="en-GB"/>
        </w:rPr>
        <w:tab/>
        <w:t>Programme Specific Evaluation Question</w:t>
      </w:r>
    </w:p>
    <w:p w:rsidR="00860A11" w:rsidRPr="00B9291E" w:rsidRDefault="00860A11" w:rsidP="00AE6F26">
      <w:pPr>
        <w:pStyle w:val="HStandard"/>
        <w:rPr>
          <w:lang w:val="en-GB"/>
        </w:rPr>
      </w:pPr>
      <w:r w:rsidRPr="00B9291E">
        <w:rPr>
          <w:lang w:val="en-GB"/>
        </w:rPr>
        <w:t xml:space="preserve">PSI </w:t>
      </w:r>
      <w:r w:rsidRPr="00B9291E">
        <w:rPr>
          <w:lang w:val="en-GB"/>
        </w:rPr>
        <w:tab/>
      </w:r>
      <w:r w:rsidRPr="00B9291E">
        <w:rPr>
          <w:lang w:val="en-GB"/>
        </w:rPr>
        <w:tab/>
        <w:t>Programme specific impacts</w:t>
      </w:r>
    </w:p>
    <w:p w:rsidR="00860A11" w:rsidRPr="00B9291E" w:rsidRDefault="00860A11" w:rsidP="00AE6F26">
      <w:pPr>
        <w:pStyle w:val="HStandard"/>
        <w:rPr>
          <w:lang w:val="en-GB"/>
        </w:rPr>
      </w:pPr>
      <w:r w:rsidRPr="00B9291E">
        <w:rPr>
          <w:lang w:val="en-GB"/>
        </w:rPr>
        <w:t xml:space="preserve">PSO </w:t>
      </w:r>
      <w:r w:rsidRPr="00B9291E">
        <w:rPr>
          <w:lang w:val="en-GB"/>
        </w:rPr>
        <w:tab/>
      </w:r>
      <w:r w:rsidRPr="00B9291E">
        <w:rPr>
          <w:lang w:val="en-GB"/>
        </w:rPr>
        <w:tab/>
        <w:t>Programme specific objective</w:t>
      </w:r>
    </w:p>
    <w:p w:rsidR="00860A11" w:rsidRPr="00B9291E" w:rsidRDefault="00860A11" w:rsidP="00AE6F26">
      <w:pPr>
        <w:pStyle w:val="HStandard"/>
        <w:rPr>
          <w:lang w:val="en-GB"/>
        </w:rPr>
      </w:pPr>
      <w:r w:rsidRPr="00B9291E">
        <w:rPr>
          <w:lang w:val="en-GB"/>
        </w:rPr>
        <w:t xml:space="preserve">PSR </w:t>
      </w:r>
      <w:r w:rsidRPr="00B9291E">
        <w:rPr>
          <w:lang w:val="en-GB"/>
        </w:rPr>
        <w:tab/>
      </w:r>
      <w:r w:rsidRPr="00B9291E">
        <w:rPr>
          <w:lang w:val="en-GB"/>
        </w:rPr>
        <w:tab/>
        <w:t>Programme specific result</w:t>
      </w:r>
    </w:p>
    <w:p w:rsidR="00860A11" w:rsidRPr="00B9291E" w:rsidRDefault="00860A11" w:rsidP="00AE6F26">
      <w:pPr>
        <w:pStyle w:val="HStandard"/>
        <w:rPr>
          <w:lang w:val="en-GB"/>
        </w:rPr>
      </w:pPr>
      <w:r w:rsidRPr="00B9291E">
        <w:rPr>
          <w:lang w:val="en-GB"/>
        </w:rPr>
        <w:t>R</w:t>
      </w:r>
      <w:r w:rsidRPr="00B9291E">
        <w:rPr>
          <w:lang w:val="en-GB"/>
        </w:rPr>
        <w:tab/>
      </w:r>
      <w:r w:rsidRPr="00B9291E">
        <w:rPr>
          <w:lang w:val="en-GB"/>
        </w:rPr>
        <w:tab/>
      </w:r>
      <w:r w:rsidRPr="00B9291E">
        <w:rPr>
          <w:lang w:val="en-GB"/>
        </w:rPr>
        <w:tab/>
        <w:t>Result indicators</w:t>
      </w:r>
    </w:p>
    <w:p w:rsidR="00860A11" w:rsidRPr="00B9291E" w:rsidRDefault="00860A11" w:rsidP="00AE6F26">
      <w:pPr>
        <w:pStyle w:val="HStandard"/>
        <w:rPr>
          <w:lang w:val="en-GB"/>
        </w:rPr>
      </w:pPr>
      <w:r w:rsidRPr="00B9291E">
        <w:rPr>
          <w:lang w:val="en-GB"/>
        </w:rPr>
        <w:t xml:space="preserve">RACER </w:t>
      </w:r>
      <w:r w:rsidRPr="00B9291E">
        <w:rPr>
          <w:lang w:val="en-GB"/>
        </w:rPr>
        <w:tab/>
        <w:t>Relevant, Accepted, Credible, Easy, Robust</w:t>
      </w:r>
    </w:p>
    <w:p w:rsidR="00860A11" w:rsidRPr="00B9291E" w:rsidRDefault="00860A11" w:rsidP="00AE6F26">
      <w:pPr>
        <w:pStyle w:val="HStandard"/>
        <w:rPr>
          <w:lang w:val="en-GB"/>
        </w:rPr>
      </w:pPr>
      <w:r w:rsidRPr="00B9291E">
        <w:rPr>
          <w:lang w:val="en-GB"/>
        </w:rPr>
        <w:t>RD</w:t>
      </w:r>
      <w:r w:rsidRPr="00B9291E">
        <w:rPr>
          <w:lang w:val="en-GB"/>
        </w:rPr>
        <w:tab/>
      </w:r>
      <w:r w:rsidRPr="00B9291E">
        <w:rPr>
          <w:lang w:val="en-GB"/>
        </w:rPr>
        <w:tab/>
      </w:r>
      <w:r w:rsidRPr="00B9291E">
        <w:rPr>
          <w:lang w:val="en-GB"/>
        </w:rPr>
        <w:tab/>
        <w:t>Rural Development</w:t>
      </w:r>
    </w:p>
    <w:p w:rsidR="00860A11" w:rsidRPr="00B9291E" w:rsidRDefault="00860A11" w:rsidP="00AE6F26">
      <w:pPr>
        <w:pStyle w:val="HStandard"/>
        <w:rPr>
          <w:lang w:val="en-GB"/>
        </w:rPr>
      </w:pPr>
      <w:r w:rsidRPr="00B9291E">
        <w:rPr>
          <w:lang w:val="en-GB"/>
        </w:rPr>
        <w:t>RDP</w:t>
      </w:r>
      <w:r w:rsidRPr="00B9291E">
        <w:rPr>
          <w:lang w:val="en-GB"/>
        </w:rPr>
        <w:tab/>
      </w:r>
      <w:r w:rsidRPr="00B9291E">
        <w:rPr>
          <w:lang w:val="en-GB"/>
        </w:rPr>
        <w:tab/>
        <w:t>Rural Development Programme</w:t>
      </w:r>
    </w:p>
    <w:p w:rsidR="00860A11" w:rsidRPr="00B9291E" w:rsidRDefault="00860A11" w:rsidP="00AE6F26">
      <w:pPr>
        <w:pStyle w:val="HStandard"/>
        <w:rPr>
          <w:b/>
          <w:lang w:val="en-GB"/>
        </w:rPr>
      </w:pPr>
      <w:r w:rsidRPr="00B9291E">
        <w:rPr>
          <w:lang w:val="en-GB"/>
        </w:rPr>
        <w:t>SFC</w:t>
      </w:r>
      <w:r w:rsidRPr="00B9291E">
        <w:rPr>
          <w:lang w:val="en-GB"/>
        </w:rPr>
        <w:tab/>
      </w:r>
      <w:r w:rsidRPr="00B9291E">
        <w:rPr>
          <w:lang w:val="en-GB"/>
        </w:rPr>
        <w:tab/>
        <w:t>Shared Fund Management Common System</w:t>
      </w:r>
    </w:p>
    <w:p w:rsidR="00860A11" w:rsidRPr="00B9291E" w:rsidRDefault="00860A11" w:rsidP="00AE6F26">
      <w:pPr>
        <w:pStyle w:val="HStandard"/>
        <w:rPr>
          <w:lang w:val="en-GB"/>
        </w:rPr>
      </w:pPr>
      <w:r w:rsidRPr="00B9291E">
        <w:rPr>
          <w:lang w:val="en-GB"/>
        </w:rPr>
        <w:t xml:space="preserve">SMART </w:t>
      </w:r>
      <w:r w:rsidRPr="00B9291E">
        <w:rPr>
          <w:lang w:val="en-GB"/>
        </w:rPr>
        <w:tab/>
        <w:t xml:space="preserve">Specific, Measurable, Achievable, Relevant, Time dependent </w:t>
      </w:r>
    </w:p>
    <w:p w:rsidR="00860A11" w:rsidRPr="00B9291E" w:rsidRDefault="00860A11" w:rsidP="00AE6F26">
      <w:pPr>
        <w:pStyle w:val="HStandard"/>
        <w:rPr>
          <w:lang w:val="en-GB"/>
        </w:rPr>
      </w:pPr>
      <w:r w:rsidRPr="00B9291E">
        <w:rPr>
          <w:lang w:val="en-GB"/>
        </w:rPr>
        <w:t>SME</w:t>
      </w:r>
      <w:r w:rsidRPr="00B9291E">
        <w:rPr>
          <w:lang w:val="en-GB"/>
        </w:rPr>
        <w:tab/>
      </w:r>
      <w:r w:rsidRPr="00B9291E">
        <w:rPr>
          <w:lang w:val="en-GB"/>
        </w:rPr>
        <w:tab/>
        <w:t>Small and Medium Enterprise</w:t>
      </w:r>
    </w:p>
    <w:p w:rsidR="00860A11" w:rsidRPr="00B9291E" w:rsidRDefault="00860A11" w:rsidP="00AE6F26">
      <w:pPr>
        <w:pStyle w:val="HStandard"/>
        <w:rPr>
          <w:lang w:val="en-GB"/>
        </w:rPr>
      </w:pPr>
      <w:r w:rsidRPr="00B9291E">
        <w:rPr>
          <w:lang w:val="en-GB"/>
        </w:rPr>
        <w:t>SG</w:t>
      </w:r>
      <w:r w:rsidRPr="00B9291E">
        <w:rPr>
          <w:lang w:val="en-GB"/>
        </w:rPr>
        <w:tab/>
      </w:r>
      <w:r w:rsidRPr="00B9291E">
        <w:rPr>
          <w:lang w:val="en-GB"/>
        </w:rPr>
        <w:tab/>
      </w:r>
      <w:r w:rsidRPr="00B9291E">
        <w:rPr>
          <w:lang w:val="en-GB"/>
        </w:rPr>
        <w:tab/>
        <w:t>Steering Group</w:t>
      </w:r>
    </w:p>
    <w:p w:rsidR="00860A11" w:rsidRPr="00B9291E" w:rsidRDefault="00860A11" w:rsidP="00AE6F26">
      <w:pPr>
        <w:pStyle w:val="HStandard"/>
        <w:rPr>
          <w:lang w:val="en-GB"/>
        </w:rPr>
      </w:pPr>
      <w:r w:rsidRPr="00B9291E">
        <w:rPr>
          <w:lang w:val="en-GB"/>
        </w:rPr>
        <w:t>SNA</w:t>
      </w:r>
      <w:r w:rsidRPr="00B9291E">
        <w:rPr>
          <w:lang w:val="en-GB"/>
        </w:rPr>
        <w:tab/>
      </w:r>
      <w:r w:rsidRPr="00B9291E">
        <w:rPr>
          <w:lang w:val="en-GB"/>
        </w:rPr>
        <w:tab/>
        <w:t xml:space="preserve">Social Network Analysis </w:t>
      </w:r>
    </w:p>
    <w:p w:rsidR="00860A11" w:rsidRPr="00B9291E" w:rsidRDefault="00860A11" w:rsidP="00AE6F26">
      <w:pPr>
        <w:pStyle w:val="HStandard"/>
        <w:rPr>
          <w:lang w:val="en-GB"/>
        </w:rPr>
      </w:pPr>
      <w:r w:rsidRPr="00B9291E">
        <w:rPr>
          <w:lang w:val="en-GB"/>
        </w:rPr>
        <w:t>SWOT</w:t>
      </w:r>
      <w:r w:rsidRPr="00B9291E">
        <w:rPr>
          <w:lang w:val="en-GB"/>
        </w:rPr>
        <w:tab/>
      </w:r>
      <w:r w:rsidRPr="00B9291E">
        <w:rPr>
          <w:lang w:val="en-GB"/>
        </w:rPr>
        <w:tab/>
        <w:t>Strengths, Weaknesses, Opportunities, Threats</w:t>
      </w:r>
    </w:p>
    <w:p w:rsidR="00860A11" w:rsidRPr="00B9291E" w:rsidRDefault="00860A11" w:rsidP="00AE6F26">
      <w:pPr>
        <w:pStyle w:val="HStandard"/>
        <w:rPr>
          <w:lang w:val="en-GB"/>
        </w:rPr>
      </w:pPr>
      <w:r w:rsidRPr="00B9291E">
        <w:rPr>
          <w:lang w:val="en-GB"/>
        </w:rPr>
        <w:t>TA</w:t>
      </w:r>
      <w:r w:rsidRPr="00B9291E">
        <w:rPr>
          <w:lang w:val="en-GB"/>
        </w:rPr>
        <w:tab/>
      </w:r>
      <w:r w:rsidRPr="00B9291E">
        <w:rPr>
          <w:lang w:val="en-GB"/>
        </w:rPr>
        <w:tab/>
      </w:r>
      <w:r w:rsidRPr="00B9291E">
        <w:rPr>
          <w:lang w:val="en-GB"/>
        </w:rPr>
        <w:tab/>
        <w:t>Technical Assistance</w:t>
      </w:r>
    </w:p>
    <w:p w:rsidR="00860A11" w:rsidRPr="00B9291E" w:rsidRDefault="00860A11" w:rsidP="00AE6F26">
      <w:pPr>
        <w:pStyle w:val="HStandard"/>
        <w:rPr>
          <w:lang w:val="en-GB"/>
        </w:rPr>
      </w:pPr>
      <w:r w:rsidRPr="00B9291E">
        <w:rPr>
          <w:lang w:val="en-GB"/>
        </w:rPr>
        <w:t>ToR</w:t>
      </w:r>
      <w:r w:rsidRPr="00B9291E">
        <w:rPr>
          <w:lang w:val="en-GB"/>
        </w:rPr>
        <w:tab/>
      </w:r>
      <w:r w:rsidRPr="00B9291E">
        <w:rPr>
          <w:lang w:val="en-GB"/>
        </w:rPr>
        <w:tab/>
        <w:t>Terms of Reference</w:t>
      </w:r>
    </w:p>
    <w:p w:rsidR="00860A11" w:rsidRPr="004F4478" w:rsidRDefault="00860A11" w:rsidP="00AE6F26">
      <w:pPr>
        <w:pStyle w:val="HStandard"/>
      </w:pPr>
      <w:r w:rsidRPr="004F4478">
        <w:t>WD</w:t>
      </w:r>
      <w:r w:rsidRPr="004F4478">
        <w:tab/>
      </w:r>
      <w:r w:rsidRPr="004F4478">
        <w:tab/>
      </w:r>
      <w:r w:rsidRPr="004F4478">
        <w:tab/>
        <w:t>Working Document</w:t>
      </w:r>
    </w:p>
    <w:p w:rsidR="00860A11" w:rsidRPr="004F4478" w:rsidRDefault="00860A11" w:rsidP="005A6A10">
      <w:pPr>
        <w:pStyle w:val="HStandard"/>
        <w:tabs>
          <w:tab w:val="right" w:leader="dot" w:pos="8742"/>
        </w:tabs>
        <w:rPr>
          <w:b/>
          <w:color w:val="E7E6E6" w:themeColor="background2"/>
        </w:rPr>
      </w:pPr>
    </w:p>
    <w:p w:rsidR="00860A11" w:rsidRPr="004F4478" w:rsidRDefault="00860A11" w:rsidP="00CB62A4">
      <w:pPr>
        <w:pStyle w:val="HHeading1"/>
        <w:rPr>
          <w:rFonts w:cs="Arial"/>
          <w:highlight w:val="yellow"/>
        </w:rPr>
      </w:pPr>
      <w:bookmarkStart w:id="0" w:name="_Toc453079745"/>
      <w:bookmarkStart w:id="1" w:name="_Toc463945852"/>
      <w:r w:rsidRPr="004F4478">
        <w:rPr>
          <w:caps w:val="0"/>
          <w:highlight w:val="yellow"/>
        </w:rPr>
        <w:lastRenderedPageBreak/>
        <w:t>INTRODUCTION</w:t>
      </w:r>
      <w:bookmarkEnd w:id="0"/>
      <w:bookmarkEnd w:id="1"/>
    </w:p>
    <w:p w:rsidR="00860A11" w:rsidRPr="004F4478" w:rsidRDefault="00860A11" w:rsidP="00680DA9">
      <w:pPr>
        <w:pStyle w:val="HHeading2"/>
        <w:rPr>
          <w:highlight w:val="yellow"/>
        </w:rPr>
      </w:pPr>
      <w:bookmarkStart w:id="2" w:name="_Toc453079746"/>
      <w:bookmarkStart w:id="3" w:name="_Toc463945853"/>
      <w:r w:rsidRPr="004F4478">
        <w:rPr>
          <w:highlight w:val="yellow"/>
        </w:rPr>
        <w:t>Lignes directrices pour l’évaluation des réseaux ruraux nationaux</w:t>
      </w:r>
      <w:bookmarkEnd w:id="2"/>
      <w:bookmarkEnd w:id="3"/>
    </w:p>
    <w:p w:rsidR="00860A11" w:rsidRPr="004F4478" w:rsidRDefault="00860A11" w:rsidP="00923616">
      <w:pPr>
        <w:pStyle w:val="HStandard"/>
        <w:rPr>
          <w:highlight w:val="yellow"/>
        </w:rPr>
      </w:pPr>
      <w:bookmarkStart w:id="4" w:name="_Toc358900244"/>
      <w:r w:rsidRPr="004F4478">
        <w:rPr>
          <w:highlight w:val="yellow"/>
        </w:rPr>
        <w:t xml:space="preserve">Les réseaux ruraux nationaux (RRN) regroupent des administrations et des organisations jouant un rôle dans le développement rural. Les RRN ont été introduits pour la première fois dans la politique de développement rural de l'UE 2007-2013, puis reconduits pour la période de programmation 2014-2020. </w:t>
      </w:r>
    </w:p>
    <w:p w:rsidR="00860A11" w:rsidRPr="004F4478" w:rsidRDefault="00860A11" w:rsidP="00923616">
      <w:pPr>
        <w:pStyle w:val="HStandard"/>
        <w:rPr>
          <w:highlight w:val="yellow"/>
        </w:rPr>
      </w:pPr>
      <w:r w:rsidRPr="004F4478">
        <w:rPr>
          <w:highlight w:val="yellow"/>
        </w:rPr>
        <w:t xml:space="preserve">Le RRN peut être utilisé soit dans le cadre d’une intervention spécifique au sein d'un programme de développement rural (PDR), financé par l'Assistance Technique soit en tant que programme autonome avec un budget séparé </w:t>
      </w:r>
      <w:r w:rsidRPr="004F4478">
        <w:rPr>
          <w:rStyle w:val="FootnoteReference"/>
          <w:highlight w:val="yellow"/>
        </w:rPr>
        <w:footnoteReference w:id="1"/>
      </w:r>
      <w:r w:rsidRPr="004F4478">
        <w:rPr>
          <w:highlight w:val="yellow"/>
        </w:rPr>
        <w:t xml:space="preserve"> (PRRN: Programme d</w:t>
      </w:r>
      <w:r>
        <w:rPr>
          <w:highlight w:val="yellow"/>
        </w:rPr>
        <w:t>e</w:t>
      </w:r>
      <w:r w:rsidRPr="004F4478">
        <w:rPr>
          <w:highlight w:val="yellow"/>
        </w:rPr>
        <w:t xml:space="preserve"> Réseau Rural National)</w:t>
      </w:r>
      <w:r w:rsidRPr="004F4478">
        <w:rPr>
          <w:rStyle w:val="FootnoteReference"/>
          <w:highlight w:val="yellow"/>
        </w:rPr>
        <w:footnoteReference w:id="2"/>
      </w:r>
      <w:r w:rsidRPr="004F4478">
        <w:rPr>
          <w:highlight w:val="yellow"/>
        </w:rPr>
        <w:t xml:space="preserve">. Dans la période de programmation 2014-2020 la plupart des RRN sont créés dans le cadre d'un PDR, à l'exception de l'Allemagne, de l'Italie et de la France qui ont choisi de créer des PRRN. </w:t>
      </w:r>
    </w:p>
    <w:p w:rsidR="00860A11" w:rsidRPr="004F4478" w:rsidRDefault="00860A11" w:rsidP="00923616">
      <w:pPr>
        <w:pStyle w:val="HStandard"/>
        <w:rPr>
          <w:highlight w:val="yellow"/>
        </w:rPr>
      </w:pPr>
      <w:r w:rsidRPr="004F4478">
        <w:rPr>
          <w:b/>
          <w:highlight w:val="yellow"/>
        </w:rPr>
        <w:t>Les RRN sont soumis à un système de suivi et d'évaluation</w:t>
      </w:r>
      <w:r w:rsidRPr="004F4478">
        <w:rPr>
          <w:highlight w:val="yellow"/>
        </w:rPr>
        <w:t xml:space="preserve">, semblable à celui de la dernière période de programmation. Les réalisations, les résultats et les </w:t>
      </w:r>
      <w:r>
        <w:rPr>
          <w:highlight w:val="yellow"/>
        </w:rPr>
        <w:t>effets</w:t>
      </w:r>
      <w:r w:rsidRPr="004F4478">
        <w:rPr>
          <w:highlight w:val="yellow"/>
        </w:rPr>
        <w:t xml:space="preserve"> des RRN devraient être évalués pour pouvoir améliorer la qualité, l'efficacité et la productivité des opérations des RRN</w:t>
      </w:r>
      <w:r w:rsidRPr="004F4478">
        <w:rPr>
          <w:rStyle w:val="FootnoteReference"/>
          <w:highlight w:val="yellow"/>
        </w:rPr>
        <w:footnoteReference w:id="3"/>
      </w:r>
      <w:r w:rsidRPr="004F4478">
        <w:rPr>
          <w:highlight w:val="yellow"/>
        </w:rPr>
        <w:t xml:space="preserve"> L'évaluation des RRN devrait aussi inclure leurs effets sur le capital humain et social, par exemple un réseau rural plus étendu et une meilleure gouvernance dans les zones rurales.</w:t>
      </w:r>
    </w:p>
    <w:p w:rsidR="00860A11" w:rsidRPr="004F4478" w:rsidRDefault="00860A11" w:rsidP="00923616">
      <w:pPr>
        <w:pStyle w:val="HStandard"/>
        <w:rPr>
          <w:highlight w:val="yellow"/>
        </w:rPr>
      </w:pPr>
      <w:r w:rsidRPr="004F4478">
        <w:rPr>
          <w:b/>
          <w:highlight w:val="yellow"/>
        </w:rPr>
        <w:t>Le plan d’évaluation</w:t>
      </w:r>
      <w:r w:rsidRPr="004F4478">
        <w:rPr>
          <w:highlight w:val="yellow"/>
        </w:rPr>
        <w:t xml:space="preserve"> du PDR</w:t>
      </w:r>
      <w:r w:rsidRPr="004F4478">
        <w:rPr>
          <w:rStyle w:val="FootnoteReference"/>
          <w:highlight w:val="yellow"/>
        </w:rPr>
        <w:footnoteReference w:id="4"/>
      </w:r>
      <w:r w:rsidRPr="004F4478">
        <w:rPr>
          <w:highlight w:val="yellow"/>
        </w:rPr>
        <w:t xml:space="preserve"> - composante obligatoire pour la période 2014-2020 - précise les activités d'évaluation prévues pour le RRN. Les </w:t>
      </w:r>
      <w:r>
        <w:rPr>
          <w:highlight w:val="yellow"/>
        </w:rPr>
        <w:t>P</w:t>
      </w:r>
      <w:r w:rsidRPr="004F4478">
        <w:rPr>
          <w:highlight w:val="yellow"/>
        </w:rPr>
        <w:t xml:space="preserve">RRN ont leurs propres plans d'évaluation. </w:t>
      </w:r>
    </w:p>
    <w:p w:rsidR="00860A11" w:rsidRPr="004F4478" w:rsidRDefault="00860A11" w:rsidP="006D3475">
      <w:pPr>
        <w:pStyle w:val="HHeading5"/>
        <w:rPr>
          <w:highlight w:val="yellow"/>
        </w:rPr>
      </w:pPr>
      <w:r w:rsidRPr="004F4478">
        <w:rPr>
          <w:highlight w:val="yellow"/>
        </w:rPr>
        <w:t xml:space="preserve">Pourquoi faut-il des lignes directrices pour l’évaluation des RRN? </w:t>
      </w:r>
    </w:p>
    <w:p w:rsidR="00860A11" w:rsidRPr="004F4478" w:rsidRDefault="00860A11" w:rsidP="00923616">
      <w:pPr>
        <w:pStyle w:val="HStandard"/>
        <w:rPr>
          <w:highlight w:val="yellow"/>
        </w:rPr>
      </w:pPr>
      <w:r w:rsidRPr="004F4478">
        <w:rPr>
          <w:b/>
          <w:highlight w:val="yellow"/>
        </w:rPr>
        <w:t>L’expérience de l'évaluation des RRN pendant la dernière période de programmation</w:t>
      </w:r>
      <w:r w:rsidRPr="004F4478">
        <w:rPr>
          <w:highlight w:val="yellow"/>
        </w:rPr>
        <w:t xml:space="preserve"> a montré qu’à mi-parcours de nombreux évaluateurs s’étaient focalisés sur les résultats dans leur évaluation des réalisations du RRN, donc qu’ils en étaient restés au niveau du suivi. Certaines évaluations plus avancées ont estimé la contribution du RRN aux objectifs du PDR (efficacité) et, dans une certaine mesure, la valeur ajoutée des activités du RRN. Cependant, beaucoup de problèmes ont dû être surmontés pendant ces expériences d'évaluation, principalement en raison du manque d</w:t>
      </w:r>
      <w:r>
        <w:rPr>
          <w:highlight w:val="yellow"/>
        </w:rPr>
        <w:t>'orientations</w:t>
      </w:r>
      <w:r w:rsidRPr="004F4478">
        <w:rPr>
          <w:highlight w:val="yellow"/>
        </w:rPr>
        <w:t xml:space="preserve"> et de disponibilité des acteurs concernés.</w:t>
      </w:r>
    </w:p>
    <w:p w:rsidR="00860A11" w:rsidRPr="004F4478" w:rsidRDefault="00860A11" w:rsidP="00923616">
      <w:pPr>
        <w:pStyle w:val="HStandard"/>
        <w:rPr>
          <w:highlight w:val="yellow"/>
        </w:rPr>
      </w:pPr>
      <w:r w:rsidRPr="004F4478">
        <w:rPr>
          <w:b/>
          <w:highlight w:val="yellow"/>
        </w:rPr>
        <w:t xml:space="preserve">L'analyse des évaluations des RRN a montré qu’un soutien était nécessaire, </w:t>
      </w:r>
      <w:r w:rsidRPr="004F4478">
        <w:rPr>
          <w:highlight w:val="yellow"/>
        </w:rPr>
        <w:t>surtout pour déployer une logique d'intervention cohérente, définir des indicateurs appropriés pour le programme (en particulier pour le résultat et l'impact), préciser les concepts pour l'évaluation des résultats / i</w:t>
      </w:r>
      <w:r>
        <w:rPr>
          <w:highlight w:val="yellow"/>
        </w:rPr>
        <w:t>ncidences</w:t>
      </w:r>
      <w:r w:rsidRPr="004F4478">
        <w:rPr>
          <w:highlight w:val="yellow"/>
        </w:rPr>
        <w:t xml:space="preserve"> des réseaux ruraux, les effets sur une mise en réseau plus large et la valeur ajoutée créée. </w:t>
      </w:r>
    </w:p>
    <w:p w:rsidR="00860A11" w:rsidRPr="004F4478" w:rsidRDefault="00860A11" w:rsidP="00923616">
      <w:pPr>
        <w:pStyle w:val="HStandard"/>
        <w:rPr>
          <w:highlight w:val="yellow"/>
        </w:rPr>
      </w:pPr>
      <w:r w:rsidRPr="004F4478">
        <w:rPr>
          <w:b/>
          <w:highlight w:val="yellow"/>
        </w:rPr>
        <w:t>Les problèmes liés à l'évaluation des RRN</w:t>
      </w:r>
      <w:r w:rsidRPr="004F4478">
        <w:rPr>
          <w:highlight w:val="yellow"/>
        </w:rPr>
        <w:t xml:space="preserve"> ont été abordés dans les lignes directrices pour l'évaluation ex post des PDR 2007-2013. Ces lignes directrices et les expériences existantes peuvent être utilisées pour l'évaluation ex post des RRN, prévue fin 2016 (dans le cadre de l'évaluation du PDR ou séparément). Les résultats de l'évaluation ex post des RRN peuvent servir de références pour l'évaluation des RRN en 2017. </w:t>
      </w:r>
    </w:p>
    <w:p w:rsidR="00860A11" w:rsidRPr="004F4478" w:rsidRDefault="00860A11" w:rsidP="00923616">
      <w:pPr>
        <w:pStyle w:val="HStandard"/>
        <w:rPr>
          <w:highlight w:val="yellow"/>
        </w:rPr>
      </w:pPr>
      <w:r w:rsidRPr="004F4478">
        <w:rPr>
          <w:b/>
          <w:highlight w:val="yellow"/>
        </w:rPr>
        <w:t xml:space="preserve">Le nouveau cadre juridique et le Système commun de suivi et d’évaluation (CMES) pour la période 2014-2020 fournit plus d’éléments communs </w:t>
      </w:r>
      <w:r w:rsidRPr="004F4478">
        <w:rPr>
          <w:highlight w:val="yellow"/>
        </w:rPr>
        <w:t xml:space="preserve">pour l’élaboration de la logique d'intervention et le système de suivi et d'évaluation des RRN. </w:t>
      </w:r>
      <w:r w:rsidRPr="004F4478">
        <w:rPr>
          <w:b/>
          <w:highlight w:val="yellow"/>
        </w:rPr>
        <w:t xml:space="preserve">Ces éléments comprennent les objectifs communs, </w:t>
      </w:r>
      <w:r w:rsidRPr="004F4478">
        <w:rPr>
          <w:b/>
          <w:highlight w:val="yellow"/>
        </w:rPr>
        <w:lastRenderedPageBreak/>
        <w:t xml:space="preserve">les groupes d'actions communes, les questions communes d'évaluation </w:t>
      </w:r>
      <w:r w:rsidRPr="004F4478">
        <w:rPr>
          <w:rFonts w:ascii="ZWAdobeF" w:hAnsi="ZWAdobeF"/>
          <w:b/>
          <w:color w:val="auto"/>
          <w:sz w:val="2"/>
          <w:highlight w:val="yellow"/>
        </w:rPr>
        <w:t>4F</w:t>
      </w:r>
      <w:r w:rsidRPr="004F4478">
        <w:rPr>
          <w:rStyle w:val="FootnoteReference"/>
          <w:b/>
          <w:highlight w:val="yellow"/>
        </w:rPr>
        <w:footnoteReference w:id="5"/>
      </w:r>
      <w:r w:rsidRPr="004F4478">
        <w:rPr>
          <w:b/>
          <w:highlight w:val="yellow"/>
        </w:rPr>
        <w:t xml:space="preserve"> et trois indicateurs communs de réalisation  du RRN</w:t>
      </w:r>
      <w:r w:rsidRPr="004F4478">
        <w:rPr>
          <w:rStyle w:val="FootnoteReference"/>
          <w:highlight w:val="yellow"/>
        </w:rPr>
        <w:footnoteReference w:id="6"/>
      </w:r>
      <w:r w:rsidRPr="004F4478">
        <w:rPr>
          <w:highlight w:val="yellow"/>
        </w:rPr>
        <w:t xml:space="preserve">. </w:t>
      </w:r>
    </w:p>
    <w:p w:rsidR="00860A11" w:rsidRPr="004F4478" w:rsidRDefault="00860A11" w:rsidP="00923616">
      <w:pPr>
        <w:pStyle w:val="HStandard"/>
        <w:rPr>
          <w:highlight w:val="yellow"/>
        </w:rPr>
      </w:pPr>
      <w:r w:rsidRPr="004F4478">
        <w:rPr>
          <w:b/>
          <w:highlight w:val="yellow"/>
        </w:rPr>
        <w:t>Les États membres doivent continuer à développer les éléments communs d'évaluation prévus dans le CMES, afin d’obtenir des évaluations plus précises de leur</w:t>
      </w:r>
      <w:r>
        <w:rPr>
          <w:b/>
          <w:highlight w:val="yellow"/>
        </w:rPr>
        <w:t>s</w:t>
      </w:r>
      <w:r w:rsidRPr="004F4478">
        <w:rPr>
          <w:b/>
          <w:highlight w:val="yellow"/>
        </w:rPr>
        <w:t xml:space="preserve"> RRN.</w:t>
      </w:r>
      <w:r w:rsidRPr="004F4478">
        <w:rPr>
          <w:highlight w:val="yellow"/>
        </w:rPr>
        <w:t xml:space="preserve"> Les éléments communs constituent la base de l'évaluation des RRN, mais ils doivent être complétés par des objectifs et des groupes d'actions propres au programme. Les États membres doivent aussi développer des indicateurs de réalisations propres au RRN, mettre en place des questionnaires d'évaluation propres au programme et développer des indicateurs correspondants de résultats et d'impact pour mesurer les réalisations du RRN. Cette approche est d’autant plus importante lorsque les Unités de Soutien National (NSU) décident de procéder à des évaluations autonomes du RRN.</w:t>
      </w:r>
    </w:p>
    <w:p w:rsidR="00860A11" w:rsidRPr="004F4478" w:rsidRDefault="00860A11" w:rsidP="003E7D43">
      <w:pPr>
        <w:pStyle w:val="HHeading5"/>
        <w:rPr>
          <w:highlight w:val="yellow"/>
        </w:rPr>
      </w:pPr>
      <w:r w:rsidRPr="004F4478">
        <w:rPr>
          <w:highlight w:val="yellow"/>
        </w:rPr>
        <w:t xml:space="preserve">Comment et par qui ces lignes directrices ont-elles été </w:t>
      </w:r>
      <w:r>
        <w:rPr>
          <w:highlight w:val="yellow"/>
        </w:rPr>
        <w:t>élaborées</w:t>
      </w:r>
      <w:r w:rsidRPr="004F4478">
        <w:rPr>
          <w:highlight w:val="yellow"/>
        </w:rPr>
        <w:t>?</w:t>
      </w:r>
    </w:p>
    <w:p w:rsidR="00860A11" w:rsidRPr="004F4478" w:rsidRDefault="00860A11" w:rsidP="00923616">
      <w:pPr>
        <w:pStyle w:val="HStandard"/>
        <w:rPr>
          <w:highlight w:val="yellow"/>
        </w:rPr>
      </w:pPr>
      <w:r w:rsidRPr="007867D1">
        <w:rPr>
          <w:b/>
          <w:highlight w:val="yellow"/>
        </w:rPr>
        <w:t>Le Helpdesk du Réseau européen d'évaluation du développement rural a créé un groupe de travail</w:t>
      </w:r>
      <w:r w:rsidRPr="004F4478">
        <w:rPr>
          <w:highlight w:val="yellow"/>
        </w:rPr>
        <w:t xml:space="preserve"> </w:t>
      </w:r>
      <w:r w:rsidRPr="007867D1">
        <w:rPr>
          <w:b/>
          <w:highlight w:val="yellow"/>
        </w:rPr>
        <w:t>thématique</w:t>
      </w:r>
      <w:r w:rsidRPr="004F4478">
        <w:rPr>
          <w:highlight w:val="yellow"/>
        </w:rPr>
        <w:t xml:space="preserve"> pour fournir aux participants à l'évaluation du RRN un soutien spécifique pour préparer et réaliser l'évaluation du RRN. Les présentes lignes directrices sont le résultat du travail de ce groupe thématique. Ces lignes directrices servent à compléter les lignes directrices d'évaluation existantes </w:t>
      </w:r>
      <w:r w:rsidRPr="004F4478">
        <w:rPr>
          <w:rStyle w:val="FootnoteReference"/>
          <w:highlight w:val="yellow"/>
        </w:rPr>
        <w:footnoteReference w:id="7"/>
      </w:r>
      <w:r w:rsidRPr="004F4478">
        <w:rPr>
          <w:highlight w:val="yellow"/>
        </w:rPr>
        <w:t xml:space="preserve">pour la période de programmation 2014-2020 et elles sont complètement conformes aux lignes existantes. </w:t>
      </w:r>
    </w:p>
    <w:p w:rsidR="00860A11" w:rsidRPr="004F4478" w:rsidRDefault="00860A11" w:rsidP="003E7D43">
      <w:pPr>
        <w:pStyle w:val="HStandard"/>
        <w:rPr>
          <w:highlight w:val="yellow"/>
        </w:rPr>
      </w:pPr>
      <w:r w:rsidRPr="007867D1">
        <w:rPr>
          <w:b/>
          <w:highlight w:val="yellow"/>
        </w:rPr>
        <w:t>Les lignes directrices pour l'évaluation des réseaux ruraux nationaux 2014-2020 ont été élaborées par</w:t>
      </w:r>
      <w:r w:rsidRPr="004F4478">
        <w:rPr>
          <w:highlight w:val="yellow"/>
        </w:rPr>
        <w:t xml:space="preserve"> </w:t>
      </w:r>
      <w:r w:rsidRPr="007867D1">
        <w:rPr>
          <w:b/>
          <w:highlight w:val="yellow"/>
        </w:rPr>
        <w:t>une équipe d'experts</w:t>
      </w:r>
      <w:r w:rsidRPr="004F4478">
        <w:rPr>
          <w:highlight w:val="yellow"/>
        </w:rPr>
        <w:t xml:space="preserve"> en évaluation du Helpdesk du Réseau européen d'évaluation du développement rural (Sari Rannanpää, Marili Parissaki, Robert Lukesch, Magda Porta, Jela Tvrdonova et Hannes Wimmer). Des représentants de la DG Agriculture et développement rural ont veillé à la cohérence des lignes directrices avec le cadre de la politique européenne. Les représentants des États membres ont passé en revue les grandes lignes et les projets de nouvelles lignes directrices au cours des 7</w:t>
      </w:r>
      <w:r w:rsidRPr="004F4478">
        <w:rPr>
          <w:highlight w:val="yellow"/>
          <w:vertAlign w:val="superscript"/>
        </w:rPr>
        <w:t>e</w:t>
      </w:r>
      <w:r w:rsidRPr="004F4478">
        <w:rPr>
          <w:highlight w:val="yellow"/>
        </w:rPr>
        <w:t xml:space="preserve"> et 8</w:t>
      </w:r>
      <w:r w:rsidRPr="004F4478">
        <w:rPr>
          <w:highlight w:val="yellow"/>
          <w:vertAlign w:val="superscript"/>
        </w:rPr>
        <w:t>e</w:t>
      </w:r>
      <w:r w:rsidRPr="004F4478">
        <w:rPr>
          <w:highlight w:val="yellow"/>
        </w:rPr>
        <w:t xml:space="preserve"> réunions du Groupe d'experts sur le Suivi et l'évaluation de la PAC et au cours de la réunion de feedback</w:t>
      </w:r>
      <w:r w:rsidRPr="004F4478">
        <w:rPr>
          <w:rStyle w:val="FootnoteReference"/>
          <w:highlight w:val="yellow"/>
        </w:rPr>
        <w:footnoteReference w:id="8"/>
      </w:r>
      <w:r w:rsidRPr="004F4478">
        <w:rPr>
          <w:highlight w:val="yellow"/>
        </w:rPr>
        <w:t xml:space="preserve">. En outre, des observations écrites ont été reçues et intégrées. Les membres des réseaux ruraux nationaux et du point de contact du REDR (réseau européen de développement rural) ont été confrontés à des questions importantes lors de plusieurs réunions avec les réseaux ruraux nationaux et ont beaucoup contribué à affiner les contenus. </w:t>
      </w:r>
    </w:p>
    <w:p w:rsidR="00860A11" w:rsidRPr="004F4478" w:rsidRDefault="00860A11" w:rsidP="00923616">
      <w:pPr>
        <w:pStyle w:val="HStandard"/>
        <w:rPr>
          <w:highlight w:val="yellow"/>
        </w:rPr>
      </w:pPr>
      <w:r w:rsidRPr="004F4478">
        <w:rPr>
          <w:highlight w:val="yellow"/>
        </w:rPr>
        <w:t xml:space="preserve">Les présentes lignes directrices sont destinées à guider les </w:t>
      </w:r>
      <w:r>
        <w:rPr>
          <w:highlight w:val="yellow"/>
        </w:rPr>
        <w:t>parties prenantes</w:t>
      </w:r>
      <w:r w:rsidRPr="004F4478">
        <w:rPr>
          <w:highlight w:val="yellow"/>
        </w:rPr>
        <w:t xml:space="preserve"> des États membres dans l’élaboration de la logique d'intervention des RRN, à évaluer l'efficacité et la productivité des interventions des RRN et leur valeur ajoutée pendant la période de programmation.</w:t>
      </w:r>
    </w:p>
    <w:p w:rsidR="00860A11" w:rsidRPr="004F4478" w:rsidRDefault="00860A11" w:rsidP="006D3475">
      <w:pPr>
        <w:pStyle w:val="HHeading5"/>
        <w:rPr>
          <w:highlight w:val="yellow"/>
        </w:rPr>
      </w:pPr>
      <w:r w:rsidRPr="004F4478">
        <w:rPr>
          <w:highlight w:val="yellow"/>
        </w:rPr>
        <w:t>Quel est le groupe cible pour les lignes directrices?</w:t>
      </w:r>
    </w:p>
    <w:p w:rsidR="00860A11" w:rsidRPr="004F4478" w:rsidRDefault="00860A11" w:rsidP="00923616">
      <w:pPr>
        <w:pStyle w:val="HStandard"/>
        <w:rPr>
          <w:highlight w:val="yellow"/>
        </w:rPr>
      </w:pPr>
      <w:bookmarkStart w:id="5" w:name="_Toc358900248"/>
      <w:bookmarkEnd w:id="4"/>
      <w:r w:rsidRPr="004F4478">
        <w:rPr>
          <w:highlight w:val="yellow"/>
        </w:rPr>
        <w:t>Les lignes directrices pour l'évaluation des RRN ont été rédigées pour différents groupes d'acteurs du développement rural:</w:t>
      </w:r>
    </w:p>
    <w:p w:rsidR="00860A11" w:rsidRPr="004F4478" w:rsidRDefault="00860A11" w:rsidP="008A261C">
      <w:pPr>
        <w:pStyle w:val="Hlistbullet"/>
        <w:rPr>
          <w:highlight w:val="yellow"/>
        </w:rPr>
      </w:pPr>
      <w:r w:rsidRPr="007867D1">
        <w:rPr>
          <w:b/>
          <w:highlight w:val="yellow"/>
        </w:rPr>
        <w:t>Les représentants des autorités de gestion</w:t>
      </w:r>
      <w:r w:rsidRPr="004F4478">
        <w:rPr>
          <w:highlight w:val="yellow"/>
        </w:rPr>
        <w:t xml:space="preserve"> y trouveront les informations sur l'objet et la portée de l'évaluation RRN, y compris une liste de références juridiques, à remplir par les États membres et /ou les régions. Ils y trouveront aussi des conseils pratiques et des outils qui les aideront tout au long du processus de gestion, de coordination et de pilotage de l'évaluation des RRN, ainsi que pour la diffusion des résultats de l'évaluation.</w:t>
      </w:r>
    </w:p>
    <w:p w:rsidR="00860A11" w:rsidRPr="004F4478" w:rsidRDefault="00860A11" w:rsidP="008A261C">
      <w:pPr>
        <w:pStyle w:val="Hlistbullet"/>
        <w:rPr>
          <w:highlight w:val="yellow"/>
        </w:rPr>
      </w:pPr>
      <w:r w:rsidRPr="007867D1">
        <w:rPr>
          <w:b/>
          <w:highlight w:val="yellow"/>
        </w:rPr>
        <w:t>Les évaluateurs</w:t>
      </w:r>
      <w:r w:rsidRPr="004F4478">
        <w:rPr>
          <w:highlight w:val="yellow"/>
        </w:rPr>
        <w:t xml:space="preserve"> trouveront de plus amples explications sur les textes juridiques et la justification des </w:t>
      </w:r>
      <w:r>
        <w:rPr>
          <w:highlight w:val="yellow"/>
        </w:rPr>
        <w:t>exigences</w:t>
      </w:r>
      <w:r w:rsidRPr="004F4478">
        <w:rPr>
          <w:highlight w:val="yellow"/>
        </w:rPr>
        <w:t xml:space="preserve">, permettant une compréhension commune des tâches. Les lignes </w:t>
      </w:r>
      <w:r w:rsidRPr="004F4478">
        <w:rPr>
          <w:highlight w:val="yellow"/>
        </w:rPr>
        <w:lastRenderedPageBreak/>
        <w:t xml:space="preserve">directrices précisent également le rôle et </w:t>
      </w:r>
      <w:r>
        <w:rPr>
          <w:highlight w:val="yellow"/>
        </w:rPr>
        <w:t>l'élaboration</w:t>
      </w:r>
      <w:r w:rsidRPr="004F4478">
        <w:rPr>
          <w:highlight w:val="yellow"/>
        </w:rPr>
        <w:t xml:space="preserve"> des questions et des indicateurs d'évaluation, et elles proposent des approches et des méthodes d'évaluation pour la collecte des informations permettant de procéder à une évaluation d’impact des réseaux. </w:t>
      </w:r>
    </w:p>
    <w:p w:rsidR="00860A11" w:rsidRPr="004F4478" w:rsidRDefault="00860A11" w:rsidP="008A261C">
      <w:pPr>
        <w:pStyle w:val="Hlistbullet"/>
        <w:rPr>
          <w:highlight w:val="yellow"/>
        </w:rPr>
      </w:pPr>
      <w:r w:rsidRPr="007867D1">
        <w:rPr>
          <w:b/>
          <w:highlight w:val="yellow"/>
        </w:rPr>
        <w:t>Les acteurs participant à la gestion du RRN</w:t>
      </w:r>
      <w:r w:rsidRPr="004F4478">
        <w:rPr>
          <w:highlight w:val="yellow"/>
        </w:rPr>
        <w:t xml:space="preserve">, comme la NSU, l'organisme payeur, les organes d'exécution, le Comité de </w:t>
      </w:r>
      <w:r>
        <w:rPr>
          <w:highlight w:val="yellow"/>
        </w:rPr>
        <w:t>suivi</w:t>
      </w:r>
      <w:r w:rsidRPr="004F4478">
        <w:rPr>
          <w:highlight w:val="yellow"/>
        </w:rPr>
        <w:t>, les organes de coordination et les membres du réseau (GAL - groupes d'actions locales, autorités de gestion régionales dans le cas des PRRN et bénéficiaires) peuvent recourir aux lignes directrices comme source d'information, si cela contribue à l'évaluation grâce à la collecte des données et/ou informations.</w:t>
      </w:r>
    </w:p>
    <w:p w:rsidR="00860A11" w:rsidRPr="004F4478" w:rsidRDefault="00860A11" w:rsidP="008A261C">
      <w:pPr>
        <w:pStyle w:val="Hlistbullet"/>
        <w:rPr>
          <w:highlight w:val="yellow"/>
        </w:rPr>
      </w:pPr>
      <w:r w:rsidRPr="007867D1">
        <w:rPr>
          <w:b/>
          <w:highlight w:val="yellow"/>
        </w:rPr>
        <w:t>Les fonctionnaires de la DG Agriculture et développement rural</w:t>
      </w:r>
      <w:r w:rsidRPr="004F4478">
        <w:rPr>
          <w:highlight w:val="yellow"/>
        </w:rPr>
        <w:t xml:space="preserve"> concernés par le</w:t>
      </w:r>
      <w:r>
        <w:rPr>
          <w:highlight w:val="yellow"/>
        </w:rPr>
        <w:t>s</w:t>
      </w:r>
      <w:r w:rsidRPr="004F4478">
        <w:rPr>
          <w:highlight w:val="yellow"/>
        </w:rPr>
        <w:t xml:space="preserve"> PDR et le</w:t>
      </w:r>
      <w:r>
        <w:rPr>
          <w:highlight w:val="yellow"/>
        </w:rPr>
        <w:t>s</w:t>
      </w:r>
      <w:r w:rsidRPr="004F4478">
        <w:rPr>
          <w:highlight w:val="yellow"/>
        </w:rPr>
        <w:t xml:space="preserve"> PRRN peuvent trouver utile d'avoir un point de référence présentant une vision commune des objectifs et des tâches de l’évaluation du réseau.</w:t>
      </w:r>
    </w:p>
    <w:p w:rsidR="00860A11" w:rsidRPr="004F4478" w:rsidRDefault="00860A11" w:rsidP="008A261C">
      <w:pPr>
        <w:pStyle w:val="Hlistbullet2"/>
        <w:rPr>
          <w:highlight w:val="yellow"/>
        </w:rPr>
      </w:pPr>
      <w:r w:rsidRPr="007867D1">
        <w:rPr>
          <w:b/>
          <w:highlight w:val="yellow"/>
        </w:rPr>
        <w:t>D'autres acteurs</w:t>
      </w:r>
      <w:r w:rsidRPr="004F4478">
        <w:rPr>
          <w:highlight w:val="yellow"/>
        </w:rPr>
        <w:t xml:space="preserve"> pourraient être intéressés par l'évaluation des réseaux ruraux européens. </w:t>
      </w:r>
    </w:p>
    <w:p w:rsidR="00860A11" w:rsidRPr="004F4478" w:rsidRDefault="00860A11" w:rsidP="006D3475">
      <w:pPr>
        <w:pStyle w:val="HHeading5"/>
        <w:rPr>
          <w:highlight w:val="yellow"/>
        </w:rPr>
      </w:pPr>
      <w:r w:rsidRPr="004F4478">
        <w:rPr>
          <w:highlight w:val="yellow"/>
        </w:rPr>
        <w:t xml:space="preserve">Comment les lignes directrices pour les évaluations des RRN sont-elles </w:t>
      </w:r>
      <w:r>
        <w:rPr>
          <w:highlight w:val="yellow"/>
        </w:rPr>
        <w:t>structurées</w:t>
      </w:r>
      <w:r w:rsidRPr="004F4478">
        <w:rPr>
          <w:highlight w:val="yellow"/>
        </w:rPr>
        <w:t>?</w:t>
      </w:r>
    </w:p>
    <w:bookmarkEnd w:id="5"/>
    <w:p w:rsidR="00860A11" w:rsidRPr="004F4478" w:rsidRDefault="00860A11" w:rsidP="00923616">
      <w:pPr>
        <w:pStyle w:val="HStandard"/>
        <w:rPr>
          <w:highlight w:val="yellow"/>
        </w:rPr>
      </w:pPr>
      <w:r w:rsidRPr="004F4478">
        <w:rPr>
          <w:highlight w:val="yellow"/>
        </w:rPr>
        <w:t xml:space="preserve">Les lignes directrices sur l'évaluation du RRN sont </w:t>
      </w:r>
      <w:r>
        <w:rPr>
          <w:highlight w:val="yellow"/>
        </w:rPr>
        <w:t>structurées</w:t>
      </w:r>
      <w:r w:rsidRPr="004F4478">
        <w:rPr>
          <w:highlight w:val="yellow"/>
        </w:rPr>
        <w:t xml:space="preserve"> en trois parties et reliées entre elles par des liens transversaux fournis dans le texte. </w:t>
      </w:r>
    </w:p>
    <w:p w:rsidR="00860A11" w:rsidRPr="004F4478" w:rsidRDefault="00860A11" w:rsidP="003722C4">
      <w:pPr>
        <w:pStyle w:val="HStandard"/>
        <w:rPr>
          <w:highlight w:val="yellow"/>
        </w:rPr>
      </w:pPr>
      <w:r w:rsidRPr="004F4478">
        <w:rPr>
          <w:highlight w:val="yellow"/>
        </w:rPr>
        <w:t xml:space="preserve">La PARTIE I concerne principalement les autorités de </w:t>
      </w:r>
      <w:r>
        <w:rPr>
          <w:highlight w:val="yellow"/>
        </w:rPr>
        <w:t>gestion</w:t>
      </w:r>
      <w:r w:rsidRPr="004F4478">
        <w:rPr>
          <w:highlight w:val="yellow"/>
        </w:rPr>
        <w:t xml:space="preserve"> et la NSU en tant que responsable du déploiement de l'évaluation du RRN, mais aussi d'autres acteurs participant à la planification et à la préparation de l'évaluation du RRN. Elle décrit les rôles et responsabilités de tous les intervenants participant ou pouvant participer à l'évaluation du RRN. Elle décrit également les étapes clés de l'évaluation du RRN - comme la planification, la préparation, la réalisation, la diffusion, la communication et le suivi des résultats de l'évaluation du RRN.</w:t>
      </w:r>
    </w:p>
    <w:p w:rsidR="00860A11" w:rsidRPr="004F4478" w:rsidRDefault="00860A11" w:rsidP="00923616">
      <w:pPr>
        <w:pStyle w:val="HStandard"/>
        <w:rPr>
          <w:highlight w:val="yellow"/>
        </w:rPr>
      </w:pPr>
      <w:r w:rsidRPr="004F4478">
        <w:rPr>
          <w:highlight w:val="yellow"/>
        </w:rPr>
        <w:t xml:space="preserve">La PARTIE II donne des orientations pour deux options d'évaluation du RRN : (1) </w:t>
      </w:r>
      <w:r w:rsidRPr="004F4478">
        <w:rPr>
          <w:highlight w:val="yellow"/>
        </w:rPr>
        <w:tab/>
        <w:t xml:space="preserve">évaluation du RRN dans le cadre de l'assistance technique interne du PDR (2) </w:t>
      </w:r>
      <w:r w:rsidRPr="004F4478">
        <w:rPr>
          <w:highlight w:val="yellow"/>
        </w:rPr>
        <w:tab/>
        <w:t xml:space="preserve">évaluation "autonome", qui comprend l'évaluation d'un programme de RRN (ou PRRN) ou l'évaluation autonome du RRN même si elle fait partie d'un PDR (comme sujet d'évaluation autonome). Elle donne des informations sur l’organisation, l'observation et l'analyse de l’évaluation ainsi que les critères d'appréciation des RRN. Elle décrit également les mesures particulières à prendre dans les différentes étapes du processus d'évaluation. </w:t>
      </w:r>
    </w:p>
    <w:p w:rsidR="00860A11" w:rsidRPr="004F4478" w:rsidRDefault="00860A11" w:rsidP="00923616">
      <w:pPr>
        <w:pStyle w:val="HStandard"/>
        <w:rPr>
          <w:highlight w:val="yellow"/>
        </w:rPr>
      </w:pPr>
      <w:r w:rsidRPr="004F4478">
        <w:rPr>
          <w:highlight w:val="yellow"/>
        </w:rPr>
        <w:t xml:space="preserve">La PARTIE III (Boîte à outils) comprend un modèle indicatif du cahier des charges pour l'évaluation du RRN pendant la période de programmation, ainsi que des exemples de chaînes réalisations, résultats et </w:t>
      </w:r>
      <w:r>
        <w:rPr>
          <w:highlight w:val="yellow"/>
        </w:rPr>
        <w:t>incidences</w:t>
      </w:r>
      <w:r w:rsidRPr="004F4478">
        <w:rPr>
          <w:highlight w:val="yellow"/>
        </w:rPr>
        <w:t xml:space="preserve">. </w:t>
      </w:r>
    </w:p>
    <w:p w:rsidR="00860A11" w:rsidRPr="004F4478" w:rsidRDefault="00860A11" w:rsidP="00680DA9">
      <w:pPr>
        <w:pStyle w:val="HHeading2"/>
        <w:rPr>
          <w:highlight w:val="yellow"/>
        </w:rPr>
      </w:pPr>
      <w:bookmarkStart w:id="6" w:name="_Toc453079747"/>
      <w:bookmarkStart w:id="7" w:name="_Toc463945854"/>
      <w:r w:rsidRPr="004F4478">
        <w:rPr>
          <w:highlight w:val="yellow"/>
        </w:rPr>
        <w:t>Réseaux et réseautage dans la politique de développement rural de l'UE</w:t>
      </w:r>
      <w:bookmarkEnd w:id="6"/>
      <w:bookmarkEnd w:id="7"/>
      <w:r w:rsidRPr="004F4478">
        <w:rPr>
          <w:highlight w:val="yellow"/>
        </w:rPr>
        <w:t xml:space="preserve"> </w:t>
      </w:r>
    </w:p>
    <w:p w:rsidR="00860A11" w:rsidRPr="004F4478" w:rsidRDefault="00860A11" w:rsidP="00923616">
      <w:pPr>
        <w:pStyle w:val="HStandard"/>
        <w:rPr>
          <w:highlight w:val="yellow"/>
        </w:rPr>
      </w:pPr>
      <w:r w:rsidRPr="004F4478">
        <w:rPr>
          <w:b/>
          <w:highlight w:val="yellow"/>
        </w:rPr>
        <w:t>L'Union européenne a reconnu l'importance du réseautage dans les zones rurales.</w:t>
      </w:r>
      <w:r w:rsidRPr="004F4478">
        <w:rPr>
          <w:highlight w:val="yellow"/>
        </w:rPr>
        <w:t xml:space="preserve"> En 2007, les réseaux et le réseautage entre les acteurs du développement rural ont été présentés comme des instruments d’aide à la mise en œuvre de la politique de développement rural de l'UE. Les expériences positives avec les réseaux ruraux nationaux et avec le Réseau européen de développement rural pendant la période de programmation 2007-2013, ont contribué à développer le soutien à la mise en réseau pour la période 2014-2020, en faisant participer un plus grand nombre d’acteurs et en facilitant un développement des activités au niveau des États membres et de l'UE. En outre, la mise en réseau est devenue un instrument essentiel pour favoriser l'innovation dans toutes les politiques européennes.</w:t>
      </w:r>
    </w:p>
    <w:p w:rsidR="00860A11" w:rsidRPr="004F4478" w:rsidRDefault="00860A11" w:rsidP="00923616">
      <w:pPr>
        <w:pStyle w:val="HStandard"/>
        <w:rPr>
          <w:highlight w:val="yellow"/>
        </w:rPr>
      </w:pPr>
      <w:r w:rsidRPr="004F4478">
        <w:rPr>
          <w:b/>
          <w:highlight w:val="yellow"/>
        </w:rPr>
        <w:t>Les réseaux et le réseautage ont toujours été des moyens puissants pour développer l'apprentissage et  améliorer les conditions de vie dans les zones rurales.</w:t>
      </w:r>
      <w:r w:rsidRPr="004F4478">
        <w:rPr>
          <w:highlight w:val="yellow"/>
        </w:rPr>
        <w:t xml:space="preserve"> Les réseaux ont favorisé la création et l’expansion d’un nouveau capital social, comme le sens du partage, le changement de comportement, le développement de capacités partagées, de nouvelles connaissances et de compétences, la production et l'échange de biens et de services, le développement de l'innovation et la création de relations de confiance entre les membres du réseau. </w:t>
      </w:r>
    </w:p>
    <w:p w:rsidR="00860A11" w:rsidRPr="004F4478" w:rsidRDefault="00860A11" w:rsidP="006D3475">
      <w:pPr>
        <w:pStyle w:val="HHeading5"/>
        <w:rPr>
          <w:highlight w:val="yellow"/>
        </w:rPr>
      </w:pPr>
      <w:r w:rsidRPr="004F4478">
        <w:rPr>
          <w:highlight w:val="yellow"/>
        </w:rPr>
        <w:lastRenderedPageBreak/>
        <w:t>Définition des réseaux</w:t>
      </w:r>
    </w:p>
    <w:p w:rsidR="00860A11" w:rsidRPr="004F4478" w:rsidRDefault="00860A11" w:rsidP="00923616">
      <w:pPr>
        <w:pStyle w:val="HStandard"/>
        <w:rPr>
          <w:highlight w:val="yellow"/>
        </w:rPr>
      </w:pPr>
      <w:r w:rsidRPr="004F4478">
        <w:rPr>
          <w:highlight w:val="yellow"/>
        </w:rPr>
        <w:t xml:space="preserve">Il est essentiel de définir ce qu'est un réseau quand on y a recours pour soutenir la mise en œuvre de la politique de développement rural et pour déterminer si un réseau a atteint ses buts et objectifs. Dans la littérature scientifique, un réseau est défini comme un «tissu d'interactions », composé d'un ensemble d'acteurs comme les organisations, les groupes ou les individus (nœuds) et les relations et les liens qui existent entre ces acteurs (liens) </w:t>
      </w:r>
      <w:r w:rsidRPr="004F4478">
        <w:rPr>
          <w:rStyle w:val="FootnoteReference"/>
          <w:highlight w:val="yellow"/>
        </w:rPr>
        <w:footnoteReference w:id="9"/>
      </w:r>
      <w:r w:rsidRPr="004F4478">
        <w:rPr>
          <w:highlight w:val="yellow"/>
        </w:rPr>
        <w:t>.</w:t>
      </w:r>
    </w:p>
    <w:p w:rsidR="00860A11" w:rsidRPr="004F4478" w:rsidRDefault="00860A11" w:rsidP="00923616">
      <w:pPr>
        <w:pStyle w:val="HStandard"/>
        <w:rPr>
          <w:highlight w:val="yellow"/>
        </w:rPr>
      </w:pPr>
      <w:r w:rsidRPr="004F4478">
        <w:rPr>
          <w:highlight w:val="yellow"/>
        </w:rPr>
        <w:t xml:space="preserve">Un réseau peut être officiel ou informel </w:t>
      </w:r>
      <w:r w:rsidRPr="004F4478">
        <w:rPr>
          <w:rStyle w:val="FootnoteReference"/>
          <w:highlight w:val="yellow"/>
        </w:rPr>
        <w:footnoteReference w:id="10"/>
      </w:r>
      <w:r w:rsidRPr="004F4478">
        <w:rPr>
          <w:highlight w:val="yellow"/>
        </w:rPr>
        <w:t xml:space="preserve">: </w:t>
      </w:r>
    </w:p>
    <w:p w:rsidR="00860A11" w:rsidRPr="004F4478" w:rsidRDefault="00860A11" w:rsidP="005368DC">
      <w:pPr>
        <w:pStyle w:val="Hlistbullet2"/>
        <w:rPr>
          <w:color w:val="262626"/>
          <w:highlight w:val="yellow"/>
        </w:rPr>
      </w:pPr>
      <w:r w:rsidRPr="00905638">
        <w:rPr>
          <w:b/>
          <w:highlight w:val="yellow"/>
        </w:rPr>
        <w:t>Les réseaux informels</w:t>
      </w:r>
      <w:r w:rsidRPr="004F4478">
        <w:rPr>
          <w:highlight w:val="yellow"/>
        </w:rPr>
        <w:t xml:space="preserve"> sont en général ascendants, créés par des </w:t>
      </w:r>
      <w:r>
        <w:rPr>
          <w:highlight w:val="yellow"/>
        </w:rPr>
        <w:t>particuliers</w:t>
      </w:r>
      <w:r w:rsidRPr="004F4478">
        <w:rPr>
          <w:highlight w:val="yellow"/>
        </w:rPr>
        <w:t>, et fondés sur l'intérêt commun. En général, ils se développent  naturellement, sans ressources ou règles de fonctionnement prédéfinies (à l'exception des normes sociales qui pourraient s'appliquer), et se justifient par la valeur ajoutée attendue par les membres du réseau qui poursuivent un objectif commun (par exemple, un groupe d'agriculteurs ayant pour objectif un meilleur accès au marché);</w:t>
      </w:r>
      <w:r w:rsidRPr="004F4478">
        <w:rPr>
          <w:color w:val="262626"/>
          <w:highlight w:val="yellow"/>
        </w:rPr>
        <w:t xml:space="preserve"> </w:t>
      </w:r>
    </w:p>
    <w:p w:rsidR="00860A11" w:rsidRPr="004F4478" w:rsidRDefault="00860A11" w:rsidP="00923616">
      <w:pPr>
        <w:pStyle w:val="Hlistbullet2"/>
        <w:rPr>
          <w:highlight w:val="yellow"/>
        </w:rPr>
      </w:pPr>
      <w:r w:rsidRPr="00905638">
        <w:rPr>
          <w:b/>
          <w:highlight w:val="yellow"/>
        </w:rPr>
        <w:t>Les réseaux officiels</w:t>
      </w:r>
      <w:r w:rsidRPr="004F4478">
        <w:rPr>
          <w:highlight w:val="yellow"/>
        </w:rPr>
        <w:t xml:space="preserve"> ont généralement un but défini de manière explicite, des ressources et des règles pour la partie opérationnelle. Les réseaux formels peuvent être soit des structures descendantes définies et/ou imposées par une instance (par exemple, dans le cadre d’un réseau politique</w:t>
      </w:r>
      <w:r w:rsidRPr="004F4478">
        <w:rPr>
          <w:rStyle w:val="FootnoteReference"/>
          <w:highlight w:val="yellow"/>
        </w:rPr>
        <w:footnoteReference w:id="11"/>
      </w:r>
      <w:r w:rsidRPr="004F4478">
        <w:rPr>
          <w:highlight w:val="yellow"/>
        </w:rPr>
        <w:t xml:space="preserve">), ou ils peuvent être développés avec une approche ascendante et faire l’objet d’un enregistrement officiel et d’une reconnaissance formelle par une autorité compétente (par exemple, les ministères, les agences gouvernementales, etc.). </w:t>
      </w:r>
    </w:p>
    <w:p w:rsidR="00860A11" w:rsidRPr="004F4478" w:rsidRDefault="00860A11" w:rsidP="00624AFC">
      <w:pPr>
        <w:pStyle w:val="HHeading5"/>
        <w:rPr>
          <w:highlight w:val="yellow"/>
        </w:rPr>
      </w:pPr>
      <w:r w:rsidRPr="004F4478">
        <w:rPr>
          <w:highlight w:val="yellow"/>
        </w:rPr>
        <w:t>Les réseaux ruraux dans l'UE</w:t>
      </w:r>
    </w:p>
    <w:p w:rsidR="00860A11" w:rsidRPr="004F4478" w:rsidRDefault="00860A11" w:rsidP="00923616">
      <w:pPr>
        <w:pStyle w:val="HStandard"/>
        <w:rPr>
          <w:highlight w:val="yellow"/>
        </w:rPr>
      </w:pPr>
      <w:r w:rsidRPr="004F4478">
        <w:rPr>
          <w:highlight w:val="yellow"/>
        </w:rPr>
        <w:t>Les réseaux ruraux de l’UE sont une combinaison des deux - réseaux formels et informels</w:t>
      </w:r>
      <w:r>
        <w:rPr>
          <w:highlight w:val="yellow"/>
        </w:rPr>
        <w:t>.</w:t>
      </w:r>
      <w:r w:rsidRPr="004F4478">
        <w:rPr>
          <w:highlight w:val="yellow"/>
        </w:rPr>
        <w:t xml:space="preserve"> Ils sont officiellement établis par les autorités et déployés dans des environnements ruraux. Conformément aux objectifs de la politique européenne, les réseaux ruraux européens contribuent au développement des zones rurales.</w:t>
      </w:r>
    </w:p>
    <w:p w:rsidR="00860A11" w:rsidRPr="004F4478" w:rsidRDefault="00860A11" w:rsidP="005368DC">
      <w:pPr>
        <w:pStyle w:val="Hlistbullet2"/>
        <w:rPr>
          <w:highlight w:val="yellow"/>
        </w:rPr>
      </w:pPr>
      <w:r w:rsidRPr="004F4478">
        <w:rPr>
          <w:highlight w:val="yellow"/>
        </w:rPr>
        <w:t xml:space="preserve">Le </w:t>
      </w:r>
      <w:r w:rsidRPr="00905638">
        <w:rPr>
          <w:b/>
          <w:highlight w:val="yellow"/>
        </w:rPr>
        <w:t>Réseau européen pour le développement rural</w:t>
      </w:r>
      <w:r w:rsidRPr="004F4478">
        <w:rPr>
          <w:highlight w:val="yellow"/>
        </w:rPr>
        <w:t xml:space="preserve"> (REDR) a été mis en place par le cadre juridique</w:t>
      </w:r>
      <w:r w:rsidRPr="004F4478">
        <w:rPr>
          <w:rStyle w:val="FootnoteReference"/>
          <w:highlight w:val="yellow"/>
        </w:rPr>
        <w:footnoteReference w:id="12"/>
      </w:r>
      <w:r w:rsidRPr="004F4478">
        <w:rPr>
          <w:highlight w:val="yellow"/>
        </w:rPr>
        <w:t xml:space="preserve">pour la «mise en réseau des réseaux nationaux, des organisations et administrations participant au développement rural au niveau de l'Union». </w:t>
      </w:r>
    </w:p>
    <w:p w:rsidR="00860A11" w:rsidRPr="004F4478" w:rsidRDefault="00860A11" w:rsidP="005368DC">
      <w:pPr>
        <w:pStyle w:val="Hlistbullet2"/>
        <w:rPr>
          <w:highlight w:val="yellow"/>
        </w:rPr>
      </w:pPr>
      <w:r w:rsidRPr="004F4478">
        <w:rPr>
          <w:highlight w:val="yellow"/>
        </w:rPr>
        <w:t xml:space="preserve">Les </w:t>
      </w:r>
      <w:r w:rsidRPr="00905638">
        <w:rPr>
          <w:b/>
          <w:highlight w:val="yellow"/>
        </w:rPr>
        <w:t>réseaux ruraux nationaux</w:t>
      </w:r>
      <w:r w:rsidRPr="004F4478">
        <w:rPr>
          <w:highlight w:val="yellow"/>
        </w:rPr>
        <w:t xml:space="preserve"> sont en outre définis comme des réseaux qui «regroupent les organisations et administrations participant au développement rural» </w:t>
      </w:r>
      <w:r w:rsidRPr="004F4478">
        <w:rPr>
          <w:rStyle w:val="FootnoteReference"/>
          <w:highlight w:val="yellow"/>
        </w:rPr>
        <w:footnoteReference w:id="13"/>
      </w:r>
      <w:r w:rsidRPr="004F4478">
        <w:rPr>
          <w:highlight w:val="yellow"/>
        </w:rPr>
        <w:t xml:space="preserve"> au sein de</w:t>
      </w:r>
      <w:r>
        <w:rPr>
          <w:highlight w:val="yellow"/>
        </w:rPr>
        <w:t>s</w:t>
      </w:r>
      <w:r w:rsidRPr="004F4478">
        <w:rPr>
          <w:highlight w:val="yellow"/>
        </w:rPr>
        <w:t xml:space="preserve"> États membres. </w:t>
      </w:r>
    </w:p>
    <w:p w:rsidR="00860A11" w:rsidRPr="004F4478" w:rsidRDefault="00860A11" w:rsidP="005368DC">
      <w:pPr>
        <w:pStyle w:val="Hlistbullet2"/>
        <w:rPr>
          <w:highlight w:val="yellow"/>
        </w:rPr>
      </w:pPr>
      <w:r w:rsidRPr="004F4478">
        <w:rPr>
          <w:highlight w:val="yellow"/>
        </w:rPr>
        <w:t xml:space="preserve">Le </w:t>
      </w:r>
      <w:r w:rsidRPr="00905638">
        <w:rPr>
          <w:b/>
          <w:highlight w:val="yellow"/>
        </w:rPr>
        <w:t>partenariat européen d'innovation (</w:t>
      </w:r>
      <w:r>
        <w:rPr>
          <w:b/>
          <w:highlight w:val="yellow"/>
        </w:rPr>
        <w:t>P</w:t>
      </w:r>
      <w:r w:rsidRPr="00905638">
        <w:rPr>
          <w:b/>
          <w:highlight w:val="yellow"/>
        </w:rPr>
        <w:t>EI) pour la productivité et le développement durable de</w:t>
      </w:r>
      <w:r w:rsidRPr="004F4478">
        <w:rPr>
          <w:highlight w:val="yellow"/>
        </w:rPr>
        <w:t xml:space="preserve"> </w:t>
      </w:r>
      <w:r w:rsidRPr="00905638">
        <w:rPr>
          <w:b/>
          <w:highlight w:val="yellow"/>
        </w:rPr>
        <w:t>l’agriculture</w:t>
      </w:r>
      <w:r w:rsidRPr="004F4478">
        <w:rPr>
          <w:highlight w:val="yellow"/>
        </w:rPr>
        <w:t xml:space="preserve"> - le «Réseau EIP-AGRI» est un nouveau réseau </w:t>
      </w:r>
      <w:r w:rsidRPr="004F4478">
        <w:rPr>
          <w:rStyle w:val="FootnoteReference"/>
          <w:highlight w:val="yellow"/>
        </w:rPr>
        <w:footnoteReference w:id="14"/>
      </w:r>
      <w:r w:rsidRPr="004F4478">
        <w:rPr>
          <w:highlight w:val="yellow"/>
        </w:rPr>
        <w:t xml:space="preserve"> introduit dans la période de programmation 2014-2020 visant à promouvoir la mise en réseau des «groupes opérationnels, des services consultatifs et des chercheurs» pour favoriser l'innovation dans la mise en œuvre pratique de la politique de développement rural. </w:t>
      </w:r>
    </w:p>
    <w:p w:rsidR="00860A11" w:rsidRPr="004F4478" w:rsidRDefault="00860A11" w:rsidP="00923616">
      <w:pPr>
        <w:pStyle w:val="HStandard"/>
        <w:rPr>
          <w:highlight w:val="yellow"/>
        </w:rPr>
      </w:pPr>
      <w:r w:rsidRPr="004F4478">
        <w:rPr>
          <w:highlight w:val="yellow"/>
        </w:rPr>
        <w:t xml:space="preserve">Les réseaux ruraux dans l'UE sont aussi reliés à de nombreux réseaux informels, tels que les organisations bénévoles d'agriculteurs, les GAL (groupes d'actions locales) et associations respectives, les ONG rurales, les établissements d'enseignement et instituts de recherche, les pôles de compétitivité, etc. Ces réseaux informels créent un lien entre les bénéficiaires et la mise en œuvre pratique de la politique de développement rural. Ils offrent des </w:t>
      </w:r>
      <w:r>
        <w:rPr>
          <w:highlight w:val="yellow"/>
        </w:rPr>
        <w:t>possibilités</w:t>
      </w:r>
      <w:r w:rsidRPr="004F4478">
        <w:rPr>
          <w:highlight w:val="yellow"/>
        </w:rPr>
        <w:t xml:space="preserve"> d'échange d'informations entre l'UE, le PDR et le niveau local. Les réseaux informels facilitent le développement des potentiels existants pour atteindre les objectifs du RRN et du DR (développement rural). </w:t>
      </w:r>
    </w:p>
    <w:p w:rsidR="00860A11" w:rsidRPr="004F4478" w:rsidRDefault="00860A11" w:rsidP="00923616">
      <w:pPr>
        <w:pStyle w:val="HStandard"/>
        <w:rPr>
          <w:highlight w:val="yellow"/>
        </w:rPr>
      </w:pPr>
      <w:r w:rsidRPr="004F4478">
        <w:rPr>
          <w:highlight w:val="yellow"/>
        </w:rPr>
        <w:lastRenderedPageBreak/>
        <w:t>Les réseaux ruraux formels peuvent aussi avoir des caractéristiques informelles, par exemple concernant la gouvernance ou les interactions entre les parties prenantes.</w:t>
      </w:r>
    </w:p>
    <w:p w:rsidR="00860A11" w:rsidRPr="004F4478" w:rsidRDefault="00860A11" w:rsidP="006D3475">
      <w:pPr>
        <w:pStyle w:val="HHeading5"/>
        <w:rPr>
          <w:highlight w:val="yellow"/>
        </w:rPr>
      </w:pPr>
      <w:r w:rsidRPr="004F4478">
        <w:rPr>
          <w:highlight w:val="yellow"/>
        </w:rPr>
        <w:t>Structure des réseaux</w:t>
      </w:r>
    </w:p>
    <w:p w:rsidR="00860A11" w:rsidRPr="004F4478" w:rsidRDefault="00860A11" w:rsidP="00923616">
      <w:pPr>
        <w:pStyle w:val="HStandard"/>
        <w:rPr>
          <w:highlight w:val="yellow"/>
        </w:rPr>
      </w:pPr>
      <w:r w:rsidRPr="004F4478">
        <w:rPr>
          <w:b/>
          <w:highlight w:val="yellow"/>
        </w:rPr>
        <w:t>La structure du réseau influence fortement la nature du réseautage entre ses membres.</w:t>
      </w:r>
      <w:r w:rsidRPr="004F4478">
        <w:rPr>
          <w:highlight w:val="yellow"/>
        </w:rPr>
        <w:t xml:space="preserve"> Elle peut être centralisée ou décentralisée.</w:t>
      </w:r>
      <w:r w:rsidRPr="004F4478">
        <w:rPr>
          <w:rStyle w:val="FootnoteReference"/>
          <w:highlight w:val="yellow"/>
        </w:rPr>
        <w:footnoteReference w:id="15"/>
      </w:r>
      <w:r w:rsidRPr="004F4478">
        <w:rPr>
          <w:rFonts w:ascii="ZWAdobeF" w:hAnsi="ZWAdobeF"/>
          <w:color w:val="auto"/>
          <w:sz w:val="2"/>
          <w:highlight w:val="yellow"/>
        </w:rPr>
        <w:t>14F</w:t>
      </w:r>
      <w:r w:rsidRPr="004F4478">
        <w:rPr>
          <w:highlight w:val="yellow"/>
        </w:rPr>
        <w:t xml:space="preserve"> Les réseaux centralisés ont un nœud central, qui communique avec les membres séparément. Dans les réseaux décentralisés il y a des connexions multiples entre les membres. </w:t>
      </w:r>
    </w:p>
    <w:p w:rsidR="00860A11" w:rsidRPr="004F4478" w:rsidRDefault="00860A11" w:rsidP="00923616">
      <w:pPr>
        <w:pStyle w:val="HStandard"/>
        <w:rPr>
          <w:highlight w:val="yellow"/>
        </w:rPr>
      </w:pPr>
      <w:r w:rsidRPr="004F4478">
        <w:rPr>
          <w:highlight w:val="yellow"/>
        </w:rPr>
        <w:t xml:space="preserve">Les réseaux ruraux dans l'UE ont souvent une structure centralisée car ils sont construits autour de NSU servant de nœuds centraux, sous-traitants de l’autorité de mise en service, dans ce cas, la DG AGRI. Ils devraient néanmoins encourager la communication décentralisée entre leurs membres et avec l’extérieur pour atteindre d'autres groupes de parties prenantes. </w:t>
      </w:r>
    </w:p>
    <w:p w:rsidR="00860A11" w:rsidRPr="004F4478" w:rsidRDefault="00860A11" w:rsidP="00923616">
      <w:pPr>
        <w:pStyle w:val="HStandard"/>
        <w:rPr>
          <w:highlight w:val="yellow"/>
        </w:rPr>
      </w:pPr>
      <w:r w:rsidRPr="004F4478">
        <w:rPr>
          <w:b/>
          <w:highlight w:val="yellow"/>
        </w:rPr>
        <w:t>La structure du REDR</w:t>
      </w:r>
      <w:r w:rsidRPr="004F4478">
        <w:rPr>
          <w:highlight w:val="yellow"/>
        </w:rPr>
        <w:t xml:space="preserve"> dispose de deux unités de soutien avec des fonctions distinctes: </w:t>
      </w:r>
    </w:p>
    <w:p w:rsidR="00860A11" w:rsidRPr="004F4478" w:rsidRDefault="00860A11" w:rsidP="005368DC">
      <w:pPr>
        <w:pStyle w:val="Hlistbullet2"/>
        <w:rPr>
          <w:highlight w:val="yellow"/>
        </w:rPr>
      </w:pPr>
      <w:r w:rsidRPr="004F4478">
        <w:rPr>
          <w:b/>
          <w:highlight w:val="yellow"/>
        </w:rPr>
        <w:t>Le Point de contact du REDR</w:t>
      </w:r>
      <w:r w:rsidRPr="004F4478">
        <w:rPr>
          <w:highlight w:val="yellow"/>
        </w:rPr>
        <w:t xml:space="preserve"> soutient la DG AGRI dans la gestion du REDR et fournit un centre de liaison pour les activités du REDR. Il soutient la mise en réseau et la coopération entre les acteurs du développement rural à l’échelle européenne et nationale, et il assure la communication avec et entre eux. Au niveau national, il </w:t>
      </w:r>
      <w:r>
        <w:rPr>
          <w:highlight w:val="yellow"/>
        </w:rPr>
        <w:t>effectue</w:t>
      </w:r>
      <w:r w:rsidRPr="004F4478">
        <w:rPr>
          <w:highlight w:val="yellow"/>
        </w:rPr>
        <w:t xml:space="preserve"> une analyse thématique et organise divers événements de réseautage. </w:t>
      </w:r>
    </w:p>
    <w:p w:rsidR="00860A11" w:rsidRPr="004F4478" w:rsidRDefault="00860A11" w:rsidP="006D3475">
      <w:pPr>
        <w:pStyle w:val="Hlistbullet2"/>
        <w:rPr>
          <w:highlight w:val="yellow"/>
        </w:rPr>
      </w:pPr>
      <w:r w:rsidRPr="004F4478">
        <w:rPr>
          <w:b/>
          <w:highlight w:val="yellow"/>
        </w:rPr>
        <w:t>Le Helpdesk Évaluation du REDR</w:t>
      </w:r>
      <w:r w:rsidRPr="004F4478">
        <w:rPr>
          <w:highlight w:val="yellow"/>
        </w:rPr>
        <w:t xml:space="preserve"> est chargé de soutenir la DG AGRI, les États membres et les parties prenantes de l'évaluation pour atteindre les objectifs du système commun de suivi et d'évaluation du développement rural.</w:t>
      </w:r>
    </w:p>
    <w:p w:rsidR="00860A11" w:rsidRPr="004F4478" w:rsidRDefault="00860A11" w:rsidP="00923616">
      <w:pPr>
        <w:pStyle w:val="HStandard"/>
        <w:rPr>
          <w:highlight w:val="yellow"/>
        </w:rPr>
      </w:pPr>
      <w:r w:rsidRPr="004F4478">
        <w:rPr>
          <w:b/>
          <w:highlight w:val="yellow"/>
        </w:rPr>
        <w:t>La structure du réseau PEI-AGRI</w:t>
      </w:r>
      <w:r w:rsidRPr="004F4478">
        <w:rPr>
          <w:highlight w:val="yellow"/>
        </w:rPr>
        <w:t xml:space="preserve"> dispose d'une unité d’assistance: le point de service du </w:t>
      </w:r>
      <w:r w:rsidRPr="004F4478">
        <w:rPr>
          <w:b/>
          <w:highlight w:val="yellow"/>
        </w:rPr>
        <w:t>PEI-AGRI</w:t>
      </w:r>
      <w:r w:rsidRPr="004F4478">
        <w:rPr>
          <w:highlight w:val="yellow"/>
        </w:rPr>
        <w:t>. Il fonctionne comme médiateur au sein du réseau, ce qui permet d’améliorer la communication et la coopération entre tous ceux qui s’intéressent à l'agriculture innovante: les agriculteurs, les chercheurs, les conseillers, les entreprises, les groupes environnementaux, les associations de défense des consommateurs et autres ONG.</w:t>
      </w:r>
    </w:p>
    <w:p w:rsidR="00860A11" w:rsidRPr="004F4478" w:rsidRDefault="00860A11" w:rsidP="00EF2430">
      <w:pPr>
        <w:pStyle w:val="HHeadingfigures"/>
        <w:rPr>
          <w:highlight w:val="yellow"/>
        </w:rPr>
      </w:pPr>
      <w:bookmarkStart w:id="8" w:name="_Toc445465116"/>
      <w:bookmarkStart w:id="9" w:name="_Toc451781920"/>
      <w:bookmarkStart w:id="10" w:name="_Toc463945748"/>
      <w:r w:rsidRPr="004F4478">
        <w:rPr>
          <w:highlight w:val="yellow"/>
        </w:rPr>
        <w:t>Structure de gouvernance des réseaux ruraux de l’UE</w:t>
      </w:r>
      <w:bookmarkEnd w:id="8"/>
      <w:bookmarkEnd w:id="9"/>
      <w:bookmarkEnd w:id="10"/>
    </w:p>
    <w:p w:rsidR="00860A11" w:rsidRPr="004F4478" w:rsidRDefault="00860A11" w:rsidP="00CB52DC">
      <w:pPr>
        <w:jc w:val="center"/>
        <w:rPr>
          <w:highlight w:val="yellow"/>
        </w:rPr>
      </w:pPr>
      <w:r>
        <w:rPr>
          <w:noProof/>
          <w:lang w:eastAsia="en-GB"/>
        </w:rPr>
        <w:lastRenderedPageBreak/>
        <w:drawing>
          <wp:inline distT="0" distB="0" distL="0" distR="0" wp14:anchorId="4A933C6F" wp14:editId="0D823BBB">
            <wp:extent cx="4838700" cy="31813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838700" cy="3181350"/>
                    </a:xfrm>
                    <a:prstGeom prst="rect">
                      <a:avLst/>
                    </a:prstGeom>
                  </pic:spPr>
                </pic:pic>
              </a:graphicData>
            </a:graphic>
          </wp:inline>
        </w:drawing>
      </w:r>
    </w:p>
    <w:p w:rsidR="00860A11" w:rsidRPr="004F4478" w:rsidRDefault="00860A11" w:rsidP="00CB52DC">
      <w:pPr>
        <w:pStyle w:val="HSource"/>
        <w:rPr>
          <w:highlight w:val="yellow"/>
        </w:rPr>
      </w:pPr>
      <w:r w:rsidRPr="004F4478">
        <w:rPr>
          <w:highlight w:val="yellow"/>
        </w:rPr>
        <w:t>Source: Helpdesk du Réseau européen d'évaluation du développement rural, 2016</w:t>
      </w:r>
    </w:p>
    <w:p w:rsidR="00860A11" w:rsidRPr="004F4478" w:rsidRDefault="00860A11" w:rsidP="00315513">
      <w:pPr>
        <w:pStyle w:val="HHeading5"/>
        <w:rPr>
          <w:highlight w:val="yellow"/>
        </w:rPr>
      </w:pPr>
      <w:r w:rsidRPr="004F4478">
        <w:rPr>
          <w:highlight w:val="yellow"/>
        </w:rPr>
        <w:t>De quoi les RRN sont-ils constitués?</w:t>
      </w:r>
    </w:p>
    <w:p w:rsidR="00860A11" w:rsidRPr="004F4478" w:rsidRDefault="00860A11" w:rsidP="00315513">
      <w:pPr>
        <w:pStyle w:val="HStandard"/>
        <w:jc w:val="left"/>
        <w:rPr>
          <w:highlight w:val="yellow"/>
        </w:rPr>
      </w:pPr>
      <w:r w:rsidRPr="004F4478">
        <w:rPr>
          <w:highlight w:val="yellow"/>
        </w:rPr>
        <w:t>Les RRN sont composés de trois sous-systèmes principaux:</w:t>
      </w:r>
    </w:p>
    <w:p w:rsidR="00860A11" w:rsidRPr="004F4478" w:rsidRDefault="00860A11" w:rsidP="00892664">
      <w:pPr>
        <w:pStyle w:val="ListParagraph"/>
        <w:numPr>
          <w:ilvl w:val="1"/>
          <w:numId w:val="13"/>
        </w:numPr>
        <w:spacing w:after="200" w:line="276" w:lineRule="auto"/>
        <w:jc w:val="both"/>
        <w:rPr>
          <w:rFonts w:ascii="Arial" w:hAnsi="Arial" w:cs="Arial"/>
          <w:sz w:val="20"/>
          <w:szCs w:val="20"/>
          <w:highlight w:val="yellow"/>
        </w:rPr>
      </w:pPr>
      <w:r w:rsidRPr="004F4478">
        <w:rPr>
          <w:b/>
          <w:highlight w:val="yellow"/>
        </w:rPr>
        <w:t xml:space="preserve">L’autorité responsable </w:t>
      </w:r>
      <w:r w:rsidRPr="004F4478">
        <w:rPr>
          <w:highlight w:val="yellow"/>
        </w:rPr>
        <w:t>du démarrage est  l’acteur du déploiement et du soutien au RRN. Elle mandate le NSU (en interne, par délégation ou comme sous-traitant) pour construire et soutenir le réseau.</w:t>
      </w:r>
      <w:r w:rsidRPr="004F4478">
        <w:rPr>
          <w:rFonts w:ascii="Arial" w:hAnsi="Arial"/>
          <w:sz w:val="20"/>
          <w:highlight w:val="yellow"/>
        </w:rPr>
        <w:t xml:space="preserve"> L’autorité responsable du démarrage peut être un seul </w:t>
      </w:r>
      <w:r w:rsidRPr="004F4478">
        <w:rPr>
          <w:rFonts w:ascii="Arial" w:hAnsi="Arial"/>
          <w:b/>
          <w:sz w:val="20"/>
          <w:highlight w:val="yellow"/>
        </w:rPr>
        <w:t xml:space="preserve">organisme </w:t>
      </w:r>
      <w:r w:rsidRPr="004F4478">
        <w:rPr>
          <w:rFonts w:ascii="Arial" w:hAnsi="Arial"/>
          <w:sz w:val="20"/>
          <w:highlight w:val="yellow"/>
        </w:rPr>
        <w:t xml:space="preserve">(souvent </w:t>
      </w:r>
      <w:r w:rsidRPr="004F4478">
        <w:rPr>
          <w:rFonts w:ascii="Arial" w:hAnsi="Arial"/>
          <w:b/>
          <w:sz w:val="20"/>
          <w:highlight w:val="yellow"/>
        </w:rPr>
        <w:t>l'autorité de gestion</w:t>
      </w:r>
      <w:r w:rsidRPr="004F4478">
        <w:rPr>
          <w:rFonts w:ascii="Arial" w:hAnsi="Arial"/>
          <w:sz w:val="20"/>
          <w:highlight w:val="yellow"/>
        </w:rPr>
        <w:t xml:space="preserve">) ou une </w:t>
      </w:r>
      <w:r w:rsidRPr="004F4478">
        <w:rPr>
          <w:rFonts w:ascii="Arial" w:hAnsi="Arial"/>
          <w:b/>
          <w:sz w:val="20"/>
          <w:highlight w:val="yellow"/>
        </w:rPr>
        <w:t>organisation</w:t>
      </w:r>
      <w:r w:rsidRPr="004F4478">
        <w:rPr>
          <w:rFonts w:ascii="Arial" w:hAnsi="Arial"/>
          <w:sz w:val="20"/>
          <w:highlight w:val="yellow"/>
        </w:rPr>
        <w:t xml:space="preserve"> </w:t>
      </w:r>
      <w:r w:rsidRPr="004F4478">
        <w:rPr>
          <w:rFonts w:ascii="Arial" w:hAnsi="Arial"/>
          <w:b/>
          <w:sz w:val="20"/>
          <w:highlight w:val="yellow"/>
        </w:rPr>
        <w:t>de coopération</w:t>
      </w:r>
      <w:r w:rsidRPr="004F4478">
        <w:rPr>
          <w:rFonts w:ascii="Arial" w:hAnsi="Arial"/>
          <w:sz w:val="20"/>
          <w:highlight w:val="yellow"/>
        </w:rPr>
        <w:t xml:space="preserve"> entre plusieurs institutions (gouvernementales et venant de la société civile).</w:t>
      </w:r>
    </w:p>
    <w:p w:rsidR="00860A11" w:rsidRPr="004F4478" w:rsidRDefault="00860A11" w:rsidP="00892664">
      <w:pPr>
        <w:pStyle w:val="ListParagraph"/>
        <w:numPr>
          <w:ilvl w:val="1"/>
          <w:numId w:val="13"/>
        </w:numPr>
        <w:spacing w:after="200" w:line="276" w:lineRule="auto"/>
        <w:jc w:val="both"/>
        <w:rPr>
          <w:rFonts w:ascii="Arial" w:hAnsi="Arial" w:cs="Arial"/>
          <w:sz w:val="20"/>
          <w:szCs w:val="20"/>
          <w:highlight w:val="yellow"/>
        </w:rPr>
      </w:pPr>
      <w:r w:rsidRPr="004F4478">
        <w:rPr>
          <w:rFonts w:ascii="Arial" w:hAnsi="Arial"/>
          <w:b/>
          <w:sz w:val="20"/>
          <w:highlight w:val="yellow"/>
        </w:rPr>
        <w:t>L'entité de support réseau</w:t>
      </w:r>
      <w:r w:rsidRPr="004F4478">
        <w:rPr>
          <w:rFonts w:ascii="Arial" w:hAnsi="Arial"/>
          <w:sz w:val="20"/>
          <w:highlight w:val="yellow"/>
        </w:rPr>
        <w:t xml:space="preserve"> (NSU) -  unité de l’autorité de gestion ou sous-traitant - a pour tâche de construire et soutenir le RRN. C’est en général le nœud central du RRN. La NSU communique avec les membres du réseau, facilite les échanges thématiques et analytiques et partage les informations pertinentes. </w:t>
      </w:r>
      <w:r w:rsidRPr="004F4478">
        <w:rPr>
          <w:highlight w:val="yellow"/>
        </w:rPr>
        <w:t xml:space="preserve">La NSU prépare et organise des formations pour les GAL, soutient des projets de coopération, encourage le réseautage entre les conseillers et les services de soutien à l'innovation, permet de partager et  de diffuser les résultats de suivi et d'évaluation des PDR, et participe ou contribue aux activités du REDR </w:t>
      </w:r>
      <w:r w:rsidRPr="004F4478">
        <w:rPr>
          <w:rStyle w:val="FootnoteReference"/>
          <w:highlight w:val="yellow"/>
        </w:rPr>
        <w:footnoteReference w:id="16"/>
      </w:r>
      <w:r w:rsidRPr="004F4478">
        <w:rPr>
          <w:highlight w:val="yellow"/>
        </w:rPr>
        <w:t>.</w:t>
      </w:r>
      <w:r w:rsidRPr="004F4478">
        <w:rPr>
          <w:rFonts w:ascii="Arial" w:hAnsi="Arial"/>
          <w:sz w:val="20"/>
          <w:highlight w:val="yellow"/>
        </w:rPr>
        <w:t xml:space="preserve"> </w:t>
      </w:r>
    </w:p>
    <w:p w:rsidR="00860A11" w:rsidRPr="004F4478" w:rsidRDefault="00860A11" w:rsidP="00892664">
      <w:pPr>
        <w:pStyle w:val="ListParagraph"/>
        <w:numPr>
          <w:ilvl w:val="1"/>
          <w:numId w:val="13"/>
        </w:numPr>
        <w:spacing w:after="200" w:line="276" w:lineRule="auto"/>
        <w:jc w:val="both"/>
        <w:rPr>
          <w:rFonts w:ascii="Arial" w:hAnsi="Arial" w:cs="Arial"/>
          <w:sz w:val="20"/>
          <w:szCs w:val="20"/>
          <w:highlight w:val="yellow"/>
        </w:rPr>
      </w:pPr>
      <w:r w:rsidRPr="004F4478">
        <w:rPr>
          <w:highlight w:val="yellow"/>
        </w:rPr>
        <w:t>Le</w:t>
      </w:r>
      <w:r w:rsidRPr="004F4478">
        <w:rPr>
          <w:b/>
          <w:highlight w:val="yellow"/>
        </w:rPr>
        <w:t xml:space="preserve"> RRN</w:t>
      </w:r>
      <w:r w:rsidRPr="004F4478">
        <w:rPr>
          <w:highlight w:val="yellow"/>
        </w:rPr>
        <w:t xml:space="preserve"> est un </w:t>
      </w:r>
      <w:r w:rsidRPr="004F4478">
        <w:rPr>
          <w:b/>
          <w:highlight w:val="yellow"/>
        </w:rPr>
        <w:t>réseau</w:t>
      </w:r>
      <w:r w:rsidRPr="004F4478">
        <w:rPr>
          <w:highlight w:val="yellow"/>
        </w:rPr>
        <w:t xml:space="preserve"> dont les limites sont floues par définition, car il est composé de tous les participants aux activités du RRN,  directement, ou du moins comme contributeurs ou utilisateurs potentiels, ou les deux.</w:t>
      </w:r>
      <w:r w:rsidRPr="004F4478">
        <w:rPr>
          <w:rFonts w:ascii="Arial" w:hAnsi="Arial"/>
          <w:sz w:val="20"/>
          <w:highlight w:val="yellow"/>
        </w:rPr>
        <w:t xml:space="preserve"> En principe, le RRN comprend également les acteurs visés aux points a. et b.</w:t>
      </w:r>
    </w:p>
    <w:p w:rsidR="00860A11" w:rsidRPr="004F4478" w:rsidRDefault="00860A11" w:rsidP="00315513">
      <w:pPr>
        <w:pStyle w:val="HStandard"/>
        <w:jc w:val="left"/>
        <w:rPr>
          <w:highlight w:val="yellow"/>
        </w:rPr>
      </w:pPr>
      <w:r w:rsidRPr="004F4478">
        <w:rPr>
          <w:highlight w:val="yellow"/>
        </w:rPr>
        <w:t>Le graphique suivant montre un exemple d’architecture standard d’un RRN:</w:t>
      </w:r>
    </w:p>
    <w:p w:rsidR="00860A11" w:rsidRPr="004F4478" w:rsidRDefault="00860A11" w:rsidP="00EF2430">
      <w:pPr>
        <w:pStyle w:val="HHeadingfigures"/>
        <w:rPr>
          <w:highlight w:val="yellow"/>
        </w:rPr>
      </w:pPr>
      <w:bookmarkStart w:id="11" w:name="_Toc445465117"/>
      <w:bookmarkStart w:id="12" w:name="_Toc451781921"/>
      <w:bookmarkStart w:id="13" w:name="_Toc463945749"/>
      <w:r w:rsidRPr="004F4478">
        <w:rPr>
          <w:highlight w:val="yellow"/>
        </w:rPr>
        <w:t>Architecture du RRN</w:t>
      </w:r>
      <w:bookmarkEnd w:id="11"/>
      <w:bookmarkEnd w:id="12"/>
      <w:bookmarkEnd w:id="13"/>
    </w:p>
    <w:p w:rsidR="00860A11" w:rsidRPr="004F4478" w:rsidRDefault="00860A11" w:rsidP="008A261C">
      <w:pPr>
        <w:jc w:val="center"/>
        <w:rPr>
          <w:highlight w:val="yellow"/>
        </w:rPr>
      </w:pPr>
      <w:r w:rsidRPr="004F4478">
        <w:rPr>
          <w:noProof/>
          <w:highlight w:val="yellow"/>
          <w:lang w:eastAsia="en-GB"/>
        </w:rPr>
        <w:lastRenderedPageBreak/>
        <w:drawing>
          <wp:inline distT="0" distB="0" distL="0" distR="0" wp14:anchorId="583A1A66" wp14:editId="48138E00">
            <wp:extent cx="4837517" cy="3600000"/>
            <wp:effectExtent l="0" t="0" r="127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RN-Architecture.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837517" cy="3600000"/>
                    </a:xfrm>
                    <a:prstGeom prst="rect">
                      <a:avLst/>
                    </a:prstGeom>
                  </pic:spPr>
                </pic:pic>
              </a:graphicData>
            </a:graphic>
          </wp:inline>
        </w:drawing>
      </w:r>
    </w:p>
    <w:p w:rsidR="00860A11" w:rsidRPr="004F4478" w:rsidRDefault="00860A11" w:rsidP="00315513">
      <w:pPr>
        <w:pStyle w:val="HSource"/>
        <w:rPr>
          <w:rFonts w:cs="Arial"/>
          <w:highlight w:val="yellow"/>
        </w:rPr>
      </w:pPr>
      <w:r w:rsidRPr="004F4478">
        <w:rPr>
          <w:highlight w:val="yellow"/>
        </w:rPr>
        <w:t>Source: Helpdesk du Réseau européen d'évaluation du développement rural, 2016</w:t>
      </w:r>
    </w:p>
    <w:p w:rsidR="00860A11" w:rsidRPr="004F4478" w:rsidRDefault="00860A11" w:rsidP="00315513">
      <w:pPr>
        <w:pStyle w:val="HStandard"/>
        <w:rPr>
          <w:highlight w:val="yellow"/>
        </w:rPr>
      </w:pPr>
      <w:r w:rsidRPr="004F4478">
        <w:rPr>
          <w:highlight w:val="yellow"/>
        </w:rPr>
        <w:t xml:space="preserve">Les participants </w:t>
      </w:r>
      <w:r w:rsidRPr="004F4478">
        <w:rPr>
          <w:b/>
          <w:highlight w:val="yellow"/>
        </w:rPr>
        <w:t xml:space="preserve">aux activités centrales </w:t>
      </w:r>
      <w:r w:rsidRPr="004F4478">
        <w:rPr>
          <w:highlight w:val="yellow"/>
        </w:rPr>
        <w:t xml:space="preserve">collaborent régulièrement les uns avec les autres. Ils peuvent être considérés comme formant un système coopératif. L’autorité de gestion (MA) est symbolisée par de grands rectangles verts. Les petits rectangles verts représentent d'autres institutions avec des responsabilités spécifiques en matière de contrôle de la NSU. L’entité NSU (b) est représentée par un cercle orange; dans notre exemple, nous supposons qu'un consortium externe a été chargé de gérer la NSU. Les partenaires du consortium sont représentés par des carrés orange avec des contours orange épais.  D'autres acteurs clés (diamants orange avec contours rouges) participent aux activités centrales (par exemple dans un comité de suivi ou en tant que fournisseurs habituels de connaissances). Conformément au cadre juridique, le partenariat comprend </w:t>
      </w:r>
      <w:r w:rsidRPr="004F4478">
        <w:rPr>
          <w:rStyle w:val="FootnoteReference"/>
          <w:highlight w:val="yellow"/>
        </w:rPr>
        <w:footnoteReference w:id="17"/>
      </w:r>
      <w:r w:rsidRPr="004F4478">
        <w:rPr>
          <w:highlight w:val="yellow"/>
        </w:rPr>
        <w:t xml:space="preserve"> les «autorités publiques compétentes», des «partenaires économiques et sociaux» et des «organismes représentant la société civile» participant aux activités centrales.</w:t>
      </w:r>
      <w:r w:rsidRPr="004F4478">
        <w:rPr>
          <w:rStyle w:val="FootnoteReference"/>
          <w:highlight w:val="yellow"/>
        </w:rPr>
        <w:footnoteReference w:id="18"/>
      </w:r>
    </w:p>
    <w:p w:rsidR="00860A11" w:rsidRPr="004F4478" w:rsidRDefault="00860A11" w:rsidP="008A261C">
      <w:pPr>
        <w:pStyle w:val="HStandard"/>
        <w:rPr>
          <w:highlight w:val="yellow"/>
        </w:rPr>
      </w:pPr>
      <w:r w:rsidRPr="004F4478">
        <w:rPr>
          <w:highlight w:val="yellow"/>
        </w:rPr>
        <w:t xml:space="preserve">Le </w:t>
      </w:r>
      <w:r w:rsidRPr="00B20D2C">
        <w:rPr>
          <w:b/>
          <w:highlight w:val="yellow"/>
        </w:rPr>
        <w:t>deuxième champ</w:t>
      </w:r>
      <w:r w:rsidRPr="004F4478">
        <w:rPr>
          <w:highlight w:val="yellow"/>
        </w:rPr>
        <w:t xml:space="preserve">, délimité par une ligne en pointillés, comprend les acteurs ruraux figurant parmi les clients les plus importants ou les prestataires des services de la NSU, comme les groupes d’actions locales, les consultants, les établissements d'enseignement, les universités, etc. </w:t>
      </w:r>
    </w:p>
    <w:p w:rsidR="00860A11" w:rsidRPr="004F4478" w:rsidRDefault="00860A11" w:rsidP="008A261C">
      <w:pPr>
        <w:pStyle w:val="HStandard"/>
        <w:rPr>
          <w:highlight w:val="yellow"/>
        </w:rPr>
      </w:pPr>
      <w:r w:rsidRPr="004F4478">
        <w:rPr>
          <w:highlight w:val="yellow"/>
        </w:rPr>
        <w:t xml:space="preserve">En continuant vers l'extérieur, dans le </w:t>
      </w:r>
      <w:r w:rsidRPr="00B20D2C">
        <w:rPr>
          <w:b/>
          <w:highlight w:val="yellow"/>
        </w:rPr>
        <w:t>troisième champ</w:t>
      </w:r>
      <w:r w:rsidRPr="004F4478">
        <w:rPr>
          <w:highlight w:val="yellow"/>
        </w:rPr>
        <w:t xml:space="preserve"> on trouve des acteurs moins impliqués, limités à certains thèmes séparés et à certains évènements comme les ateliers d'information. </w:t>
      </w:r>
    </w:p>
    <w:p w:rsidR="00860A11" w:rsidRPr="004F4478" w:rsidRDefault="00860A11" w:rsidP="008A261C">
      <w:pPr>
        <w:pStyle w:val="HStandard"/>
        <w:rPr>
          <w:highlight w:val="yellow"/>
        </w:rPr>
      </w:pPr>
      <w:r w:rsidRPr="004F4478">
        <w:rPr>
          <w:highlight w:val="yellow"/>
        </w:rPr>
        <w:t xml:space="preserve">Le </w:t>
      </w:r>
      <w:r w:rsidRPr="00B20D2C">
        <w:rPr>
          <w:b/>
          <w:highlight w:val="yellow"/>
        </w:rPr>
        <w:t>champ le plus externe</w:t>
      </w:r>
      <w:r w:rsidRPr="004F4478">
        <w:rPr>
          <w:highlight w:val="yellow"/>
        </w:rPr>
        <w:t xml:space="preserve"> indique des acteurs plus ou moins passifs, mais restants sur l'écran des acteurs de base comme contributeurs ou utilisateurs potentiels des activités du réseau. </w:t>
      </w:r>
    </w:p>
    <w:p w:rsidR="00860A11" w:rsidRPr="004F4478" w:rsidRDefault="00860A11" w:rsidP="00315513">
      <w:pPr>
        <w:pStyle w:val="HStandard"/>
        <w:jc w:val="left"/>
        <w:rPr>
          <w:highlight w:val="yellow"/>
        </w:rPr>
      </w:pPr>
      <w:r w:rsidRPr="004F4478">
        <w:rPr>
          <w:highlight w:val="yellow"/>
        </w:rPr>
        <w:t>Tous les acteurs et le champ dans son ensemble, représentent la totalité du RRN (c). Ces acteurs sont interdépendants à bien des égards, bien que cela ne figure pas dans le graphique pour des raisons de clarté.</w:t>
      </w:r>
    </w:p>
    <w:p w:rsidR="00860A11" w:rsidRPr="004F4478" w:rsidRDefault="00860A11" w:rsidP="00F14A86">
      <w:pPr>
        <w:pStyle w:val="HStandard"/>
        <w:rPr>
          <w:highlight w:val="yellow"/>
        </w:rPr>
      </w:pPr>
      <w:r w:rsidRPr="004F4478">
        <w:rPr>
          <w:highlight w:val="yellow"/>
        </w:rPr>
        <w:lastRenderedPageBreak/>
        <w:t>En dépit de l'architecture générale du RRN décrite ci-dessus, chaque RRN peut développer sa propre définition et dresser la carte de son architecture, par exemple en utilisant les méthodes d'analyse des parties prenantes.</w:t>
      </w:r>
      <w:r w:rsidRPr="004F4478">
        <w:rPr>
          <w:rStyle w:val="FootnoteReference"/>
          <w:highlight w:val="yellow"/>
        </w:rPr>
        <w:footnoteReference w:id="19"/>
      </w:r>
      <w:r w:rsidRPr="004F4478">
        <w:rPr>
          <w:rFonts w:ascii="ZWAdobeF" w:hAnsi="ZWAdobeF"/>
          <w:color w:val="auto"/>
          <w:sz w:val="2"/>
          <w:highlight w:val="yellow"/>
        </w:rPr>
        <w:t>.</w:t>
      </w:r>
      <w:r w:rsidRPr="004F4478">
        <w:rPr>
          <w:highlight w:val="yellow"/>
        </w:rPr>
        <w:t xml:space="preserve"> Dans la réalité, il peut y avoir des différences entre les États membres au niveau de l'architecture du RRN</w:t>
      </w:r>
      <w:r w:rsidRPr="004F4478">
        <w:rPr>
          <w:rFonts w:ascii="ZWAdobeF" w:hAnsi="ZWAdobeF"/>
          <w:color w:val="auto"/>
          <w:sz w:val="2"/>
          <w:highlight w:val="yellow"/>
        </w:rPr>
        <w:t>..</w:t>
      </w:r>
      <w:r w:rsidRPr="004F4478">
        <w:rPr>
          <w:rStyle w:val="FootnoteReference"/>
          <w:highlight w:val="yellow"/>
        </w:rPr>
        <w:footnoteReference w:id="20"/>
      </w:r>
      <w:r w:rsidRPr="004F4478">
        <w:rPr>
          <w:rFonts w:ascii="ZWAdobeF" w:hAnsi="ZWAdobeF"/>
          <w:color w:val="auto"/>
          <w:sz w:val="2"/>
          <w:highlight w:val="yellow"/>
        </w:rPr>
        <w:t>.</w:t>
      </w:r>
      <w:r w:rsidRPr="004F4478">
        <w:rPr>
          <w:highlight w:val="yellow"/>
        </w:rPr>
        <w:t xml:space="preserve"> Ainsi, la NSU peut avoir sous-traité des nœuds régionaux pour faciliter la liaison avec les membres du RRN. Dans certains RRN il est plus difficile de devenir membre que dans d'autres qui sont plus ouverts.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860A11" w:rsidRPr="004F4478" w:rsidTr="00B57DA2">
        <w:trPr>
          <w:trHeight w:val="330"/>
        </w:trPr>
        <w:tc>
          <w:tcPr>
            <w:tcW w:w="9016" w:type="dxa"/>
            <w:shd w:val="clear" w:color="auto" w:fill="F5F4F4" w:themeFill="background2" w:themeFillTint="66"/>
          </w:tcPr>
          <w:p w:rsidR="00860A11" w:rsidRPr="004F4478" w:rsidRDefault="00860A11" w:rsidP="00B57DA2">
            <w:pPr>
              <w:pStyle w:val="HStandard"/>
              <w:jc w:val="left"/>
              <w:rPr>
                <w:b/>
                <w:highlight w:val="yellow"/>
              </w:rPr>
            </w:pPr>
            <w:r w:rsidRPr="004F4478">
              <w:rPr>
                <w:b/>
                <w:highlight w:val="yellow"/>
              </w:rPr>
              <w:t>Il est important de comprendre la définition et la structure de chaque réseau pour réaliser une évaluation de RRN.</w:t>
            </w:r>
          </w:p>
        </w:tc>
      </w:tr>
    </w:tbl>
    <w:p w:rsidR="00860A11" w:rsidRPr="004F4478" w:rsidRDefault="00860A11" w:rsidP="00680DA9">
      <w:pPr>
        <w:pStyle w:val="HHeading2"/>
        <w:rPr>
          <w:highlight w:val="yellow"/>
        </w:rPr>
      </w:pPr>
      <w:bookmarkStart w:id="14" w:name="_Toc453079748"/>
      <w:bookmarkStart w:id="15" w:name="_Toc463945855"/>
      <w:r w:rsidRPr="004F4478">
        <w:rPr>
          <w:highlight w:val="yellow"/>
        </w:rPr>
        <w:t>Pourquoi et comment évaluer les RRN?</w:t>
      </w:r>
      <w:bookmarkEnd w:id="14"/>
      <w:bookmarkEnd w:id="15"/>
    </w:p>
    <w:p w:rsidR="00860A11" w:rsidRPr="004F4478" w:rsidRDefault="00860A11" w:rsidP="006D3475">
      <w:pPr>
        <w:pStyle w:val="HHeading5"/>
        <w:rPr>
          <w:highlight w:val="yellow"/>
        </w:rPr>
      </w:pPr>
      <w:r w:rsidRPr="004F4478">
        <w:rPr>
          <w:highlight w:val="yellow"/>
        </w:rPr>
        <w:t>Le but de l'évaluation d’un RRN</w:t>
      </w:r>
    </w:p>
    <w:p w:rsidR="00860A11" w:rsidRPr="004F4478" w:rsidRDefault="00860A11" w:rsidP="00923616">
      <w:pPr>
        <w:pStyle w:val="HStandard"/>
        <w:rPr>
          <w:highlight w:val="yellow"/>
        </w:rPr>
      </w:pPr>
      <w:r w:rsidRPr="004F4478">
        <w:rPr>
          <w:b/>
          <w:highlight w:val="yellow"/>
        </w:rPr>
        <w:t>Les RRN font partie des éléments clés de la politique européenne de développement rural.</w:t>
      </w:r>
      <w:r w:rsidRPr="004F4478">
        <w:rPr>
          <w:highlight w:val="yellow"/>
        </w:rPr>
        <w:t xml:space="preserve"> A ce titre, ils font l'objet d'une évaluation pendant la période de programmation.</w:t>
      </w:r>
      <w:r w:rsidRPr="004F4478">
        <w:rPr>
          <w:rStyle w:val="FootnoteReference"/>
          <w:highlight w:val="yellow"/>
        </w:rPr>
        <w:footnoteReference w:id="21"/>
      </w:r>
      <w:r w:rsidRPr="004F4478">
        <w:rPr>
          <w:highlight w:val="yellow"/>
        </w:rPr>
        <w:t xml:space="preserve"> </w:t>
      </w:r>
    </w:p>
    <w:p w:rsidR="00860A11" w:rsidRPr="004F4478" w:rsidRDefault="00860A11" w:rsidP="005F73EB">
      <w:pPr>
        <w:pStyle w:val="HStandard"/>
        <w:rPr>
          <w:highlight w:val="yellow"/>
        </w:rPr>
      </w:pPr>
      <w:r w:rsidRPr="004F4478">
        <w:rPr>
          <w:highlight w:val="yellow"/>
        </w:rPr>
        <w:t xml:space="preserve">Des textes juridiques </w:t>
      </w:r>
      <w:r w:rsidRPr="004F4478">
        <w:rPr>
          <w:rStyle w:val="FootnoteReference"/>
          <w:highlight w:val="yellow"/>
        </w:rPr>
        <w:footnoteReference w:id="22"/>
      </w:r>
      <w:r w:rsidRPr="004F4478">
        <w:rPr>
          <w:highlight w:val="yellow"/>
        </w:rPr>
        <w:t xml:space="preserve"> définissent les objectifs politiques spécifiques des RRN qui doivent contribuer à la mise en œuvre de la politique de développement rural de l'Union européenne: </w:t>
      </w:r>
    </w:p>
    <w:p w:rsidR="00860A11" w:rsidRPr="004F4478" w:rsidRDefault="00860A11" w:rsidP="00923616">
      <w:pPr>
        <w:pStyle w:val="Hlistabc"/>
        <w:rPr>
          <w:highlight w:val="yellow"/>
        </w:rPr>
      </w:pPr>
      <w:r w:rsidRPr="004F4478">
        <w:rPr>
          <w:highlight w:val="yellow"/>
        </w:rPr>
        <w:t xml:space="preserve">accroître la participation des acteurs dans le déploiement du développement rural, </w:t>
      </w:r>
    </w:p>
    <w:p w:rsidR="00860A11" w:rsidRPr="004F4478" w:rsidRDefault="00860A11" w:rsidP="00923616">
      <w:pPr>
        <w:pStyle w:val="Hlistabc"/>
        <w:rPr>
          <w:highlight w:val="yellow"/>
        </w:rPr>
      </w:pPr>
      <w:r w:rsidRPr="004F4478">
        <w:rPr>
          <w:highlight w:val="yellow"/>
        </w:rPr>
        <w:t xml:space="preserve">améliorer le déploiement des programmes de développement rural, </w:t>
      </w:r>
    </w:p>
    <w:p w:rsidR="00860A11" w:rsidRPr="004F4478" w:rsidRDefault="00860A11" w:rsidP="00923616">
      <w:pPr>
        <w:pStyle w:val="Hlistabc"/>
        <w:rPr>
          <w:highlight w:val="yellow"/>
        </w:rPr>
      </w:pPr>
      <w:r w:rsidRPr="004F4478">
        <w:rPr>
          <w:highlight w:val="yellow"/>
        </w:rPr>
        <w:t xml:space="preserve">informer le grand public et les bénéficiaires potentiels des possibilités qu’offre la politique de développement rural et des possibilités de financement, et </w:t>
      </w:r>
    </w:p>
    <w:p w:rsidR="00860A11" w:rsidRPr="004F4478" w:rsidRDefault="00860A11" w:rsidP="00FF5B4F">
      <w:pPr>
        <w:pStyle w:val="Hlistabc2"/>
        <w:rPr>
          <w:highlight w:val="yellow"/>
        </w:rPr>
      </w:pPr>
      <w:r w:rsidRPr="004F4478">
        <w:rPr>
          <w:highlight w:val="yellow"/>
        </w:rPr>
        <w:t xml:space="preserve">favoriser l'innovation dans l'agriculture, l’agroalimentaire, la sylviculture et les zones rurales. </w:t>
      </w:r>
    </w:p>
    <w:p w:rsidR="00860A11" w:rsidRPr="004F4478" w:rsidRDefault="00860A11" w:rsidP="00923616">
      <w:pPr>
        <w:pStyle w:val="HStandard"/>
        <w:rPr>
          <w:highlight w:val="yellow"/>
        </w:rPr>
      </w:pPr>
      <w:r w:rsidRPr="00B20D2C">
        <w:rPr>
          <w:b/>
          <w:highlight w:val="yellow"/>
        </w:rPr>
        <w:t>L'évaluation permet de mesurer la réalisation des objectifs</w:t>
      </w:r>
      <w:r w:rsidRPr="004F4478">
        <w:rPr>
          <w:highlight w:val="yellow"/>
        </w:rPr>
        <w:t xml:space="preserve"> par les résultats, les </w:t>
      </w:r>
      <w:r>
        <w:rPr>
          <w:highlight w:val="yellow"/>
        </w:rPr>
        <w:t>effets</w:t>
      </w:r>
      <w:r w:rsidRPr="004F4478">
        <w:rPr>
          <w:highlight w:val="yellow"/>
        </w:rPr>
        <w:t xml:space="preserve"> et la valeur ajoutée </w:t>
      </w:r>
      <w:r w:rsidRPr="004F4478">
        <w:rPr>
          <w:rStyle w:val="FootnoteReference"/>
          <w:highlight w:val="yellow"/>
        </w:rPr>
        <w:footnoteReference w:id="23"/>
      </w:r>
      <w:r w:rsidRPr="004F4478">
        <w:rPr>
          <w:highlight w:val="yellow"/>
        </w:rPr>
        <w:t xml:space="preserve"> des activités du RRN. Elle contribue à améliorer la conception, la qualité et la mise en œuvre des activités de réseau et aide à justifier et à légitimer les fonds dépensés. L’évaluation permet de renforcer la transparence et la responsabilité des interventions des RRN en montrant aux intervenants et aux contribuables comment l'argent a été dépensé. </w:t>
      </w:r>
    </w:p>
    <w:p w:rsidR="00860A11" w:rsidRPr="004F4478" w:rsidRDefault="00860A11" w:rsidP="006D3475">
      <w:pPr>
        <w:pStyle w:val="HHeading5"/>
        <w:rPr>
          <w:highlight w:val="yellow"/>
        </w:rPr>
      </w:pPr>
      <w:r w:rsidRPr="004F4478">
        <w:rPr>
          <w:highlight w:val="yellow"/>
        </w:rPr>
        <w:t xml:space="preserve">Types d'évaluation des RRN </w:t>
      </w:r>
    </w:p>
    <w:p w:rsidR="00860A11" w:rsidRPr="004F4478" w:rsidRDefault="00860A11" w:rsidP="00115611">
      <w:pPr>
        <w:pStyle w:val="HStandard"/>
        <w:rPr>
          <w:highlight w:val="yellow"/>
        </w:rPr>
      </w:pPr>
      <w:r w:rsidRPr="004F4478">
        <w:rPr>
          <w:b/>
          <w:highlight w:val="yellow"/>
        </w:rPr>
        <w:t>L'évaluation des RRN peut prendre différentes formes.</w:t>
      </w:r>
      <w:r w:rsidRPr="004F4478">
        <w:rPr>
          <w:highlight w:val="yellow"/>
        </w:rPr>
        <w:t xml:space="preserve"> Dans les États membres où le RRN n’est pas un programme séparé, il est le plus souvent évalué dans le cadre du PDR et dans certains cas il peut faire l’objet d'une évaluation autonome distincte. En revanche, le PRRN comme tous les programmes doit toujours faire l’objet d’une évaluation autonome distincte. </w:t>
      </w:r>
    </w:p>
    <w:p w:rsidR="00860A11" w:rsidRPr="004F4478" w:rsidRDefault="00860A11" w:rsidP="00FF5B4F">
      <w:pPr>
        <w:pStyle w:val="HStandard"/>
        <w:rPr>
          <w:highlight w:val="yellow"/>
        </w:rPr>
      </w:pPr>
      <w:r w:rsidRPr="00B20D2C">
        <w:rPr>
          <w:b/>
          <w:highlight w:val="yellow"/>
        </w:rPr>
        <w:t>Les évaluations des RRN peuvent également faire partie d’évaluations thématiques</w:t>
      </w:r>
      <w:r w:rsidRPr="004F4478">
        <w:rPr>
          <w:highlight w:val="yellow"/>
        </w:rPr>
        <w:t xml:space="preserve"> sur différents sujets. Par exemple, l'évaluation thématique sur l'innovation pourrait inclure l'évaluation du rôle des activités du RRN dans le soutien des partenariats d'innovation, par exemple les transferts d'approches novatrices, la diffusion de projets innovants accompagnés par des mesures de </w:t>
      </w:r>
      <w:r>
        <w:rPr>
          <w:highlight w:val="yellow"/>
        </w:rPr>
        <w:t>PD</w:t>
      </w:r>
      <w:r w:rsidRPr="004F4478">
        <w:rPr>
          <w:highlight w:val="yellow"/>
        </w:rPr>
        <w:t xml:space="preserve">R, etc. Cela peut également inclure la collaboration du RRN avec le réseau </w:t>
      </w:r>
      <w:r>
        <w:rPr>
          <w:highlight w:val="yellow"/>
        </w:rPr>
        <w:t>P</w:t>
      </w:r>
      <w:r w:rsidRPr="004F4478">
        <w:rPr>
          <w:highlight w:val="yellow"/>
        </w:rPr>
        <w:t>EI-Agri.</w:t>
      </w:r>
    </w:p>
    <w:p w:rsidR="00860A11" w:rsidRPr="004F4478" w:rsidRDefault="00860A11" w:rsidP="00E02C8A">
      <w:pPr>
        <w:pStyle w:val="HStandard"/>
        <w:rPr>
          <w:rFonts w:ascii="Helvetica" w:hAnsi="Helvetica" w:cs="Helvetica"/>
          <w:color w:val="auto"/>
          <w:highlight w:val="yellow"/>
        </w:rPr>
      </w:pPr>
      <w:r w:rsidRPr="004F4478">
        <w:rPr>
          <w:highlight w:val="yellow"/>
        </w:rPr>
        <w:lastRenderedPageBreak/>
        <w:t xml:space="preserve">En outre, les RRN peuvent aussi procéder à une auto-évaluation des résultats, des </w:t>
      </w:r>
      <w:r>
        <w:rPr>
          <w:highlight w:val="yellow"/>
        </w:rPr>
        <w:t>effets</w:t>
      </w:r>
      <w:r w:rsidRPr="004F4478">
        <w:rPr>
          <w:highlight w:val="yellow"/>
        </w:rPr>
        <w:t xml:space="preserve"> et de la réalisation des objectifs du réseau. </w:t>
      </w:r>
    </w:p>
    <w:p w:rsidR="00860A11" w:rsidRPr="004F4478" w:rsidRDefault="00860A11" w:rsidP="00FF5B4F">
      <w:pPr>
        <w:pStyle w:val="HStandard"/>
        <w:rPr>
          <w:highlight w:val="yellow"/>
        </w:rPr>
      </w:pPr>
      <w:r w:rsidRPr="004F4478">
        <w:rPr>
          <w:highlight w:val="yellow"/>
        </w:rPr>
        <w:t>Outre les exigences légales, la forme choisie pour évaluer le RRN dépendra de l'intérêt spécifique de l’autorité de gestion et de la NSU, ainsi que du budget affecté à l'évaluation.</w:t>
      </w:r>
    </w:p>
    <w:p w:rsidR="00860A11" w:rsidRPr="004F4478" w:rsidRDefault="00860A11" w:rsidP="006D3475">
      <w:pPr>
        <w:pStyle w:val="HHeading5"/>
        <w:rPr>
          <w:highlight w:val="yellow"/>
        </w:rPr>
      </w:pPr>
      <w:r w:rsidRPr="004F4478">
        <w:rPr>
          <w:highlight w:val="yellow"/>
        </w:rPr>
        <w:t>Auto-évaluation du RRN</w:t>
      </w:r>
    </w:p>
    <w:p w:rsidR="00860A11" w:rsidRPr="004F4478" w:rsidRDefault="00860A11" w:rsidP="00FF5B4F">
      <w:pPr>
        <w:pStyle w:val="HStandard"/>
        <w:rPr>
          <w:highlight w:val="yellow"/>
        </w:rPr>
      </w:pPr>
      <w:r w:rsidRPr="004F4478">
        <w:rPr>
          <w:b/>
          <w:highlight w:val="yellow"/>
        </w:rPr>
        <w:t xml:space="preserve">L'auto-évaluation est un processus dirigé par le RRN lui-même, </w:t>
      </w:r>
      <w:r w:rsidRPr="005F4B54">
        <w:rPr>
          <w:highlight w:val="yellow"/>
        </w:rPr>
        <w:t>ce qui  donne un point de vue</w:t>
      </w:r>
      <w:r w:rsidRPr="004F4478">
        <w:rPr>
          <w:b/>
          <w:highlight w:val="yellow"/>
        </w:rPr>
        <w:t xml:space="preserve"> </w:t>
      </w:r>
      <w:r w:rsidRPr="005F4B54">
        <w:rPr>
          <w:highlight w:val="yellow"/>
        </w:rPr>
        <w:t>interne sur les activités et les performances du RRN.</w:t>
      </w:r>
      <w:r w:rsidRPr="004F4478">
        <w:rPr>
          <w:highlight w:val="yellow"/>
        </w:rPr>
        <w:t xml:space="preserve"> Cela aide les acteurs concernés à déterminer si leurs activités contribuent efficacement à la réalisation des objectifs du réseau. L’évaluation externe, en revanche, donne un point de vue externe indépendant, mais avec les mêmes intentions. En outre, l'évaluation externe tire les leçons pour améliorer la conception des RRN, leurs interventions et leur mise en œuvre. </w:t>
      </w:r>
    </w:p>
    <w:p w:rsidR="00860A11" w:rsidRPr="004F4478" w:rsidRDefault="00860A11" w:rsidP="001B43DA">
      <w:pPr>
        <w:pStyle w:val="HStandard"/>
        <w:rPr>
          <w:highlight w:val="yellow"/>
        </w:rPr>
      </w:pPr>
      <w:r w:rsidRPr="004F4478">
        <w:rPr>
          <w:b/>
          <w:highlight w:val="yellow"/>
        </w:rPr>
        <w:t>L'auto-évaluation peut et devrait être reliée à l’évaluation du RRN</w:t>
      </w:r>
      <w:r w:rsidRPr="004F4478">
        <w:rPr>
          <w:highlight w:val="yellow"/>
        </w:rPr>
        <w:t xml:space="preserve"> pour veiller à ce que les informations recueillies puissent être utilisées comme sources d'information potentielles lors de l'évaluation de l’efficacité, de la productivité, des résultats et des </w:t>
      </w:r>
      <w:r>
        <w:rPr>
          <w:highlight w:val="yellow"/>
        </w:rPr>
        <w:t>effets</w:t>
      </w:r>
      <w:r w:rsidRPr="004F4478">
        <w:rPr>
          <w:highlight w:val="yellow"/>
        </w:rPr>
        <w:t xml:space="preserve"> du RRN. Des liens et des synergies bien identifiés entre l'auto-évaluation et l’évaluation du RRN permettent de réduire le coût des deux démarches. Cela implique cependant une coordination et une collaboration entre plusieurs acteurs: la NSU / RRN, l'autorité de gestion du programme, et l'évaluateur </w:t>
      </w:r>
      <w:r>
        <w:rPr>
          <w:highlight w:val="yellow"/>
        </w:rPr>
        <w:t>(</w:t>
      </w:r>
      <w:r w:rsidRPr="004F4478">
        <w:rPr>
          <w:highlight w:val="yellow"/>
        </w:rPr>
        <w:fldChar w:fldCharType="begin" w:fldLock="1"/>
      </w:r>
      <w:r w:rsidRPr="004F4478">
        <w:rPr>
          <w:highlight w:val="yellow"/>
        </w:rPr>
        <w:instrText xml:space="preserve"> REF _Ref451784251 \r \h  \* MERGEFORMAT </w:instrText>
      </w:r>
      <w:r w:rsidRPr="004F4478">
        <w:rPr>
          <w:highlight w:val="yellow"/>
        </w:rPr>
      </w:r>
      <w:r w:rsidRPr="004F4478">
        <w:rPr>
          <w:highlight w:val="yellow"/>
        </w:rPr>
        <w:fldChar w:fldCharType="separate"/>
      </w:r>
      <w:r w:rsidRPr="004F4478">
        <w:rPr>
          <w:highlight w:val="yellow"/>
        </w:rPr>
        <w:t>Figure 3</w:t>
      </w:r>
      <w:r w:rsidRPr="004F4478">
        <w:rPr>
          <w:highlight w:val="yellow"/>
        </w:rPr>
        <w:fldChar w:fldCharType="end"/>
      </w:r>
      <w:r>
        <w:rPr>
          <w:highlight w:val="yellow"/>
        </w:rPr>
        <w:t>).</w:t>
      </w:r>
    </w:p>
    <w:p w:rsidR="00860A11" w:rsidRPr="004F4478" w:rsidRDefault="00860A11">
      <w:pPr>
        <w:spacing w:after="0" w:line="240" w:lineRule="auto"/>
        <w:rPr>
          <w:rFonts w:cs="Arial"/>
          <w:b/>
          <w:color w:val="576C88" w:themeColor="text2" w:themeTint="D9"/>
          <w:sz w:val="16"/>
          <w:szCs w:val="20"/>
          <w:highlight w:val="yellow"/>
        </w:rPr>
      </w:pPr>
      <w:bookmarkStart w:id="16" w:name="_Toc390439646"/>
      <w:bookmarkStart w:id="17" w:name="_Ref434411589"/>
      <w:bookmarkStart w:id="18" w:name="_Ref435789100"/>
      <w:bookmarkStart w:id="19" w:name="_Toc436383141"/>
      <w:bookmarkStart w:id="20" w:name="_Toc445465118"/>
      <w:bookmarkStart w:id="21" w:name="_Toc451781922"/>
      <w:bookmarkStart w:id="22" w:name="_Ref451784251"/>
      <w:bookmarkStart w:id="23" w:name="_Ref451784253"/>
      <w:bookmarkStart w:id="24" w:name="_Ref451784254"/>
      <w:r w:rsidRPr="004F4478">
        <w:rPr>
          <w:highlight w:val="yellow"/>
        </w:rPr>
        <w:br w:type="page"/>
      </w:r>
    </w:p>
    <w:p w:rsidR="00860A11" w:rsidRPr="004F4478" w:rsidRDefault="00860A11" w:rsidP="00EF2430">
      <w:pPr>
        <w:pStyle w:val="HHeadingfigures"/>
        <w:rPr>
          <w:highlight w:val="yellow"/>
        </w:rPr>
      </w:pPr>
      <w:bookmarkStart w:id="25" w:name="_Toc463945750"/>
      <w:r w:rsidRPr="004F4478">
        <w:rPr>
          <w:highlight w:val="yellow"/>
        </w:rPr>
        <w:lastRenderedPageBreak/>
        <w:t>Comparaisons entre l'auto-évaluation et l'évaluation des RRN</w:t>
      </w:r>
      <w:bookmarkEnd w:id="16"/>
      <w:bookmarkEnd w:id="17"/>
      <w:bookmarkEnd w:id="18"/>
      <w:bookmarkEnd w:id="19"/>
      <w:bookmarkEnd w:id="20"/>
      <w:bookmarkEnd w:id="21"/>
      <w:bookmarkEnd w:id="22"/>
      <w:bookmarkEnd w:id="23"/>
      <w:bookmarkEnd w:id="24"/>
      <w:bookmarkEnd w:id="25"/>
    </w:p>
    <w:p w:rsidR="00860A11" w:rsidRPr="004F4478" w:rsidRDefault="00860A11" w:rsidP="00240358">
      <w:pPr>
        <w:pStyle w:val="HStandard"/>
        <w:jc w:val="center"/>
        <w:rPr>
          <w:highlight w:val="yellow"/>
        </w:rPr>
      </w:pPr>
      <w:r>
        <w:rPr>
          <w:noProof/>
          <w:lang w:val="en-GB" w:eastAsia="en-GB" w:bidi="ar-SA"/>
        </w:rPr>
        <w:drawing>
          <wp:inline distT="0" distB="0" distL="0" distR="0" wp14:anchorId="313B72C3" wp14:editId="50AE77BC">
            <wp:extent cx="5731510" cy="3693160"/>
            <wp:effectExtent l="0" t="0" r="254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731510" cy="3693160"/>
                    </a:xfrm>
                    <a:prstGeom prst="rect">
                      <a:avLst/>
                    </a:prstGeom>
                  </pic:spPr>
                </pic:pic>
              </a:graphicData>
            </a:graphic>
          </wp:inline>
        </w:drawing>
      </w:r>
    </w:p>
    <w:p w:rsidR="00860A11" w:rsidRPr="004F4478" w:rsidRDefault="00860A11" w:rsidP="00C71F5E">
      <w:pPr>
        <w:pStyle w:val="HSource"/>
        <w:rPr>
          <w:rFonts w:cs="Arial"/>
          <w:highlight w:val="yellow"/>
        </w:rPr>
      </w:pPr>
      <w:bookmarkStart w:id="26" w:name="_Toc260776799"/>
      <w:bookmarkStart w:id="27" w:name="_Toc262890482"/>
      <w:bookmarkStart w:id="28" w:name="_Toc263960909"/>
      <w:bookmarkStart w:id="29" w:name="_Toc264576620"/>
      <w:bookmarkStart w:id="30" w:name="_Toc267576419"/>
      <w:bookmarkStart w:id="31" w:name="_Toc267576747"/>
      <w:r w:rsidRPr="004F4478">
        <w:rPr>
          <w:highlight w:val="yellow"/>
        </w:rPr>
        <w:t>Source: Helpdesk du Réseau européen d'évaluation du développement rural, 2016</w:t>
      </w:r>
    </w:p>
    <w:bookmarkEnd w:id="26"/>
    <w:bookmarkEnd w:id="27"/>
    <w:bookmarkEnd w:id="28"/>
    <w:bookmarkEnd w:id="29"/>
    <w:bookmarkEnd w:id="30"/>
    <w:bookmarkEnd w:id="31"/>
    <w:p w:rsidR="00860A11" w:rsidRPr="004F4478" w:rsidRDefault="00860A11" w:rsidP="00FF5B4F">
      <w:pPr>
        <w:pStyle w:val="HStandard"/>
        <w:rPr>
          <w:highlight w:val="yellow"/>
        </w:rPr>
      </w:pPr>
      <w:r w:rsidRPr="004F4478">
        <w:rPr>
          <w:highlight w:val="yellow"/>
        </w:rPr>
        <w:t xml:space="preserve">Pour utiliser l'auto-évaluation comme outil efficace pour apprendre à réfléchir sur ses propres performances, les acteurs peuvent décider d’inclure l'auto-évaluation du RRN dans leur plan d’action ou leur plan de renforcement des capacités. L’idéal serait de démarrer une planification prospective des activités d'auto-évaluation à un stade précoce du déploiement du RRN. </w:t>
      </w:r>
    </w:p>
    <w:p w:rsidR="00860A11" w:rsidRPr="004F4478" w:rsidRDefault="00860A11" w:rsidP="009D73B8">
      <w:pPr>
        <w:pStyle w:val="HStandard"/>
        <w:rPr>
          <w:highlight w:val="yellow"/>
        </w:rPr>
      </w:pPr>
      <w:r w:rsidRPr="004F4478">
        <w:rPr>
          <w:highlight w:val="yellow"/>
        </w:rPr>
        <w:t xml:space="preserve">L'auto-évaluation est souvent organisée comme un cycle continu d'activités, impliquant une participation périodique des différents acteurs à des moments différents. En règle générale, pour recueillir des informations on utilise des méthodes qualitatives comme: </w:t>
      </w:r>
    </w:p>
    <w:p w:rsidR="00860A11" w:rsidRPr="004F4478" w:rsidRDefault="00860A11" w:rsidP="009D73B8">
      <w:pPr>
        <w:pStyle w:val="Hlistbullet"/>
        <w:rPr>
          <w:highlight w:val="yellow"/>
        </w:rPr>
      </w:pPr>
      <w:r w:rsidRPr="004F4478">
        <w:rPr>
          <w:highlight w:val="yellow"/>
        </w:rPr>
        <w:t xml:space="preserve">des réunions avec les parties prenantes; </w:t>
      </w:r>
    </w:p>
    <w:p w:rsidR="00860A11" w:rsidRPr="004F4478" w:rsidRDefault="00860A11" w:rsidP="009D73B8">
      <w:pPr>
        <w:pStyle w:val="Hlistbullet"/>
        <w:rPr>
          <w:highlight w:val="yellow"/>
        </w:rPr>
      </w:pPr>
      <w:r w:rsidRPr="004F4478">
        <w:rPr>
          <w:highlight w:val="yellow"/>
        </w:rPr>
        <w:t xml:space="preserve">des groupes et des panels de citoyens; </w:t>
      </w:r>
    </w:p>
    <w:p w:rsidR="00860A11" w:rsidRPr="004F4478" w:rsidRDefault="00860A11" w:rsidP="009D73B8">
      <w:pPr>
        <w:pStyle w:val="Hlistbullet"/>
        <w:rPr>
          <w:highlight w:val="yellow"/>
        </w:rPr>
      </w:pPr>
      <w:r w:rsidRPr="004F4478">
        <w:rPr>
          <w:highlight w:val="yellow"/>
        </w:rPr>
        <w:t xml:space="preserve">des groupes de discussion; </w:t>
      </w:r>
    </w:p>
    <w:p w:rsidR="00860A11" w:rsidRPr="004F4478" w:rsidRDefault="00860A11" w:rsidP="009D73B8">
      <w:pPr>
        <w:pStyle w:val="Hlistbullet"/>
        <w:rPr>
          <w:highlight w:val="yellow"/>
        </w:rPr>
      </w:pPr>
      <w:r w:rsidRPr="004F4478">
        <w:rPr>
          <w:highlight w:val="yellow"/>
        </w:rPr>
        <w:t xml:space="preserve">un espace ouvert; </w:t>
      </w:r>
    </w:p>
    <w:p w:rsidR="00860A11" w:rsidRPr="004F4478" w:rsidRDefault="00860A11" w:rsidP="009D73B8">
      <w:pPr>
        <w:pStyle w:val="Hlistbullet"/>
        <w:rPr>
          <w:highlight w:val="yellow"/>
        </w:rPr>
      </w:pPr>
      <w:r w:rsidRPr="004F4478">
        <w:rPr>
          <w:highlight w:val="yellow"/>
        </w:rPr>
        <w:t>des notes de retour d’expérience sur les activités;</w:t>
      </w:r>
    </w:p>
    <w:p w:rsidR="00860A11" w:rsidRPr="004F4478" w:rsidRDefault="00860A11" w:rsidP="009D73B8">
      <w:pPr>
        <w:pStyle w:val="Hlistbullet2"/>
        <w:rPr>
          <w:highlight w:val="yellow"/>
        </w:rPr>
      </w:pPr>
      <w:r w:rsidRPr="004F4478">
        <w:rPr>
          <w:highlight w:val="yellow"/>
        </w:rPr>
        <w:t xml:space="preserve">des enquêtes d’évaluation des besoins, etc. </w:t>
      </w:r>
    </w:p>
    <w:p w:rsidR="00860A11" w:rsidRPr="004F4478" w:rsidRDefault="00860A11" w:rsidP="009D73B8">
      <w:pPr>
        <w:pStyle w:val="HStandard"/>
        <w:rPr>
          <w:highlight w:val="yellow"/>
        </w:rPr>
      </w:pPr>
      <w:r w:rsidRPr="004F4478">
        <w:rPr>
          <w:highlight w:val="yellow"/>
        </w:rPr>
        <w:t xml:space="preserve">Il est important de choisir et d'adapter une méthodologie développée et testée spécialement pour l'évaluation des réseaux </w:t>
      </w:r>
      <w:r w:rsidRPr="004F4478">
        <w:rPr>
          <w:rStyle w:val="FootnoteReference"/>
          <w:highlight w:val="yellow"/>
        </w:rPr>
        <w:footnoteReference w:id="24"/>
      </w:r>
      <w:r w:rsidRPr="004F4478">
        <w:rPr>
          <w:highlight w:val="yellow"/>
        </w:rPr>
        <w:t xml:space="preserve"> L’auto-évaluation demande du temps et des ressources suffisantes, et ses résultats doivent alimenter le plan d’action et les opérations du R</w:t>
      </w:r>
      <w:r>
        <w:rPr>
          <w:highlight w:val="yellow"/>
        </w:rPr>
        <w:t>RN</w:t>
      </w:r>
      <w:r w:rsidRPr="004F4478">
        <w:rPr>
          <w:highlight w:val="yellow"/>
        </w:rPr>
        <w:t xml:space="preserve">. </w:t>
      </w:r>
    </w:p>
    <w:p w:rsidR="00860A11" w:rsidRPr="004F4478" w:rsidRDefault="00860A11" w:rsidP="003A1D3C">
      <w:pPr>
        <w:pStyle w:val="HStandard"/>
        <w:rPr>
          <w:highlight w:val="yellow"/>
        </w:rPr>
      </w:pPr>
      <w:r w:rsidRPr="004F4478">
        <w:rPr>
          <w:highlight w:val="yellow"/>
        </w:rPr>
        <w:t xml:space="preserve">Pour en savoir plus sur les outils et les méthodes d'auto-évaluation, voir le site web du REDR </w:t>
      </w:r>
      <w:r w:rsidRPr="004F4478">
        <w:rPr>
          <w:rStyle w:val="FootnoteReference"/>
          <w:highlight w:val="yellow"/>
        </w:rPr>
        <w:footnoteReference w:id="25"/>
      </w:r>
      <w:r w:rsidRPr="004F4478">
        <w:rPr>
          <w:highlight w:val="yellow"/>
        </w:rPr>
        <w:t xml:space="preserve"> </w:t>
      </w:r>
    </w:p>
    <w:p w:rsidR="00860A11" w:rsidRPr="004F4478" w:rsidRDefault="00860A11" w:rsidP="00680DA9">
      <w:pPr>
        <w:pStyle w:val="HHeading2"/>
        <w:rPr>
          <w:highlight w:val="yellow"/>
        </w:rPr>
      </w:pPr>
      <w:bookmarkStart w:id="32" w:name="_Toc453079749"/>
      <w:bookmarkStart w:id="33" w:name="_Toc463945856"/>
      <w:r w:rsidRPr="004F4478">
        <w:rPr>
          <w:highlight w:val="yellow"/>
        </w:rPr>
        <w:lastRenderedPageBreak/>
        <w:t>Cahier des charges de l'évaluation du RRN dans la politique de développement rural de l'UE</w:t>
      </w:r>
      <w:bookmarkEnd w:id="32"/>
      <w:bookmarkEnd w:id="33"/>
    </w:p>
    <w:p w:rsidR="00860A11" w:rsidRPr="004F4478" w:rsidRDefault="00860A11" w:rsidP="00680DA9">
      <w:pPr>
        <w:pStyle w:val="HHeading3"/>
        <w:rPr>
          <w:highlight w:val="yellow"/>
        </w:rPr>
      </w:pPr>
      <w:bookmarkStart w:id="34" w:name="_Toc453079750"/>
      <w:bookmarkStart w:id="35" w:name="_Toc463945857"/>
      <w:r w:rsidRPr="004F4478">
        <w:rPr>
          <w:highlight w:val="yellow"/>
        </w:rPr>
        <w:t>Chronologie des obligations légales en matière d'évaluation et de rapports</w:t>
      </w:r>
      <w:bookmarkEnd w:id="34"/>
      <w:bookmarkEnd w:id="35"/>
    </w:p>
    <w:p w:rsidR="00860A11" w:rsidRPr="004F4478" w:rsidRDefault="00860A11" w:rsidP="00923616">
      <w:pPr>
        <w:pStyle w:val="HStandard"/>
        <w:rPr>
          <w:highlight w:val="yellow"/>
        </w:rPr>
      </w:pPr>
      <w:r w:rsidRPr="00E94602">
        <w:rPr>
          <w:b/>
          <w:highlight w:val="yellow"/>
        </w:rPr>
        <w:t xml:space="preserve">Le cadre juridique de l'UE </w:t>
      </w:r>
      <w:r w:rsidRPr="00E94602">
        <w:rPr>
          <w:rStyle w:val="FootnoteReference"/>
          <w:b/>
          <w:highlight w:val="yellow"/>
        </w:rPr>
        <w:footnoteReference w:id="26"/>
      </w:r>
      <w:r w:rsidRPr="00E94602">
        <w:rPr>
          <w:b/>
          <w:highlight w:val="yellow"/>
        </w:rPr>
        <w:t xml:space="preserve"> impose une évaluation du RRN</w:t>
      </w:r>
      <w:r w:rsidRPr="004F4478">
        <w:rPr>
          <w:highlight w:val="yellow"/>
        </w:rPr>
        <w:t xml:space="preserve"> : dans le cadre de l'évaluation du PDR avec des RRN inclus dans le programme ou des évaluations distinctes d</w:t>
      </w:r>
      <w:r>
        <w:rPr>
          <w:highlight w:val="yellow"/>
        </w:rPr>
        <w:t>es</w:t>
      </w:r>
      <w:r w:rsidRPr="004F4478">
        <w:rPr>
          <w:highlight w:val="yellow"/>
        </w:rPr>
        <w:t xml:space="preserve"> P</w:t>
      </w:r>
      <w:r>
        <w:rPr>
          <w:highlight w:val="yellow"/>
        </w:rPr>
        <w:t>R</w:t>
      </w:r>
      <w:r w:rsidRPr="004F4478">
        <w:rPr>
          <w:highlight w:val="yellow"/>
        </w:rPr>
        <w:t>RN. Des informations sur ces évaluations doivent être fournies durant la période de programmation.</w:t>
      </w:r>
    </w:p>
    <w:p w:rsidR="00860A11" w:rsidRPr="004F4478" w:rsidRDefault="00860A11" w:rsidP="008F4DBD">
      <w:pPr>
        <w:pStyle w:val="HHeadingfigures"/>
        <w:rPr>
          <w:highlight w:val="yellow"/>
        </w:rPr>
      </w:pPr>
      <w:bookmarkStart w:id="36" w:name="_Toc445465119"/>
      <w:bookmarkStart w:id="37" w:name="_Toc451781923"/>
      <w:bookmarkStart w:id="38" w:name="_Toc463945751"/>
      <w:r w:rsidRPr="004F4478">
        <w:rPr>
          <w:highlight w:val="yellow"/>
        </w:rPr>
        <w:t>Calendrier du rapport d’évaluation de RRN</w:t>
      </w:r>
      <w:bookmarkEnd w:id="36"/>
      <w:bookmarkEnd w:id="37"/>
      <w:bookmarkEnd w:id="38"/>
      <w:r w:rsidRPr="004F4478">
        <w:rPr>
          <w:highlight w:val="yellow"/>
        </w:rPr>
        <w:t xml:space="preserve"> </w:t>
      </w:r>
    </w:p>
    <w:p w:rsidR="00860A11" w:rsidRPr="004F4478" w:rsidRDefault="00860A11" w:rsidP="008F4DBD">
      <w:pPr>
        <w:pStyle w:val="HStandard"/>
        <w:rPr>
          <w:highlight w:val="yellow"/>
        </w:rPr>
      </w:pPr>
      <w:r>
        <w:rPr>
          <w:noProof/>
          <w:lang w:val="en-GB" w:eastAsia="en-GB" w:bidi="ar-SA"/>
        </w:rPr>
        <w:drawing>
          <wp:inline distT="0" distB="0" distL="0" distR="0" wp14:anchorId="5034396B" wp14:editId="7E8B9AB4">
            <wp:extent cx="5731510" cy="2513965"/>
            <wp:effectExtent l="0" t="0" r="254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731510" cy="2513965"/>
                    </a:xfrm>
                    <a:prstGeom prst="rect">
                      <a:avLst/>
                    </a:prstGeom>
                  </pic:spPr>
                </pic:pic>
              </a:graphicData>
            </a:graphic>
          </wp:inline>
        </w:drawing>
      </w:r>
    </w:p>
    <w:p w:rsidR="00860A11" w:rsidRPr="004F4478" w:rsidRDefault="00860A11" w:rsidP="008F4DBD">
      <w:pPr>
        <w:pStyle w:val="HSource"/>
        <w:rPr>
          <w:highlight w:val="yellow"/>
        </w:rPr>
      </w:pPr>
      <w:r w:rsidRPr="004F4478">
        <w:rPr>
          <w:highlight w:val="yellow"/>
        </w:rPr>
        <w:t>Source: Helpdesk du Réseau européen d'évaluation du développement rural 2016</w:t>
      </w:r>
    </w:p>
    <w:p w:rsidR="00860A11" w:rsidRPr="004F4478" w:rsidRDefault="00860A11" w:rsidP="006D3475">
      <w:pPr>
        <w:pStyle w:val="HHeading5"/>
        <w:rPr>
          <w:highlight w:val="yellow"/>
        </w:rPr>
      </w:pPr>
      <w:r w:rsidRPr="004F4478">
        <w:rPr>
          <w:highlight w:val="yellow"/>
        </w:rPr>
        <w:t>Rapports sur l’évaluation du PRRN ou du RRN dans les rapports annuels d'exécution</w:t>
      </w:r>
    </w:p>
    <w:p w:rsidR="00860A11" w:rsidRPr="004F4478" w:rsidRDefault="00860A11" w:rsidP="00923616">
      <w:pPr>
        <w:pStyle w:val="HStandard"/>
        <w:rPr>
          <w:highlight w:val="yellow"/>
        </w:rPr>
      </w:pPr>
      <w:r w:rsidRPr="004F4478">
        <w:rPr>
          <w:highlight w:val="yellow"/>
        </w:rPr>
        <w:t xml:space="preserve">Chaque rapport annuel de mise en œuvre (PDR et PRRN) doit contenir des informations sur les progrès réalisés dans la mise en œuvre du plan d'évaluation </w:t>
      </w:r>
      <w:r w:rsidRPr="004F4478">
        <w:rPr>
          <w:rStyle w:val="FootnoteReference"/>
          <w:highlight w:val="yellow"/>
        </w:rPr>
        <w:footnoteReference w:id="27"/>
      </w:r>
      <w:r w:rsidRPr="004F4478">
        <w:rPr>
          <w:highlight w:val="yellow"/>
        </w:rPr>
        <w:t xml:space="preserve">y compris sur les activités d'évaluation entreprises, avec une liste et un résumé des évaluations réalisées, ainsi que les activités de communication et de suivi liées aux conclusions et aux résultats de l'évaluation. Pour les RRN établis dans le cadre du PDR, les rapports se concentreront sur ce qui a été accompli pendant une année donnée par rapport à l'évaluation du RRN (par exemple les activités d'évaluation spécifiques au RRN, la communication sur les résultats et le suivi de l'évaluation), alors que pour les PRRN tous les éléments figurant sur la liste doivent faire l’objet d’un rapport chaque année. </w:t>
      </w:r>
    </w:p>
    <w:p w:rsidR="00860A11" w:rsidRPr="004F4478" w:rsidRDefault="00860A11" w:rsidP="006D3475">
      <w:pPr>
        <w:pStyle w:val="HHeading5"/>
        <w:rPr>
          <w:highlight w:val="yellow"/>
        </w:rPr>
      </w:pPr>
      <w:r w:rsidRPr="004F4478">
        <w:rPr>
          <w:highlight w:val="yellow"/>
        </w:rPr>
        <w:t>Rapports sur l'évaluation du PRRN</w:t>
      </w:r>
      <w:r>
        <w:rPr>
          <w:highlight w:val="yellow"/>
        </w:rPr>
        <w:t xml:space="preserve"> ou du RRN</w:t>
      </w:r>
      <w:r w:rsidRPr="004F4478">
        <w:rPr>
          <w:highlight w:val="yellow"/>
        </w:rPr>
        <w:t xml:space="preserve"> dans les </w:t>
      </w:r>
      <w:r>
        <w:rPr>
          <w:highlight w:val="yellow"/>
        </w:rPr>
        <w:t>r</w:t>
      </w:r>
      <w:r w:rsidRPr="004F4478">
        <w:rPr>
          <w:highlight w:val="yellow"/>
        </w:rPr>
        <w:t xml:space="preserve">apports annuels </w:t>
      </w:r>
      <w:r>
        <w:rPr>
          <w:highlight w:val="yellow"/>
        </w:rPr>
        <w:t>d'exécution</w:t>
      </w:r>
      <w:r w:rsidRPr="004F4478">
        <w:rPr>
          <w:highlight w:val="yellow"/>
        </w:rPr>
        <w:t xml:space="preserve"> (AIR) pour 2017 et 2019</w:t>
      </w:r>
    </w:p>
    <w:p w:rsidR="00860A11" w:rsidRPr="004F4478" w:rsidRDefault="00860A11" w:rsidP="00923616">
      <w:pPr>
        <w:pStyle w:val="HStandard"/>
        <w:rPr>
          <w:highlight w:val="yellow"/>
        </w:rPr>
      </w:pPr>
      <w:r w:rsidRPr="004F4478">
        <w:rPr>
          <w:highlight w:val="yellow"/>
        </w:rPr>
        <w:t>Les AIR améliorés à soumettre en 2017 et 2019 devront contenir des informations sur les progrès du PDR et une quantification des réalisations par rapport aux objectifs du programme.</w:t>
      </w:r>
      <w:r w:rsidRPr="004F4478">
        <w:rPr>
          <w:rStyle w:val="FootnoteReference"/>
          <w:highlight w:val="yellow"/>
        </w:rPr>
        <w:footnoteReference w:id="28"/>
      </w:r>
      <w:r w:rsidRPr="004F4478">
        <w:rPr>
          <w:highlight w:val="yellow"/>
        </w:rPr>
        <w:t xml:space="preserve">. </w:t>
      </w:r>
      <w:r w:rsidRPr="004F4478">
        <w:rPr>
          <w:highlight w:val="yellow"/>
        </w:rPr>
        <w:br/>
        <w:t xml:space="preserve"> Pour ce qui est de l'évaluation du RRN, avec les indicateurs de résultats communs on doit apporter une réponse en 2017 à la question d'évaluation commune suivante pour le RRN dans le cadre du PDR, et pour le PRRN</w:t>
      </w:r>
      <w:r w:rsidRPr="004F4478">
        <w:rPr>
          <w:rStyle w:val="FootnoteReference"/>
          <w:highlight w:val="yellow"/>
        </w:rPr>
        <w:footnoteReference w:id="29"/>
      </w:r>
      <w:r w:rsidRPr="004F4478">
        <w:rPr>
          <w:highlight w:val="yellow"/>
        </w:rPr>
        <w:t xml:space="preserve">: «Dans quelle mesure le réseau rural national a-t-il contribué à la réalisation des objectifs fixés dans le règlement (UE) n° 1305/2013, article 54, paragraphe 2?»  </w:t>
      </w:r>
    </w:p>
    <w:p w:rsidR="00860A11" w:rsidRPr="004F4478" w:rsidRDefault="00860A11" w:rsidP="00745022">
      <w:pPr>
        <w:pStyle w:val="HStandard"/>
        <w:rPr>
          <w:highlight w:val="yellow"/>
        </w:rPr>
      </w:pPr>
      <w:r w:rsidRPr="004F4478">
        <w:rPr>
          <w:highlight w:val="yellow"/>
        </w:rPr>
        <w:t xml:space="preserve">Les rapports annuels de mise en œuvre présentés en 2017 et 2019 devraient fournir des </w:t>
      </w:r>
      <w:r w:rsidRPr="00304475">
        <w:rPr>
          <w:b/>
          <w:highlight w:val="yellow"/>
        </w:rPr>
        <w:t>informations</w:t>
      </w:r>
      <w:r w:rsidRPr="004F4478">
        <w:rPr>
          <w:highlight w:val="yellow"/>
        </w:rPr>
        <w:t xml:space="preserve"> </w:t>
      </w:r>
      <w:r w:rsidRPr="004F4478">
        <w:rPr>
          <w:b/>
          <w:highlight w:val="yellow"/>
        </w:rPr>
        <w:t>sur l'utilisation de tous les éléments spécifiques</w:t>
      </w:r>
      <w:r w:rsidRPr="004F4478">
        <w:rPr>
          <w:highlight w:val="yellow"/>
        </w:rPr>
        <w:t xml:space="preserve"> </w:t>
      </w:r>
      <w:r w:rsidRPr="00304475">
        <w:rPr>
          <w:b/>
          <w:highlight w:val="yellow"/>
        </w:rPr>
        <w:t>du programme liés au RRN</w:t>
      </w:r>
      <w:r w:rsidRPr="004F4478">
        <w:rPr>
          <w:highlight w:val="yellow"/>
        </w:rPr>
        <w:t xml:space="preserve"> et, si possible, des </w:t>
      </w:r>
      <w:r w:rsidRPr="004F4478">
        <w:rPr>
          <w:highlight w:val="yellow"/>
        </w:rPr>
        <w:lastRenderedPageBreak/>
        <w:t xml:space="preserve">informations sur les résultats de l'évaluation </w:t>
      </w:r>
      <w:r w:rsidRPr="004F4478">
        <w:rPr>
          <w:b/>
          <w:highlight w:val="yellow"/>
        </w:rPr>
        <w:t xml:space="preserve">relatifs aux indicateurs spécifiques au programme de RRN </w:t>
      </w:r>
      <w:r w:rsidRPr="00304475">
        <w:rPr>
          <w:highlight w:val="yellow"/>
        </w:rPr>
        <w:t>et des réponses aux</w:t>
      </w:r>
      <w:r w:rsidRPr="004F4478">
        <w:rPr>
          <w:b/>
          <w:highlight w:val="yellow"/>
        </w:rPr>
        <w:t xml:space="preserve"> questions</w:t>
      </w:r>
      <w:r w:rsidRPr="004F4478">
        <w:rPr>
          <w:highlight w:val="yellow"/>
        </w:rPr>
        <w:t xml:space="preserve"> </w:t>
      </w:r>
      <w:r w:rsidRPr="004F4478">
        <w:rPr>
          <w:b/>
          <w:highlight w:val="yellow"/>
        </w:rPr>
        <w:t>concernant l'évaluation spécifique du programme RRN.</w:t>
      </w:r>
      <w:r w:rsidRPr="004F4478">
        <w:rPr>
          <w:highlight w:val="yellow"/>
        </w:rPr>
        <w:t xml:space="preserve">  </w:t>
      </w:r>
    </w:p>
    <w:p w:rsidR="00860A11" w:rsidRPr="004F4478" w:rsidRDefault="00860A11" w:rsidP="006D3475">
      <w:pPr>
        <w:pStyle w:val="HHeading5"/>
        <w:rPr>
          <w:highlight w:val="yellow"/>
        </w:rPr>
      </w:pPr>
      <w:r w:rsidRPr="004F4478">
        <w:rPr>
          <w:highlight w:val="yellow"/>
        </w:rPr>
        <w:t>Rapports sur l'évaluation du PRRN ou du RRN dans le rapport d'étape sur la mise en œuvre de l'accord de partenariat</w:t>
      </w:r>
    </w:p>
    <w:p w:rsidR="00860A11" w:rsidRPr="004F4478" w:rsidRDefault="00860A11" w:rsidP="00923616">
      <w:pPr>
        <w:pStyle w:val="HStandard"/>
        <w:rPr>
          <w:highlight w:val="yellow"/>
        </w:rPr>
      </w:pPr>
      <w:r w:rsidRPr="004F4478">
        <w:rPr>
          <w:highlight w:val="yellow"/>
        </w:rPr>
        <w:t xml:space="preserve">Les États membres doivent soumettre à la Commission des rapports d'étape sur la mise en œuvre de l'accord de partenariat, respectivement d’ici les 31 </w:t>
      </w:r>
      <w:r>
        <w:rPr>
          <w:highlight w:val="yellow"/>
        </w:rPr>
        <w:t>a</w:t>
      </w:r>
      <w:r w:rsidRPr="004F4478">
        <w:rPr>
          <w:highlight w:val="yellow"/>
        </w:rPr>
        <w:t>oût 2017 et 2019.</w:t>
      </w:r>
      <w:r w:rsidRPr="004F4478">
        <w:rPr>
          <w:rStyle w:val="FootnoteReference"/>
          <w:highlight w:val="yellow"/>
        </w:rPr>
        <w:footnoteReference w:id="30"/>
      </w:r>
      <w:r w:rsidRPr="004F4478">
        <w:rPr>
          <w:highlight w:val="yellow"/>
        </w:rPr>
        <w:t>. Ces rapports doivent présenter les résultats de l'évaluation de RRN si l'évaluation de RRN comprenait des aspects à signaler</w:t>
      </w:r>
      <w:r w:rsidRPr="004F4478">
        <w:rPr>
          <w:rFonts w:ascii="ZWAdobeF" w:hAnsi="ZWAdobeF"/>
          <w:color w:val="auto"/>
          <w:sz w:val="2"/>
          <w:highlight w:val="yellow"/>
        </w:rPr>
        <w:t>30F</w:t>
      </w:r>
      <w:r w:rsidRPr="004F4478">
        <w:rPr>
          <w:rStyle w:val="FootnoteReference"/>
          <w:highlight w:val="yellow"/>
        </w:rPr>
        <w:footnoteReference w:id="31"/>
      </w:r>
      <w:r w:rsidRPr="004F4478">
        <w:rPr>
          <w:highlight w:val="yellow"/>
        </w:rPr>
        <w:t xml:space="preserve"> dans le rapport d’étape, comme le rôle des partenaires, les mesures prises pour renforcer la capacité des autorités de l’État membre à administrer les fonds ESI, ainsi que les mesures prises et les progrès accomplis en matière de réduction de la charge administrative pesant sur les bénéficiaires. </w:t>
      </w:r>
    </w:p>
    <w:p w:rsidR="00860A11" w:rsidRPr="004F4478" w:rsidRDefault="00860A11" w:rsidP="006D3475">
      <w:pPr>
        <w:pStyle w:val="HHeading5"/>
        <w:rPr>
          <w:highlight w:val="yellow"/>
        </w:rPr>
      </w:pPr>
      <w:r w:rsidRPr="004F4478">
        <w:rPr>
          <w:highlight w:val="yellow"/>
        </w:rPr>
        <w:t>Rapports sur l'évaluation du PRRN  ou du RRN dans l’évaluation ex post</w:t>
      </w:r>
    </w:p>
    <w:p w:rsidR="00860A11" w:rsidRPr="004F4478" w:rsidRDefault="00860A11" w:rsidP="00923616">
      <w:pPr>
        <w:pStyle w:val="HStandard"/>
        <w:rPr>
          <w:highlight w:val="yellow"/>
        </w:rPr>
      </w:pPr>
      <w:r w:rsidRPr="004F4478">
        <w:rPr>
          <w:highlight w:val="yellow"/>
        </w:rPr>
        <w:t xml:space="preserve">Comme pour les </w:t>
      </w:r>
      <w:r>
        <w:rPr>
          <w:highlight w:val="yellow"/>
        </w:rPr>
        <w:t>r</w:t>
      </w:r>
      <w:r w:rsidRPr="004F4478">
        <w:rPr>
          <w:highlight w:val="yellow"/>
        </w:rPr>
        <w:t xml:space="preserve">apports annuels de mise en œuvre améliorés, l'évaluation ex post, à soumettre avant le 31 </w:t>
      </w:r>
      <w:r>
        <w:rPr>
          <w:highlight w:val="yellow"/>
        </w:rPr>
        <w:t>d</w:t>
      </w:r>
      <w:r w:rsidRPr="004F4478">
        <w:rPr>
          <w:highlight w:val="yellow"/>
        </w:rPr>
        <w:t xml:space="preserve">écembre 2024 </w:t>
      </w:r>
      <w:r w:rsidRPr="004F4478">
        <w:rPr>
          <w:rStyle w:val="FootnoteReference"/>
          <w:highlight w:val="yellow"/>
        </w:rPr>
        <w:footnoteReference w:id="32"/>
      </w:r>
      <w:r w:rsidRPr="004F4478">
        <w:rPr>
          <w:highlight w:val="yellow"/>
        </w:rPr>
        <w:t xml:space="preserve"> doit contenir la réponse aux CEQ </w:t>
      </w:r>
      <w:r w:rsidRPr="004F4478">
        <w:rPr>
          <w:rStyle w:val="FootnoteReference"/>
          <w:highlight w:val="yellow"/>
        </w:rPr>
        <w:footnoteReference w:id="33"/>
      </w:r>
      <w:r w:rsidRPr="004F4478">
        <w:rPr>
          <w:highlight w:val="yellow"/>
        </w:rPr>
        <w:t xml:space="preserve"> (Questions communes d’évaluation) en rapport avec les RRN, avec des indicateurs de résultats communs. Si le programme contient des questions et indicateurs spécifiquement  liés à l’évaluation du RRN (par exemple indicateurs de résultat et d'impact du RRN), les informations sur leur évaluation et les réponses aux questions d'évaluation spécifiques au programme doivent être fournies.</w:t>
      </w:r>
    </w:p>
    <w:p w:rsidR="00860A11" w:rsidRPr="004F4478" w:rsidRDefault="00860A11" w:rsidP="00680DA9">
      <w:pPr>
        <w:pStyle w:val="HHeading3"/>
        <w:rPr>
          <w:highlight w:val="yellow"/>
        </w:rPr>
      </w:pPr>
      <w:bookmarkStart w:id="39" w:name="_Toc453079751"/>
      <w:bookmarkStart w:id="40" w:name="_Toc463945858"/>
      <w:r w:rsidRPr="004F4478">
        <w:rPr>
          <w:highlight w:val="yellow"/>
        </w:rPr>
        <w:t>Objectif de l’évaluation de RRN: que faut-il évaluer?</w:t>
      </w:r>
      <w:bookmarkEnd w:id="39"/>
      <w:bookmarkEnd w:id="40"/>
    </w:p>
    <w:p w:rsidR="00860A11" w:rsidRPr="004F4478" w:rsidRDefault="00860A11" w:rsidP="00240358">
      <w:pPr>
        <w:pStyle w:val="HStandard"/>
        <w:rPr>
          <w:highlight w:val="yellow"/>
        </w:rPr>
      </w:pPr>
      <w:r w:rsidRPr="004F4478">
        <w:rPr>
          <w:highlight w:val="yellow"/>
        </w:rPr>
        <w:t xml:space="preserve">Le RRN est configuré pour atteindre des </w:t>
      </w:r>
      <w:r w:rsidRPr="008105E7">
        <w:rPr>
          <w:b/>
          <w:highlight w:val="yellow"/>
        </w:rPr>
        <w:t>objectifs spécifiques</w:t>
      </w:r>
      <w:r w:rsidRPr="004F4478">
        <w:rPr>
          <w:highlight w:val="yellow"/>
        </w:rPr>
        <w:t xml:space="preserve"> et contribuer aux </w:t>
      </w:r>
      <w:r w:rsidRPr="008105E7">
        <w:rPr>
          <w:b/>
          <w:highlight w:val="yellow"/>
        </w:rPr>
        <w:t>objectifs plus larges</w:t>
      </w:r>
      <w:r w:rsidRPr="004F4478">
        <w:rPr>
          <w:highlight w:val="yellow"/>
        </w:rPr>
        <w:t xml:space="preserve"> </w:t>
      </w:r>
      <w:r w:rsidRPr="008105E7">
        <w:rPr>
          <w:b/>
          <w:highlight w:val="yellow"/>
        </w:rPr>
        <w:t>de la politique rurale de l'UE</w:t>
      </w:r>
      <w:r w:rsidRPr="004F4478">
        <w:rPr>
          <w:highlight w:val="yellow"/>
        </w:rPr>
        <w:t xml:space="preserve">. Les RRN reflètent les priorités de la politique de développement rural et les besoins des zones rurales (pertinence). </w:t>
      </w:r>
    </w:p>
    <w:p w:rsidR="00860A11" w:rsidRPr="004F4478" w:rsidRDefault="00860A11" w:rsidP="00240358">
      <w:pPr>
        <w:pStyle w:val="HStandard"/>
        <w:rPr>
          <w:highlight w:val="yellow"/>
        </w:rPr>
      </w:pPr>
      <w:r w:rsidRPr="004F4478">
        <w:rPr>
          <w:highlight w:val="yellow"/>
        </w:rPr>
        <w:t xml:space="preserve">Pour </w:t>
      </w:r>
      <w:r w:rsidRPr="008105E7">
        <w:rPr>
          <w:b/>
          <w:highlight w:val="yellow"/>
        </w:rPr>
        <w:t>atteindre les objectifs mentionnés ci-dessus ou y contribuer</w:t>
      </w:r>
      <w:r w:rsidRPr="004F4478">
        <w:rPr>
          <w:highlight w:val="yellow"/>
        </w:rPr>
        <w:t>, le RRN doit émettre des conclusions fondées sur les contributions de divers groupes d'actions. Les conclusions devraient par conséquent montrer les</w:t>
      </w:r>
      <w:r w:rsidRPr="004F4478">
        <w:rPr>
          <w:b/>
          <w:highlight w:val="yellow"/>
        </w:rPr>
        <w:t xml:space="preserve"> résultats et les </w:t>
      </w:r>
      <w:r>
        <w:rPr>
          <w:b/>
          <w:highlight w:val="yellow"/>
        </w:rPr>
        <w:t>effets</w:t>
      </w:r>
      <w:r w:rsidRPr="004F4478">
        <w:rPr>
          <w:b/>
          <w:highlight w:val="yellow"/>
        </w:rPr>
        <w:t xml:space="preserve"> </w:t>
      </w:r>
      <w:r w:rsidRPr="004F4478">
        <w:rPr>
          <w:highlight w:val="yellow"/>
        </w:rPr>
        <w:t xml:space="preserve">du RRN, permettre d’atteindre les objectifs du RRN et contribuer aux objectifs de la politique européenne de développement rural. </w:t>
      </w:r>
    </w:p>
    <w:p w:rsidR="00860A11" w:rsidRPr="004F4478" w:rsidRDefault="00860A11" w:rsidP="00240358">
      <w:pPr>
        <w:pStyle w:val="HStandard"/>
        <w:rPr>
          <w:highlight w:val="yellow"/>
        </w:rPr>
      </w:pPr>
      <w:r w:rsidRPr="004F4478">
        <w:rPr>
          <w:b/>
          <w:highlight w:val="yellow"/>
        </w:rPr>
        <w:t xml:space="preserve">Les objectifs, activités, conclusions, résultats et </w:t>
      </w:r>
      <w:r>
        <w:rPr>
          <w:b/>
          <w:highlight w:val="yellow"/>
        </w:rPr>
        <w:t>effets</w:t>
      </w:r>
      <w:r w:rsidRPr="004F4478">
        <w:rPr>
          <w:b/>
          <w:highlight w:val="yellow"/>
        </w:rPr>
        <w:t xml:space="preserve"> des RRN sont les pierres angulaires de la logique d’intervention des RRN.</w:t>
      </w:r>
      <w:r w:rsidRPr="004F4478">
        <w:rPr>
          <w:highlight w:val="yellow"/>
        </w:rPr>
        <w:t xml:space="preserve"> La cohérence interne et externe, la pertinence, l'efficacité et la productivité de la logique d'intervention des RRN constituent la condition préalable fondamentale pour une mise en œuvre réussie des RRN au cours de la période de programmation et, parallèlement, elles représentent l'objet de l'évaluation des RRN. </w:t>
      </w:r>
    </w:p>
    <w:p w:rsidR="00860A11" w:rsidRPr="004F4478" w:rsidRDefault="00860A11" w:rsidP="003C20E8">
      <w:pPr>
        <w:pStyle w:val="HHeadingfigures"/>
        <w:rPr>
          <w:highlight w:val="yellow"/>
        </w:rPr>
      </w:pPr>
      <w:r w:rsidRPr="004F4478">
        <w:rPr>
          <w:highlight w:val="yellow"/>
        </w:rPr>
        <w:br w:type="column"/>
      </w:r>
      <w:bookmarkStart w:id="41" w:name="_Toc451781924"/>
      <w:bookmarkStart w:id="42" w:name="_Ref451784361"/>
      <w:bookmarkStart w:id="43" w:name="_Ref451784678"/>
      <w:bookmarkStart w:id="44" w:name="_Ref451784699"/>
      <w:bookmarkStart w:id="45" w:name="_Toc463945752"/>
      <w:r w:rsidRPr="004F4478">
        <w:rPr>
          <w:highlight w:val="yellow"/>
        </w:rPr>
        <w:lastRenderedPageBreak/>
        <w:t>Objectif de l’évaluation du RRN</w:t>
      </w:r>
      <w:bookmarkEnd w:id="41"/>
      <w:bookmarkEnd w:id="42"/>
      <w:bookmarkEnd w:id="43"/>
      <w:bookmarkEnd w:id="44"/>
      <w:bookmarkEnd w:id="45"/>
    </w:p>
    <w:p w:rsidR="00860A11" w:rsidRPr="004F4478" w:rsidRDefault="00860A11" w:rsidP="003C20E8">
      <w:pPr>
        <w:pStyle w:val="HStandard"/>
        <w:jc w:val="center"/>
        <w:rPr>
          <w:highlight w:val="yellow"/>
        </w:rPr>
      </w:pPr>
      <w:r>
        <w:rPr>
          <w:noProof/>
          <w:lang w:val="en-GB" w:eastAsia="en-GB" w:bidi="ar-SA"/>
        </w:rPr>
        <w:drawing>
          <wp:inline distT="0" distB="0" distL="0" distR="0" wp14:anchorId="4CBAED9E" wp14:editId="3A3A9466">
            <wp:extent cx="5731510" cy="4164330"/>
            <wp:effectExtent l="0" t="0" r="254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731510" cy="4164330"/>
                    </a:xfrm>
                    <a:prstGeom prst="rect">
                      <a:avLst/>
                    </a:prstGeom>
                  </pic:spPr>
                </pic:pic>
              </a:graphicData>
            </a:graphic>
          </wp:inline>
        </w:drawing>
      </w:r>
    </w:p>
    <w:p w:rsidR="00860A11" w:rsidRPr="004F4478" w:rsidRDefault="00860A11" w:rsidP="003C20E8">
      <w:pPr>
        <w:pStyle w:val="HSource"/>
        <w:rPr>
          <w:highlight w:val="yellow"/>
        </w:rPr>
      </w:pPr>
      <w:r w:rsidRPr="004F4478">
        <w:rPr>
          <w:highlight w:val="yellow"/>
        </w:rPr>
        <w:t>Source: Helpdesk du Réseau européen d'évaluation du développement rural, 2016</w:t>
      </w:r>
    </w:p>
    <w:p w:rsidR="00860A11" w:rsidRPr="004F4478" w:rsidRDefault="00860A11" w:rsidP="00240358">
      <w:pPr>
        <w:pStyle w:val="HStandard"/>
        <w:rPr>
          <w:highlight w:val="yellow"/>
        </w:rPr>
      </w:pPr>
      <w:r w:rsidRPr="004F4478">
        <w:rPr>
          <w:highlight w:val="yellow"/>
        </w:rPr>
        <w:t xml:space="preserve">Le texte ci-dessous explique plus en détail l’objectif de l'évaluation RRN  </w:t>
      </w:r>
    </w:p>
    <w:p w:rsidR="00860A11" w:rsidRPr="004F4478" w:rsidRDefault="00860A11" w:rsidP="00403F21">
      <w:pPr>
        <w:pStyle w:val="HHeading5"/>
        <w:rPr>
          <w:highlight w:val="yellow"/>
        </w:rPr>
      </w:pPr>
      <w:r w:rsidRPr="004F4478">
        <w:rPr>
          <w:highlight w:val="yellow"/>
        </w:rPr>
        <w:t xml:space="preserve">Cohérence interne et pertinence de la logique d'intervention du RRN </w:t>
      </w:r>
    </w:p>
    <w:p w:rsidR="00860A11" w:rsidRPr="004F4478" w:rsidRDefault="00860A11" w:rsidP="00403F21">
      <w:pPr>
        <w:pStyle w:val="HHeading5"/>
        <w:rPr>
          <w:highlight w:val="yellow"/>
        </w:rPr>
      </w:pPr>
      <w:r w:rsidRPr="004F4478">
        <w:rPr>
          <w:color w:val="auto"/>
          <w:highlight w:val="yellow"/>
        </w:rPr>
        <w:t xml:space="preserve">Objectifs des RRN </w:t>
      </w:r>
    </w:p>
    <w:p w:rsidR="00860A11" w:rsidRPr="004F4478" w:rsidRDefault="00860A11" w:rsidP="00403F21">
      <w:pPr>
        <w:pStyle w:val="HStandard"/>
        <w:rPr>
          <w:highlight w:val="yellow"/>
        </w:rPr>
      </w:pPr>
      <w:r w:rsidRPr="004F4478">
        <w:rPr>
          <w:highlight w:val="yellow"/>
        </w:rPr>
        <w:t>L’élaboration de la logique d'intervention du PRRN commence avec les objectifs du RRN. Le cadre juridique définit quatre objectifs de RRN communs, proposés dans la hiérarchie des objectifs du RRN comme objectifs généraux du RRN</w:t>
      </w:r>
    </w:p>
    <w:p w:rsidR="00860A11" w:rsidRPr="004F4478" w:rsidRDefault="00860A11" w:rsidP="00403F21">
      <w:pPr>
        <w:pStyle w:val="HStandard"/>
        <w:rPr>
          <w:highlight w:val="yellow"/>
        </w:rPr>
      </w:pPr>
      <w:r w:rsidRPr="004F4478">
        <w:rPr>
          <w:highlight w:val="yellow"/>
        </w:rPr>
        <w:t xml:space="preserve">La politique concernant les </w:t>
      </w:r>
      <w:r w:rsidRPr="00B97A0F">
        <w:rPr>
          <w:b/>
          <w:highlight w:val="yellow"/>
        </w:rPr>
        <w:t>objectifs des RRN</w:t>
      </w:r>
      <w:r w:rsidRPr="004F4478">
        <w:rPr>
          <w:highlight w:val="yellow"/>
        </w:rPr>
        <w:t xml:space="preserve"> est déterminée </w:t>
      </w:r>
      <w:r w:rsidRPr="00B97A0F">
        <w:rPr>
          <w:b/>
          <w:highlight w:val="yellow"/>
        </w:rPr>
        <w:t>au niveau de l'UE</w:t>
      </w:r>
      <w:r w:rsidRPr="00B97A0F">
        <w:rPr>
          <w:rFonts w:ascii="ZWAdobeF" w:hAnsi="ZWAdobeF"/>
          <w:b/>
          <w:color w:val="auto"/>
          <w:sz w:val="2"/>
          <w:highlight w:val="yellow"/>
        </w:rPr>
        <w:t>33F</w:t>
      </w:r>
      <w:r w:rsidRPr="004F4478">
        <w:rPr>
          <w:rStyle w:val="FootnoteReference"/>
          <w:highlight w:val="yellow"/>
        </w:rPr>
        <w:footnoteReference w:id="34"/>
      </w:r>
      <w:r w:rsidRPr="004F4478">
        <w:rPr>
          <w:highlight w:val="yellow"/>
        </w:rPr>
        <w:t xml:space="preserve">: </w:t>
      </w:r>
    </w:p>
    <w:p w:rsidR="00860A11" w:rsidRPr="004F4478" w:rsidRDefault="00860A11" w:rsidP="00403F21">
      <w:pPr>
        <w:pStyle w:val="Hlistbullet"/>
        <w:rPr>
          <w:highlight w:val="yellow"/>
        </w:rPr>
      </w:pPr>
      <w:r w:rsidRPr="004F4478">
        <w:rPr>
          <w:highlight w:val="yellow"/>
        </w:rPr>
        <w:t xml:space="preserve">Accroître la participation des parties prenantes à la mise en œuvre de la politique de développement rural; </w:t>
      </w:r>
    </w:p>
    <w:p w:rsidR="00860A11" w:rsidRPr="004F4478" w:rsidRDefault="00860A11" w:rsidP="00403F21">
      <w:pPr>
        <w:pStyle w:val="Hlistbullet"/>
        <w:rPr>
          <w:highlight w:val="yellow"/>
        </w:rPr>
      </w:pPr>
      <w:r w:rsidRPr="004F4478">
        <w:rPr>
          <w:highlight w:val="yellow"/>
        </w:rPr>
        <w:t xml:space="preserve">Améliorer le déploiement des programmes de développement rural; </w:t>
      </w:r>
    </w:p>
    <w:p w:rsidR="00860A11" w:rsidRPr="004F4478" w:rsidRDefault="00860A11" w:rsidP="00403F21">
      <w:pPr>
        <w:pStyle w:val="Hlistbullet"/>
        <w:rPr>
          <w:highlight w:val="yellow"/>
        </w:rPr>
      </w:pPr>
      <w:r w:rsidRPr="004F4478">
        <w:rPr>
          <w:highlight w:val="yellow"/>
        </w:rPr>
        <w:t xml:space="preserve">Informer le grand public et les bénéficiaires potentiels sur la politique de développement rural et sur les possibilités de financement; </w:t>
      </w:r>
    </w:p>
    <w:p w:rsidR="00860A11" w:rsidRPr="004F4478" w:rsidRDefault="00860A11" w:rsidP="00403F21">
      <w:pPr>
        <w:pStyle w:val="Hlistbullet2"/>
        <w:rPr>
          <w:highlight w:val="yellow"/>
        </w:rPr>
      </w:pPr>
      <w:r w:rsidRPr="004F4478">
        <w:rPr>
          <w:highlight w:val="yellow"/>
        </w:rPr>
        <w:t>Stimuler l'innovation dans l'agriculture, la production alimentaire et l’exploitation forestière ainsi que dans les zones rurales.</w:t>
      </w:r>
    </w:p>
    <w:p w:rsidR="00860A11" w:rsidRPr="004F4478" w:rsidRDefault="00860A11" w:rsidP="00403F21">
      <w:pPr>
        <w:pStyle w:val="HStandard"/>
        <w:rPr>
          <w:highlight w:val="yellow"/>
        </w:rPr>
      </w:pPr>
      <w:r w:rsidRPr="004F4478">
        <w:rPr>
          <w:highlight w:val="yellow"/>
        </w:rPr>
        <w:t xml:space="preserve">Les acteurs du RRN peuvent également définir des objectifs pour un programme de RRN spécifique si une analyse SWOT et une évaluation des besoins ont permis d’identifier des besoins spécifiques </w:t>
      </w:r>
      <w:r w:rsidRPr="004F4478">
        <w:rPr>
          <w:highlight w:val="yellow"/>
        </w:rPr>
        <w:lastRenderedPageBreak/>
        <w:t>auxquels les réseaux ruraux peuvent répondre. Les objectifs de RRN propres au programme peuvent être définis à chaque niveau de la hiérarchie des objectifs du RRN</w:t>
      </w:r>
      <w:r w:rsidRPr="004F4478">
        <w:rPr>
          <w:rStyle w:val="FootnoteReference"/>
          <w:highlight w:val="yellow"/>
        </w:rPr>
        <w:footnoteReference w:id="35"/>
      </w:r>
      <w:r w:rsidRPr="004F4478">
        <w:rPr>
          <w:highlight w:val="yellow"/>
        </w:rPr>
        <w:t xml:space="preserve">. </w:t>
      </w:r>
    </w:p>
    <w:p w:rsidR="00860A11" w:rsidRPr="004F4478" w:rsidRDefault="00860A11" w:rsidP="00403F21">
      <w:pPr>
        <w:pStyle w:val="HStandard"/>
        <w:rPr>
          <w:highlight w:val="yellow"/>
        </w:rPr>
      </w:pPr>
      <w:r w:rsidRPr="004F4478">
        <w:rPr>
          <w:highlight w:val="yellow"/>
        </w:rPr>
        <w:t xml:space="preserve">Il y a trois niveaux dans la hiérarchie des objectifs de RRN: </w:t>
      </w:r>
    </w:p>
    <w:p w:rsidR="00860A11" w:rsidRPr="004F4478" w:rsidRDefault="00860A11" w:rsidP="0088579D">
      <w:pPr>
        <w:pStyle w:val="Hlistbullet"/>
        <w:rPr>
          <w:highlight w:val="yellow"/>
        </w:rPr>
      </w:pPr>
      <w:r w:rsidRPr="00B97A0F">
        <w:rPr>
          <w:b/>
          <w:highlight w:val="yellow"/>
        </w:rPr>
        <w:t>Objectifs globaux de RRN</w:t>
      </w:r>
      <w:r w:rsidRPr="004F4478">
        <w:rPr>
          <w:highlight w:val="yellow"/>
        </w:rPr>
        <w:t xml:space="preserve"> (liés aux </w:t>
      </w:r>
      <w:r>
        <w:rPr>
          <w:highlight w:val="yellow"/>
        </w:rPr>
        <w:t>effets</w:t>
      </w:r>
      <w:r w:rsidRPr="004F4478">
        <w:rPr>
          <w:highlight w:val="yellow"/>
        </w:rPr>
        <w:t xml:space="preserve"> des RRN dans la logique d'intervention des RRN): </w:t>
      </w:r>
    </w:p>
    <w:p w:rsidR="00860A11" w:rsidRPr="004F4478" w:rsidRDefault="00860A11" w:rsidP="00892664">
      <w:pPr>
        <w:pStyle w:val="HStandard"/>
        <w:numPr>
          <w:ilvl w:val="1"/>
          <w:numId w:val="14"/>
        </w:numPr>
        <w:ind w:left="1442"/>
        <w:rPr>
          <w:highlight w:val="yellow"/>
        </w:rPr>
      </w:pPr>
      <w:r w:rsidRPr="004F4478">
        <w:rPr>
          <w:highlight w:val="yellow"/>
        </w:rPr>
        <w:t xml:space="preserve">Quatre objectifs communs de RRN, ancrés dans le cadre juridique et répondant aux objectifs politiques de l'UE mentionnés ci-dessus; </w:t>
      </w:r>
    </w:p>
    <w:p w:rsidR="00860A11" w:rsidRPr="004F4478" w:rsidRDefault="00860A11" w:rsidP="00892664">
      <w:pPr>
        <w:pStyle w:val="HStandard"/>
        <w:numPr>
          <w:ilvl w:val="1"/>
          <w:numId w:val="14"/>
        </w:numPr>
        <w:ind w:left="1442"/>
        <w:rPr>
          <w:highlight w:val="yellow"/>
        </w:rPr>
      </w:pPr>
      <w:r w:rsidRPr="004F4478">
        <w:rPr>
          <w:highlight w:val="yellow"/>
        </w:rPr>
        <w:t>Les objectifs généraux définis dans l'État membre comme propre au programme.</w:t>
      </w:r>
    </w:p>
    <w:p w:rsidR="00860A11" w:rsidRPr="004F4478" w:rsidRDefault="00860A11" w:rsidP="008C47A9">
      <w:pPr>
        <w:pStyle w:val="Hlistbullet"/>
        <w:rPr>
          <w:highlight w:val="yellow"/>
        </w:rPr>
      </w:pPr>
      <w:r w:rsidRPr="00B97A0F">
        <w:rPr>
          <w:b/>
          <w:highlight w:val="yellow"/>
        </w:rPr>
        <w:t>Objectifs spécifiques de RRN</w:t>
      </w:r>
      <w:r w:rsidRPr="004F4478">
        <w:rPr>
          <w:highlight w:val="yellow"/>
        </w:rPr>
        <w:t xml:space="preserve"> définis par l'État membre comme propres au programme (objectifs liés aux résultats des RRN dans la logique d'intervention des RRN), précisant d’avantage les objectifs globaux.</w:t>
      </w:r>
    </w:p>
    <w:p w:rsidR="00860A11" w:rsidRPr="004F4478" w:rsidRDefault="00860A11" w:rsidP="008C47A9">
      <w:pPr>
        <w:pStyle w:val="Hlistbullet2"/>
        <w:rPr>
          <w:highlight w:val="yellow"/>
        </w:rPr>
      </w:pPr>
      <w:r w:rsidRPr="00B97A0F">
        <w:rPr>
          <w:b/>
          <w:highlight w:val="yellow"/>
        </w:rPr>
        <w:t>Objectifs opérationnels</w:t>
      </w:r>
      <w:r w:rsidRPr="004F4478">
        <w:rPr>
          <w:highlight w:val="yellow"/>
        </w:rPr>
        <w:t xml:space="preserve"> définis comme propres à un programme (liés aux résultats publiés avec le plan d'action de RRN) et liés à des groupes d’actions communs et spécifiques au programme. </w:t>
      </w:r>
    </w:p>
    <w:p w:rsidR="00860A11" w:rsidRPr="004F4478" w:rsidRDefault="00860A11" w:rsidP="00403F21">
      <w:pPr>
        <w:pStyle w:val="HStandard"/>
        <w:rPr>
          <w:highlight w:val="yellow"/>
        </w:rPr>
      </w:pPr>
      <w:r w:rsidRPr="004F4478">
        <w:rPr>
          <w:highlight w:val="yellow"/>
        </w:rPr>
        <w:t xml:space="preserve">De manière générale les objectifs spécifiques et opérationnels du RRN devraient être bien définis pour répondre aux besoins spécifiques de la zone du programme, tout en respectant la </w:t>
      </w:r>
      <w:r w:rsidRPr="00B97A0F">
        <w:rPr>
          <w:b/>
          <w:highlight w:val="yellow"/>
        </w:rPr>
        <w:t>cohérence</w:t>
      </w:r>
      <w:r w:rsidRPr="004F4478">
        <w:rPr>
          <w:highlight w:val="yellow"/>
        </w:rPr>
        <w:t xml:space="preserve"> </w:t>
      </w:r>
      <w:r w:rsidRPr="00B97A0F">
        <w:rPr>
          <w:b/>
          <w:highlight w:val="yellow"/>
        </w:rPr>
        <w:t>verticale</w:t>
      </w:r>
      <w:r w:rsidRPr="004F4478">
        <w:rPr>
          <w:highlight w:val="yellow"/>
        </w:rPr>
        <w:t xml:space="preserve">. Cela signifie que si les objectifs opérationnels sont atteints, cela devrait permettre de réaliser les objectifs spécifiques et globaux. </w:t>
      </w:r>
    </w:p>
    <w:p w:rsidR="00860A11" w:rsidRPr="004F4478" w:rsidRDefault="00860A11" w:rsidP="00403F21">
      <w:pPr>
        <w:pStyle w:val="HHeading5"/>
        <w:rPr>
          <w:color w:val="auto"/>
          <w:highlight w:val="yellow"/>
        </w:rPr>
      </w:pPr>
      <w:r w:rsidRPr="004F4478">
        <w:rPr>
          <w:color w:val="auto"/>
          <w:highlight w:val="yellow"/>
        </w:rPr>
        <w:t>Effets du RRN (résultats et impacts)</w:t>
      </w:r>
    </w:p>
    <w:p w:rsidR="00860A11" w:rsidRPr="004F4478" w:rsidRDefault="00860A11" w:rsidP="00403F21">
      <w:pPr>
        <w:pStyle w:val="HStandard"/>
        <w:rPr>
          <w:highlight w:val="yellow"/>
        </w:rPr>
      </w:pPr>
      <w:r w:rsidRPr="004F4478">
        <w:rPr>
          <w:highlight w:val="yellow"/>
        </w:rPr>
        <w:t xml:space="preserve">Le RRN intervient soit par l'intermédiaire des activités du plan d'action RRN ou dans le cas du PRRN dans le cadre des opérations mises en œuvre. Le cadre juridique </w:t>
      </w:r>
      <w:r w:rsidRPr="004F4478">
        <w:rPr>
          <w:rStyle w:val="FootnoteReference"/>
          <w:highlight w:val="yellow"/>
        </w:rPr>
        <w:footnoteReference w:id="36"/>
      </w:r>
      <w:r w:rsidRPr="004F4478">
        <w:rPr>
          <w:highlight w:val="yellow"/>
        </w:rPr>
        <w:t xml:space="preserve"> prévoit un groupe d'actions communes, auxquelles on peut ajouter d'autres actions spécifiques conçues dans les États membres Bien que les liens entre les groupes d'actions communes de RRN et les objectifs communs de RRN soient proposés dans la fiche d'orientation pour la mise en place et le fonctionnement des réseaux ruraux nationaux dans l'annexe 1, les </w:t>
      </w:r>
      <w:r>
        <w:rPr>
          <w:highlight w:val="yellow"/>
        </w:rPr>
        <w:t>parties prenantes</w:t>
      </w:r>
      <w:r w:rsidRPr="004F4478">
        <w:rPr>
          <w:highlight w:val="yellow"/>
        </w:rPr>
        <w:t xml:space="preserve"> des États membres peuvent établir leurs propres liens entre les objectifs du RRN et les activités réalisées dans le cadre de la logique d'intervention spécifique du RRN. </w:t>
      </w:r>
    </w:p>
    <w:p w:rsidR="00860A11" w:rsidRPr="004F4478" w:rsidRDefault="00860A11" w:rsidP="00403F21">
      <w:pPr>
        <w:pStyle w:val="HStandard"/>
        <w:rPr>
          <w:b/>
          <w:highlight w:val="yellow"/>
        </w:rPr>
      </w:pPr>
      <w:r w:rsidRPr="004F4478">
        <w:rPr>
          <w:highlight w:val="yellow"/>
        </w:rPr>
        <w:t>Les activités du RRN génèrent des réalisations, suivies ensuite d’effets sous forme de résultats et d’</w:t>
      </w:r>
      <w:r>
        <w:rPr>
          <w:highlight w:val="yellow"/>
        </w:rPr>
        <w:t>incidences</w:t>
      </w:r>
      <w:r w:rsidRPr="004F4478">
        <w:rPr>
          <w:highlight w:val="yellow"/>
        </w:rPr>
        <w:t>.</w:t>
      </w:r>
      <w:r w:rsidRPr="004F4478">
        <w:rPr>
          <w:b/>
          <w:highlight w:val="yellow"/>
        </w:rPr>
        <w:t xml:space="preserve"> </w:t>
      </w:r>
      <w:r w:rsidRPr="004F4478">
        <w:rPr>
          <w:highlight w:val="yellow"/>
        </w:rPr>
        <w:t xml:space="preserve">Chaque niveau dans la hiérarchie des objectifs du RRN devrait être </w:t>
      </w:r>
      <w:r w:rsidRPr="00B97A0F">
        <w:rPr>
          <w:b/>
          <w:highlight w:val="yellow"/>
        </w:rPr>
        <w:t>compatible</w:t>
      </w:r>
      <w:r>
        <w:rPr>
          <w:highlight w:val="yellow"/>
        </w:rPr>
        <w:t xml:space="preserve"> </w:t>
      </w:r>
      <w:r w:rsidRPr="00B97A0F">
        <w:rPr>
          <w:b/>
          <w:highlight w:val="yellow"/>
        </w:rPr>
        <w:t>horizontalement</w:t>
      </w:r>
      <w:r w:rsidRPr="004F4478">
        <w:rPr>
          <w:highlight w:val="yellow"/>
        </w:rPr>
        <w:t xml:space="preserve"> avec son niveau d'effets attendus:</w:t>
      </w:r>
    </w:p>
    <w:p w:rsidR="00860A11" w:rsidRPr="004F4478" w:rsidRDefault="00860A11" w:rsidP="008C47A9">
      <w:pPr>
        <w:pStyle w:val="Hlistbullet"/>
        <w:rPr>
          <w:highlight w:val="yellow"/>
        </w:rPr>
      </w:pPr>
      <w:r w:rsidRPr="004F4478">
        <w:rPr>
          <w:highlight w:val="yellow"/>
        </w:rPr>
        <w:t>Objectifs opérationnels et réalisations attendues;</w:t>
      </w:r>
    </w:p>
    <w:p w:rsidR="00860A11" w:rsidRPr="004F4478" w:rsidRDefault="00860A11" w:rsidP="008C47A9">
      <w:pPr>
        <w:pStyle w:val="Hlistbullet"/>
        <w:rPr>
          <w:highlight w:val="yellow"/>
        </w:rPr>
      </w:pPr>
      <w:r w:rsidRPr="004F4478">
        <w:rPr>
          <w:highlight w:val="yellow"/>
        </w:rPr>
        <w:t>Objectifs spécifiques et résultats escomptés</w:t>
      </w:r>
    </w:p>
    <w:p w:rsidR="00860A11" w:rsidRPr="004F4478" w:rsidRDefault="00860A11" w:rsidP="008C47A9">
      <w:pPr>
        <w:pStyle w:val="Hlistbullet"/>
        <w:rPr>
          <w:highlight w:val="yellow"/>
        </w:rPr>
      </w:pPr>
      <w:r w:rsidRPr="004F4478">
        <w:rPr>
          <w:highlight w:val="yellow"/>
        </w:rPr>
        <w:t xml:space="preserve">Objectifs généraux  et impacts escomptés. </w:t>
      </w:r>
    </w:p>
    <w:p w:rsidR="00860A11" w:rsidRPr="004F4478" w:rsidRDefault="00860A11" w:rsidP="00403F21">
      <w:pPr>
        <w:pStyle w:val="HStandard"/>
        <w:ind w:firstLine="1"/>
        <w:rPr>
          <w:highlight w:val="yellow"/>
        </w:rPr>
      </w:pPr>
      <w:r w:rsidRPr="004F4478">
        <w:rPr>
          <w:highlight w:val="yellow"/>
        </w:rPr>
        <w:t xml:space="preserve">Ceci peut être illustré par le schéma suivant: </w:t>
      </w:r>
    </w:p>
    <w:p w:rsidR="00860A11" w:rsidRPr="004F4478" w:rsidRDefault="00860A11" w:rsidP="00EF2430">
      <w:pPr>
        <w:pStyle w:val="HHeadingfigures"/>
        <w:rPr>
          <w:highlight w:val="yellow"/>
        </w:rPr>
      </w:pPr>
      <w:bookmarkStart w:id="46" w:name="_Toc445465120"/>
      <w:r w:rsidRPr="004F4478">
        <w:rPr>
          <w:highlight w:val="yellow"/>
        </w:rPr>
        <w:br w:type="column"/>
      </w:r>
      <w:bookmarkStart w:id="47" w:name="_Toc451781925"/>
      <w:bookmarkStart w:id="48" w:name="_Ref451784505"/>
      <w:bookmarkStart w:id="49" w:name="_Ref451784593"/>
      <w:bookmarkStart w:id="50" w:name="_Ref451784688"/>
      <w:bookmarkStart w:id="51" w:name="_Toc463945753"/>
      <w:r w:rsidRPr="004F4478">
        <w:rPr>
          <w:highlight w:val="yellow"/>
        </w:rPr>
        <w:lastRenderedPageBreak/>
        <w:t>Cohérence verticale et horizontale entre les objectifs et les effets du RRN</w:t>
      </w:r>
      <w:bookmarkEnd w:id="46"/>
      <w:bookmarkEnd w:id="47"/>
      <w:bookmarkEnd w:id="48"/>
      <w:bookmarkEnd w:id="49"/>
      <w:bookmarkEnd w:id="50"/>
      <w:bookmarkEnd w:id="51"/>
    </w:p>
    <w:p w:rsidR="00860A11" w:rsidRPr="004F4478" w:rsidRDefault="00860A11" w:rsidP="008C47A9">
      <w:pPr>
        <w:pStyle w:val="HStandard"/>
        <w:ind w:firstLine="1"/>
        <w:jc w:val="center"/>
        <w:rPr>
          <w:highlight w:val="yellow"/>
        </w:rPr>
      </w:pPr>
      <w:r>
        <w:rPr>
          <w:noProof/>
          <w:lang w:val="en-GB" w:eastAsia="en-GB" w:bidi="ar-SA"/>
        </w:rPr>
        <w:drawing>
          <wp:inline distT="0" distB="0" distL="0" distR="0" wp14:anchorId="745BEA43" wp14:editId="05370B0C">
            <wp:extent cx="5257800" cy="45148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257800" cy="4514850"/>
                    </a:xfrm>
                    <a:prstGeom prst="rect">
                      <a:avLst/>
                    </a:prstGeom>
                  </pic:spPr>
                </pic:pic>
              </a:graphicData>
            </a:graphic>
          </wp:inline>
        </w:drawing>
      </w:r>
    </w:p>
    <w:p w:rsidR="00860A11" w:rsidRPr="004F4478" w:rsidRDefault="00860A11" w:rsidP="00403F21">
      <w:pPr>
        <w:pStyle w:val="HSource"/>
        <w:rPr>
          <w:rFonts w:cs="Arial"/>
          <w:highlight w:val="yellow"/>
        </w:rPr>
      </w:pPr>
      <w:r w:rsidRPr="004F4478">
        <w:rPr>
          <w:highlight w:val="yellow"/>
        </w:rPr>
        <w:t>Source: Helpdesk du Réseau européen d'évaluation du développement rural, 2016</w:t>
      </w:r>
    </w:p>
    <w:p w:rsidR="00860A11" w:rsidRPr="004F4478" w:rsidRDefault="00860A11" w:rsidP="00403F21">
      <w:pPr>
        <w:pStyle w:val="HStandard"/>
        <w:rPr>
          <w:highlight w:val="yellow"/>
        </w:rPr>
      </w:pPr>
      <w:r w:rsidRPr="004F4478">
        <w:rPr>
          <w:highlight w:val="yellow"/>
        </w:rPr>
        <w:t xml:space="preserve">Les effets du RRN peuvent être décrits comme suit: </w:t>
      </w:r>
    </w:p>
    <w:p w:rsidR="00860A11" w:rsidRPr="004F4478" w:rsidRDefault="00860A11" w:rsidP="005368DC">
      <w:pPr>
        <w:pStyle w:val="Hlistbullet2"/>
        <w:rPr>
          <w:highlight w:val="yellow"/>
        </w:rPr>
      </w:pPr>
      <w:r w:rsidRPr="004F4478">
        <w:rPr>
          <w:highlight w:val="yellow"/>
        </w:rPr>
        <w:t xml:space="preserve">Les </w:t>
      </w:r>
      <w:r w:rsidRPr="00B97A0F">
        <w:rPr>
          <w:b/>
          <w:highlight w:val="yellow"/>
        </w:rPr>
        <w:t>résultats du RRN</w:t>
      </w:r>
      <w:r w:rsidRPr="004F4478">
        <w:rPr>
          <w:highlight w:val="yellow"/>
        </w:rPr>
        <w:t xml:space="preserve"> sont liés horizontalement avec les objectifs spécifiques du RRN définis comme propres au programme et formulés par les parties prenantes du RRN dans le cadre de la logique d'intervention RRN. Les résultats attendus proviennent des réalisations des activités ou du plan d'action du RRN au sein du groupe des membres</w:t>
      </w:r>
      <w:r>
        <w:rPr>
          <w:highlight w:val="yellow"/>
        </w:rPr>
        <w:t xml:space="preserve"> du RRN</w:t>
      </w:r>
      <w:r w:rsidRPr="004F4478">
        <w:rPr>
          <w:highlight w:val="yellow"/>
        </w:rPr>
        <w:t xml:space="preserve"> à court terme et sont liés à des changements de comportement, d’état d’esprit, de compétences, de capacités, etc. Les résultats du RRN contribuent aux réalisations du PDR (voir </w:t>
      </w:r>
      <w:r w:rsidRPr="004F4478">
        <w:rPr>
          <w:highlight w:val="yellow"/>
        </w:rPr>
        <w:fldChar w:fldCharType="begin" w:fldLock="1"/>
      </w:r>
      <w:r w:rsidRPr="004F4478">
        <w:rPr>
          <w:highlight w:val="yellow"/>
        </w:rPr>
        <w:instrText xml:space="preserve"> REF _Ref451784361 \r \h  \* MERGEFORMAT </w:instrText>
      </w:r>
      <w:r w:rsidRPr="004F4478">
        <w:rPr>
          <w:highlight w:val="yellow"/>
        </w:rPr>
      </w:r>
      <w:r w:rsidRPr="004F4478">
        <w:rPr>
          <w:highlight w:val="yellow"/>
        </w:rPr>
        <w:fldChar w:fldCharType="separate"/>
      </w:r>
      <w:r>
        <w:rPr>
          <w:highlight w:val="yellow"/>
        </w:rPr>
        <w:t>f</w:t>
      </w:r>
      <w:r w:rsidRPr="004F4478">
        <w:rPr>
          <w:highlight w:val="yellow"/>
        </w:rPr>
        <w:t>igure 5</w:t>
      </w:r>
      <w:r w:rsidRPr="004F4478">
        <w:rPr>
          <w:highlight w:val="yellow"/>
        </w:rPr>
        <w:fldChar w:fldCharType="end"/>
      </w:r>
      <w:r w:rsidRPr="004F4478">
        <w:rPr>
          <w:highlight w:val="yellow"/>
        </w:rPr>
        <w:t xml:space="preserve">) Par exemple, si dans le plan d'action du RRN de nombreuses activités sont axées sur le transfert de pratiques innovantes pour protéger la biodiversité, on pourrait s’attendre à ce que les membres et les bénéficiaires du RRN soient davantage sensibilisés à l’innovation. </w:t>
      </w:r>
    </w:p>
    <w:p w:rsidR="00860A11" w:rsidRPr="004F4478" w:rsidRDefault="00860A11" w:rsidP="005368DC">
      <w:pPr>
        <w:pStyle w:val="Hlistbullet2"/>
        <w:rPr>
          <w:highlight w:val="yellow"/>
        </w:rPr>
      </w:pPr>
      <w:r w:rsidRPr="004F4478">
        <w:rPr>
          <w:highlight w:val="yellow"/>
        </w:rPr>
        <w:t xml:space="preserve">Les </w:t>
      </w:r>
      <w:r w:rsidRPr="002748A0">
        <w:rPr>
          <w:b/>
          <w:highlight w:val="yellow"/>
        </w:rPr>
        <w:t>incidences du RRN</w:t>
      </w:r>
      <w:r w:rsidRPr="004F4478">
        <w:rPr>
          <w:highlight w:val="yellow"/>
        </w:rPr>
        <w:t xml:space="preserve"> sont les effets du RRN sur les différents acteurs du territoire concerné par le PDR. Les </w:t>
      </w:r>
      <w:r>
        <w:rPr>
          <w:highlight w:val="yellow"/>
        </w:rPr>
        <w:t>effets</w:t>
      </w:r>
      <w:r w:rsidRPr="004F4478">
        <w:rPr>
          <w:highlight w:val="yellow"/>
        </w:rPr>
        <w:t xml:space="preserve"> attendus sont liés aux objectifs généraux ou globaux du RRN. Ils sont le produit des résultats à long terme du RRN. Les impacts du RRN contribuent aux résultats du PDR et non seulement ils  peuvent être observés dans le domaine du développement rural, mais ils affectent aussi le capital humain et social. Ainsi, grâce aux initiatives innovantes du RRN, les agriculteurs pourraient réduire les émissions d'ammoniac. En outre, </w:t>
      </w:r>
      <w:r>
        <w:rPr>
          <w:highlight w:val="yellow"/>
        </w:rPr>
        <w:t>à travers</w:t>
      </w:r>
      <w:r w:rsidRPr="004F4478">
        <w:rPr>
          <w:highlight w:val="yellow"/>
        </w:rPr>
        <w:t xml:space="preserve"> des activités du RRN </w:t>
      </w:r>
      <w:r>
        <w:rPr>
          <w:highlight w:val="yellow"/>
        </w:rPr>
        <w:t>la participation</w:t>
      </w:r>
      <w:r w:rsidRPr="004F4478">
        <w:rPr>
          <w:highlight w:val="yellow"/>
        </w:rPr>
        <w:t xml:space="preserve"> des acteurs dans le développement rural et la communication dans les zones rurales peut être améliorée (voir </w:t>
      </w:r>
      <w:r w:rsidRPr="004F4478">
        <w:rPr>
          <w:highlight w:val="yellow"/>
        </w:rPr>
        <w:fldChar w:fldCharType="begin" w:fldLock="1"/>
      </w:r>
      <w:r w:rsidRPr="004F4478">
        <w:rPr>
          <w:highlight w:val="yellow"/>
        </w:rPr>
        <w:instrText xml:space="preserve"> REF _Ref451784376 \r \h  \* MERGEFORMAT </w:instrText>
      </w:r>
      <w:r w:rsidRPr="004F4478">
        <w:rPr>
          <w:highlight w:val="yellow"/>
        </w:rPr>
      </w:r>
      <w:r w:rsidRPr="004F4478">
        <w:rPr>
          <w:highlight w:val="yellow"/>
        </w:rPr>
        <w:fldChar w:fldCharType="separate"/>
      </w:r>
      <w:r>
        <w:rPr>
          <w:highlight w:val="yellow"/>
        </w:rPr>
        <w:t>f</w:t>
      </w:r>
      <w:r w:rsidRPr="004F4478">
        <w:rPr>
          <w:highlight w:val="yellow"/>
        </w:rPr>
        <w:t>igure 7</w:t>
      </w:r>
      <w:r w:rsidRPr="004F4478">
        <w:rPr>
          <w:highlight w:val="yellow"/>
        </w:rPr>
        <w:fldChar w:fldCharType="end"/>
      </w:r>
      <w:r w:rsidRPr="004F4478">
        <w:rPr>
          <w:highlight w:val="yellow"/>
        </w:rPr>
        <w:t>)</w:t>
      </w:r>
      <w:r>
        <w:rPr>
          <w:highlight w:val="yellow"/>
        </w:rPr>
        <w:t>.</w:t>
      </w:r>
    </w:p>
    <w:p w:rsidR="00860A11" w:rsidRPr="004F4478" w:rsidRDefault="00860A11" w:rsidP="008C47A9">
      <w:pPr>
        <w:pStyle w:val="HStandard"/>
        <w:rPr>
          <w:highlight w:val="yellow"/>
        </w:rPr>
      </w:pPr>
      <w:r w:rsidRPr="004F4478">
        <w:rPr>
          <w:highlight w:val="yellow"/>
        </w:rPr>
        <w:t xml:space="preserve">Les </w:t>
      </w:r>
      <w:r>
        <w:rPr>
          <w:highlight w:val="yellow"/>
        </w:rPr>
        <w:t>incidences</w:t>
      </w:r>
      <w:r w:rsidRPr="004F4478">
        <w:rPr>
          <w:highlight w:val="yellow"/>
        </w:rPr>
        <w:t xml:space="preserve"> du RRN sur le capital humain et social (souvent appelés «valeur ajoutée» des réseaux) représentent un très large éventail de différents types d’avantages pour différents groupes de parties prenantes qui peuvent - ou non - être les membres et les bénéficiaires du RRN.</w:t>
      </w:r>
      <w:r w:rsidRPr="004F4478">
        <w:rPr>
          <w:color w:val="auto"/>
          <w:highlight w:val="yellow"/>
        </w:rPr>
        <w:t xml:space="preserve"> </w:t>
      </w:r>
      <w:r w:rsidRPr="004F4478">
        <w:rPr>
          <w:rFonts w:eastAsiaTheme="minorHAnsi"/>
          <w:highlight w:val="yellow"/>
        </w:rPr>
        <w:t xml:space="preserve">Les </w:t>
      </w:r>
      <w:r>
        <w:rPr>
          <w:rFonts w:eastAsiaTheme="minorHAnsi"/>
          <w:highlight w:val="yellow"/>
        </w:rPr>
        <w:t>incidences</w:t>
      </w:r>
      <w:r w:rsidRPr="004F4478">
        <w:rPr>
          <w:rFonts w:eastAsiaTheme="minorHAnsi"/>
          <w:highlight w:val="yellow"/>
        </w:rPr>
        <w:t xml:space="preserve"> sur le capital humain et social sont envisagé</w:t>
      </w:r>
      <w:r>
        <w:rPr>
          <w:rFonts w:eastAsiaTheme="minorHAnsi"/>
          <w:highlight w:val="yellow"/>
        </w:rPr>
        <w:t>e</w:t>
      </w:r>
      <w:r w:rsidRPr="004F4478">
        <w:rPr>
          <w:rFonts w:eastAsiaTheme="minorHAnsi"/>
          <w:highlight w:val="yellow"/>
        </w:rPr>
        <w:t xml:space="preserve">s à différents niveaux: </w:t>
      </w:r>
    </w:p>
    <w:p w:rsidR="00860A11" w:rsidRPr="004F4478" w:rsidRDefault="00860A11" w:rsidP="00D866BD">
      <w:pPr>
        <w:pStyle w:val="Hlistbullet2"/>
        <w:rPr>
          <w:highlight w:val="yellow"/>
        </w:rPr>
      </w:pPr>
      <w:r w:rsidRPr="004F4478">
        <w:rPr>
          <w:b/>
          <w:highlight w:val="yellow"/>
        </w:rPr>
        <w:lastRenderedPageBreak/>
        <w:t>Au niveau individuel</w:t>
      </w:r>
      <w:r w:rsidRPr="004F4478">
        <w:rPr>
          <w:highlight w:val="yellow"/>
        </w:rPr>
        <w:t xml:space="preserve">, les </w:t>
      </w:r>
      <w:r>
        <w:rPr>
          <w:highlight w:val="yellow"/>
        </w:rPr>
        <w:t>individus</w:t>
      </w:r>
      <w:r w:rsidRPr="004F4478">
        <w:rPr>
          <w:highlight w:val="yellow"/>
        </w:rPr>
        <w:t xml:space="preserve"> impliqués dans des activités de réseautage ou en bénéficiant peuvent changer leur comportement ou renforcer leur capacité d’innovation. Ils améliorent leur capacité à anticiper, à relever des défis et à adopter une mentalité d'entrepreneur ouvert et créatif. Ils apprennent également à maîtriser les nouvelles technologies et à les intégrer aux trésors de connaissances implicites provenant des traditions locales ainsi qu’aux connaissances et aux compétences acquises dans leurs milieux éducatifs et professionnels. Leur potentiel de coopération et de négociation s’en trouve amélioré dans les relations et les interactions d’un environnement de plus en plus diversifié.</w:t>
      </w:r>
    </w:p>
    <w:p w:rsidR="00860A11" w:rsidRPr="004F4478" w:rsidRDefault="00860A11" w:rsidP="008C47A9">
      <w:pPr>
        <w:pStyle w:val="Hlistbullet2"/>
        <w:rPr>
          <w:highlight w:val="yellow"/>
        </w:rPr>
      </w:pPr>
      <w:r w:rsidRPr="004F4478">
        <w:rPr>
          <w:b/>
          <w:highlight w:val="yellow"/>
        </w:rPr>
        <w:t>Au niveau de l'entreprise,</w:t>
      </w:r>
      <w:r w:rsidRPr="004F4478">
        <w:rPr>
          <w:highlight w:val="yellow"/>
        </w:rPr>
        <w:t xml:space="preserve"> les affaires permettent de développer les compétences individuelles, une culture de coopération dans l'entreprise et inter-entreprises, dans un environnement complexe où la coopération et la concurrence s’imbriquent de multiples façons. Les entreprises sont censées se transformer et adopter les valeurs de qualité du travail et de qualité des produits. </w:t>
      </w:r>
    </w:p>
    <w:p w:rsidR="00860A11" w:rsidRPr="004F4478" w:rsidRDefault="00860A11" w:rsidP="008C47A9">
      <w:pPr>
        <w:pStyle w:val="Hlistbullet2"/>
        <w:rPr>
          <w:highlight w:val="yellow"/>
        </w:rPr>
      </w:pPr>
      <w:r w:rsidRPr="004F4478">
        <w:rPr>
          <w:b/>
          <w:highlight w:val="yellow"/>
        </w:rPr>
        <w:t>Les organisations de la société civile</w:t>
      </w:r>
      <w:r w:rsidRPr="004F4478">
        <w:rPr>
          <w:highlight w:val="yellow"/>
        </w:rPr>
        <w:t xml:space="preserve"> sont des participants réguliers, en faisant part de leurs préoccupations, en partageant leurs compétences et expertises issues de leurs actions et en représentant des intérêts qui sont souvent négligés dans le jeu mondial de la richesse et de la puissance.</w:t>
      </w:r>
    </w:p>
    <w:p w:rsidR="00860A11" w:rsidRPr="004F4478" w:rsidRDefault="00860A11" w:rsidP="008C47A9">
      <w:pPr>
        <w:pStyle w:val="Hlistbullet2"/>
        <w:rPr>
          <w:highlight w:val="yellow"/>
        </w:rPr>
      </w:pPr>
      <w:r w:rsidRPr="004F4478">
        <w:rPr>
          <w:b/>
          <w:highlight w:val="yellow"/>
        </w:rPr>
        <w:t>Les institutions</w:t>
      </w:r>
      <w:r w:rsidRPr="004F4478">
        <w:rPr>
          <w:highlight w:val="yellow"/>
        </w:rPr>
        <w:t xml:space="preserve"> sont remodelées en fonction de leur but et pour se mettre vraiment au service des individus et des communautés; en assurant la continuité dans un monde où l'incertitude augmente, mais qui est prêt à s’adapter et à se transformer lorsque les circonstances l'exigent.</w:t>
      </w:r>
    </w:p>
    <w:p w:rsidR="00860A11" w:rsidRPr="004F4478" w:rsidRDefault="00860A11" w:rsidP="008C47A9">
      <w:pPr>
        <w:pStyle w:val="Hlistbullet2"/>
        <w:rPr>
          <w:highlight w:val="yellow"/>
        </w:rPr>
      </w:pPr>
      <w:r w:rsidRPr="004F4478">
        <w:rPr>
          <w:b/>
          <w:highlight w:val="yellow"/>
        </w:rPr>
        <w:t>Le secteur économique et social et les communautés locales</w:t>
      </w:r>
      <w:r w:rsidRPr="004F4478">
        <w:rPr>
          <w:highlight w:val="yellow"/>
        </w:rPr>
        <w:t xml:space="preserve"> peuvent être considérés comme des systèmes de coopération entre des personnes, des entreprises, des institutions et des organisations de la société civile. Ces organisations profitent de nouvelles impulsions, expérimentent de nouvelles options pour innover, se diversifier et devenir les précurseurs de transformations à plus grande échelle, pour relever les défis futurs qui ne pourront pas être relevés par la seule action locale.</w:t>
      </w:r>
    </w:p>
    <w:p w:rsidR="00860A11" w:rsidRPr="004F4478" w:rsidRDefault="00860A11" w:rsidP="00403F21">
      <w:pPr>
        <w:rPr>
          <w:rFonts w:cs="Arial"/>
          <w:b/>
          <w:color w:val="E7E6E6" w:themeColor="background2"/>
          <w:sz w:val="20"/>
          <w:szCs w:val="20"/>
          <w:highlight w:val="yellow"/>
        </w:rPr>
      </w:pPr>
      <w:r w:rsidRPr="004F4478">
        <w:rPr>
          <w:sz w:val="20"/>
          <w:highlight w:val="yellow"/>
        </w:rPr>
        <w:t>Les résultats et impacts du RRN peuvent également représenter des sujets d'évaluation autonomes (par exemple les capacités de réseautage).</w:t>
      </w:r>
    </w:p>
    <w:tbl>
      <w:tblPr>
        <w:tblStyle w:val="TableGrid"/>
        <w:tblW w:w="0" w:type="auto"/>
        <w:jc w:val="center"/>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860A11" w:rsidRPr="004F4478" w:rsidTr="006F407B">
        <w:trPr>
          <w:jc w:val="center"/>
        </w:trPr>
        <w:tc>
          <w:tcPr>
            <w:tcW w:w="9016" w:type="dxa"/>
            <w:shd w:val="clear" w:color="auto" w:fill="F5F4F4" w:themeFill="background2" w:themeFillTint="66"/>
          </w:tcPr>
          <w:p w:rsidR="00860A11" w:rsidRPr="004F4478" w:rsidRDefault="00860A11" w:rsidP="007D1DEB">
            <w:pPr>
              <w:pStyle w:val="HStandard"/>
              <w:rPr>
                <w:b/>
                <w:highlight w:val="yellow"/>
              </w:rPr>
            </w:pPr>
            <w:r w:rsidRPr="004F4478">
              <w:rPr>
                <w:b/>
                <w:highlight w:val="yellow"/>
              </w:rPr>
              <w:t xml:space="preserve">La logique d'intervention du RRN est la base de l'évaluation du RRN. Elle est conçue pour répondre aux besoins spécifiques de la zone de programmation faisant l’objet du RRN. </w:t>
            </w:r>
          </w:p>
          <w:p w:rsidR="00860A11" w:rsidRPr="004F4478" w:rsidRDefault="00860A11" w:rsidP="00501EAB">
            <w:pPr>
              <w:pStyle w:val="HStandard"/>
              <w:rPr>
                <w:b/>
                <w:highlight w:val="yellow"/>
              </w:rPr>
            </w:pPr>
            <w:r w:rsidRPr="004F4478">
              <w:rPr>
                <w:b/>
                <w:highlight w:val="yellow"/>
              </w:rPr>
              <w:t xml:space="preserve">La logique d'intervention du RRN comprend des objectifs du RRN, les activités et les effets attendus. Elle est déployée en respectant une cohérence verticale et horizontale. </w:t>
            </w:r>
          </w:p>
          <w:p w:rsidR="00860A11" w:rsidRPr="004F4478" w:rsidRDefault="00860A11" w:rsidP="007D1DEB">
            <w:pPr>
              <w:pStyle w:val="HStandard"/>
              <w:rPr>
                <w:b/>
                <w:highlight w:val="yellow"/>
              </w:rPr>
            </w:pPr>
            <w:r w:rsidRPr="004F4478">
              <w:rPr>
                <w:b/>
                <w:highlight w:val="yellow"/>
              </w:rPr>
              <w:t xml:space="preserve">La logique d'intervention devrait rester solide pendant la période de programmation à moins que les besoins de la zone de programme aient changé de manière significative. </w:t>
            </w:r>
          </w:p>
          <w:p w:rsidR="00860A11" w:rsidRPr="004F4478" w:rsidRDefault="00860A11" w:rsidP="0024775E">
            <w:pPr>
              <w:pStyle w:val="HStandard"/>
              <w:rPr>
                <w:b/>
                <w:color w:val="E7E6E6" w:themeColor="background2"/>
                <w:highlight w:val="yellow"/>
              </w:rPr>
            </w:pPr>
            <w:r w:rsidRPr="004F4478">
              <w:rPr>
                <w:b/>
                <w:highlight w:val="yellow"/>
              </w:rPr>
              <w:t>L’évaluation du RRN vise la pertinence, l'efficacité et la productivité des interventions , la réalisation des objectifs du réseau, ainsi que l'évaluation des résultats et des impacts.</w:t>
            </w:r>
          </w:p>
        </w:tc>
      </w:tr>
    </w:tbl>
    <w:p w:rsidR="00860A11" w:rsidRPr="004F4478" w:rsidRDefault="00860A11" w:rsidP="00403F21">
      <w:pPr>
        <w:pStyle w:val="HHeading5"/>
        <w:rPr>
          <w:highlight w:val="yellow"/>
        </w:rPr>
      </w:pPr>
      <w:r w:rsidRPr="004F4478">
        <w:rPr>
          <w:highlight w:val="yellow"/>
        </w:rPr>
        <w:t>Cohérence externe de la logique d'intervention du RRN</w:t>
      </w:r>
    </w:p>
    <w:p w:rsidR="00860A11" w:rsidRPr="004F4478" w:rsidRDefault="00860A11" w:rsidP="00403F21">
      <w:pPr>
        <w:pStyle w:val="HStandard"/>
        <w:rPr>
          <w:rFonts w:eastAsia="Calibri"/>
          <w:highlight w:val="yellow"/>
        </w:rPr>
      </w:pPr>
      <w:r w:rsidRPr="004F4478">
        <w:rPr>
          <w:highlight w:val="yellow"/>
        </w:rPr>
        <w:t>Financé par le F</w:t>
      </w:r>
      <w:r>
        <w:rPr>
          <w:highlight w:val="yellow"/>
        </w:rPr>
        <w:t>eader</w:t>
      </w:r>
      <w:r w:rsidRPr="004F4478">
        <w:rPr>
          <w:highlight w:val="yellow"/>
        </w:rPr>
        <w:t xml:space="preserve">, le RRN a pour but ultime de soutenir les objectifs de la politique de développement rural de l'UE. Cela couvre le bien-être socio-économique de la population rurale, ainsi que l'intégrité environnementale, culturelle et esthétique des zones rurales, sans oublier la contribution des zones rurales au développement durable de la société dans son ensemble, au-delà des frontières. Cela ne se réalisera que si la logique d'intervention du RRN est </w:t>
      </w:r>
      <w:r w:rsidRPr="005174F1">
        <w:rPr>
          <w:b/>
          <w:highlight w:val="yellow"/>
        </w:rPr>
        <w:t>compatible, sur le plan</w:t>
      </w:r>
      <w:r w:rsidRPr="004F4478">
        <w:rPr>
          <w:highlight w:val="yellow"/>
        </w:rPr>
        <w:t xml:space="preserve"> </w:t>
      </w:r>
      <w:r w:rsidRPr="005174F1">
        <w:rPr>
          <w:b/>
          <w:highlight w:val="yellow"/>
        </w:rPr>
        <w:t>externe</w:t>
      </w:r>
      <w:r w:rsidRPr="004F4478">
        <w:rPr>
          <w:highlight w:val="yellow"/>
        </w:rPr>
        <w:t xml:space="preserve">, avec les objectifs de la politique de développement rural. </w:t>
      </w:r>
    </w:p>
    <w:p w:rsidR="00860A11" w:rsidRPr="004F4478" w:rsidRDefault="00860A11" w:rsidP="00403F21">
      <w:pPr>
        <w:pStyle w:val="HStandard"/>
        <w:rPr>
          <w:rFonts w:eastAsia="Calibri"/>
          <w:highlight w:val="yellow"/>
        </w:rPr>
      </w:pPr>
      <w:r w:rsidRPr="004F4478">
        <w:rPr>
          <w:highlight w:val="yellow"/>
        </w:rPr>
        <w:t xml:space="preserve">La cohérence externe de la logique d'intervention RRN signifie que la réalisation des quatre objectifs communs du RRN assure également la contribution de celui-ci aux objectifs du PDR (un seul PDR ou plusieurs, dans le cas d'un PRRN). De la même manière que le RRN contribue aux objectifs du PDR, les résultats du RRN devraient contribuer aux résultats </w:t>
      </w:r>
      <w:r>
        <w:rPr>
          <w:highlight w:val="yellow"/>
        </w:rPr>
        <w:t>du</w:t>
      </w:r>
      <w:r w:rsidRPr="004F4478">
        <w:rPr>
          <w:highlight w:val="yellow"/>
        </w:rPr>
        <w:t xml:space="preserve"> PDR et les </w:t>
      </w:r>
      <w:r>
        <w:rPr>
          <w:highlight w:val="yellow"/>
        </w:rPr>
        <w:t>effets</w:t>
      </w:r>
      <w:r w:rsidRPr="004F4478">
        <w:rPr>
          <w:highlight w:val="yellow"/>
        </w:rPr>
        <w:t xml:space="preserve"> du RRN aux résultats du </w:t>
      </w:r>
      <w:r w:rsidRPr="004F4478">
        <w:rPr>
          <w:highlight w:val="yellow"/>
        </w:rPr>
        <w:lastRenderedPageBreak/>
        <w:t xml:space="preserve">PDR. En outre, le RRN a généralement des </w:t>
      </w:r>
      <w:r>
        <w:rPr>
          <w:highlight w:val="yellow"/>
        </w:rPr>
        <w:t>incidences</w:t>
      </w:r>
      <w:r w:rsidRPr="004F4478">
        <w:rPr>
          <w:highlight w:val="yellow"/>
        </w:rPr>
        <w:t xml:space="preserve"> sur l'environnement social au sein du groupe de bénéficiaires directs et indirects du RRN ainsi que sur les non-bénéficiaires dans le domaine du capital humain et social. Le capital social généré par le RRN peut également affecter les </w:t>
      </w:r>
      <w:r>
        <w:rPr>
          <w:highlight w:val="yellow"/>
        </w:rPr>
        <w:t>incidences</w:t>
      </w:r>
      <w:r w:rsidRPr="004F4478">
        <w:rPr>
          <w:highlight w:val="yellow"/>
        </w:rPr>
        <w:t xml:space="preserve"> du PDR tel qu’illustré dans le graphique suivant:</w:t>
      </w:r>
    </w:p>
    <w:p w:rsidR="00860A11" w:rsidRPr="004F4478" w:rsidRDefault="00860A11" w:rsidP="00EF2430">
      <w:pPr>
        <w:pStyle w:val="HHeadingfigures"/>
        <w:rPr>
          <w:highlight w:val="yellow"/>
        </w:rPr>
      </w:pPr>
      <w:bookmarkStart w:id="52" w:name="_Toc445465121"/>
      <w:r w:rsidRPr="004F4478">
        <w:rPr>
          <w:highlight w:val="yellow"/>
        </w:rPr>
        <w:br w:type="column"/>
      </w:r>
      <w:bookmarkStart w:id="53" w:name="_Toc451781926"/>
      <w:bookmarkStart w:id="54" w:name="_Ref451784376"/>
      <w:bookmarkStart w:id="55" w:name="_Ref451784562"/>
      <w:bookmarkStart w:id="56" w:name="_Toc463945754"/>
      <w:r w:rsidRPr="004F4478">
        <w:rPr>
          <w:highlight w:val="yellow"/>
        </w:rPr>
        <w:lastRenderedPageBreak/>
        <w:t xml:space="preserve">Effets du RRN et contribution aux réalisations, résultats et </w:t>
      </w:r>
      <w:r>
        <w:rPr>
          <w:highlight w:val="yellow"/>
        </w:rPr>
        <w:t>incidences</w:t>
      </w:r>
      <w:r w:rsidRPr="004F4478">
        <w:rPr>
          <w:highlight w:val="yellow"/>
        </w:rPr>
        <w:t xml:space="preserve"> du PDR</w:t>
      </w:r>
      <w:bookmarkEnd w:id="52"/>
      <w:bookmarkEnd w:id="53"/>
      <w:bookmarkEnd w:id="54"/>
      <w:bookmarkEnd w:id="55"/>
      <w:bookmarkEnd w:id="56"/>
    </w:p>
    <w:p w:rsidR="00860A11" w:rsidRPr="004F4478" w:rsidRDefault="00860A11" w:rsidP="00A82087">
      <w:pPr>
        <w:pStyle w:val="HStandard"/>
        <w:jc w:val="center"/>
        <w:rPr>
          <w:rFonts w:eastAsia="Calibri"/>
          <w:sz w:val="12"/>
          <w:szCs w:val="12"/>
          <w:highlight w:val="yellow"/>
        </w:rPr>
      </w:pPr>
      <w:r>
        <w:rPr>
          <w:noProof/>
          <w:lang w:val="en-GB" w:eastAsia="en-GB" w:bidi="ar-SA"/>
        </w:rPr>
        <w:drawing>
          <wp:inline distT="0" distB="0" distL="0" distR="0" wp14:anchorId="2BAF84D5" wp14:editId="07879F12">
            <wp:extent cx="5400675" cy="318135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400675" cy="3181350"/>
                    </a:xfrm>
                    <a:prstGeom prst="rect">
                      <a:avLst/>
                    </a:prstGeom>
                  </pic:spPr>
                </pic:pic>
              </a:graphicData>
            </a:graphic>
          </wp:inline>
        </w:drawing>
      </w:r>
      <w:r w:rsidRPr="004F4478">
        <w:rPr>
          <w:highlight w:val="yellow"/>
        </w:rPr>
        <w:t>Source:</w:t>
      </w:r>
      <w:r w:rsidRPr="004F4478">
        <w:rPr>
          <w:sz w:val="16"/>
          <w:highlight w:val="yellow"/>
        </w:rPr>
        <w:t xml:space="preserve"> Helpdesk du Réseau européen d'évaluation du développement rural, 2016</w:t>
      </w:r>
    </w:p>
    <w:p w:rsidR="00860A11" w:rsidRPr="004F4478" w:rsidRDefault="00860A11" w:rsidP="0031367A">
      <w:pPr>
        <w:pStyle w:val="HStandard"/>
        <w:rPr>
          <w:rFonts w:eastAsia="Calibri"/>
          <w:highlight w:val="yellow"/>
        </w:rPr>
      </w:pPr>
      <w:r w:rsidRPr="004F4478">
        <w:rPr>
          <w:highlight w:val="yellow"/>
        </w:rPr>
        <w:t xml:space="preserve">A travers les objectifs, les résultats et les </w:t>
      </w:r>
      <w:r>
        <w:rPr>
          <w:highlight w:val="yellow"/>
        </w:rPr>
        <w:t>incidences</w:t>
      </w:r>
      <w:r w:rsidRPr="004F4478">
        <w:rPr>
          <w:highlight w:val="yellow"/>
        </w:rPr>
        <w:t xml:space="preserve"> du PDR, le RRN est également lié aux objectifs de la politique de développement rural de l'UE et, par conséquent, aux priorités et grands objectifs de la stratégie </w:t>
      </w:r>
      <w:r>
        <w:rPr>
          <w:highlight w:val="yellow"/>
        </w:rPr>
        <w:t>U</w:t>
      </w:r>
      <w:r w:rsidRPr="004F4478">
        <w:rPr>
          <w:highlight w:val="yellow"/>
        </w:rPr>
        <w:t>E</w:t>
      </w:r>
      <w:r>
        <w:rPr>
          <w:highlight w:val="yellow"/>
        </w:rPr>
        <w:t xml:space="preserve"> </w:t>
      </w:r>
      <w:r w:rsidRPr="004F4478">
        <w:rPr>
          <w:highlight w:val="yellow"/>
        </w:rPr>
        <w:t xml:space="preserve">2020 à un autre niveau de cohérence externe. </w:t>
      </w:r>
    </w:p>
    <w:p w:rsidR="00860A11" w:rsidRPr="004F4478" w:rsidRDefault="00860A11" w:rsidP="0031367A">
      <w:pPr>
        <w:pStyle w:val="HStandard"/>
        <w:rPr>
          <w:rFonts w:eastAsia="Calibri"/>
          <w:highlight w:val="yellow"/>
        </w:rPr>
      </w:pPr>
      <w:r w:rsidRPr="004F4478">
        <w:rPr>
          <w:highlight w:val="yellow"/>
        </w:rPr>
        <w:t xml:space="preserve">La cohérence externe du RRN avec le/les PDR, le développement rural et les objectifs politiques horizontaux et avec les résultats et </w:t>
      </w:r>
      <w:r>
        <w:rPr>
          <w:highlight w:val="yellow"/>
        </w:rPr>
        <w:t>incidences</w:t>
      </w:r>
      <w:r w:rsidRPr="004F4478">
        <w:rPr>
          <w:highlight w:val="yellow"/>
        </w:rPr>
        <w:t xml:space="preserve"> des PDR est illustrée </w:t>
      </w:r>
      <w:r>
        <w:rPr>
          <w:highlight w:val="yellow"/>
        </w:rPr>
        <w:t>à</w:t>
      </w:r>
      <w:r w:rsidRPr="004F4478">
        <w:rPr>
          <w:highlight w:val="yellow"/>
        </w:rPr>
        <w:t xml:space="preserve"> la</w:t>
      </w:r>
      <w:r>
        <w:rPr>
          <w:highlight w:val="yellow"/>
        </w:rPr>
        <w:t xml:space="preserve"> </w:t>
      </w:r>
      <w:r w:rsidRPr="004F4478">
        <w:rPr>
          <w:rFonts w:eastAsia="Calibri"/>
          <w:highlight w:val="yellow"/>
        </w:rPr>
        <w:fldChar w:fldCharType="begin" w:fldLock="1"/>
      </w:r>
      <w:r w:rsidRPr="004F4478">
        <w:rPr>
          <w:rFonts w:eastAsia="Calibri"/>
          <w:highlight w:val="yellow"/>
        </w:rPr>
        <w:instrText xml:space="preserve"> REF _Ref451784406 \r \h  \* MERGEFORMAT </w:instrText>
      </w:r>
      <w:r w:rsidRPr="004F4478">
        <w:rPr>
          <w:rFonts w:eastAsia="Calibri"/>
          <w:highlight w:val="yellow"/>
        </w:rPr>
      </w:r>
      <w:r w:rsidRPr="004F4478">
        <w:rPr>
          <w:rFonts w:eastAsia="Calibri"/>
          <w:highlight w:val="yellow"/>
        </w:rPr>
        <w:fldChar w:fldCharType="separate"/>
      </w:r>
      <w:r>
        <w:rPr>
          <w:rFonts w:eastAsia="Calibri"/>
          <w:highlight w:val="yellow"/>
        </w:rPr>
        <w:t>f</w:t>
      </w:r>
      <w:r w:rsidRPr="004F4478">
        <w:rPr>
          <w:rFonts w:eastAsia="Calibri"/>
          <w:highlight w:val="yellow"/>
        </w:rPr>
        <w:t>igure 8</w:t>
      </w:r>
      <w:r w:rsidRPr="004F4478">
        <w:rPr>
          <w:rFonts w:eastAsia="Calibri"/>
          <w:highlight w:val="yellow"/>
        </w:rPr>
        <w:fldChar w:fldCharType="end"/>
      </w:r>
      <w:r w:rsidRPr="004F4478">
        <w:rPr>
          <w:highlight w:val="yellow"/>
        </w:rPr>
        <w:t xml:space="preserve">. </w:t>
      </w:r>
    </w:p>
    <w:p w:rsidR="00860A11" w:rsidRPr="004F4478" w:rsidRDefault="00860A11" w:rsidP="00EF2430">
      <w:pPr>
        <w:pStyle w:val="HHeadingfigures"/>
        <w:rPr>
          <w:highlight w:val="yellow"/>
        </w:rPr>
      </w:pPr>
      <w:bookmarkStart w:id="57" w:name="_Toc445465122"/>
      <w:bookmarkStart w:id="58" w:name="_Toc451781927"/>
      <w:bookmarkStart w:id="59" w:name="_Ref451784406"/>
      <w:bookmarkStart w:id="60" w:name="_Ref451784429"/>
      <w:bookmarkStart w:id="61" w:name="_Ref451784787"/>
      <w:bookmarkStart w:id="62" w:name="_Toc463945755"/>
      <w:r w:rsidRPr="004F4478">
        <w:rPr>
          <w:highlight w:val="yellow"/>
        </w:rPr>
        <w:t>Contribution du RRN aux objectifs nationaux, du PDR et de l’UE</w:t>
      </w:r>
      <w:bookmarkEnd w:id="57"/>
      <w:bookmarkEnd w:id="58"/>
      <w:bookmarkEnd w:id="59"/>
      <w:bookmarkEnd w:id="60"/>
      <w:bookmarkEnd w:id="61"/>
      <w:bookmarkEnd w:id="62"/>
    </w:p>
    <w:p w:rsidR="00860A11" w:rsidRPr="004F4478" w:rsidRDefault="00860A11" w:rsidP="00F94860">
      <w:pPr>
        <w:pStyle w:val="HStandard"/>
        <w:jc w:val="center"/>
        <w:rPr>
          <w:highlight w:val="yellow"/>
        </w:rPr>
      </w:pPr>
      <w:r>
        <w:rPr>
          <w:noProof/>
          <w:lang w:val="en-GB" w:eastAsia="en-GB" w:bidi="ar-SA"/>
        </w:rPr>
        <w:lastRenderedPageBreak/>
        <w:drawing>
          <wp:inline distT="0" distB="0" distL="0" distR="0" wp14:anchorId="78EE3826" wp14:editId="65ECF600">
            <wp:extent cx="5448300" cy="44386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448300" cy="4438650"/>
                    </a:xfrm>
                    <a:prstGeom prst="rect">
                      <a:avLst/>
                    </a:prstGeom>
                  </pic:spPr>
                </pic:pic>
              </a:graphicData>
            </a:graphic>
          </wp:inline>
        </w:drawing>
      </w:r>
    </w:p>
    <w:p w:rsidR="00860A11" w:rsidRPr="004F4478" w:rsidRDefault="00860A11" w:rsidP="0031367A">
      <w:pPr>
        <w:pStyle w:val="HSource"/>
        <w:rPr>
          <w:rFonts w:eastAsia="Calibri"/>
          <w:highlight w:val="yellow"/>
        </w:rPr>
      </w:pPr>
      <w:r w:rsidRPr="004F4478">
        <w:rPr>
          <w:highlight w:val="yellow"/>
        </w:rPr>
        <w:t>Source: Helpdesk du Réseau européen d'évaluation du développement rural, 2016</w:t>
      </w:r>
    </w:p>
    <w:p w:rsidR="00860A11" w:rsidRPr="004F4478" w:rsidRDefault="00860A11" w:rsidP="0031367A">
      <w:pPr>
        <w:pStyle w:val="HStandard"/>
        <w:rPr>
          <w:rFonts w:eastAsia="Calibri"/>
          <w:highlight w:val="yellow"/>
        </w:rPr>
      </w:pPr>
      <w:r w:rsidRPr="004F4478">
        <w:rPr>
          <w:highlight w:val="yellow"/>
        </w:rPr>
        <w:t>La contribution du RRN à certains objectifs politiques peut aussi représenter des sujets d'évaluation autonomes (par exemple, les contributions réalisées par le RRN à l'amélioration de la biodiversité, du changement climatique, etc.).</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860A11" w:rsidRPr="004F4478" w:rsidTr="00D70CE9">
        <w:tc>
          <w:tcPr>
            <w:tcW w:w="9016" w:type="dxa"/>
            <w:shd w:val="clear" w:color="auto" w:fill="F5F4F4" w:themeFill="background2" w:themeFillTint="66"/>
          </w:tcPr>
          <w:p w:rsidR="00860A11" w:rsidRPr="004F4478" w:rsidRDefault="00860A11" w:rsidP="00B67AEC">
            <w:pPr>
              <w:pStyle w:val="HStandard"/>
              <w:rPr>
                <w:rFonts w:eastAsia="Calibri"/>
                <w:b/>
                <w:highlight w:val="yellow"/>
              </w:rPr>
            </w:pPr>
            <w:r w:rsidRPr="004F4478">
              <w:rPr>
                <w:b/>
                <w:highlight w:val="yellow"/>
              </w:rPr>
              <w:t xml:space="preserve">La cohérence externe signifie que la logique d'intervention du RRN contribue à la fois aux objectifs du PDR et aux objectifs de l'UE. </w:t>
            </w:r>
          </w:p>
          <w:p w:rsidR="00860A11" w:rsidRPr="004F4478" w:rsidRDefault="00860A11" w:rsidP="00501EAB">
            <w:pPr>
              <w:pStyle w:val="HStandard"/>
              <w:rPr>
                <w:rFonts w:eastAsia="Calibri"/>
                <w:b/>
                <w:highlight w:val="yellow"/>
              </w:rPr>
            </w:pPr>
            <w:r w:rsidRPr="004F4478">
              <w:rPr>
                <w:b/>
                <w:highlight w:val="yellow"/>
              </w:rPr>
              <w:t>L’évaluation de la cohérence externe ainsi que l’analyse de la contribution du RRN au PDR et aux objectifs de la politique européenne, sont au cœur de l’évaluation du RRN.</w:t>
            </w:r>
          </w:p>
        </w:tc>
      </w:tr>
    </w:tbl>
    <w:p w:rsidR="00860A11" w:rsidRPr="004F4478" w:rsidRDefault="00860A11" w:rsidP="0031367A">
      <w:pPr>
        <w:pStyle w:val="HHeading5"/>
        <w:rPr>
          <w:highlight w:val="yellow"/>
        </w:rPr>
      </w:pPr>
      <w:r w:rsidRPr="004F4478">
        <w:rPr>
          <w:highlight w:val="yellow"/>
        </w:rPr>
        <w:t xml:space="preserve">Efficacité et productivité </w:t>
      </w:r>
    </w:p>
    <w:p w:rsidR="00860A11" w:rsidRPr="004F4478" w:rsidRDefault="00860A11" w:rsidP="0031367A">
      <w:pPr>
        <w:pStyle w:val="HStandard"/>
        <w:rPr>
          <w:highlight w:val="yellow"/>
        </w:rPr>
      </w:pPr>
      <w:r w:rsidRPr="004F4478">
        <w:rPr>
          <w:highlight w:val="yellow"/>
        </w:rPr>
        <w:t xml:space="preserve">Pour évaluer l'efficacité du RRN on prend en considération la mesure dans laquelle les objectifs du RRN sont atteints et la mesure dans laquelle le RRN contribue à la réalisation des objectifs de la politique au niveau du PDR et niveau de l'UE. La productivité est examinée parallèlement à l'efficacité. Pour mesurer celle-ci, on détermine si les fonds publics et privés alloués ont été dépensés utilement pour atteindre les objectifs de la politique (au niveau des RRN, du PDR et  de l’UE) et ont produit les réalisations, les résultats et les </w:t>
      </w:r>
      <w:r>
        <w:rPr>
          <w:highlight w:val="yellow"/>
        </w:rPr>
        <w:t>effets</w:t>
      </w:r>
      <w:r w:rsidRPr="004F4478">
        <w:rPr>
          <w:highlight w:val="yellow"/>
        </w:rPr>
        <w:t xml:space="preserve"> attendus.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860A11" w:rsidRPr="004F4478" w:rsidTr="00D70CE9">
        <w:tc>
          <w:tcPr>
            <w:tcW w:w="9016" w:type="dxa"/>
            <w:shd w:val="clear" w:color="auto" w:fill="F5F4F4" w:themeFill="background2" w:themeFillTint="66"/>
          </w:tcPr>
          <w:p w:rsidR="00860A11" w:rsidRPr="004F4478" w:rsidRDefault="00860A11" w:rsidP="004F780F">
            <w:pPr>
              <w:pStyle w:val="HStandard"/>
              <w:rPr>
                <w:b/>
                <w:highlight w:val="yellow"/>
              </w:rPr>
            </w:pPr>
            <w:r w:rsidRPr="004F4478">
              <w:rPr>
                <w:b/>
                <w:highlight w:val="yellow"/>
              </w:rPr>
              <w:t xml:space="preserve">L'évaluation de l'efficacité vise la mesure dans laquelle les interventions RRN </w:t>
            </w:r>
            <w:r>
              <w:rPr>
                <w:b/>
                <w:highlight w:val="yellow"/>
              </w:rPr>
              <w:t>permettent</w:t>
            </w:r>
            <w:r w:rsidRPr="004F4478">
              <w:rPr>
                <w:b/>
                <w:highlight w:val="yellow"/>
              </w:rPr>
              <w:t xml:space="preserve"> d'atteindre les objectifs politiques au niveau du RRN, du PDR et de l’UE. </w:t>
            </w:r>
          </w:p>
          <w:p w:rsidR="00860A11" w:rsidRPr="004F4478" w:rsidRDefault="00860A11" w:rsidP="006B3EB2">
            <w:pPr>
              <w:pStyle w:val="HStandard"/>
              <w:rPr>
                <w:highlight w:val="yellow"/>
              </w:rPr>
            </w:pPr>
            <w:r w:rsidRPr="004F4478">
              <w:rPr>
                <w:b/>
                <w:highlight w:val="yellow"/>
              </w:rPr>
              <w:t xml:space="preserve">L'évaluation de l'efficacité mesure les coûts des réalisations, résultats et </w:t>
            </w:r>
            <w:r>
              <w:rPr>
                <w:b/>
                <w:highlight w:val="yellow"/>
              </w:rPr>
              <w:t>incidences</w:t>
            </w:r>
            <w:r w:rsidRPr="004F4478">
              <w:rPr>
                <w:b/>
                <w:highlight w:val="yellow"/>
              </w:rPr>
              <w:t xml:space="preserve"> générés par le RRN. </w:t>
            </w:r>
          </w:p>
        </w:tc>
      </w:tr>
    </w:tbl>
    <w:p w:rsidR="00860A11" w:rsidRPr="004F4478" w:rsidRDefault="00860A11" w:rsidP="0031367A">
      <w:pPr>
        <w:pStyle w:val="HHeading5"/>
        <w:rPr>
          <w:highlight w:val="yellow"/>
        </w:rPr>
      </w:pPr>
      <w:r w:rsidRPr="004F4478">
        <w:rPr>
          <w:highlight w:val="yellow"/>
        </w:rPr>
        <w:lastRenderedPageBreak/>
        <w:t>Facteurs de succès et d'échec des RRN</w:t>
      </w:r>
    </w:p>
    <w:p w:rsidR="00860A11" w:rsidRPr="004F4478" w:rsidRDefault="00860A11" w:rsidP="0031367A">
      <w:pPr>
        <w:pStyle w:val="HStandard"/>
        <w:rPr>
          <w:highlight w:val="yellow"/>
        </w:rPr>
      </w:pPr>
      <w:r w:rsidRPr="004F4478">
        <w:rPr>
          <w:highlight w:val="yellow"/>
        </w:rPr>
        <w:t xml:space="preserve">Outre l'examen des résultats, des impacts et des réalisations du RRN, l'évaluation offre la possibilité d’obtenir des informations importantes permettant d’améliorer les activités du RRN et de favoriser une meilleure conception des futurs RRN grâce à l'observation de facteurs qui ont contribué au succès et à l'échec du réseau. </w:t>
      </w:r>
    </w:p>
    <w:p w:rsidR="00860A11" w:rsidRPr="004F4478" w:rsidRDefault="00860A11" w:rsidP="0031367A">
      <w:pPr>
        <w:pStyle w:val="HStandard"/>
        <w:rPr>
          <w:highlight w:val="yellow"/>
        </w:rPr>
      </w:pPr>
      <w:r w:rsidRPr="004F4478">
        <w:rPr>
          <w:highlight w:val="yellow"/>
        </w:rPr>
        <w:t xml:space="preserve">Les facteurs de succès et d'échec peuvent être internes ou externes. Ils pourraient augmenter ou diminuer les effets des activités du RRN. Les facteurs internes peuvent être des questions liées à l'administration et l'exécution des activités du RRN (par exemple, le fonctionnement de la NSU). Les facteurs externes peuvent être une culture de réseautage dans les zones rurales, ou au contraire  l'absence de celle-ci.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860A11" w:rsidRPr="004F4478" w:rsidTr="00D70CE9">
        <w:tc>
          <w:tcPr>
            <w:tcW w:w="9016" w:type="dxa"/>
            <w:shd w:val="clear" w:color="auto" w:fill="F5F4F4" w:themeFill="background2" w:themeFillTint="66"/>
          </w:tcPr>
          <w:p w:rsidR="00860A11" w:rsidRPr="004F4478" w:rsidRDefault="00860A11" w:rsidP="00DC0897">
            <w:pPr>
              <w:pStyle w:val="HStandard"/>
              <w:rPr>
                <w:b/>
                <w:highlight w:val="yellow"/>
              </w:rPr>
            </w:pPr>
            <w:r w:rsidRPr="004F4478">
              <w:rPr>
                <w:b/>
                <w:highlight w:val="yellow"/>
              </w:rPr>
              <w:t xml:space="preserve">L'évaluation des facteurs de succès et d'échec des interventions du RRN porte sur les facteurs internes et externes pouvant renforcer ou affaiblir les interventions du RRN. Cet examen constitue une partie importante de la fonction d'apprentissage de l'évaluation du RRN. </w:t>
            </w:r>
          </w:p>
        </w:tc>
      </w:tr>
    </w:tbl>
    <w:p w:rsidR="00860A11" w:rsidRPr="004F4478" w:rsidRDefault="00860A11" w:rsidP="00680DA9">
      <w:pPr>
        <w:pStyle w:val="HHeading3"/>
        <w:rPr>
          <w:highlight w:val="yellow"/>
        </w:rPr>
      </w:pPr>
      <w:bookmarkStart w:id="63" w:name="_Toc453079752"/>
      <w:bookmarkStart w:id="64" w:name="_Toc463945859"/>
      <w:r w:rsidRPr="004F4478">
        <w:rPr>
          <w:highlight w:val="yellow"/>
        </w:rPr>
        <w:t>Éléments d'évaluation des RRN</w:t>
      </w:r>
      <w:bookmarkEnd w:id="63"/>
      <w:bookmarkEnd w:id="64"/>
    </w:p>
    <w:p w:rsidR="00860A11" w:rsidRPr="004F4478" w:rsidRDefault="00860A11" w:rsidP="00A27369">
      <w:pPr>
        <w:pStyle w:val="HStandard"/>
        <w:rPr>
          <w:highlight w:val="yellow"/>
        </w:rPr>
      </w:pPr>
      <w:r w:rsidRPr="004F4478">
        <w:rPr>
          <w:highlight w:val="yellow"/>
        </w:rPr>
        <w:t xml:space="preserve">Le Système commun de suivi et d'évaluation (CMES) définit les éléments communs d'évaluation à utiliser dans l'évaluation des programmes de développement rural, y compris les RRN. Les éléments communs ont été conçus par la Commission européenne en collaboration avec les parties prenantes des États membres pour fournir des informations essentielles pouvant être consolidées au niveau européen et qui sont comparables entre les PDR. Les éléments du CMES doivent être complétés par des éléments spécifiques du programme répondant aux conditions particulières de la zone du programme, y compris les aspects liés aux RRN. Les éléments spécifiques au programme pour les RRN sont conçus par les autorités de </w:t>
      </w:r>
      <w:r>
        <w:rPr>
          <w:highlight w:val="yellow"/>
        </w:rPr>
        <w:t>gestion</w:t>
      </w:r>
      <w:r w:rsidRPr="004F4478">
        <w:rPr>
          <w:highlight w:val="yellow"/>
        </w:rPr>
        <w:t xml:space="preserve"> du programme ou en collaboration avec les parties prenantes du RRN pour saisir les aspects spécifiques du RRN. </w:t>
      </w:r>
    </w:p>
    <w:p w:rsidR="00860A11" w:rsidRPr="004F4478" w:rsidRDefault="00860A11" w:rsidP="00A27369">
      <w:pPr>
        <w:pStyle w:val="HStandard"/>
        <w:rPr>
          <w:highlight w:val="yellow"/>
        </w:rPr>
      </w:pPr>
      <w:r w:rsidRPr="004F4478">
        <w:rPr>
          <w:highlight w:val="yellow"/>
        </w:rPr>
        <w:t xml:space="preserve">Les éléments d'évaluation des RRN couvrent: </w:t>
      </w:r>
    </w:p>
    <w:p w:rsidR="00860A11" w:rsidRPr="004F4478" w:rsidRDefault="00860A11" w:rsidP="00A27369">
      <w:pPr>
        <w:pStyle w:val="Hlistbullet"/>
        <w:rPr>
          <w:highlight w:val="yellow"/>
        </w:rPr>
      </w:pPr>
      <w:r w:rsidRPr="004F4478">
        <w:rPr>
          <w:highlight w:val="yellow"/>
        </w:rPr>
        <w:t xml:space="preserve">La </w:t>
      </w:r>
      <w:r w:rsidRPr="004F4478">
        <w:rPr>
          <w:b/>
          <w:highlight w:val="yellow"/>
        </w:rPr>
        <w:t>logique d'intervention</w:t>
      </w:r>
      <w:r w:rsidRPr="004F4478">
        <w:rPr>
          <w:highlight w:val="yellow"/>
        </w:rPr>
        <w:t xml:space="preserve"> illustrant les liens entre les objectifs et les actions contenues dans le plan d'action du RRN ainsi qu’avec les réalisations,</w:t>
      </w:r>
      <w:r>
        <w:rPr>
          <w:highlight w:val="yellow"/>
        </w:rPr>
        <w:t xml:space="preserve"> </w:t>
      </w:r>
      <w:r w:rsidRPr="004F4478">
        <w:rPr>
          <w:highlight w:val="yellow"/>
        </w:rPr>
        <w:t>les résultats et les impacts du RRN. Des paramètres liés au contexte sont utilisés pour décrire et analyser le contexte spécifique dans lequel les réseaux fonctionnent.</w:t>
      </w:r>
    </w:p>
    <w:p w:rsidR="00860A11" w:rsidRPr="004F4478" w:rsidRDefault="00860A11" w:rsidP="00A27369">
      <w:pPr>
        <w:pStyle w:val="Hlistbullet"/>
        <w:rPr>
          <w:highlight w:val="yellow"/>
        </w:rPr>
      </w:pPr>
      <w:r w:rsidRPr="004F4478">
        <w:rPr>
          <w:highlight w:val="yellow"/>
        </w:rPr>
        <w:t xml:space="preserve">Les </w:t>
      </w:r>
      <w:r w:rsidRPr="004F4478">
        <w:rPr>
          <w:b/>
          <w:highlight w:val="yellow"/>
        </w:rPr>
        <w:t>questions d'évaluation</w:t>
      </w:r>
      <w:r w:rsidRPr="004F4478">
        <w:rPr>
          <w:highlight w:val="yellow"/>
        </w:rPr>
        <w:t xml:space="preserve"> définissant l'objet de l'évaluation des RRN par rapport aux objectifs stratégiques communs et spécifiques aux programmes des RRN afin de démontrer les progrès et les réalisations et d’étayer l'évaluation des résultats, les impacts, l'efficacité, la productivité et la pertinence des interventions de la politique de développement rural </w:t>
      </w:r>
      <w:r w:rsidRPr="004F4478">
        <w:rPr>
          <w:rFonts w:ascii="ZWAdobeF" w:hAnsi="ZWAdobeF"/>
          <w:color w:val="auto"/>
          <w:sz w:val="2"/>
          <w:highlight w:val="yellow"/>
        </w:rPr>
        <w:t xml:space="preserve">36F </w:t>
      </w:r>
      <w:r w:rsidRPr="004F4478">
        <w:rPr>
          <w:rStyle w:val="FootnoteReference"/>
          <w:highlight w:val="yellow"/>
        </w:rPr>
        <w:footnoteReference w:id="37"/>
      </w:r>
      <w:r w:rsidRPr="004F4478">
        <w:rPr>
          <w:highlight w:val="yellow"/>
        </w:rPr>
        <w:t xml:space="preserve"> .</w:t>
      </w:r>
    </w:p>
    <w:p w:rsidR="00860A11" w:rsidRPr="004F4478" w:rsidRDefault="00860A11" w:rsidP="00A27369">
      <w:pPr>
        <w:pStyle w:val="Hlistbullet2"/>
        <w:rPr>
          <w:highlight w:val="yellow"/>
        </w:rPr>
      </w:pPr>
      <w:r w:rsidRPr="004F4478">
        <w:rPr>
          <w:b/>
          <w:highlight w:val="yellow"/>
        </w:rPr>
        <w:t>Les indicateurs</w:t>
      </w:r>
      <w:r w:rsidRPr="004F4478">
        <w:rPr>
          <w:highlight w:val="yellow"/>
        </w:rPr>
        <w:t xml:space="preserve"> pour les RRN, utilisés comme un moyen d'évaluer les résultats et les impacts du RRN, ainsi que l'efficacité du RRN, la productivité, les réalisations et la pertinence des interventions du réseau.</w:t>
      </w:r>
    </w:p>
    <w:p w:rsidR="00860A11" w:rsidRPr="004F4478" w:rsidRDefault="00860A11" w:rsidP="00A27369">
      <w:pPr>
        <w:pStyle w:val="HHeading5"/>
        <w:rPr>
          <w:highlight w:val="yellow"/>
        </w:rPr>
      </w:pPr>
      <w:r w:rsidRPr="004F4478">
        <w:rPr>
          <w:highlight w:val="yellow"/>
        </w:rPr>
        <w:t>Éléments communs d'évaluation</w:t>
      </w:r>
    </w:p>
    <w:p w:rsidR="00860A11" w:rsidRPr="004F4478" w:rsidRDefault="00860A11" w:rsidP="00A27369">
      <w:pPr>
        <w:pStyle w:val="HStandard"/>
        <w:rPr>
          <w:highlight w:val="yellow"/>
        </w:rPr>
      </w:pPr>
      <w:r w:rsidRPr="004F4478">
        <w:rPr>
          <w:highlight w:val="yellow"/>
        </w:rPr>
        <w:t>Les éléments communs d'évaluation sont établis par le CMES et forment la base du cadre de suivi et d'évaluation des RRN:</w:t>
      </w:r>
    </w:p>
    <w:p w:rsidR="00860A11" w:rsidRPr="004F4478" w:rsidRDefault="00860A11" w:rsidP="00892664">
      <w:pPr>
        <w:pStyle w:val="HStandard"/>
        <w:numPr>
          <w:ilvl w:val="0"/>
          <w:numId w:val="15"/>
        </w:numPr>
        <w:rPr>
          <w:highlight w:val="yellow"/>
        </w:rPr>
      </w:pPr>
      <w:r w:rsidRPr="004F4478">
        <w:rPr>
          <w:highlight w:val="yellow"/>
        </w:rPr>
        <w:t xml:space="preserve">Les quatre </w:t>
      </w:r>
      <w:r w:rsidRPr="004F4478">
        <w:rPr>
          <w:b/>
          <w:highlight w:val="yellow"/>
        </w:rPr>
        <w:t>objectifs communs</w:t>
      </w:r>
      <w:r w:rsidRPr="004F4478">
        <w:rPr>
          <w:highlight w:val="yellow"/>
        </w:rPr>
        <w:t xml:space="preserve"> </w:t>
      </w:r>
      <w:r w:rsidRPr="006B3EB2">
        <w:rPr>
          <w:b/>
          <w:highlight w:val="yellow"/>
        </w:rPr>
        <w:t>des RRN</w:t>
      </w:r>
      <w:r w:rsidRPr="004F4478">
        <w:rPr>
          <w:highlight w:val="yellow"/>
        </w:rPr>
        <w:t xml:space="preserve"> et les sept groupes communs d'actions pour</w:t>
      </w:r>
      <w:r>
        <w:rPr>
          <w:highlight w:val="yellow"/>
        </w:rPr>
        <w:t xml:space="preserve"> les</w:t>
      </w:r>
      <w:r w:rsidRPr="004F4478">
        <w:rPr>
          <w:highlight w:val="yellow"/>
        </w:rPr>
        <w:t xml:space="preserve"> RRN énoncés dans le règlement de l'UE sur le développement rural</w:t>
      </w:r>
      <w:r w:rsidRPr="004F4478">
        <w:rPr>
          <w:rFonts w:ascii="ZWAdobeF" w:hAnsi="ZWAdobeF"/>
          <w:color w:val="auto"/>
          <w:sz w:val="2"/>
          <w:highlight w:val="yellow"/>
        </w:rPr>
        <w:t xml:space="preserve">37F </w:t>
      </w:r>
      <w:r w:rsidRPr="004F4478">
        <w:rPr>
          <w:rStyle w:val="FootnoteReference"/>
          <w:highlight w:val="yellow"/>
        </w:rPr>
        <w:footnoteReference w:id="38"/>
      </w:r>
      <w:r w:rsidRPr="004F4478">
        <w:rPr>
          <w:highlight w:val="yellow"/>
        </w:rPr>
        <w:t xml:space="preserve"> constituent la base de la logique d'intervention des RRN (voir </w:t>
      </w:r>
      <w:r w:rsidRPr="004F4478">
        <w:rPr>
          <w:highlight w:val="yellow"/>
        </w:rPr>
        <w:fldChar w:fldCharType="begin" w:fldLock="1"/>
      </w:r>
      <w:r w:rsidRPr="004F4478">
        <w:rPr>
          <w:highlight w:val="yellow"/>
        </w:rPr>
        <w:instrText xml:space="preserve"> REF _Ref451784429 \r \h  \* MERGEFORMAT </w:instrText>
      </w:r>
      <w:r w:rsidRPr="004F4478">
        <w:rPr>
          <w:highlight w:val="yellow"/>
        </w:rPr>
      </w:r>
      <w:r w:rsidRPr="004F4478">
        <w:rPr>
          <w:highlight w:val="yellow"/>
        </w:rPr>
        <w:fldChar w:fldCharType="separate"/>
      </w:r>
      <w:r>
        <w:rPr>
          <w:highlight w:val="yellow"/>
        </w:rPr>
        <w:t>f</w:t>
      </w:r>
      <w:r w:rsidRPr="004F4478">
        <w:rPr>
          <w:highlight w:val="yellow"/>
        </w:rPr>
        <w:t>igure 8</w:t>
      </w:r>
      <w:r w:rsidRPr="004F4478">
        <w:rPr>
          <w:highlight w:val="yellow"/>
        </w:rPr>
        <w:fldChar w:fldCharType="end"/>
      </w:r>
      <w:r w:rsidRPr="004F4478">
        <w:rPr>
          <w:highlight w:val="yellow"/>
        </w:rPr>
        <w:t xml:space="preserve">); </w:t>
      </w:r>
    </w:p>
    <w:p w:rsidR="00860A11" w:rsidRPr="004F4478" w:rsidRDefault="00860A11" w:rsidP="00892664">
      <w:pPr>
        <w:pStyle w:val="HStandard"/>
        <w:numPr>
          <w:ilvl w:val="0"/>
          <w:numId w:val="15"/>
        </w:numPr>
        <w:rPr>
          <w:highlight w:val="yellow"/>
        </w:rPr>
      </w:pPr>
      <w:r w:rsidRPr="004F4478">
        <w:rPr>
          <w:highlight w:val="yellow"/>
        </w:rPr>
        <w:lastRenderedPageBreak/>
        <w:t xml:space="preserve">La </w:t>
      </w:r>
      <w:r w:rsidRPr="004F4478">
        <w:rPr>
          <w:b/>
          <w:highlight w:val="yellow"/>
        </w:rPr>
        <w:t>question d'évaluation commune</w:t>
      </w:r>
      <w:r w:rsidRPr="004F4478">
        <w:rPr>
          <w:highlight w:val="yellow"/>
        </w:rPr>
        <w:t xml:space="preserve"> (CEQ) des RRN </w:t>
      </w:r>
      <w:r w:rsidRPr="004F4478">
        <w:rPr>
          <w:rFonts w:ascii="ZWAdobeF" w:hAnsi="ZWAdobeF"/>
          <w:color w:val="auto"/>
          <w:sz w:val="2"/>
          <w:highlight w:val="yellow"/>
        </w:rPr>
        <w:t xml:space="preserve">38F </w:t>
      </w:r>
      <w:r w:rsidRPr="004F4478">
        <w:rPr>
          <w:rStyle w:val="FootnoteReference"/>
          <w:highlight w:val="yellow"/>
        </w:rPr>
        <w:footnoteReference w:id="39"/>
      </w:r>
      <w:r w:rsidRPr="004F4478">
        <w:rPr>
          <w:highlight w:val="yellow"/>
        </w:rPr>
        <w:t xml:space="preserve"> (voir </w:t>
      </w:r>
      <w:r w:rsidRPr="004F4478">
        <w:rPr>
          <w:highlight w:val="yellow"/>
        </w:rPr>
        <w:fldChar w:fldCharType="begin" w:fldLock="1"/>
      </w:r>
      <w:r w:rsidRPr="004F4478">
        <w:rPr>
          <w:highlight w:val="yellow"/>
        </w:rPr>
        <w:instrText xml:space="preserve"> REF _Ref451784860 \r \h  \* MERGEFORMAT </w:instrText>
      </w:r>
      <w:r w:rsidRPr="004F4478">
        <w:rPr>
          <w:highlight w:val="yellow"/>
        </w:rPr>
      </w:r>
      <w:r w:rsidRPr="004F4478">
        <w:rPr>
          <w:highlight w:val="yellow"/>
        </w:rPr>
        <w:fldChar w:fldCharType="separate"/>
      </w:r>
      <w:r>
        <w:rPr>
          <w:highlight w:val="yellow"/>
        </w:rPr>
        <w:t>t</w:t>
      </w:r>
      <w:r w:rsidRPr="004F4478">
        <w:rPr>
          <w:highlight w:val="yellow"/>
        </w:rPr>
        <w:t>able</w:t>
      </w:r>
      <w:r>
        <w:rPr>
          <w:highlight w:val="yellow"/>
        </w:rPr>
        <w:t>au</w:t>
      </w:r>
      <w:r w:rsidRPr="004F4478">
        <w:rPr>
          <w:highlight w:val="yellow"/>
        </w:rPr>
        <w:t xml:space="preserve"> 1</w:t>
      </w:r>
      <w:r w:rsidRPr="004F4478">
        <w:rPr>
          <w:highlight w:val="yellow"/>
        </w:rPr>
        <w:fldChar w:fldCharType="end"/>
      </w:r>
      <w:r w:rsidRPr="004F4478">
        <w:rPr>
          <w:highlight w:val="yellow"/>
        </w:rPr>
        <w:t xml:space="preserve"> ) énoncée dans le CMES et liée aux quatre objectifs communs des RRN </w:t>
      </w:r>
      <w:r w:rsidRPr="004F4478">
        <w:rPr>
          <w:rFonts w:ascii="ZWAdobeF" w:hAnsi="ZWAdobeF"/>
          <w:color w:val="auto"/>
          <w:sz w:val="2"/>
          <w:highlight w:val="yellow"/>
        </w:rPr>
        <w:t xml:space="preserve">39F </w:t>
      </w:r>
      <w:r w:rsidRPr="004F4478">
        <w:rPr>
          <w:rStyle w:val="FootnoteReference"/>
          <w:highlight w:val="yellow"/>
        </w:rPr>
        <w:footnoteReference w:id="40"/>
      </w:r>
      <w:r w:rsidRPr="004F4478">
        <w:rPr>
          <w:highlight w:val="yellow"/>
        </w:rPr>
        <w:t xml:space="preserve">, visant l'évaluation des effets du RRN sur la politique de développement rural de l'UE; </w:t>
      </w:r>
    </w:p>
    <w:p w:rsidR="00860A11" w:rsidRPr="004F4478" w:rsidRDefault="00860A11" w:rsidP="00892664">
      <w:pPr>
        <w:pStyle w:val="HStandard"/>
        <w:numPr>
          <w:ilvl w:val="0"/>
          <w:numId w:val="15"/>
        </w:numPr>
        <w:rPr>
          <w:highlight w:val="yellow"/>
        </w:rPr>
      </w:pPr>
      <w:r w:rsidRPr="004F4478">
        <w:rPr>
          <w:highlight w:val="yellow"/>
        </w:rPr>
        <w:t xml:space="preserve">Trois </w:t>
      </w:r>
      <w:r w:rsidRPr="004F4478">
        <w:rPr>
          <w:b/>
          <w:highlight w:val="yellow"/>
        </w:rPr>
        <w:t>indicateurs de résultats communs</w:t>
      </w:r>
      <w:r w:rsidRPr="004F4478">
        <w:rPr>
          <w:highlight w:val="yellow"/>
        </w:rPr>
        <w:t xml:space="preserve"> pour les RRN sont définis au niveau européen</w:t>
      </w:r>
      <w:r w:rsidRPr="004F4478">
        <w:rPr>
          <w:rFonts w:ascii="ZWAdobeF" w:hAnsi="ZWAdobeF"/>
          <w:color w:val="auto"/>
          <w:sz w:val="2"/>
          <w:highlight w:val="yellow"/>
        </w:rPr>
        <w:t xml:space="preserve">40F </w:t>
      </w:r>
      <w:r w:rsidRPr="004F4478">
        <w:rPr>
          <w:rStyle w:val="FootnoteReference"/>
          <w:highlight w:val="yellow"/>
        </w:rPr>
        <w:footnoteReference w:id="41"/>
      </w:r>
      <w:r w:rsidRPr="004F4478">
        <w:rPr>
          <w:highlight w:val="yellow"/>
        </w:rPr>
        <w:t xml:space="preserve"> (Voir </w:t>
      </w:r>
      <w:r w:rsidRPr="004F4478">
        <w:rPr>
          <w:highlight w:val="yellow"/>
        </w:rPr>
        <w:fldChar w:fldCharType="begin" w:fldLock="1"/>
      </w:r>
      <w:r w:rsidRPr="004F4478">
        <w:rPr>
          <w:highlight w:val="yellow"/>
        </w:rPr>
        <w:instrText xml:space="preserve"> REF _Ref451784441 \r \h  \* MERGEFORMAT </w:instrText>
      </w:r>
      <w:r w:rsidRPr="004F4478">
        <w:rPr>
          <w:highlight w:val="yellow"/>
        </w:rPr>
      </w:r>
      <w:r w:rsidRPr="004F4478">
        <w:rPr>
          <w:highlight w:val="yellow"/>
        </w:rPr>
        <w:fldChar w:fldCharType="separate"/>
      </w:r>
      <w:r>
        <w:rPr>
          <w:highlight w:val="yellow"/>
        </w:rPr>
        <w:t>f</w:t>
      </w:r>
      <w:r w:rsidRPr="004F4478">
        <w:rPr>
          <w:highlight w:val="yellow"/>
        </w:rPr>
        <w:t>igure 9</w:t>
      </w:r>
      <w:r w:rsidRPr="004F4478">
        <w:rPr>
          <w:highlight w:val="yellow"/>
        </w:rPr>
        <w:fldChar w:fldCharType="end"/>
      </w:r>
      <w:r w:rsidRPr="004F4478">
        <w:rPr>
          <w:highlight w:val="yellow"/>
        </w:rPr>
        <w:t xml:space="preserve"> et </w:t>
      </w:r>
      <w:r w:rsidRPr="004F4478">
        <w:rPr>
          <w:highlight w:val="yellow"/>
        </w:rPr>
        <w:fldChar w:fldCharType="begin" w:fldLock="1"/>
      </w:r>
      <w:r w:rsidRPr="004F4478">
        <w:rPr>
          <w:highlight w:val="yellow"/>
        </w:rPr>
        <w:instrText xml:space="preserve"> REF _Ref451784868 \r \h  \* MERGEFORMAT </w:instrText>
      </w:r>
      <w:r w:rsidRPr="004F4478">
        <w:rPr>
          <w:highlight w:val="yellow"/>
        </w:rPr>
      </w:r>
      <w:r w:rsidRPr="004F4478">
        <w:rPr>
          <w:highlight w:val="yellow"/>
        </w:rPr>
        <w:fldChar w:fldCharType="separate"/>
      </w:r>
      <w:r>
        <w:rPr>
          <w:highlight w:val="yellow"/>
        </w:rPr>
        <w:t>t</w:t>
      </w:r>
      <w:r w:rsidRPr="004F4478">
        <w:rPr>
          <w:highlight w:val="yellow"/>
        </w:rPr>
        <w:t>able</w:t>
      </w:r>
      <w:r>
        <w:rPr>
          <w:highlight w:val="yellow"/>
        </w:rPr>
        <w:t>au</w:t>
      </w:r>
      <w:r w:rsidRPr="004F4478">
        <w:rPr>
          <w:highlight w:val="yellow"/>
        </w:rPr>
        <w:t xml:space="preserve"> 1</w:t>
      </w:r>
      <w:r w:rsidRPr="004F4478">
        <w:rPr>
          <w:highlight w:val="yellow"/>
        </w:rPr>
        <w:fldChar w:fldCharType="end"/>
      </w:r>
      <w:r w:rsidRPr="004F4478">
        <w:rPr>
          <w:highlight w:val="yellow"/>
        </w:rPr>
        <w:t xml:space="preserve"> ).</w:t>
      </w:r>
    </w:p>
    <w:p w:rsidR="00860A11" w:rsidRPr="004F4478" w:rsidRDefault="00860A11" w:rsidP="00A27369">
      <w:pPr>
        <w:pStyle w:val="HHeading5"/>
        <w:rPr>
          <w:highlight w:val="yellow"/>
        </w:rPr>
      </w:pPr>
      <w:r w:rsidRPr="004F4478">
        <w:rPr>
          <w:highlight w:val="yellow"/>
        </w:rPr>
        <w:t xml:space="preserve">Indicateurs complémentaires </w:t>
      </w:r>
    </w:p>
    <w:p w:rsidR="00860A11" w:rsidRPr="004F4478" w:rsidRDefault="00860A11" w:rsidP="00A966FB">
      <w:pPr>
        <w:pStyle w:val="HStandard"/>
        <w:rPr>
          <w:highlight w:val="yellow"/>
        </w:rPr>
      </w:pPr>
      <w:r w:rsidRPr="004F4478">
        <w:rPr>
          <w:highlight w:val="yellow"/>
        </w:rPr>
        <w:t xml:space="preserve">Les indicateurs de résultats communs n’étant pas suffisants pour répondre à la question commune d'évaluation sur les RRN, les parties prenantes des États membres devraient élaborer des indicateurs supplémentaires sur: la production, les résultats et les impacts. D'autres indicateurs peuvent être développés à l'aide d'une chaîne d’analyse production-résultats-impacts, qui </w:t>
      </w:r>
      <w:r>
        <w:rPr>
          <w:highlight w:val="yellow"/>
        </w:rPr>
        <w:t>figure</w:t>
      </w:r>
      <w:r w:rsidRPr="004F4478">
        <w:rPr>
          <w:highlight w:val="yellow"/>
        </w:rPr>
        <w:t xml:space="preserve"> dans la partie III des lignes directrices, </w:t>
      </w:r>
      <w:r>
        <w:rPr>
          <w:highlight w:val="yellow"/>
        </w:rPr>
        <w:t>c</w:t>
      </w:r>
      <w:r w:rsidRPr="004F4478">
        <w:rPr>
          <w:highlight w:val="yellow"/>
        </w:rPr>
        <w:t xml:space="preserve">hapitre 5. Les informations supplémentaires du document de travail «Questions d'évaluation communes pour les programmes de développement rural pour la période 2014-2020 </w:t>
      </w:r>
      <w:r w:rsidRPr="004F4478">
        <w:rPr>
          <w:rFonts w:ascii="ZWAdobeF" w:hAnsi="ZWAdobeF"/>
          <w:color w:val="auto"/>
          <w:sz w:val="2"/>
          <w:highlight w:val="yellow"/>
        </w:rPr>
        <w:t xml:space="preserve">41F </w:t>
      </w:r>
      <w:r w:rsidRPr="004F4478">
        <w:rPr>
          <w:rStyle w:val="FootnoteReference"/>
          <w:highlight w:val="yellow"/>
        </w:rPr>
        <w:footnoteReference w:id="42"/>
      </w:r>
      <w:r w:rsidRPr="004F4478">
        <w:rPr>
          <w:highlight w:val="yellow"/>
        </w:rPr>
        <w:t xml:space="preserve">» peuvent aussi être une source d'inspiration pour élaborer des indicateurs supplémentaires. </w:t>
      </w:r>
    </w:p>
    <w:p w:rsidR="00860A11" w:rsidRPr="004F4478" w:rsidRDefault="00860A11" w:rsidP="00A27369">
      <w:pPr>
        <w:pStyle w:val="HHeading5"/>
        <w:rPr>
          <w:highlight w:val="yellow"/>
        </w:rPr>
      </w:pPr>
      <w:r w:rsidRPr="004F4478">
        <w:rPr>
          <w:highlight w:val="yellow"/>
        </w:rPr>
        <w:t xml:space="preserve">Éléments d'évaluation propres au programme liés aux RRN </w:t>
      </w:r>
    </w:p>
    <w:p w:rsidR="00860A11" w:rsidRPr="004F4478" w:rsidRDefault="00860A11" w:rsidP="00A27369">
      <w:pPr>
        <w:pStyle w:val="HStandard"/>
        <w:rPr>
          <w:highlight w:val="yellow"/>
        </w:rPr>
      </w:pPr>
      <w:r w:rsidRPr="004F4478">
        <w:rPr>
          <w:highlight w:val="yellow"/>
        </w:rPr>
        <w:t xml:space="preserve">Les éléments d'évaluation propres au programme liés aux RRN sont précisés par l’autorité de </w:t>
      </w:r>
      <w:r>
        <w:rPr>
          <w:highlight w:val="yellow"/>
        </w:rPr>
        <w:t>gestion</w:t>
      </w:r>
      <w:r w:rsidRPr="004F4478">
        <w:rPr>
          <w:highlight w:val="yellow"/>
        </w:rPr>
        <w:t xml:space="preserve"> du programme seule ou en collaboration avec les acteurs RRN des États membres (NSU, RRN, évaluateurs). Ils complètent les éléments communs d'évaluation au niveau du PDR ou du PRRN lors de la finalisation de la logique d'intervention du RRN et de la conception du système de suivi et d'évaluation du RRN. Ainsi: </w:t>
      </w:r>
    </w:p>
    <w:p w:rsidR="00860A11" w:rsidRPr="004F4478" w:rsidRDefault="00860A11" w:rsidP="00A27369">
      <w:pPr>
        <w:pStyle w:val="Hlistbullet"/>
        <w:rPr>
          <w:highlight w:val="yellow"/>
        </w:rPr>
      </w:pPr>
      <w:r w:rsidRPr="004F4478">
        <w:rPr>
          <w:highlight w:val="yellow"/>
        </w:rPr>
        <w:t xml:space="preserve">Des </w:t>
      </w:r>
      <w:r w:rsidRPr="004F4478">
        <w:rPr>
          <w:b/>
          <w:highlight w:val="yellow"/>
        </w:rPr>
        <w:t>objectifs propres au programme</w:t>
      </w:r>
      <w:r w:rsidRPr="004F4478">
        <w:rPr>
          <w:highlight w:val="yellow"/>
        </w:rPr>
        <w:t xml:space="preserve"> liés au RRN sont précisés si les objectifs communs du RRN </w:t>
      </w:r>
      <w:r w:rsidRPr="004F4478">
        <w:rPr>
          <w:rFonts w:ascii="ZWAdobeF" w:hAnsi="ZWAdobeF"/>
          <w:color w:val="auto"/>
          <w:sz w:val="2"/>
          <w:highlight w:val="yellow"/>
        </w:rPr>
        <w:t xml:space="preserve">42F </w:t>
      </w:r>
      <w:r w:rsidRPr="004F4478">
        <w:rPr>
          <w:rStyle w:val="FootnoteReference"/>
          <w:highlight w:val="yellow"/>
        </w:rPr>
        <w:footnoteReference w:id="43"/>
      </w:r>
      <w:r w:rsidRPr="004F4478">
        <w:rPr>
          <w:highlight w:val="yellow"/>
        </w:rPr>
        <w:t xml:space="preserve"> ne suffisent pas à mettre en place la logique d'intervention du RRN. </w:t>
      </w:r>
    </w:p>
    <w:p w:rsidR="00860A11" w:rsidRPr="004F4478" w:rsidRDefault="00860A11" w:rsidP="00A27369">
      <w:pPr>
        <w:pStyle w:val="Hlistbullet"/>
        <w:rPr>
          <w:highlight w:val="yellow"/>
        </w:rPr>
      </w:pPr>
      <w:r w:rsidRPr="004F4478">
        <w:rPr>
          <w:highlight w:val="yellow"/>
        </w:rPr>
        <w:t xml:space="preserve">Les </w:t>
      </w:r>
      <w:r w:rsidRPr="004F4478">
        <w:rPr>
          <w:b/>
          <w:highlight w:val="yellow"/>
        </w:rPr>
        <w:t>Questions d'évaluation spécifiques au programme</w:t>
      </w:r>
      <w:r w:rsidRPr="004F4478">
        <w:rPr>
          <w:highlight w:val="yellow"/>
        </w:rPr>
        <w:t xml:space="preserve"> (PSEQ) sont élaborées lorsque la réalisation des objectifs de la politique commune ne peut être pleinement évalué</w:t>
      </w:r>
      <w:r>
        <w:rPr>
          <w:highlight w:val="yellow"/>
        </w:rPr>
        <w:t>e</w:t>
      </w:r>
      <w:r w:rsidRPr="004F4478">
        <w:rPr>
          <w:highlight w:val="yellow"/>
        </w:rPr>
        <w:t xml:space="preserve"> à l'aide de la CEQ ou lorsque la logique d'intervention du RRN implique des objectifs spécifiques au programme du RRN. Des PSEQ peuvent aussi être formulées si des sujets d'évaluation spécifiques liés au RRN doivent être développés plus en profondeur (par exemple la livraison du réseau, etc.). Les PSEQ sont soit formulées au moment de la conception du plan ou du programme d'action du RRN ou plus tard au cours de l'évaluation du RRN. Les PSEQ doivent être précisées avec des critères permettant de juger de la réussite de l'intervention du RRN (critères de jugement). Par exemple, si la PSEQ est «Dans quelle mesure le RRN a-t-il contribué à une mise en réseau plus large dans les zones rurales?», il convient de préciser ce qu’on entend par la réussite d’une mise en réseau plus large: par exemple, plusieurs types d'acteurs impliqués dans le réseau.</w:t>
      </w:r>
    </w:p>
    <w:p w:rsidR="00860A11" w:rsidRPr="004F4478" w:rsidRDefault="00860A11" w:rsidP="00A27369">
      <w:pPr>
        <w:pStyle w:val="Hlistbullet2"/>
        <w:rPr>
          <w:highlight w:val="yellow"/>
        </w:rPr>
      </w:pPr>
      <w:r w:rsidRPr="004F4478">
        <w:rPr>
          <w:highlight w:val="yellow"/>
        </w:rPr>
        <w:t xml:space="preserve">Les </w:t>
      </w:r>
      <w:r w:rsidRPr="004F4478">
        <w:rPr>
          <w:b/>
          <w:highlight w:val="yellow"/>
        </w:rPr>
        <w:t>Indicateurs spécifiques au programme</w:t>
      </w:r>
      <w:r w:rsidRPr="004F4478">
        <w:rPr>
          <w:highlight w:val="yellow"/>
        </w:rPr>
        <w:t xml:space="preserve"> pour les RRN sont liés aux produits,</w:t>
      </w:r>
      <w:r>
        <w:rPr>
          <w:highlight w:val="yellow"/>
        </w:rPr>
        <w:t xml:space="preserve"> </w:t>
      </w:r>
      <w:r w:rsidRPr="004F4478">
        <w:rPr>
          <w:highlight w:val="yellow"/>
        </w:rPr>
        <w:t xml:space="preserve">résultats et impacts propres au RRN. Les indicateurs spécifiques au programme sont conçus pour répondre à des questions d'évaluation spécifiques au programme. </w:t>
      </w:r>
    </w:p>
    <w:p w:rsidR="00860A11" w:rsidRPr="004F4478" w:rsidRDefault="00860A11" w:rsidP="00A27369">
      <w:pPr>
        <w:pStyle w:val="HStandard"/>
        <w:rPr>
          <w:highlight w:val="yellow"/>
        </w:rPr>
      </w:pPr>
      <w:r w:rsidRPr="004F4478">
        <w:rPr>
          <w:highlight w:val="yellow"/>
        </w:rPr>
        <w:t xml:space="preserve">La mise en place du cadre de suivi et d'évaluation des RRN commence par un rapprochement entre la question d'évaluation commune et des indicateurs sur la logique d'intervention du RRN. Ceux-ci représentent des objectifs communs et spécifiques au programme, d'une part, et les produits, résultats et impacts escomptés, d'autre part, auxquels on ajoute des questions et des indicateurs d'évaluation correspondant au programme du RRN. Le graphique suivant résume les éléments communs d'évaluation du RRN et montre où les </w:t>
      </w:r>
      <w:r>
        <w:rPr>
          <w:highlight w:val="yellow"/>
        </w:rPr>
        <w:t>parties prenantes</w:t>
      </w:r>
      <w:r w:rsidRPr="004F4478">
        <w:rPr>
          <w:highlight w:val="yellow"/>
        </w:rPr>
        <w:t xml:space="preserve"> des États membres devraient créer des éléments propres au programme du RRN.</w:t>
      </w:r>
    </w:p>
    <w:p w:rsidR="00860A11" w:rsidRPr="004F4478" w:rsidRDefault="00860A11" w:rsidP="00922CBE">
      <w:pPr>
        <w:pStyle w:val="HHeadingfigures"/>
        <w:rPr>
          <w:highlight w:val="yellow"/>
        </w:rPr>
      </w:pPr>
      <w:bookmarkStart w:id="65" w:name="_Toc445465124"/>
      <w:bookmarkStart w:id="66" w:name="_Toc451781928"/>
      <w:bookmarkStart w:id="67" w:name="_Ref451784441"/>
      <w:bookmarkStart w:id="68" w:name="_Ref451784713"/>
      <w:bookmarkStart w:id="69" w:name="_Toc463945756"/>
      <w:r w:rsidRPr="004F4478">
        <w:rPr>
          <w:highlight w:val="yellow"/>
        </w:rPr>
        <w:lastRenderedPageBreak/>
        <w:t>Vue d'ensemble des éléments du CMES pour le RRN, à compléter avec des éléments spécifiques au programme du RRN</w:t>
      </w:r>
      <w:bookmarkEnd w:id="65"/>
      <w:bookmarkEnd w:id="66"/>
      <w:bookmarkEnd w:id="67"/>
      <w:bookmarkEnd w:id="68"/>
      <w:bookmarkEnd w:id="69"/>
      <w:r w:rsidRPr="004F4478">
        <w:rPr>
          <w:highlight w:val="yellow"/>
        </w:rPr>
        <w:t xml:space="preserve"> </w:t>
      </w:r>
    </w:p>
    <w:p w:rsidR="00860A11" w:rsidRPr="004F4478" w:rsidRDefault="00860A11" w:rsidP="00BD4B16">
      <w:pPr>
        <w:pStyle w:val="HStandard"/>
        <w:jc w:val="center"/>
        <w:rPr>
          <w:highlight w:val="yellow"/>
        </w:rPr>
      </w:pPr>
      <w:r>
        <w:rPr>
          <w:noProof/>
          <w:lang w:val="en-GB" w:eastAsia="en-GB" w:bidi="ar-SA"/>
        </w:rPr>
        <w:drawing>
          <wp:inline distT="0" distB="0" distL="0" distR="0" wp14:anchorId="4EA642EE" wp14:editId="5B6271A3">
            <wp:extent cx="5731510" cy="3420745"/>
            <wp:effectExtent l="0" t="0" r="254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731510" cy="3420745"/>
                    </a:xfrm>
                    <a:prstGeom prst="rect">
                      <a:avLst/>
                    </a:prstGeom>
                  </pic:spPr>
                </pic:pic>
              </a:graphicData>
            </a:graphic>
          </wp:inline>
        </w:drawing>
      </w:r>
    </w:p>
    <w:p w:rsidR="00860A11" w:rsidRPr="004F4478" w:rsidRDefault="00860A11" w:rsidP="004615A0">
      <w:pPr>
        <w:pStyle w:val="HSource"/>
        <w:rPr>
          <w:highlight w:val="yellow"/>
        </w:rPr>
      </w:pPr>
      <w:r w:rsidRPr="004F4478">
        <w:rPr>
          <w:highlight w:val="yellow"/>
        </w:rPr>
        <w:t>Source: Helpdesk du Réseau européen d'évaluation du développement rural, 2016</w:t>
      </w:r>
    </w:p>
    <w:p w:rsidR="00860A11" w:rsidRPr="004F4478" w:rsidRDefault="00860A11" w:rsidP="00923616">
      <w:pPr>
        <w:pStyle w:val="HStandard"/>
        <w:rPr>
          <w:highlight w:val="yellow"/>
        </w:rPr>
        <w:sectPr w:rsidR="00860A11" w:rsidRPr="004F4478" w:rsidSect="007C19BE">
          <w:pgSz w:w="11906" w:h="16838" w:code="9"/>
          <w:pgMar w:top="1440" w:right="1440" w:bottom="1440" w:left="1440" w:header="1134" w:footer="1021" w:gutter="0"/>
          <w:cols w:space="708"/>
          <w:titlePg/>
          <w:docGrid w:linePitch="360"/>
        </w:sectPr>
      </w:pPr>
    </w:p>
    <w:p w:rsidR="00860A11" w:rsidRPr="004F4478" w:rsidRDefault="00860A11" w:rsidP="001249DA">
      <w:pPr>
        <w:pStyle w:val="HHeadingtables"/>
        <w:rPr>
          <w:highlight w:val="yellow"/>
        </w:rPr>
      </w:pPr>
      <w:bookmarkStart w:id="70" w:name="_Toc436383142"/>
      <w:bookmarkStart w:id="71" w:name="_Toc451781905"/>
      <w:bookmarkStart w:id="72" w:name="_Ref451784860"/>
      <w:bookmarkStart w:id="73" w:name="_Ref451784868"/>
      <w:bookmarkStart w:id="74" w:name="_Toc463945779"/>
      <w:r>
        <w:rPr>
          <w:highlight w:val="yellow"/>
        </w:rPr>
        <w:lastRenderedPageBreak/>
        <w:t>Cadre</w:t>
      </w:r>
      <w:r w:rsidRPr="004F4478">
        <w:rPr>
          <w:highlight w:val="yellow"/>
        </w:rPr>
        <w:t xml:space="preserve"> commun </w:t>
      </w:r>
      <w:bookmarkEnd w:id="70"/>
      <w:r>
        <w:rPr>
          <w:highlight w:val="yellow"/>
        </w:rPr>
        <w:t>d'évaluation</w:t>
      </w:r>
      <w:r w:rsidRPr="004F4478">
        <w:rPr>
          <w:highlight w:val="yellow"/>
        </w:rPr>
        <w:t xml:space="preserve"> pour le RRN</w:t>
      </w:r>
      <w:bookmarkEnd w:id="71"/>
      <w:bookmarkEnd w:id="72"/>
      <w:bookmarkEnd w:id="73"/>
      <w:bookmarkEnd w:id="74"/>
    </w:p>
    <w:tbl>
      <w:tblPr>
        <w:tblW w:w="14323" w:type="dxa"/>
        <w:jc w:val="center"/>
        <w:tblBorders>
          <w:top w:val="single" w:sz="2" w:space="0" w:color="000000" w:themeColor="text1"/>
          <w:left w:val="single" w:sz="2" w:space="0" w:color="000000" w:themeColor="text1"/>
          <w:bottom w:val="single" w:sz="2" w:space="0" w:color="000000" w:themeColor="text1"/>
          <w:right w:val="single" w:sz="2" w:space="0" w:color="000000" w:themeColor="text1"/>
          <w:insideH w:val="single" w:sz="2" w:space="0" w:color="000000" w:themeColor="text1"/>
          <w:insideV w:val="single" w:sz="2" w:space="0" w:color="000000" w:themeColor="text1"/>
        </w:tblBorders>
        <w:tblCellMar>
          <w:left w:w="70" w:type="dxa"/>
          <w:right w:w="70" w:type="dxa"/>
        </w:tblCellMar>
        <w:tblLook w:val="04A0" w:firstRow="1" w:lastRow="0" w:firstColumn="1" w:lastColumn="0" w:noHBand="0" w:noVBand="1"/>
      </w:tblPr>
      <w:tblGrid>
        <w:gridCol w:w="3087"/>
        <w:gridCol w:w="2931"/>
        <w:gridCol w:w="2969"/>
        <w:gridCol w:w="2378"/>
        <w:gridCol w:w="2958"/>
      </w:tblGrid>
      <w:tr w:rsidR="00860A11" w:rsidRPr="004F4478" w:rsidTr="00DC0897">
        <w:trPr>
          <w:trHeight w:val="406"/>
          <w:tblHeader/>
          <w:jc w:val="center"/>
        </w:trPr>
        <w:tc>
          <w:tcPr>
            <w:tcW w:w="3087" w:type="dxa"/>
            <w:shd w:val="clear" w:color="auto" w:fill="E7E6E6" w:themeFill="background2"/>
            <w:vAlign w:val="center"/>
          </w:tcPr>
          <w:p w:rsidR="00860A11" w:rsidRPr="004F4478" w:rsidRDefault="00860A11" w:rsidP="004615A0">
            <w:pPr>
              <w:pStyle w:val="Htableleftbolt"/>
              <w:jc w:val="center"/>
              <w:rPr>
                <w:color w:val="5B9BD5" w:themeColor="accent1"/>
                <w:highlight w:val="yellow"/>
              </w:rPr>
            </w:pPr>
            <w:r w:rsidRPr="004F4478">
              <w:rPr>
                <w:color w:val="5B9BD5" w:themeColor="accent1"/>
                <w:highlight w:val="yellow"/>
              </w:rPr>
              <w:t>OBJECTIFS POURSUIVIS</w:t>
            </w:r>
          </w:p>
        </w:tc>
        <w:tc>
          <w:tcPr>
            <w:tcW w:w="2931" w:type="dxa"/>
            <w:shd w:val="clear" w:color="auto" w:fill="E7E6E6" w:themeFill="background2"/>
            <w:vAlign w:val="center"/>
          </w:tcPr>
          <w:p w:rsidR="00860A11" w:rsidRPr="004F4478" w:rsidRDefault="00860A11" w:rsidP="00DC0897">
            <w:pPr>
              <w:pStyle w:val="Htableleftbolt"/>
              <w:jc w:val="center"/>
              <w:rPr>
                <w:color w:val="5B9BD5" w:themeColor="accent1"/>
                <w:highlight w:val="yellow"/>
              </w:rPr>
            </w:pPr>
            <w:r w:rsidRPr="004F4478">
              <w:rPr>
                <w:color w:val="5B9BD5" w:themeColor="accent1"/>
                <w:highlight w:val="yellow"/>
              </w:rPr>
              <w:t>QUESTION D'ÉVALUATION COMMUNE CONCERNANT LE RRN</w:t>
            </w:r>
            <w:r w:rsidRPr="004F4478">
              <w:rPr>
                <w:highlight w:val="yellow"/>
              </w:rPr>
              <w:t xml:space="preserve"> </w:t>
            </w:r>
            <w:r w:rsidRPr="004F4478">
              <w:rPr>
                <w:rFonts w:ascii="ZWAdobeF" w:hAnsi="ZWAdobeF"/>
                <w:b w:val="0"/>
                <w:color w:val="auto"/>
                <w:sz w:val="2"/>
                <w:highlight w:val="yellow"/>
              </w:rPr>
              <w:t xml:space="preserve">43F </w:t>
            </w:r>
            <w:r w:rsidRPr="004F4478">
              <w:rPr>
                <w:rStyle w:val="FootnoteReference"/>
                <w:color w:val="5B9BD5" w:themeColor="accent1"/>
                <w:highlight w:val="yellow"/>
              </w:rPr>
              <w:footnoteReference w:id="44"/>
            </w:r>
          </w:p>
        </w:tc>
        <w:tc>
          <w:tcPr>
            <w:tcW w:w="2969" w:type="dxa"/>
            <w:shd w:val="clear" w:color="auto" w:fill="E7E6E6" w:themeFill="background2"/>
            <w:vAlign w:val="center"/>
          </w:tcPr>
          <w:p w:rsidR="00860A11" w:rsidRPr="004F4478" w:rsidRDefault="00860A11" w:rsidP="004615A0">
            <w:pPr>
              <w:pStyle w:val="Htableleftbolt"/>
              <w:jc w:val="center"/>
              <w:rPr>
                <w:color w:val="5B9BD5" w:themeColor="accent1"/>
                <w:highlight w:val="yellow"/>
              </w:rPr>
            </w:pPr>
            <w:r w:rsidRPr="004F4478">
              <w:rPr>
                <w:color w:val="5B9BD5" w:themeColor="accent1"/>
                <w:highlight w:val="yellow"/>
              </w:rPr>
              <w:t>CRITÈRES D’ÉVALUATION</w:t>
            </w:r>
            <w:r w:rsidRPr="004F4478">
              <w:rPr>
                <w:highlight w:val="yellow"/>
              </w:rPr>
              <w:t xml:space="preserve"> </w:t>
            </w:r>
            <w:r w:rsidRPr="004F4478">
              <w:rPr>
                <w:rFonts w:ascii="ZWAdobeF" w:hAnsi="ZWAdobeF"/>
                <w:b w:val="0"/>
                <w:color w:val="auto"/>
                <w:sz w:val="2"/>
                <w:highlight w:val="yellow"/>
              </w:rPr>
              <w:t xml:space="preserve">44F </w:t>
            </w:r>
            <w:r w:rsidRPr="004F4478">
              <w:rPr>
                <w:rStyle w:val="FootnoteReference"/>
                <w:color w:val="5B9BD5" w:themeColor="accent1"/>
                <w:highlight w:val="yellow"/>
              </w:rPr>
              <w:footnoteReference w:id="45"/>
            </w:r>
          </w:p>
        </w:tc>
        <w:tc>
          <w:tcPr>
            <w:tcW w:w="2378" w:type="dxa"/>
            <w:shd w:val="clear" w:color="auto" w:fill="E7E6E6" w:themeFill="background2"/>
            <w:vAlign w:val="center"/>
          </w:tcPr>
          <w:p w:rsidR="00860A11" w:rsidRPr="004F4478" w:rsidRDefault="00860A11" w:rsidP="00DC0897">
            <w:pPr>
              <w:pStyle w:val="Htableleftbolt"/>
              <w:jc w:val="center"/>
              <w:rPr>
                <w:color w:val="5B9BD5" w:themeColor="accent1"/>
                <w:highlight w:val="yellow"/>
              </w:rPr>
            </w:pPr>
            <w:r w:rsidRPr="004F4478">
              <w:rPr>
                <w:color w:val="5B9BD5" w:themeColor="accent1"/>
                <w:highlight w:val="yellow"/>
              </w:rPr>
              <w:t>INDICATEURS</w:t>
            </w:r>
            <w:r w:rsidRPr="004F4478">
              <w:rPr>
                <w:highlight w:val="yellow"/>
              </w:rPr>
              <w:t xml:space="preserve"> COMMUNS </w:t>
            </w:r>
            <w:r w:rsidRPr="004F4478">
              <w:rPr>
                <w:rFonts w:ascii="ZWAdobeF" w:hAnsi="ZWAdobeF"/>
                <w:b w:val="0"/>
                <w:color w:val="auto"/>
                <w:sz w:val="2"/>
                <w:highlight w:val="yellow"/>
              </w:rPr>
              <w:t xml:space="preserve">45F </w:t>
            </w:r>
            <w:r w:rsidRPr="004F4478">
              <w:rPr>
                <w:rStyle w:val="FootnoteReference"/>
                <w:color w:val="5B9BD5" w:themeColor="accent1"/>
                <w:highlight w:val="yellow"/>
              </w:rPr>
              <w:footnoteReference w:id="46"/>
            </w:r>
          </w:p>
        </w:tc>
        <w:tc>
          <w:tcPr>
            <w:tcW w:w="2958" w:type="dxa"/>
            <w:shd w:val="clear" w:color="auto" w:fill="E7E6E6" w:themeFill="background2"/>
            <w:vAlign w:val="center"/>
          </w:tcPr>
          <w:p w:rsidR="00860A11" w:rsidRPr="004F4478" w:rsidRDefault="00860A11" w:rsidP="004615A0">
            <w:pPr>
              <w:pStyle w:val="Htableleftbolt"/>
              <w:jc w:val="center"/>
              <w:rPr>
                <w:color w:val="5B9BD5" w:themeColor="accent1"/>
                <w:highlight w:val="yellow"/>
              </w:rPr>
            </w:pPr>
            <w:r w:rsidRPr="004F4478">
              <w:rPr>
                <w:highlight w:val="yellow"/>
              </w:rPr>
              <w:t>INFORMATIONS COMPLEMENTAIRES</w:t>
            </w:r>
            <w:r w:rsidRPr="004F4478">
              <w:rPr>
                <w:rStyle w:val="FootnoteReference"/>
                <w:color w:val="5B9BD5" w:themeColor="accent1"/>
                <w:highlight w:val="yellow"/>
              </w:rPr>
              <w:footnoteReference w:id="47"/>
            </w:r>
          </w:p>
        </w:tc>
      </w:tr>
      <w:tr w:rsidR="00860A11" w:rsidRPr="004F4478" w:rsidTr="00DC0897">
        <w:trPr>
          <w:trHeight w:val="129"/>
          <w:jc w:val="center"/>
        </w:trPr>
        <w:tc>
          <w:tcPr>
            <w:tcW w:w="3087" w:type="dxa"/>
            <w:shd w:val="clear" w:color="auto" w:fill="auto"/>
            <w:vAlign w:val="center"/>
          </w:tcPr>
          <w:p w:rsidR="00860A11" w:rsidRPr="004F4478" w:rsidRDefault="00860A11" w:rsidP="00CA57FC">
            <w:pPr>
              <w:pStyle w:val="Htableleft"/>
              <w:rPr>
                <w:color w:val="576C88" w:themeColor="text2" w:themeTint="D9"/>
                <w:highlight w:val="yellow"/>
              </w:rPr>
            </w:pPr>
            <w:r w:rsidRPr="004F4478">
              <w:rPr>
                <w:color w:val="576C88" w:themeColor="text2" w:themeTint="D9"/>
                <w:highlight w:val="yellow"/>
              </w:rPr>
              <w:t>Règlement (UE) n° 1305/2013, article 54, paragraphe 2.</w:t>
            </w:r>
          </w:p>
          <w:p w:rsidR="00860A11" w:rsidRPr="004F4478" w:rsidRDefault="00860A11" w:rsidP="00CA57FC">
            <w:pPr>
              <w:pStyle w:val="Htablebullet"/>
              <w:rPr>
                <w:color w:val="576C88" w:themeColor="text2" w:themeTint="D9"/>
                <w:highlight w:val="yellow"/>
              </w:rPr>
            </w:pPr>
            <w:r w:rsidRPr="004F4478">
              <w:rPr>
                <w:color w:val="576C88" w:themeColor="text2" w:themeTint="D9"/>
                <w:highlight w:val="yellow"/>
              </w:rPr>
              <w:t>Accroître la participation des parties prenantes à la mise en œuvre de la politique de développement rural;</w:t>
            </w:r>
          </w:p>
          <w:p w:rsidR="00860A11" w:rsidRPr="004F4478" w:rsidRDefault="00860A11" w:rsidP="00CA57FC">
            <w:pPr>
              <w:pStyle w:val="Htablebullet"/>
              <w:rPr>
                <w:color w:val="576C88" w:themeColor="text2" w:themeTint="D9"/>
                <w:highlight w:val="yellow"/>
              </w:rPr>
            </w:pPr>
            <w:r w:rsidRPr="004F4478">
              <w:rPr>
                <w:color w:val="576C88" w:themeColor="text2" w:themeTint="D9"/>
                <w:highlight w:val="yellow"/>
              </w:rPr>
              <w:t>Améliorer le déploiement des programmes de développement rural,</w:t>
            </w:r>
          </w:p>
          <w:p w:rsidR="00860A11" w:rsidRPr="004F4478" w:rsidRDefault="00860A11" w:rsidP="00CA57FC">
            <w:pPr>
              <w:pStyle w:val="Htablebullet"/>
              <w:rPr>
                <w:color w:val="576C88" w:themeColor="text2" w:themeTint="D9"/>
                <w:highlight w:val="yellow"/>
              </w:rPr>
            </w:pPr>
            <w:r w:rsidRPr="004F4478">
              <w:rPr>
                <w:color w:val="576C88" w:themeColor="text2" w:themeTint="D9"/>
                <w:highlight w:val="yellow"/>
              </w:rPr>
              <w:t>Informer le grand public et les bénéficiaires potentiels sur la politique de développement rural et sur les possibilités de financement;</w:t>
            </w:r>
          </w:p>
          <w:p w:rsidR="00860A11" w:rsidRPr="004F4478" w:rsidRDefault="00860A11" w:rsidP="00CA57FC">
            <w:pPr>
              <w:pStyle w:val="Htablebullet"/>
              <w:rPr>
                <w:color w:val="576C88" w:themeColor="text2" w:themeTint="D9"/>
                <w:highlight w:val="yellow"/>
              </w:rPr>
            </w:pPr>
            <w:r w:rsidRPr="004F4478">
              <w:rPr>
                <w:color w:val="576C88" w:themeColor="text2" w:themeTint="D9"/>
                <w:highlight w:val="yellow"/>
              </w:rPr>
              <w:t>Favoriser l'innovation dans le secteur de l'agriculture, de la production alimentaire, les activités forestières ainsi que dans les zones rurales.</w:t>
            </w:r>
          </w:p>
        </w:tc>
        <w:tc>
          <w:tcPr>
            <w:tcW w:w="2931" w:type="dxa"/>
            <w:shd w:val="clear" w:color="auto" w:fill="auto"/>
            <w:vAlign w:val="center"/>
          </w:tcPr>
          <w:p w:rsidR="00860A11" w:rsidRPr="004F4478" w:rsidRDefault="00860A11" w:rsidP="00CA57FC">
            <w:pPr>
              <w:pStyle w:val="Htableleft"/>
              <w:rPr>
                <w:color w:val="576C88" w:themeColor="text2" w:themeTint="D9"/>
                <w:highlight w:val="yellow"/>
              </w:rPr>
            </w:pPr>
            <w:r w:rsidRPr="004F4478">
              <w:rPr>
                <w:color w:val="576C88" w:themeColor="text2" w:themeTint="D9"/>
                <w:highlight w:val="yellow"/>
              </w:rPr>
              <w:t xml:space="preserve">Dans quelle mesure le réseau rural national a-t-il contribué à la réalisation des objectifs du règlement (UE) n ° 1305/2013, article 54, paragraphe 2) </w:t>
            </w:r>
          </w:p>
        </w:tc>
        <w:tc>
          <w:tcPr>
            <w:tcW w:w="2969" w:type="dxa"/>
            <w:shd w:val="clear" w:color="auto" w:fill="auto"/>
            <w:vAlign w:val="center"/>
          </w:tcPr>
          <w:p w:rsidR="00860A11" w:rsidRPr="004F4478" w:rsidRDefault="00860A11" w:rsidP="00CA57FC">
            <w:pPr>
              <w:pStyle w:val="Htablebullet"/>
              <w:rPr>
                <w:color w:val="576C88" w:themeColor="text2" w:themeTint="D9"/>
                <w:highlight w:val="yellow"/>
              </w:rPr>
            </w:pPr>
            <w:r w:rsidRPr="004F4478">
              <w:rPr>
                <w:color w:val="576C88" w:themeColor="text2" w:themeTint="D9"/>
                <w:highlight w:val="yellow"/>
              </w:rPr>
              <w:t>Augmentation du nombre et des types d'acteurs impliqués dans la mise en œuvre du PDR en raison des activités des RRN;</w:t>
            </w:r>
          </w:p>
          <w:p w:rsidR="00860A11" w:rsidRPr="004F4478" w:rsidRDefault="00860A11" w:rsidP="00CA57FC">
            <w:pPr>
              <w:pStyle w:val="Htablebullet"/>
              <w:rPr>
                <w:color w:val="576C88" w:themeColor="text2" w:themeTint="D9"/>
                <w:highlight w:val="yellow"/>
              </w:rPr>
            </w:pPr>
            <w:r w:rsidRPr="004F4478">
              <w:rPr>
                <w:color w:val="576C88" w:themeColor="text2" w:themeTint="D9"/>
                <w:highlight w:val="yellow"/>
              </w:rPr>
              <w:t>Ainsi, la qualité de la mise en œuvre du PDR a été améliorée par les activités du RRN.</w:t>
            </w:r>
          </w:p>
          <w:p w:rsidR="00860A11" w:rsidRPr="004F4478" w:rsidRDefault="00860A11" w:rsidP="00CA57FC">
            <w:pPr>
              <w:pStyle w:val="Htablebullet"/>
              <w:rPr>
                <w:color w:val="576C88" w:themeColor="text2" w:themeTint="D9"/>
                <w:highlight w:val="yellow"/>
              </w:rPr>
            </w:pPr>
            <w:r w:rsidRPr="004F4478">
              <w:rPr>
                <w:color w:val="576C88" w:themeColor="text2" w:themeTint="D9"/>
                <w:highlight w:val="yellow"/>
              </w:rPr>
              <w:t xml:space="preserve">Amélioration de la capacité de production  des bénéficiaires du PDR, </w:t>
            </w:r>
          </w:p>
          <w:p w:rsidR="00860A11" w:rsidRPr="004F4478" w:rsidRDefault="00860A11" w:rsidP="00CA57FC">
            <w:pPr>
              <w:pStyle w:val="Htablebullet"/>
              <w:rPr>
                <w:color w:val="576C88" w:themeColor="text2" w:themeTint="D9"/>
                <w:highlight w:val="yellow"/>
              </w:rPr>
            </w:pPr>
            <w:r w:rsidRPr="004F4478">
              <w:rPr>
                <w:color w:val="576C88" w:themeColor="text2" w:themeTint="D9"/>
                <w:highlight w:val="yellow"/>
              </w:rPr>
              <w:t>Meilleure sensibilisation au processus d'évaluation,</w:t>
            </w:r>
          </w:p>
          <w:p w:rsidR="00860A11" w:rsidRPr="004F4478" w:rsidRDefault="00860A11" w:rsidP="00CA57FC">
            <w:pPr>
              <w:pStyle w:val="Htablebullet"/>
              <w:rPr>
                <w:color w:val="576C88" w:themeColor="text2" w:themeTint="D9"/>
                <w:highlight w:val="yellow"/>
              </w:rPr>
            </w:pPr>
            <w:r w:rsidRPr="004F4478">
              <w:rPr>
                <w:color w:val="576C88" w:themeColor="text2" w:themeTint="D9"/>
                <w:highlight w:val="yellow"/>
              </w:rPr>
              <w:t>Les leçons tirées des évaluations sont prises en compte dans la mise en œuvre du programme.</w:t>
            </w:r>
          </w:p>
          <w:p w:rsidR="00860A11" w:rsidRPr="004F4478" w:rsidRDefault="00860A11" w:rsidP="00CA57FC">
            <w:pPr>
              <w:pStyle w:val="Htablebullet"/>
              <w:rPr>
                <w:color w:val="576C88" w:themeColor="text2" w:themeTint="D9"/>
                <w:highlight w:val="yellow"/>
              </w:rPr>
            </w:pPr>
            <w:r w:rsidRPr="004F4478">
              <w:rPr>
                <w:color w:val="576C88" w:themeColor="text2" w:themeTint="D9"/>
                <w:highlight w:val="yellow"/>
              </w:rPr>
              <w:t>De plus en plus de bénéficiaires du grand public et de bénéficiaires potentiels connaissent la politique de développement rural et les possibilités de financement grâce aux activités des RRN;</w:t>
            </w:r>
          </w:p>
          <w:p w:rsidR="00860A11" w:rsidRPr="004F4478" w:rsidRDefault="00860A11" w:rsidP="00CA57FC">
            <w:pPr>
              <w:pStyle w:val="Htablebullet"/>
              <w:rPr>
                <w:color w:val="576C88" w:themeColor="text2" w:themeTint="D9"/>
                <w:highlight w:val="yellow"/>
              </w:rPr>
            </w:pPr>
            <w:r w:rsidRPr="004F4478">
              <w:rPr>
                <w:color w:val="576C88" w:themeColor="text2" w:themeTint="D9"/>
                <w:highlight w:val="yellow"/>
              </w:rPr>
              <w:lastRenderedPageBreak/>
              <w:t>Les innovations dans l'agriculture, la production alimentaire la sylviculture et les zones rurales favorisées par le RRN.</w:t>
            </w:r>
          </w:p>
        </w:tc>
        <w:tc>
          <w:tcPr>
            <w:tcW w:w="2378" w:type="dxa"/>
            <w:shd w:val="clear" w:color="auto" w:fill="auto"/>
            <w:vAlign w:val="center"/>
          </w:tcPr>
          <w:p w:rsidR="00860A11" w:rsidRPr="004F4478" w:rsidRDefault="00860A11" w:rsidP="00CA57FC">
            <w:pPr>
              <w:pStyle w:val="Htablebullet"/>
              <w:rPr>
                <w:color w:val="576C88" w:themeColor="text2" w:themeTint="D9"/>
                <w:highlight w:val="yellow"/>
              </w:rPr>
            </w:pPr>
            <w:r w:rsidRPr="004F4478">
              <w:rPr>
                <w:color w:val="576C88" w:themeColor="text2" w:themeTint="D9"/>
                <w:highlight w:val="yellow"/>
              </w:rPr>
              <w:lastRenderedPageBreak/>
              <w:t>Nombre d’échanges thématiques et analytiques qui ont eu lieu avec le soutien du RRN</w:t>
            </w:r>
          </w:p>
          <w:p w:rsidR="00860A11" w:rsidRPr="004F4478" w:rsidRDefault="00860A11" w:rsidP="00CA57FC">
            <w:pPr>
              <w:pStyle w:val="Htablebullet"/>
              <w:rPr>
                <w:color w:val="576C88" w:themeColor="text2" w:themeTint="D9"/>
                <w:highlight w:val="yellow"/>
              </w:rPr>
            </w:pPr>
            <w:r w:rsidRPr="004F4478">
              <w:rPr>
                <w:color w:val="576C88" w:themeColor="text2" w:themeTint="D9"/>
                <w:highlight w:val="yellow"/>
              </w:rPr>
              <w:t>Nombre d’outils de communication du RRN</w:t>
            </w:r>
          </w:p>
          <w:p w:rsidR="00860A11" w:rsidRPr="004F4478" w:rsidRDefault="00860A11" w:rsidP="00CA57FC">
            <w:pPr>
              <w:pStyle w:val="Htablebullet"/>
              <w:rPr>
                <w:color w:val="576C88" w:themeColor="text2" w:themeTint="D9"/>
                <w:highlight w:val="yellow"/>
              </w:rPr>
            </w:pPr>
            <w:r w:rsidRPr="004F4478">
              <w:rPr>
                <w:color w:val="576C88" w:themeColor="text2" w:themeTint="D9"/>
                <w:highlight w:val="yellow"/>
              </w:rPr>
              <w:t>Nombre d’activités du REDR auxquelles le RRN a participé.</w:t>
            </w:r>
          </w:p>
        </w:tc>
        <w:tc>
          <w:tcPr>
            <w:tcW w:w="2958" w:type="dxa"/>
            <w:shd w:val="clear" w:color="auto" w:fill="auto"/>
          </w:tcPr>
          <w:p w:rsidR="00860A11" w:rsidRPr="004F4478" w:rsidRDefault="00860A11" w:rsidP="00CA57FC">
            <w:pPr>
              <w:pStyle w:val="Htablebullet"/>
              <w:rPr>
                <w:color w:val="576C88" w:themeColor="text2" w:themeTint="D9"/>
                <w:highlight w:val="yellow"/>
              </w:rPr>
            </w:pPr>
            <w:r w:rsidRPr="004F4478">
              <w:rPr>
                <w:color w:val="576C88" w:themeColor="text2" w:themeTint="D9"/>
                <w:highlight w:val="yellow"/>
              </w:rPr>
              <w:t>Nombre de parties prenantes (par type) participant à la mise en œuvre du PDR en raison des activités du RRN (y compris par les GAL).</w:t>
            </w:r>
          </w:p>
          <w:p w:rsidR="00860A11" w:rsidRPr="004F4478" w:rsidRDefault="00860A11" w:rsidP="00CA57FC">
            <w:pPr>
              <w:pStyle w:val="Htablebullet"/>
              <w:rPr>
                <w:color w:val="576C88" w:themeColor="text2" w:themeTint="D9"/>
                <w:highlight w:val="yellow"/>
              </w:rPr>
            </w:pPr>
            <w:r w:rsidRPr="004F4478">
              <w:rPr>
                <w:color w:val="576C88" w:themeColor="text2" w:themeTint="D9"/>
                <w:highlight w:val="yellow"/>
              </w:rPr>
              <w:t>Nombre de modifications du PDR suite aux résultats de l'évaluation et aux recommandations des groupes de travail thématiques organisés par le RRN;</w:t>
            </w:r>
          </w:p>
          <w:p w:rsidR="00860A11" w:rsidRPr="004F4478" w:rsidRDefault="00860A11" w:rsidP="00CA57FC">
            <w:pPr>
              <w:pStyle w:val="Htablebullet"/>
              <w:rPr>
                <w:color w:val="576C88" w:themeColor="text2" w:themeTint="D9"/>
                <w:highlight w:val="yellow"/>
              </w:rPr>
            </w:pPr>
            <w:r w:rsidRPr="004F4478">
              <w:rPr>
                <w:color w:val="576C88" w:themeColor="text2" w:themeTint="D9"/>
                <w:highlight w:val="yellow"/>
              </w:rPr>
              <w:t>% de mises en œuvre de projets PDR encouragées par les activités du (P)RRN;</w:t>
            </w:r>
          </w:p>
          <w:p w:rsidR="00860A11" w:rsidRPr="004F4478" w:rsidRDefault="00860A11" w:rsidP="00CA57FC">
            <w:pPr>
              <w:pStyle w:val="Htablebullet"/>
              <w:rPr>
                <w:color w:val="576C88" w:themeColor="text2" w:themeTint="D9"/>
                <w:highlight w:val="yellow"/>
              </w:rPr>
            </w:pPr>
            <w:r w:rsidRPr="004F4478">
              <w:rPr>
                <w:color w:val="576C88" w:themeColor="text2" w:themeTint="D9"/>
                <w:highlight w:val="yellow"/>
              </w:rPr>
              <w:t>Nombre de personnes informées sur la politique de développement rural et les possibilités de financement grâce aux outils de communication du RRN;</w:t>
            </w:r>
          </w:p>
          <w:p w:rsidR="00860A11" w:rsidRPr="004F4478" w:rsidRDefault="00860A11" w:rsidP="00CA57FC">
            <w:pPr>
              <w:pStyle w:val="Htablebullet"/>
              <w:rPr>
                <w:color w:val="576C88" w:themeColor="text2" w:themeTint="D9"/>
                <w:highlight w:val="yellow"/>
              </w:rPr>
            </w:pPr>
            <w:r w:rsidRPr="004F4478">
              <w:rPr>
                <w:color w:val="576C88" w:themeColor="text2" w:themeTint="D9"/>
                <w:highlight w:val="yellow"/>
              </w:rPr>
              <w:t xml:space="preserve">% de projets innovants favorisés par le RRN sur le nombre total de projets </w:t>
            </w:r>
            <w:r w:rsidRPr="004F4478">
              <w:rPr>
                <w:color w:val="576C88" w:themeColor="text2" w:themeTint="D9"/>
                <w:highlight w:val="yellow"/>
              </w:rPr>
              <w:lastRenderedPageBreak/>
              <w:t xml:space="preserve">innovants soutenus par le(s) (P)RRN. </w:t>
            </w:r>
          </w:p>
        </w:tc>
      </w:tr>
    </w:tbl>
    <w:p w:rsidR="00860A11" w:rsidRPr="004F4478" w:rsidRDefault="00860A11" w:rsidP="00923616">
      <w:pPr>
        <w:pStyle w:val="HStandard"/>
        <w:rPr>
          <w:highlight w:val="yellow"/>
        </w:rPr>
        <w:sectPr w:rsidR="00860A11" w:rsidRPr="004F4478" w:rsidSect="00DD4A55">
          <w:headerReference w:type="default" r:id="rId27"/>
          <w:footerReference w:type="default" r:id="rId28"/>
          <w:headerReference w:type="first" r:id="rId29"/>
          <w:footerReference w:type="first" r:id="rId30"/>
          <w:pgSz w:w="16838" w:h="11906" w:orient="landscape" w:code="9"/>
          <w:pgMar w:top="2098" w:right="2495" w:bottom="2098" w:left="2381" w:header="907" w:footer="1021" w:gutter="0"/>
          <w:cols w:space="708"/>
          <w:titlePg/>
          <w:docGrid w:linePitch="360"/>
        </w:sectPr>
      </w:pPr>
    </w:p>
    <w:p w:rsidR="00860A11" w:rsidRPr="004F4478" w:rsidRDefault="00860A11" w:rsidP="00F93622">
      <w:pPr>
        <w:pStyle w:val="HHeading1"/>
        <w:rPr>
          <w:rFonts w:cs="Arial"/>
          <w:highlight w:val="yellow"/>
        </w:rPr>
      </w:pPr>
      <w:bookmarkStart w:id="75" w:name="_Toc453079753"/>
      <w:bookmarkStart w:id="76" w:name="_Toc463945860"/>
      <w:r w:rsidRPr="004F4478">
        <w:rPr>
          <w:caps w:val="0"/>
          <w:highlight w:val="yellow"/>
        </w:rPr>
        <w:lastRenderedPageBreak/>
        <w:t>PARTIE I - GESTION DE L'ÉVALUATION DES RRN</w:t>
      </w:r>
      <w:bookmarkEnd w:id="75"/>
      <w:bookmarkEnd w:id="76"/>
    </w:p>
    <w:p w:rsidR="00860A11" w:rsidRPr="004F4478" w:rsidRDefault="00860A11" w:rsidP="00BF5E8F">
      <w:pPr>
        <w:pStyle w:val="HHeading5"/>
        <w:rPr>
          <w:color w:val="A5A5A5" w:themeColor="accent3"/>
          <w:highlight w:val="yellow"/>
        </w:rPr>
      </w:pPr>
      <w:bookmarkStart w:id="77" w:name="_Toc391484185"/>
      <w:r w:rsidRPr="004F4478">
        <w:rPr>
          <w:color w:val="A5A5A5" w:themeColor="accent3"/>
          <w:highlight w:val="yellow"/>
        </w:rPr>
        <w:t>Qui devrait lire la PARTIE I?</w:t>
      </w:r>
    </w:p>
    <w:p w:rsidR="00860A11" w:rsidRPr="004F4478" w:rsidRDefault="00860A11" w:rsidP="00461BF0">
      <w:pPr>
        <w:pStyle w:val="HStandard"/>
        <w:spacing w:after="0"/>
        <w:rPr>
          <w:highlight w:val="yellow"/>
        </w:rPr>
      </w:pPr>
      <w:r w:rsidRPr="004F4478">
        <w:rPr>
          <w:highlight w:val="yellow"/>
        </w:rPr>
        <w:t xml:space="preserve">La </w:t>
      </w:r>
      <w:r>
        <w:rPr>
          <w:highlight w:val="yellow"/>
        </w:rPr>
        <w:t>partie</w:t>
      </w:r>
      <w:r w:rsidRPr="004F4478">
        <w:rPr>
          <w:highlight w:val="yellow"/>
        </w:rPr>
        <w:t xml:space="preserve"> I concerne principalement les autorités de </w:t>
      </w:r>
      <w:r>
        <w:rPr>
          <w:highlight w:val="yellow"/>
        </w:rPr>
        <w:t>gestion</w:t>
      </w:r>
      <w:r w:rsidRPr="004F4478">
        <w:rPr>
          <w:highlight w:val="yellow"/>
        </w:rPr>
        <w:t xml:space="preserve"> et la NSU en tant que responsable du déploiement de l'évaluation du RRN, mais aussi d'autres acteurs participant à la planification et à la préparation de l'évaluation du RRN. Elle devrait aussi intéresser les fonctionnaires et experts impliqués dans l'élaboration du cahier des charges pour l'évaluation, et les personnes impliquées dans la gestion du RRN.</w:t>
      </w:r>
    </w:p>
    <w:p w:rsidR="00860A11" w:rsidRPr="004F4478" w:rsidRDefault="00860A11" w:rsidP="00BF5E8F">
      <w:pPr>
        <w:pStyle w:val="HHeading5"/>
        <w:rPr>
          <w:color w:val="A5A5A5" w:themeColor="accent3"/>
          <w:highlight w:val="yellow"/>
        </w:rPr>
      </w:pPr>
      <w:r w:rsidRPr="004F4478">
        <w:rPr>
          <w:color w:val="A5A5A5" w:themeColor="accent3"/>
          <w:highlight w:val="yellow"/>
        </w:rPr>
        <w:t>Comment la PARTIE I est-elle organisée?</w:t>
      </w:r>
    </w:p>
    <w:p w:rsidR="00860A11" w:rsidRPr="004F4478" w:rsidRDefault="00860A11" w:rsidP="00470DEA">
      <w:pPr>
        <w:pStyle w:val="HStandard"/>
        <w:spacing w:after="0"/>
        <w:rPr>
          <w:highlight w:val="yellow"/>
        </w:rPr>
      </w:pPr>
      <w:r w:rsidRPr="004F4478">
        <w:rPr>
          <w:highlight w:val="yellow"/>
        </w:rPr>
        <w:t xml:space="preserve">La </w:t>
      </w:r>
      <w:r>
        <w:rPr>
          <w:highlight w:val="yellow"/>
        </w:rPr>
        <w:t>p</w:t>
      </w:r>
      <w:r w:rsidRPr="004F4478">
        <w:rPr>
          <w:highlight w:val="yellow"/>
        </w:rPr>
        <w:t xml:space="preserve">artie 1 décrit les rôles et responsabilités de tous les intervenants qui participent ou pourraient participer à l'évaluation du RRN. Elle présente également les étapes clés de l'évaluation du RRN - comme la planification, la préparation, ainsi que la réalisation de l'évaluation du RRN et la diffusion, la communication et le suivi des résultats de l'évaluation du RRN. </w:t>
      </w:r>
    </w:p>
    <w:p w:rsidR="00860A11" w:rsidRPr="004F4478" w:rsidRDefault="00860A11" w:rsidP="00680DA9">
      <w:pPr>
        <w:pStyle w:val="HHeading2"/>
        <w:rPr>
          <w:highlight w:val="yellow"/>
        </w:rPr>
      </w:pPr>
      <w:bookmarkStart w:id="78" w:name="_Toc453079754"/>
      <w:bookmarkStart w:id="79" w:name="_Toc463945861"/>
      <w:r w:rsidRPr="004F4478">
        <w:rPr>
          <w:highlight w:val="yellow"/>
        </w:rPr>
        <w:t xml:space="preserve">Qui </w:t>
      </w:r>
      <w:r>
        <w:rPr>
          <w:highlight w:val="yellow"/>
        </w:rPr>
        <w:t>participe à</w:t>
      </w:r>
      <w:r w:rsidRPr="004F4478">
        <w:rPr>
          <w:highlight w:val="yellow"/>
        </w:rPr>
        <w:t xml:space="preserve"> l'évaluation du RRN et à quel titre?</w:t>
      </w:r>
      <w:bookmarkEnd w:id="77"/>
      <w:bookmarkEnd w:id="78"/>
      <w:bookmarkEnd w:id="79"/>
    </w:p>
    <w:p w:rsidR="00860A11" w:rsidRPr="004F4478" w:rsidRDefault="00860A11" w:rsidP="00DC0897">
      <w:pPr>
        <w:pStyle w:val="HStandard"/>
        <w:rPr>
          <w:highlight w:val="yellow"/>
        </w:rPr>
      </w:pPr>
      <w:r w:rsidRPr="004F4478">
        <w:rPr>
          <w:highlight w:val="yellow"/>
        </w:rPr>
        <w:t xml:space="preserve">Une multitude d'acteurs participent aux différentes composantes du RRN dans les États membres. Par conséquent, il existe aussi de grandes différences entre les catégories d'acteurs pouvant être impliqués dans l'évaluation du RRN, à savoir les acteurs qui gèrent le réseau, participent au réseau et à son évaluation. </w:t>
      </w:r>
    </w:p>
    <w:p w:rsidR="00860A11" w:rsidRPr="004F4478" w:rsidRDefault="00860A11" w:rsidP="007134D0">
      <w:pPr>
        <w:pStyle w:val="HStandard"/>
        <w:rPr>
          <w:highlight w:val="yellow"/>
        </w:rPr>
      </w:pPr>
      <w:r w:rsidRPr="004F4478">
        <w:rPr>
          <w:highlight w:val="yellow"/>
        </w:rPr>
        <w:t xml:space="preserve">Il est important de noter que dans un réseau, certains acteurs peuvent avoir des rôles multiples - par exemple, le représentant d'un partenaire social peut aussi être membre d'un GAL. De même, le comité de suivi est chargé du suivi du PDR, y compris du RRN, tout en étant membre du RRN. </w:t>
      </w:r>
    </w:p>
    <w:p w:rsidR="00860A11" w:rsidRPr="004F4478" w:rsidRDefault="00860A11" w:rsidP="007134D0">
      <w:pPr>
        <w:pStyle w:val="HStandard"/>
        <w:rPr>
          <w:highlight w:val="yellow"/>
        </w:rPr>
      </w:pPr>
      <w:r w:rsidRPr="004F4478">
        <w:rPr>
          <w:highlight w:val="yellow"/>
        </w:rPr>
        <w:t xml:space="preserve">En outre, le rôle des acteurs dépend si l'évaluation du RRN en question est réalisée dans le cadre de l’évaluation du PDR ou dans le cadre d’une évaluation autonome. Comme les évaluations autonomes se concentrent davantage sur le RRN, les acteurs qui gèrent le réseau et y participent auront des responsabilités plus importantes que dans le cas où le RRN est évalué dans le cadre du PDR. En outre, les rôles de l’autorité de gestion et de la NSU diffèrent en fonction du décideur de l’évaluation (autorité de gestion ou NSU). Ceci permet de déterminer ensuite qui est responsable de l'évaluation du RRN et qui a le budget pour l'évaluation du RRN. En outre, il est possible que la NSU dispose d’un petit budget d'évaluation qui ne permet de réaliser que de petites évaluations, mais l’évaluation globale du RRN est couverte par le budget d'évaluation de l’autorité de </w:t>
      </w:r>
      <w:r>
        <w:rPr>
          <w:highlight w:val="yellow"/>
        </w:rPr>
        <w:t>gestion</w:t>
      </w:r>
      <w:r w:rsidRPr="004F4478">
        <w:rPr>
          <w:highlight w:val="yellow"/>
        </w:rPr>
        <w:t>.</w:t>
      </w:r>
    </w:p>
    <w:p w:rsidR="00860A11" w:rsidRPr="004F4478" w:rsidRDefault="00860A11" w:rsidP="00B35926">
      <w:pPr>
        <w:pStyle w:val="HHeading3"/>
        <w:rPr>
          <w:highlight w:val="yellow"/>
        </w:rPr>
      </w:pPr>
      <w:bookmarkStart w:id="80" w:name="_Toc453079755"/>
      <w:bookmarkStart w:id="81" w:name="_Toc463945862"/>
      <w:r w:rsidRPr="004F4478">
        <w:rPr>
          <w:highlight w:val="yellow"/>
        </w:rPr>
        <w:t>Les acteurs impliqués dans l'exploitation du réseau</w:t>
      </w:r>
      <w:bookmarkEnd w:id="80"/>
      <w:bookmarkEnd w:id="81"/>
    </w:p>
    <w:p w:rsidR="00860A11" w:rsidRPr="004F4478" w:rsidRDefault="00860A11" w:rsidP="00B35926">
      <w:pPr>
        <w:pStyle w:val="HHeading5"/>
        <w:rPr>
          <w:highlight w:val="yellow"/>
        </w:rPr>
      </w:pPr>
      <w:r w:rsidRPr="004F4478">
        <w:rPr>
          <w:highlight w:val="yellow"/>
        </w:rPr>
        <w:t xml:space="preserve">Autorité de </w:t>
      </w:r>
      <w:r>
        <w:rPr>
          <w:highlight w:val="yellow"/>
        </w:rPr>
        <w:t>gestion</w:t>
      </w:r>
      <w:r w:rsidRPr="004F4478">
        <w:rPr>
          <w:rStyle w:val="FootnoteReference"/>
          <w:highlight w:val="yellow"/>
        </w:rPr>
        <w:footnoteReference w:id="48"/>
      </w:r>
    </w:p>
    <w:p w:rsidR="00860A11" w:rsidRPr="004F4478" w:rsidRDefault="00860A11" w:rsidP="007134D0">
      <w:pPr>
        <w:pStyle w:val="HStandard"/>
        <w:rPr>
          <w:highlight w:val="yellow"/>
        </w:rPr>
      </w:pPr>
      <w:r w:rsidRPr="004F4478">
        <w:rPr>
          <w:highlight w:val="yellow"/>
        </w:rPr>
        <w:t xml:space="preserve">Les autorités de </w:t>
      </w:r>
      <w:r>
        <w:rPr>
          <w:highlight w:val="yellow"/>
        </w:rPr>
        <w:t>gestion</w:t>
      </w:r>
      <w:r w:rsidRPr="004F4478">
        <w:rPr>
          <w:highlight w:val="yellow"/>
        </w:rPr>
        <w:t xml:space="preserve"> du PDR et du PRRN sont responsables de la préparation, des ressources, de la gestion et de la mise en œuvre du plan d'évaluation. Le plan d'évaluation du PDR comprend des dispositions pour l'évaluation du RRN. L'autorité de </w:t>
      </w:r>
      <w:r>
        <w:rPr>
          <w:highlight w:val="yellow"/>
        </w:rPr>
        <w:t>gestion</w:t>
      </w:r>
      <w:r w:rsidRPr="004F4478">
        <w:rPr>
          <w:highlight w:val="yellow"/>
        </w:rPr>
        <w:t xml:space="preserve"> est également responsable de la qualité, de la ponctualité et de la communication des résultats de l'évaluation du RRN (dans le cadre du PDR ou d’une évaluation</w:t>
      </w:r>
      <w:r>
        <w:rPr>
          <w:highlight w:val="yellow"/>
        </w:rPr>
        <w:t xml:space="preserve"> autonome</w:t>
      </w:r>
      <w:r w:rsidRPr="004F4478">
        <w:rPr>
          <w:highlight w:val="yellow"/>
        </w:rPr>
        <w:t xml:space="preserve">), et du suivi de la performance du réseau. Lorsque le RRN est évalué dans le cadre du PDR ou lorsque l’autorité de </w:t>
      </w:r>
      <w:r>
        <w:rPr>
          <w:highlight w:val="yellow"/>
        </w:rPr>
        <w:t>gestion</w:t>
      </w:r>
      <w:r w:rsidRPr="004F4478">
        <w:rPr>
          <w:highlight w:val="yellow"/>
        </w:rPr>
        <w:t xml:space="preserve">  commande une évaluation autonome du RRN ou du PRRN, c’est l’autorité de </w:t>
      </w:r>
      <w:r>
        <w:rPr>
          <w:highlight w:val="yellow"/>
        </w:rPr>
        <w:t>gestion</w:t>
      </w:r>
      <w:r w:rsidRPr="004F4478">
        <w:rPr>
          <w:highlight w:val="yellow"/>
        </w:rPr>
        <w:t xml:space="preserve"> qui lance l'évaluation et à ce titre est responsable de la planification, de la préparation et du contrôle de la qualité de l'évaluation. </w:t>
      </w:r>
    </w:p>
    <w:p w:rsidR="00860A11" w:rsidRPr="004F4478" w:rsidRDefault="00860A11" w:rsidP="007134D0">
      <w:pPr>
        <w:pStyle w:val="HStandard"/>
        <w:rPr>
          <w:highlight w:val="yellow"/>
        </w:rPr>
      </w:pPr>
      <w:r w:rsidRPr="004F4478">
        <w:rPr>
          <w:highlight w:val="yellow"/>
        </w:rPr>
        <w:lastRenderedPageBreak/>
        <w:t xml:space="preserve">Dans certains États membres, le ministère responsable du PDR peut demander à des organes autres que l’autorité de </w:t>
      </w:r>
      <w:r>
        <w:rPr>
          <w:highlight w:val="yellow"/>
        </w:rPr>
        <w:t>gestion</w:t>
      </w:r>
      <w:r w:rsidRPr="004F4478">
        <w:rPr>
          <w:highlight w:val="yellow"/>
        </w:rPr>
        <w:t>, de prendre en charge certaines tâches dans l'évaluation du RRN. Par exemple, l'organe d'évaluation peut gérer, préparer, lancer et contrôler la qualité de l'évaluation du RRN. L'unité de communication, si elle existe, peut aider le RRN à diffuser des résultats d'évaluation de RRN.</w:t>
      </w:r>
    </w:p>
    <w:p w:rsidR="00860A11" w:rsidRPr="004F4478" w:rsidRDefault="00860A11" w:rsidP="00B35926">
      <w:pPr>
        <w:pStyle w:val="HHeading5"/>
        <w:rPr>
          <w:highlight w:val="yellow"/>
        </w:rPr>
      </w:pPr>
      <w:r w:rsidRPr="004F4478">
        <w:rPr>
          <w:highlight w:val="yellow"/>
        </w:rPr>
        <w:t xml:space="preserve">Unité de soutien de réseau (NSU) </w:t>
      </w:r>
      <w:r w:rsidRPr="004F4478">
        <w:rPr>
          <w:rFonts w:ascii="ZWAdobeF" w:hAnsi="ZWAdobeF"/>
          <w:b w:val="0"/>
          <w:color w:val="auto"/>
          <w:sz w:val="2"/>
          <w:highlight w:val="yellow"/>
        </w:rPr>
        <w:t xml:space="preserve">48F </w:t>
      </w:r>
      <w:r w:rsidRPr="004F4478">
        <w:rPr>
          <w:rStyle w:val="FootnoteReference"/>
          <w:highlight w:val="yellow"/>
        </w:rPr>
        <w:footnoteReference w:id="49"/>
      </w:r>
    </w:p>
    <w:p w:rsidR="00860A11" w:rsidRPr="004F4478" w:rsidRDefault="00860A11" w:rsidP="007134D0">
      <w:pPr>
        <w:pStyle w:val="HStandard"/>
        <w:rPr>
          <w:highlight w:val="yellow"/>
        </w:rPr>
      </w:pPr>
      <w:r w:rsidRPr="004F4478">
        <w:rPr>
          <w:highlight w:val="yellow"/>
        </w:rPr>
        <w:t xml:space="preserve">Dans certains États membres, la NSU fait partie de l’autorité de </w:t>
      </w:r>
      <w:r>
        <w:rPr>
          <w:highlight w:val="yellow"/>
        </w:rPr>
        <w:t>gestion;</w:t>
      </w:r>
      <w:r w:rsidRPr="004F4478">
        <w:rPr>
          <w:highlight w:val="yellow"/>
        </w:rPr>
        <w:t xml:space="preserve"> d'autres ont externalisé les fonctions de la NSU avec différents sous-traitants (institutions publiques </w:t>
      </w:r>
      <w:r w:rsidRPr="004F4478">
        <w:rPr>
          <w:rFonts w:ascii="ZWAdobeF" w:hAnsi="ZWAdobeF"/>
          <w:color w:val="auto"/>
          <w:sz w:val="2"/>
          <w:highlight w:val="yellow"/>
        </w:rPr>
        <w:t xml:space="preserve">49F </w:t>
      </w:r>
      <w:r w:rsidRPr="004F4478">
        <w:rPr>
          <w:rStyle w:val="FootnoteReference"/>
          <w:highlight w:val="yellow"/>
        </w:rPr>
        <w:footnoteReference w:id="50"/>
      </w:r>
      <w:r w:rsidRPr="004F4478">
        <w:rPr>
          <w:highlight w:val="yellow"/>
        </w:rPr>
        <w:t xml:space="preserve"> , sociétés de conseil </w:t>
      </w:r>
      <w:r w:rsidRPr="004F4478">
        <w:rPr>
          <w:rFonts w:ascii="ZWAdobeF" w:hAnsi="ZWAdobeF"/>
          <w:color w:val="auto"/>
          <w:sz w:val="2"/>
          <w:highlight w:val="yellow"/>
        </w:rPr>
        <w:t xml:space="preserve">50F </w:t>
      </w:r>
      <w:r w:rsidRPr="004F4478">
        <w:rPr>
          <w:rStyle w:val="FootnoteReference"/>
          <w:highlight w:val="yellow"/>
        </w:rPr>
        <w:footnoteReference w:id="51"/>
      </w:r>
      <w:r w:rsidRPr="004F4478">
        <w:rPr>
          <w:highlight w:val="yellow"/>
        </w:rPr>
        <w:t>, etc.). Dans les pays où le RRN est régionalisé, la NSU joue un rôle important dans la gestion du réseau au niveau régional. La NSU joue un rôle fondamental dans l'animation, la gestion du réseau lui-même et la mo</w:t>
      </w:r>
      <w:r>
        <w:rPr>
          <w:highlight w:val="yellow"/>
        </w:rPr>
        <w:t>b</w:t>
      </w:r>
      <w:r w:rsidRPr="004F4478">
        <w:rPr>
          <w:highlight w:val="yellow"/>
        </w:rPr>
        <w:t>i</w:t>
      </w:r>
      <w:r>
        <w:rPr>
          <w:highlight w:val="yellow"/>
        </w:rPr>
        <w:t>lis</w:t>
      </w:r>
      <w:r w:rsidRPr="004F4478">
        <w:rPr>
          <w:highlight w:val="yellow"/>
        </w:rPr>
        <w:t xml:space="preserve">ation des intervenants. Toutefois, la simple mise en place de la NSU n’implique pas la création automatique d’un réseau et n’assure pas automatiquement la mise en réseau </w:t>
      </w:r>
      <w:r w:rsidRPr="004F4478">
        <w:rPr>
          <w:rFonts w:ascii="ZWAdobeF" w:hAnsi="ZWAdobeF"/>
          <w:color w:val="auto"/>
          <w:sz w:val="2"/>
          <w:highlight w:val="yellow"/>
        </w:rPr>
        <w:t xml:space="preserve">51F </w:t>
      </w:r>
      <w:r w:rsidRPr="004F4478">
        <w:rPr>
          <w:rStyle w:val="FootnoteReference"/>
          <w:highlight w:val="yellow"/>
        </w:rPr>
        <w:footnoteReference w:id="52"/>
      </w:r>
      <w:r w:rsidRPr="004F4478">
        <w:rPr>
          <w:highlight w:val="yellow"/>
        </w:rPr>
        <w:t xml:space="preserve"> . </w:t>
      </w:r>
    </w:p>
    <w:p w:rsidR="00860A11" w:rsidRPr="004F4478" w:rsidRDefault="00860A11" w:rsidP="007134D0">
      <w:pPr>
        <w:pStyle w:val="HStandard"/>
        <w:rPr>
          <w:highlight w:val="yellow"/>
        </w:rPr>
      </w:pPr>
      <w:r w:rsidRPr="004F4478">
        <w:rPr>
          <w:highlight w:val="yellow"/>
        </w:rPr>
        <w:t xml:space="preserve">La NSU peut également décider de préparer et de procéder à une auto-évaluation facultative du RRN pour améliorer la mise en place des activités du RRN et sa performance. La NSU peut aussi demander des évaluations autonomes du RRN, auquel cas elle est responsable de la planification et de la préparation de l'évaluation. Pour pouvoir demander des évaluations, la NSU doit avoir des ressources et un budget permettant de préparer, de gérer et de contrôler la qualité de ses propres évaluations indépendantes. Si c’est l’autorité de </w:t>
      </w:r>
      <w:r>
        <w:rPr>
          <w:highlight w:val="yellow"/>
        </w:rPr>
        <w:t>gestion</w:t>
      </w:r>
      <w:r w:rsidRPr="004F4478">
        <w:rPr>
          <w:highlight w:val="yellow"/>
        </w:rPr>
        <w:t xml:space="preserve"> qui fait la demande d'évaluation, la NSU reste un acteur majeur et assiste l’autorité de </w:t>
      </w:r>
      <w:r>
        <w:rPr>
          <w:highlight w:val="yellow"/>
        </w:rPr>
        <w:t>gestion</w:t>
      </w:r>
      <w:r w:rsidRPr="004F4478">
        <w:rPr>
          <w:highlight w:val="yellow"/>
        </w:rPr>
        <w:t xml:space="preserve"> pour la planification et la préparation de l'évaluation. La NSU est un fournisseur important d’informations pour toutes les évaluations de (P)RRN. </w:t>
      </w:r>
    </w:p>
    <w:p w:rsidR="00860A11" w:rsidRPr="004F4478" w:rsidRDefault="00860A11" w:rsidP="00B35926">
      <w:pPr>
        <w:pStyle w:val="HHeading5"/>
        <w:rPr>
          <w:highlight w:val="yellow"/>
        </w:rPr>
      </w:pPr>
      <w:r w:rsidRPr="004F4478">
        <w:rPr>
          <w:highlight w:val="yellow"/>
        </w:rPr>
        <w:t xml:space="preserve">Organisme payeur </w:t>
      </w:r>
      <w:r w:rsidRPr="004F4478">
        <w:rPr>
          <w:rFonts w:ascii="ZWAdobeF" w:hAnsi="ZWAdobeF"/>
          <w:b w:val="0"/>
          <w:color w:val="auto"/>
          <w:sz w:val="2"/>
          <w:highlight w:val="yellow"/>
        </w:rPr>
        <w:t xml:space="preserve">52F </w:t>
      </w:r>
      <w:r w:rsidRPr="004F4478">
        <w:rPr>
          <w:rStyle w:val="FootnoteReference"/>
          <w:highlight w:val="yellow"/>
        </w:rPr>
        <w:footnoteReference w:id="53"/>
      </w:r>
    </w:p>
    <w:p w:rsidR="00860A11" w:rsidRPr="004F4478" w:rsidRDefault="00860A11" w:rsidP="007134D0">
      <w:pPr>
        <w:pStyle w:val="HStandard"/>
        <w:rPr>
          <w:highlight w:val="yellow"/>
        </w:rPr>
      </w:pPr>
      <w:r w:rsidRPr="004F4478">
        <w:rPr>
          <w:highlight w:val="yellow"/>
        </w:rPr>
        <w:t>L'organisme payeur (</w:t>
      </w:r>
      <w:r>
        <w:rPr>
          <w:highlight w:val="yellow"/>
        </w:rPr>
        <w:t>O</w:t>
      </w:r>
      <w:r w:rsidRPr="004F4478">
        <w:rPr>
          <w:highlight w:val="yellow"/>
        </w:rPr>
        <w:t>P) est une source d’informations importante dans l'évaluation du RRN, car elle détient généralement des informations concernant la mise en œuvre du programme (paiements, bénéficiaires, données de suivi, contrôles), y compris des informations relatives au RRN. En fonction de l'État membre, il existe un ou plusieurs organismes payeurs.</w:t>
      </w:r>
    </w:p>
    <w:p w:rsidR="00860A11" w:rsidRPr="004F4478" w:rsidRDefault="00860A11" w:rsidP="00B35926">
      <w:pPr>
        <w:pStyle w:val="HHeading5"/>
        <w:rPr>
          <w:highlight w:val="yellow"/>
        </w:rPr>
      </w:pPr>
      <w:r w:rsidRPr="004F4478">
        <w:rPr>
          <w:highlight w:val="yellow"/>
        </w:rPr>
        <w:t xml:space="preserve">Comité de suivi </w:t>
      </w:r>
      <w:r w:rsidRPr="004F4478">
        <w:rPr>
          <w:rFonts w:ascii="ZWAdobeF" w:hAnsi="ZWAdobeF"/>
          <w:b w:val="0"/>
          <w:color w:val="auto"/>
          <w:sz w:val="2"/>
          <w:highlight w:val="yellow"/>
        </w:rPr>
        <w:t xml:space="preserve">53F </w:t>
      </w:r>
      <w:r w:rsidRPr="004F4478">
        <w:rPr>
          <w:rStyle w:val="FootnoteReference"/>
          <w:highlight w:val="yellow"/>
        </w:rPr>
        <w:footnoteReference w:id="54"/>
      </w:r>
    </w:p>
    <w:p w:rsidR="00860A11" w:rsidRPr="004F4478" w:rsidRDefault="00860A11" w:rsidP="007134D0">
      <w:pPr>
        <w:pStyle w:val="HStandard"/>
        <w:rPr>
          <w:highlight w:val="yellow"/>
        </w:rPr>
      </w:pPr>
      <w:r w:rsidRPr="004F4478">
        <w:rPr>
          <w:highlight w:val="yellow"/>
        </w:rPr>
        <w:t>Le comité de suivi est chargé de suivre l’évolution des performances du programme</w:t>
      </w:r>
      <w:r w:rsidRPr="004F4478">
        <w:rPr>
          <w:rStyle w:val="FootnoteReference"/>
          <w:highlight w:val="yellow"/>
        </w:rPr>
        <w:footnoteReference w:id="55"/>
      </w:r>
      <w:r w:rsidRPr="004F4478">
        <w:rPr>
          <w:highlight w:val="yellow"/>
        </w:rPr>
        <w:t xml:space="preserve"> , ainsi que la qualité et l'efficacité de sa mise en œuvre. Le PRRN a son propre comité de suivi. Si le RRN fait partie du PDR, le comité de suivi du programme couvre également le suivi du RRN. </w:t>
      </w:r>
    </w:p>
    <w:p w:rsidR="00860A11" w:rsidRPr="004F4478" w:rsidRDefault="00860A11" w:rsidP="007134D0">
      <w:pPr>
        <w:pStyle w:val="HStandard"/>
        <w:rPr>
          <w:highlight w:val="yellow"/>
        </w:rPr>
      </w:pPr>
      <w:r w:rsidRPr="004F4478">
        <w:rPr>
          <w:highlight w:val="yellow"/>
        </w:rPr>
        <w:t xml:space="preserve">En outre, le comité de suivi doit examiner les activités et les résultats liés à la mise en œuvre du plan d'évaluation, y compris les activités d'évaluation du RRN. D'autre part, les membres du comité de suivi participent souvent au RRN pour échanger des informations sur la mise en œuvre du programme </w:t>
      </w:r>
      <w:r w:rsidRPr="004F4478">
        <w:rPr>
          <w:rFonts w:ascii="ZWAdobeF" w:hAnsi="ZWAdobeF"/>
          <w:color w:val="auto"/>
          <w:sz w:val="2"/>
          <w:highlight w:val="yellow"/>
        </w:rPr>
        <w:t xml:space="preserve">55F </w:t>
      </w:r>
      <w:r w:rsidRPr="004F4478">
        <w:rPr>
          <w:rStyle w:val="FootnoteReference"/>
          <w:highlight w:val="yellow"/>
        </w:rPr>
        <w:footnoteReference w:id="56"/>
      </w:r>
      <w:r w:rsidRPr="004F4478">
        <w:rPr>
          <w:highlight w:val="yellow"/>
        </w:rPr>
        <w:t xml:space="preserve"> , y compris les activités du RRN, dans ce domaine.</w:t>
      </w:r>
    </w:p>
    <w:p w:rsidR="00860A11" w:rsidRPr="004F4478" w:rsidRDefault="00860A11" w:rsidP="00B35926">
      <w:pPr>
        <w:pStyle w:val="HHeading5"/>
        <w:rPr>
          <w:highlight w:val="yellow"/>
        </w:rPr>
      </w:pPr>
      <w:r w:rsidRPr="004F4478">
        <w:rPr>
          <w:highlight w:val="yellow"/>
        </w:rPr>
        <w:lastRenderedPageBreak/>
        <w:t>L</w:t>
      </w:r>
      <w:r>
        <w:rPr>
          <w:highlight w:val="yellow"/>
        </w:rPr>
        <w:t>'</w:t>
      </w:r>
      <w:r w:rsidRPr="004F4478">
        <w:rPr>
          <w:highlight w:val="yellow"/>
        </w:rPr>
        <w:t>organe de coordination</w:t>
      </w:r>
      <w:r>
        <w:rPr>
          <w:highlight w:val="yellow"/>
        </w:rPr>
        <w:t xml:space="preserve"> du RRN</w:t>
      </w:r>
      <w:r w:rsidRPr="004F4478">
        <w:rPr>
          <w:highlight w:val="yellow"/>
        </w:rPr>
        <w:t xml:space="preserve"> </w:t>
      </w:r>
      <w:r w:rsidRPr="004F4478">
        <w:rPr>
          <w:rStyle w:val="FootnoteReference"/>
          <w:highlight w:val="yellow"/>
        </w:rPr>
        <w:footnoteReference w:id="57"/>
      </w:r>
    </w:p>
    <w:p w:rsidR="00860A11" w:rsidRPr="004F4478" w:rsidRDefault="00860A11" w:rsidP="007134D0">
      <w:pPr>
        <w:pStyle w:val="HStandard"/>
        <w:rPr>
          <w:highlight w:val="yellow"/>
        </w:rPr>
      </w:pPr>
      <w:r w:rsidRPr="004F4478">
        <w:rPr>
          <w:highlight w:val="yellow"/>
        </w:rPr>
        <w:t>Certains RRN ont mis en place un organe de coordination, composé de membres sélectionnés du RRN. Dans ce cas, l'organe de coordination du RRN participe à la planification des activités du RRN et dirige son plan d'action. L'organe de coordination du RRN peut décider de procéder à une auto-évaluation d</w:t>
      </w:r>
      <w:r>
        <w:rPr>
          <w:highlight w:val="yellow"/>
        </w:rPr>
        <w:t>u</w:t>
      </w:r>
      <w:r w:rsidRPr="004F4478">
        <w:rPr>
          <w:highlight w:val="yellow"/>
        </w:rPr>
        <w:t xml:space="preserve"> RRN et de contribuer à l'évaluation du RRN en fournissant des informations. Une des tâches importantes de l'organe de coordination du RRN est de veiller à ce que les résultats de l'auto-évaluation et de l’évaluation soient pris en compte pour améliorer la mise en œuvre du plan d'action du RRN.</w:t>
      </w:r>
    </w:p>
    <w:p w:rsidR="00860A11" w:rsidRPr="004F4478" w:rsidRDefault="00860A11" w:rsidP="009918A8">
      <w:pPr>
        <w:pStyle w:val="HHeadingboxes"/>
        <w:rPr>
          <w:highlight w:val="yellow"/>
        </w:rPr>
      </w:pPr>
      <w:bookmarkStart w:id="82" w:name="_Toc451781951"/>
      <w:bookmarkStart w:id="83" w:name="_Toc463945899"/>
      <w:r w:rsidRPr="004F4478">
        <w:rPr>
          <w:highlight w:val="yellow"/>
        </w:rPr>
        <w:t>Le Groupe de pilotage de l'évaluation, instrument de gestion du processus d'évaluation.</w:t>
      </w:r>
      <w:bookmarkEnd w:id="82"/>
      <w:bookmarkEnd w:id="83"/>
    </w:p>
    <w:p w:rsidR="00860A11" w:rsidRPr="004F4478" w:rsidRDefault="00860A11"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r w:rsidRPr="004F4478">
        <w:rPr>
          <w:color w:val="576C88" w:themeColor="text2" w:themeTint="D9"/>
          <w:highlight w:val="yellow"/>
        </w:rPr>
        <w:t xml:space="preserve">La création d’un groupe de pilotage de l’évaluation (SG) est une bonne pratique, permettant de faciliter et de coordonner la consultation des parties prenantes et de gérer le processus d'évaluation. Le SG d'évaluation aide l’autorité de </w:t>
      </w:r>
      <w:r>
        <w:rPr>
          <w:color w:val="576C88" w:themeColor="text2" w:themeTint="D9"/>
          <w:highlight w:val="yellow"/>
        </w:rPr>
        <w:t>gestion</w:t>
      </w:r>
      <w:r w:rsidRPr="004F4478">
        <w:rPr>
          <w:color w:val="576C88" w:themeColor="text2" w:themeTint="D9"/>
          <w:highlight w:val="yellow"/>
        </w:rPr>
        <w:t xml:space="preserve"> (MA) à établir un plan d'évaluation, et à suivre régulièrement ses progrès et la qualité de sa mise œuvre. Les membres du SG d'évaluation peuvent apporter leurs compétences et leur savoir-faire de spécialistes, assurer une disponibilité des informations et fournir des contacts utiles aux évaluateurs. </w:t>
      </w:r>
    </w:p>
    <w:p w:rsidR="00860A11" w:rsidRPr="004F4478" w:rsidRDefault="00860A11"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p>
    <w:p w:rsidR="00860A11" w:rsidRPr="004F4478" w:rsidRDefault="00860A11"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r w:rsidRPr="004F4478">
        <w:rPr>
          <w:color w:val="576C88" w:themeColor="text2" w:themeTint="D9"/>
          <w:highlight w:val="yellow"/>
        </w:rPr>
        <w:t xml:space="preserve">Le groupe de pilotage de l’évaluation (SG) est généralement convoqué et présidé par l’autorité de </w:t>
      </w:r>
      <w:r>
        <w:rPr>
          <w:color w:val="576C88" w:themeColor="text2" w:themeTint="D9"/>
          <w:highlight w:val="yellow"/>
        </w:rPr>
        <w:t>gestion</w:t>
      </w:r>
      <w:r w:rsidRPr="004F4478">
        <w:rPr>
          <w:color w:val="576C88" w:themeColor="text2" w:themeTint="D9"/>
          <w:highlight w:val="yellow"/>
        </w:rPr>
        <w:t xml:space="preserve">(MA), qui décide également des modalités de son fonctionnement. Il doit être formé assez tôt car sa mise en place peut prendre un certain temps. La composition du SG d'évaluation dépend des spécificités du RRN et des tâches assignées au groupe. Le SG d'évaluation devrait comprendre au minimum, des représentants des autorités de </w:t>
      </w:r>
      <w:r>
        <w:rPr>
          <w:color w:val="576C88" w:themeColor="text2" w:themeTint="D9"/>
          <w:highlight w:val="yellow"/>
        </w:rPr>
        <w:t>gestion</w:t>
      </w:r>
      <w:r w:rsidRPr="004F4478">
        <w:rPr>
          <w:color w:val="576C88" w:themeColor="text2" w:themeTint="D9"/>
          <w:highlight w:val="yellow"/>
        </w:rPr>
        <w:t xml:space="preserve"> (MA) (représentant les services et/ou unités concernés) et d'autres personnes participant au fonctionnement du RRN, des représentants des administrations publiques et, le cas échéant, </w:t>
      </w:r>
      <w:r>
        <w:rPr>
          <w:color w:val="576C88" w:themeColor="text2" w:themeTint="D9"/>
          <w:highlight w:val="yellow"/>
        </w:rPr>
        <w:t>d</w:t>
      </w:r>
      <w:r w:rsidRPr="004F4478">
        <w:rPr>
          <w:color w:val="576C88" w:themeColor="text2" w:themeTint="D9"/>
          <w:highlight w:val="yellow"/>
        </w:rPr>
        <w:t>es membres de l'unité d'évaluation. Il n'existe pas de taille idéale pour un SG d'évaluation. Il devrait être suffisamment étoffé pour avoir les compétences et les connaissances nécessaires, avec un nombre limité de membres pour être efficace.</w:t>
      </w:r>
    </w:p>
    <w:p w:rsidR="00860A11" w:rsidRPr="004F4478" w:rsidRDefault="00860A11"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p>
    <w:p w:rsidR="00860A11" w:rsidRPr="004F4478" w:rsidRDefault="00860A11"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r w:rsidRPr="004F4478">
        <w:rPr>
          <w:color w:val="576C88" w:themeColor="text2" w:themeTint="D9"/>
          <w:highlight w:val="yellow"/>
        </w:rPr>
        <w:t>Un SG d’évaluation n’est pas obligatoire et ne met pas en œuvre les recommandations de l'évaluation. Ce sont les prérogatives des organes dirigeants de la MA, de la NSU ou du RRN.</w:t>
      </w:r>
    </w:p>
    <w:p w:rsidR="00860A11" w:rsidRPr="004F4478" w:rsidRDefault="00860A11" w:rsidP="00B35926">
      <w:pPr>
        <w:pStyle w:val="HHeading3"/>
        <w:rPr>
          <w:highlight w:val="yellow"/>
        </w:rPr>
      </w:pPr>
      <w:bookmarkStart w:id="84" w:name="_Toc453079756"/>
      <w:bookmarkStart w:id="85" w:name="_Toc463945863"/>
      <w:r w:rsidRPr="004F4478">
        <w:rPr>
          <w:highlight w:val="yellow"/>
        </w:rPr>
        <w:t>Les membres du réseau</w:t>
      </w:r>
      <w:bookmarkEnd w:id="84"/>
      <w:bookmarkEnd w:id="85"/>
    </w:p>
    <w:p w:rsidR="00860A11" w:rsidRPr="004F4478" w:rsidRDefault="00860A11" w:rsidP="007134D0">
      <w:pPr>
        <w:pStyle w:val="HStandard"/>
        <w:rPr>
          <w:highlight w:val="yellow"/>
        </w:rPr>
      </w:pPr>
      <w:r w:rsidRPr="004F4478">
        <w:rPr>
          <w:highlight w:val="yellow"/>
        </w:rPr>
        <w:t>La composition du RRN varie selon les États membres, en fonction des règles et pratiques nationales (par exemple adhésion au RRN ouverte ou restreinte). Les membres du RRN sont importants pour l'évaluation car ils sont également les bénéficiaires du RRN et peuvent participer à des sondages, des groupes de discussion et des ateliers d'évaluation liés au RRN et à son fonctionnement. Bon nombre des membres du réseau sont également bénéficiaires du PDR. En outre, les membres du réseau peuvent jouer un rôle actif dans les activités du RRN, en particulier dans les États membres où les activités du RRN ne se limitent pas à celles organisées par la NSU. Les membres du réseau peuvent suggérer une auto-évaluation du RRN tout en y participant activement. Voici une liste non exhaustive des membres généralement impliqués dans les RRN.</w:t>
      </w:r>
    </w:p>
    <w:p w:rsidR="00860A11" w:rsidRPr="004F4478" w:rsidRDefault="00860A11" w:rsidP="00B35926">
      <w:pPr>
        <w:pStyle w:val="HHeading5"/>
        <w:rPr>
          <w:highlight w:val="yellow"/>
        </w:rPr>
      </w:pPr>
      <w:r w:rsidRPr="004F4478">
        <w:rPr>
          <w:highlight w:val="yellow"/>
        </w:rPr>
        <w:t>Groupes d'action locale (GAL)</w:t>
      </w:r>
    </w:p>
    <w:p w:rsidR="00860A11" w:rsidRPr="004F4478" w:rsidRDefault="00860A11" w:rsidP="007134D0">
      <w:pPr>
        <w:pStyle w:val="HStandard"/>
        <w:rPr>
          <w:highlight w:val="yellow"/>
        </w:rPr>
      </w:pPr>
      <w:r w:rsidRPr="004F4478">
        <w:rPr>
          <w:highlight w:val="yellow"/>
        </w:rPr>
        <w:t>Les GAL constituent une partie importante du RRN. Ils sont également bénéficiaires des formations dispensées pour le RRN et de ses actions de mise en réseau</w:t>
      </w:r>
      <w:r w:rsidRPr="004F4478">
        <w:rPr>
          <w:rFonts w:ascii="ZWAdobeF" w:hAnsi="ZWAdobeF"/>
          <w:color w:val="auto"/>
          <w:sz w:val="2"/>
          <w:highlight w:val="yellow"/>
        </w:rPr>
        <w:t xml:space="preserve">57F </w:t>
      </w:r>
      <w:r w:rsidRPr="004F4478">
        <w:rPr>
          <w:rStyle w:val="FootnoteReference"/>
          <w:highlight w:val="yellow"/>
        </w:rPr>
        <w:footnoteReference w:id="58"/>
      </w:r>
      <w:r w:rsidRPr="004F4478">
        <w:rPr>
          <w:highlight w:val="yellow"/>
        </w:rPr>
        <w:t xml:space="preserve"> et en tant que tels, ils sont les informateurs importants pour l'évaluation du RRN. Les GAL peuvent apporter des connaissances et des contacts locaux précieux pour l'évaluation du RRN. En outre, les GAL peuvent faire une auto-évaluation, couvrant les questions de mise en réseau et ainsi contribuer à l'évaluation du RRN. </w:t>
      </w:r>
    </w:p>
    <w:p w:rsidR="00860A11" w:rsidRPr="004F4478" w:rsidRDefault="00860A11" w:rsidP="00B35926">
      <w:pPr>
        <w:pStyle w:val="HHeading5"/>
        <w:rPr>
          <w:highlight w:val="yellow"/>
        </w:rPr>
      </w:pPr>
      <w:r w:rsidRPr="004F4478">
        <w:rPr>
          <w:highlight w:val="yellow"/>
        </w:rPr>
        <w:lastRenderedPageBreak/>
        <w:t xml:space="preserve"> Les autorités de gestion des PDR régionaux, dans le cas d’un PRRN </w:t>
      </w:r>
    </w:p>
    <w:p w:rsidR="00860A11" w:rsidRPr="004F4478" w:rsidRDefault="00860A11" w:rsidP="007134D0">
      <w:pPr>
        <w:pStyle w:val="HStandard"/>
        <w:rPr>
          <w:highlight w:val="yellow"/>
        </w:rPr>
      </w:pPr>
      <w:r w:rsidRPr="004F4478">
        <w:rPr>
          <w:highlight w:val="yellow"/>
        </w:rPr>
        <w:t xml:space="preserve">Les PRRN dans les États membres multirégionaux offrent la possibilité de mettre en réseau les autorités de gestion de tous les PDR du pays. Toutes les autorités de gestion peuvent apporter des connaissances et des contacts régionaux qui peuvent aider à évaluer les </w:t>
      </w:r>
      <w:r>
        <w:rPr>
          <w:highlight w:val="yellow"/>
        </w:rPr>
        <w:t>effets</w:t>
      </w:r>
      <w:r w:rsidRPr="004F4478">
        <w:rPr>
          <w:highlight w:val="yellow"/>
        </w:rPr>
        <w:t xml:space="preserve"> du (P)RRN sur divers PDR régionaux. Les MA régiona</w:t>
      </w:r>
      <w:r>
        <w:rPr>
          <w:highlight w:val="yellow"/>
        </w:rPr>
        <w:t>les</w:t>
      </w:r>
      <w:r w:rsidRPr="004F4478">
        <w:rPr>
          <w:highlight w:val="yellow"/>
        </w:rPr>
        <w:t xml:space="preserve"> constituent aussi des nœuds de réseau  importants. </w:t>
      </w:r>
    </w:p>
    <w:p w:rsidR="00860A11" w:rsidRPr="004F4478" w:rsidRDefault="00860A11" w:rsidP="00B35926">
      <w:pPr>
        <w:pStyle w:val="HHeading5"/>
        <w:rPr>
          <w:highlight w:val="yellow"/>
        </w:rPr>
      </w:pPr>
      <w:r w:rsidRPr="004F4478">
        <w:rPr>
          <w:highlight w:val="yellow"/>
        </w:rPr>
        <w:t>Autres membres du réseau</w:t>
      </w:r>
    </w:p>
    <w:p w:rsidR="00860A11" w:rsidRPr="004F4478" w:rsidRDefault="00860A11" w:rsidP="007134D0">
      <w:pPr>
        <w:pStyle w:val="HStandard"/>
        <w:rPr>
          <w:highlight w:val="yellow"/>
        </w:rPr>
      </w:pPr>
      <w:r w:rsidRPr="004F4478">
        <w:rPr>
          <w:highlight w:val="yellow"/>
        </w:rPr>
        <w:t>Parmi les autres membres du réseau on trouve généralement des autorités locales, des partenaires sociaux et économiques (y compris les organisations représentant les bénéficiaires), des instances représentative</w:t>
      </w:r>
      <w:r>
        <w:rPr>
          <w:highlight w:val="yellow"/>
        </w:rPr>
        <w:t>s</w:t>
      </w:r>
      <w:r w:rsidRPr="004F4478">
        <w:rPr>
          <w:highlight w:val="yellow"/>
        </w:rPr>
        <w:t xml:space="preserve"> de la société civile, des ONG, des établissements d'</w:t>
      </w:r>
      <w:r>
        <w:rPr>
          <w:highlight w:val="yellow"/>
        </w:rPr>
        <w:t>enseignement</w:t>
      </w:r>
      <w:r w:rsidRPr="004F4478">
        <w:rPr>
          <w:highlight w:val="yellow"/>
        </w:rPr>
        <w:t xml:space="preserve"> et des instituts de recherche, des représentants d'autres fonds ESI, d'autres réseaux en rapport avec les zones rurales, des unions locales et des initiatives venant de la base. Dans certains États membres, il est également possible pour le RRN de compter des particuliers parmi ses membres. Ces membres sont importants quand ils participent aux groupes d’entretien ou aux groupes de discussion pour l'évaluation de la performance et des effets du RRN.</w:t>
      </w:r>
    </w:p>
    <w:p w:rsidR="00860A11" w:rsidRPr="004F4478" w:rsidRDefault="00860A11" w:rsidP="00DC0897">
      <w:pPr>
        <w:pStyle w:val="HHeading3"/>
        <w:rPr>
          <w:highlight w:val="yellow"/>
        </w:rPr>
      </w:pPr>
      <w:bookmarkStart w:id="86" w:name="_Toc453079757"/>
      <w:bookmarkStart w:id="87" w:name="_Toc463945864"/>
      <w:r w:rsidRPr="004F4478">
        <w:rPr>
          <w:highlight w:val="yellow"/>
        </w:rPr>
        <w:t>Acteurs de l’évaluation du réseau</w:t>
      </w:r>
      <w:bookmarkEnd w:id="86"/>
      <w:bookmarkEnd w:id="87"/>
    </w:p>
    <w:p w:rsidR="00860A11" w:rsidRPr="004F4478" w:rsidRDefault="00860A11" w:rsidP="00B35926">
      <w:pPr>
        <w:pStyle w:val="HHeading5"/>
        <w:rPr>
          <w:highlight w:val="yellow"/>
        </w:rPr>
      </w:pPr>
      <w:r w:rsidRPr="004F4478">
        <w:rPr>
          <w:highlight w:val="yellow"/>
        </w:rPr>
        <w:t>L'évaluateur</w:t>
      </w:r>
    </w:p>
    <w:p w:rsidR="00860A11" w:rsidRPr="004F4478" w:rsidRDefault="00860A11" w:rsidP="007134D0">
      <w:pPr>
        <w:pStyle w:val="HStandard"/>
        <w:rPr>
          <w:highlight w:val="yellow"/>
        </w:rPr>
      </w:pPr>
      <w:r w:rsidRPr="004F4478">
        <w:rPr>
          <w:highlight w:val="yellow"/>
        </w:rPr>
        <w:t>Les évaluations du PDR doivent être effectuées par un évaluateur dont les fonctions sont indépendantes des autorités responsables de la mise en œuvre du programme</w:t>
      </w:r>
      <w:r w:rsidRPr="004F4478">
        <w:rPr>
          <w:rStyle w:val="FootnoteReference"/>
          <w:highlight w:val="yellow"/>
        </w:rPr>
        <w:footnoteReference w:id="59"/>
      </w:r>
      <w:r w:rsidRPr="004F4478">
        <w:rPr>
          <w:highlight w:val="yellow"/>
        </w:rPr>
        <w:t xml:space="preserve">. Cela couvre également l'évaluation du RRN dans le cadre du PDR ou d’une évaluation autonome du (P)RRN. L'évaluateur est en général un organisme expert extérieur, national ou international </w:t>
      </w:r>
      <w:r w:rsidRPr="004F4478">
        <w:rPr>
          <w:rStyle w:val="FootnoteReference"/>
          <w:highlight w:val="yellow"/>
        </w:rPr>
        <w:footnoteReference w:id="60"/>
      </w:r>
      <w:r w:rsidRPr="004F4478">
        <w:rPr>
          <w:highlight w:val="yellow"/>
        </w:rPr>
        <w:t xml:space="preserve"> (par exemple une entreprise, un institut de recherche ou un consortium composé d’entreprises et ou d’instituts de recherche) choisi lors d’une procédure d'appel d'offres pour une tâche d'évaluation spécifique (par exemple, la partie de l'évaluation du rapport annuel de mise en œuvre - AIR - présenté en 2017 ou en 2019). Il peut aussi être sélectionné en tant qu’évaluateur officiel pour la période complète de programmation. Toutefois, l'évaluateur peut aussi être un organisme public ou un service fonctionnellement indépendant au sein de la même autorité que l</w:t>
      </w:r>
      <w:r>
        <w:rPr>
          <w:highlight w:val="yellow"/>
        </w:rPr>
        <w:t>a</w:t>
      </w:r>
      <w:r w:rsidRPr="004F4478">
        <w:rPr>
          <w:highlight w:val="yellow"/>
        </w:rPr>
        <w:t xml:space="preserve"> MA.</w:t>
      </w:r>
    </w:p>
    <w:p w:rsidR="00860A11" w:rsidRPr="004F4478" w:rsidRDefault="00860A11" w:rsidP="00680DA9">
      <w:pPr>
        <w:pStyle w:val="HHeading2"/>
        <w:rPr>
          <w:highlight w:val="yellow"/>
        </w:rPr>
      </w:pPr>
      <w:bookmarkStart w:id="88" w:name="_Toc382312193"/>
      <w:bookmarkStart w:id="89" w:name="_Toc382409613"/>
      <w:bookmarkStart w:id="90" w:name="_Toc453079758"/>
      <w:bookmarkStart w:id="91" w:name="_Toc463945865"/>
      <w:r w:rsidRPr="004F4478">
        <w:rPr>
          <w:highlight w:val="yellow"/>
        </w:rPr>
        <w:t xml:space="preserve">Les étapes clés </w:t>
      </w:r>
      <w:bookmarkEnd w:id="88"/>
      <w:bookmarkEnd w:id="89"/>
      <w:r w:rsidRPr="004F4478">
        <w:rPr>
          <w:highlight w:val="yellow"/>
        </w:rPr>
        <w:t xml:space="preserve"> de l'évaluation du RRN</w:t>
      </w:r>
      <w:bookmarkEnd w:id="90"/>
      <w:bookmarkEnd w:id="91"/>
    </w:p>
    <w:p w:rsidR="00860A11" w:rsidRPr="004F4478" w:rsidRDefault="00860A11" w:rsidP="007134D0">
      <w:pPr>
        <w:pStyle w:val="HStandard"/>
        <w:rPr>
          <w:highlight w:val="yellow"/>
        </w:rPr>
      </w:pPr>
      <w:r w:rsidRPr="004F4478">
        <w:rPr>
          <w:highlight w:val="yellow"/>
        </w:rPr>
        <w:t>L’évaluation du RRN est un processus continu qui se déroule pendant</w:t>
      </w:r>
      <w:r>
        <w:rPr>
          <w:highlight w:val="yellow"/>
        </w:rPr>
        <w:t xml:space="preserve"> toute</w:t>
      </w:r>
      <w:r w:rsidRPr="004F4478">
        <w:rPr>
          <w:highlight w:val="yellow"/>
        </w:rPr>
        <w:t xml:space="preserve"> la période de programmation. Elle doit être planifiée et préparée pour toute la période. Si cela est fait sérieusement, il sera plus facile de lancer et compléter l'évaluation du RRN. La planification et la préparation de l'évaluation pour la période de programmation sont relativement similaires à la planification et à la préparation d'une seule évaluation. </w:t>
      </w:r>
    </w:p>
    <w:p w:rsidR="00860A11" w:rsidRPr="004F4478" w:rsidRDefault="00860A11" w:rsidP="007134D0">
      <w:pPr>
        <w:pStyle w:val="HStandard"/>
        <w:rPr>
          <w:highlight w:val="yellow"/>
        </w:rPr>
      </w:pPr>
      <w:r w:rsidRPr="004F4478">
        <w:rPr>
          <w:highlight w:val="yellow"/>
        </w:rPr>
        <w:t xml:space="preserve">Un plan d'évaluation présenté dans le cadre du PDR / PRRN doit contenir une liste indicative de sujets d'évaluation. Quand le RRN est programmé dans le cadre d’un PDR, le plan d'évaluation doit contenir le RRN comme sujet d'évaluation </w:t>
      </w:r>
      <w:r w:rsidRPr="004F4478">
        <w:rPr>
          <w:rFonts w:ascii="ZWAdobeF" w:hAnsi="ZWAdobeF"/>
          <w:color w:val="auto"/>
          <w:sz w:val="2"/>
          <w:highlight w:val="yellow"/>
        </w:rPr>
        <w:t xml:space="preserve">60F </w:t>
      </w:r>
      <w:r w:rsidRPr="004F4478">
        <w:rPr>
          <w:rStyle w:val="FootnoteReference"/>
          <w:highlight w:val="yellow"/>
        </w:rPr>
        <w:footnoteReference w:id="61"/>
      </w:r>
      <w:r w:rsidRPr="004F4478">
        <w:rPr>
          <w:highlight w:val="yellow"/>
        </w:rPr>
        <w:t xml:space="preserve"> . Certains États membres ont complété le plan d'évaluation par un document interne, plus détaillé, contenant une planification globale des activités d'évaluation, leur calendrier et les ressources qui leur sont consacrées. Ces documents devraient donner un aperçu général de l’évaluation du RRN (de l’évaluation autonome du RRN ou du PRRN) et de l'évaluation du RRN dans le cadre du PDR, des activités d'évaluation et de leur calendrier. Le document de planification interne peut aussi imposer au RRN de procéder à une auto-évaluation avec les ressources prévues, servant à alimenter les activités d'évaluation du PDR. En outre, des activités plus détaillées </w:t>
      </w:r>
      <w:r w:rsidRPr="004F4478">
        <w:rPr>
          <w:highlight w:val="yellow"/>
        </w:rPr>
        <w:lastRenderedPageBreak/>
        <w:t xml:space="preserve">d'évaluation et d’auto-évaluation du RRN, des évènements et activités destinés à renforcer les capacités d’évaluation et des activités liées à la diffusion des résultats de l'évaluation, doivent également être inclus dans le plan d'action du RRN. </w:t>
      </w:r>
    </w:p>
    <w:p w:rsidR="00860A11" w:rsidRPr="004F4478" w:rsidRDefault="00860A11" w:rsidP="007134D0">
      <w:pPr>
        <w:pStyle w:val="HStandard"/>
        <w:rPr>
          <w:highlight w:val="yellow"/>
        </w:rPr>
      </w:pPr>
      <w:r w:rsidRPr="004F4478">
        <w:rPr>
          <w:highlight w:val="yellow"/>
        </w:rPr>
        <w:t xml:space="preserve">Lors de la préparation de l'évaluation du (P)RRN, pour la période de programmation, les parties prenantes concernées (MA, NSU ou autres parties prenantes  responsables du RRN) doivent veiller à ce que la logique d'intervention spécifique du RRN soit définie (objectifs des RRN et produits, résultats et impacts escomptés). Par la suite, les questions et indicateurs (résultat et impact) des évaluations spécifiques au programme doivent être élaborés pour compléter les questions d'évaluation communes et les indicateurs de résultats communs. En outre, les sources de données pour les indicateurs doivent être mûrement réfléchies, et les responsabilités pour le recueil des données et les méthodes de collecte des données doivent être approuvées. A ce stade, il est également important de concrétiser les plans de communication, d'assurance qualité et de </w:t>
      </w:r>
      <w:r>
        <w:rPr>
          <w:highlight w:val="yellow"/>
        </w:rPr>
        <w:t>renforcement des capacités</w:t>
      </w:r>
      <w:r w:rsidRPr="004F4478">
        <w:rPr>
          <w:highlight w:val="yellow"/>
        </w:rPr>
        <w:t xml:space="preserve"> pour toute la période de programmation. </w:t>
      </w:r>
    </w:p>
    <w:p w:rsidR="00860A11" w:rsidRPr="004F4478" w:rsidRDefault="00860A11" w:rsidP="007134D0">
      <w:pPr>
        <w:pStyle w:val="HStandard"/>
        <w:rPr>
          <w:highlight w:val="yellow"/>
        </w:rPr>
      </w:pPr>
      <w:r w:rsidRPr="004F4478">
        <w:rPr>
          <w:highlight w:val="yellow"/>
        </w:rPr>
        <w:t xml:space="preserve">Il est préférable de préparer l'évaluation du RRN à un stade précoce de la planification ou de la mise en œuvre des activités du RRN pour s’assurer que les données sont réunies dès le début et que leur collecte est orientée vers les informations recherchées. </w:t>
      </w:r>
    </w:p>
    <w:p w:rsidR="00860A11" w:rsidRPr="004F4478" w:rsidRDefault="00860A11" w:rsidP="007134D0">
      <w:pPr>
        <w:pStyle w:val="HStandard"/>
        <w:rPr>
          <w:highlight w:val="yellow"/>
        </w:rPr>
      </w:pPr>
      <w:r w:rsidRPr="004F4478">
        <w:rPr>
          <w:highlight w:val="yellow"/>
        </w:rPr>
        <w:t xml:space="preserve">Le plan d'évaluation, le plan d'action du RRN et les autres documents de planification générale doivent donner un aperçu des activités et des sujets d'évaluation du RRN pour la période de programmation. En outre, chaque évaluation doit être planifiée en tant que projet distinct, tel que la </w:t>
      </w:r>
      <w:r w:rsidRPr="004F4478">
        <w:rPr>
          <w:highlight w:val="yellow"/>
        </w:rPr>
        <w:fldChar w:fldCharType="begin" w:fldLock="1"/>
      </w:r>
      <w:r w:rsidRPr="004F4478">
        <w:rPr>
          <w:highlight w:val="yellow"/>
        </w:rPr>
        <w:instrText xml:space="preserve"> REF _Ref435790626 \r \h  \* MERGEFORMAT </w:instrText>
      </w:r>
      <w:r w:rsidRPr="004F4478">
        <w:rPr>
          <w:highlight w:val="yellow"/>
        </w:rPr>
      </w:r>
      <w:r w:rsidRPr="004F4478">
        <w:rPr>
          <w:highlight w:val="yellow"/>
        </w:rPr>
        <w:fldChar w:fldCharType="separate"/>
      </w:r>
      <w:r>
        <w:rPr>
          <w:highlight w:val="yellow"/>
        </w:rPr>
        <w:t>f</w:t>
      </w:r>
      <w:r w:rsidRPr="004F4478">
        <w:rPr>
          <w:highlight w:val="yellow"/>
        </w:rPr>
        <w:t>igure 10</w:t>
      </w:r>
      <w:r w:rsidRPr="004F4478">
        <w:rPr>
          <w:highlight w:val="yellow"/>
        </w:rPr>
        <w:fldChar w:fldCharType="end"/>
      </w:r>
      <w:r w:rsidRPr="004F4478">
        <w:rPr>
          <w:highlight w:val="yellow"/>
        </w:rPr>
        <w:t xml:space="preserve"> le montre ci-dessous. Une évaluation peut être divisée en étapes séparées avec des tâches qui se succèdent dans un ordre déterminé Les principales étapes de la réalisation d'une évaluation sont la planification, la préparation, la structuration, la gestion et la diffusion. Chaque étape contient plusieurs tâches présentées ci-dessous ainsi que les responsabilités des principaux acteurs </w:t>
      </w:r>
      <w:r>
        <w:rPr>
          <w:highlight w:val="yellow"/>
        </w:rPr>
        <w:t>concernés</w:t>
      </w:r>
      <w:r w:rsidRPr="004F4478">
        <w:rPr>
          <w:highlight w:val="yellow"/>
        </w:rPr>
        <w:t xml:space="preserve">. </w:t>
      </w:r>
    </w:p>
    <w:p w:rsidR="00860A11" w:rsidRPr="004F4478" w:rsidRDefault="00860A11" w:rsidP="00922CBE">
      <w:pPr>
        <w:pStyle w:val="HHeadingfigures"/>
        <w:rPr>
          <w:highlight w:val="yellow"/>
        </w:rPr>
      </w:pPr>
      <w:bookmarkStart w:id="92" w:name="_Ref435790626"/>
      <w:bookmarkStart w:id="93" w:name="_Toc445465126"/>
      <w:bookmarkStart w:id="94" w:name="_Toc451781929"/>
      <w:bookmarkStart w:id="95" w:name="_Toc463945757"/>
      <w:r w:rsidRPr="004F4478">
        <w:rPr>
          <w:highlight w:val="yellow"/>
        </w:rPr>
        <w:t>Étapes de l'évaluation du RRN</w:t>
      </w:r>
      <w:bookmarkEnd w:id="92"/>
      <w:bookmarkEnd w:id="93"/>
      <w:bookmarkEnd w:id="94"/>
      <w:bookmarkEnd w:id="95"/>
    </w:p>
    <w:p w:rsidR="00860A11" w:rsidRPr="004F4478" w:rsidRDefault="00860A11" w:rsidP="00C71F5E">
      <w:pPr>
        <w:pStyle w:val="HStandard"/>
        <w:jc w:val="center"/>
        <w:rPr>
          <w:highlight w:val="yellow"/>
        </w:rPr>
      </w:pPr>
      <w:r>
        <w:rPr>
          <w:noProof/>
          <w:lang w:val="en-GB" w:eastAsia="en-GB" w:bidi="ar-SA"/>
        </w:rPr>
        <w:drawing>
          <wp:inline distT="0" distB="0" distL="0" distR="0" wp14:anchorId="6AAE5780" wp14:editId="3D5FA8CF">
            <wp:extent cx="5731510" cy="2985135"/>
            <wp:effectExtent l="0" t="0" r="254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731510" cy="2985135"/>
                    </a:xfrm>
                    <a:prstGeom prst="rect">
                      <a:avLst/>
                    </a:prstGeom>
                  </pic:spPr>
                </pic:pic>
              </a:graphicData>
            </a:graphic>
          </wp:inline>
        </w:drawing>
      </w:r>
    </w:p>
    <w:p w:rsidR="00860A11" w:rsidRPr="004F4478" w:rsidRDefault="00860A11" w:rsidP="004615A0">
      <w:pPr>
        <w:pStyle w:val="HSource"/>
        <w:rPr>
          <w:highlight w:val="yellow"/>
        </w:rPr>
      </w:pPr>
      <w:r w:rsidRPr="004F4478">
        <w:rPr>
          <w:highlight w:val="yellow"/>
        </w:rPr>
        <w:t>Source: Helpdesk du Réseau européen d'évaluation du développement rural 2016</w:t>
      </w:r>
    </w:p>
    <w:p w:rsidR="00860A11" w:rsidRPr="004F4478" w:rsidRDefault="00860A11" w:rsidP="00680DA9">
      <w:pPr>
        <w:pStyle w:val="HHeading3"/>
        <w:rPr>
          <w:highlight w:val="yellow"/>
        </w:rPr>
      </w:pPr>
      <w:bookmarkStart w:id="96" w:name="_Toc453079759"/>
      <w:bookmarkStart w:id="97" w:name="_Toc463945866"/>
      <w:r w:rsidRPr="004F4478">
        <w:rPr>
          <w:highlight w:val="yellow"/>
        </w:rPr>
        <w:t>Planification de l'évaluation du RRN</w:t>
      </w:r>
      <w:bookmarkEnd w:id="96"/>
      <w:bookmarkEnd w:id="97"/>
      <w:r w:rsidRPr="004F4478">
        <w:rPr>
          <w:highlight w:val="yellow"/>
        </w:rPr>
        <w:t xml:space="preserve"> </w:t>
      </w:r>
    </w:p>
    <w:p w:rsidR="00860A11" w:rsidRPr="004F4478" w:rsidRDefault="00860A11" w:rsidP="00B62FBF">
      <w:pPr>
        <w:pStyle w:val="HStandard"/>
        <w:rPr>
          <w:highlight w:val="yellow"/>
        </w:rPr>
      </w:pPr>
      <w:r w:rsidRPr="004F4478">
        <w:rPr>
          <w:highlight w:val="yellow"/>
        </w:rPr>
        <w:t xml:space="preserve">Lorsque le RRN fait partie d’un PDR, les activités de RRN sont en général évaluées dans le cadre des évaluations du PDR (2017, 2019 et ex post) et dans </w:t>
      </w:r>
      <w:r>
        <w:rPr>
          <w:highlight w:val="yellow"/>
        </w:rPr>
        <w:t>d</w:t>
      </w:r>
      <w:r w:rsidRPr="004F4478">
        <w:rPr>
          <w:highlight w:val="yellow"/>
        </w:rPr>
        <w:t xml:space="preserve">es cas isolés dans le contexte d'une évaluation </w:t>
      </w:r>
      <w:r w:rsidRPr="004F4478">
        <w:rPr>
          <w:highlight w:val="yellow"/>
        </w:rPr>
        <w:lastRenderedPageBreak/>
        <w:t xml:space="preserve">autonome. Les PRRN doivent être évalués dans le cadre d'une évaluation autonome. Chaque fois que la MA est responsable du lancement d’une évaluation de RRN (dans le cadre d’un PDR ou comme évaluation de RRN autonome), elle est responsable de la planification et de la préparation du processus d'évaluation du PRRN et du calendrier. Cela peut être fait en collaboration avec la NSU et d'autres participants à l'évaluation (comme l'unité d'évaluation, l'organisme payeur, etc.) </w:t>
      </w:r>
      <w:r w:rsidRPr="004F4478">
        <w:rPr>
          <w:rFonts w:ascii="ZWAdobeF" w:hAnsi="ZWAdobeF"/>
          <w:color w:val="auto"/>
          <w:sz w:val="2"/>
          <w:highlight w:val="yellow"/>
        </w:rPr>
        <w:t xml:space="preserve">61F </w:t>
      </w:r>
      <w:r w:rsidRPr="004F4478">
        <w:rPr>
          <w:rStyle w:val="FootnoteReference"/>
          <w:highlight w:val="yellow"/>
        </w:rPr>
        <w:footnoteReference w:id="62"/>
      </w:r>
      <w:r w:rsidRPr="004F4478">
        <w:rPr>
          <w:highlight w:val="yellow"/>
        </w:rPr>
        <w:t xml:space="preserve"> . Ces évaluations sont généralement financées par l'assistance technique et la MA conduit généralement le processus avec la participation de la NSU et d'autres parties prenantes. La NSU peut également être responsable de la planification et de la préparation de l'évaluation autonome si elle est chargée du lancement. </w:t>
      </w:r>
    </w:p>
    <w:p w:rsidR="00860A11" w:rsidRPr="004F4478" w:rsidRDefault="00860A11" w:rsidP="00B62FBF">
      <w:pPr>
        <w:pStyle w:val="HStandard"/>
        <w:rPr>
          <w:highlight w:val="yellow"/>
        </w:rPr>
      </w:pPr>
      <w:r w:rsidRPr="004F4478">
        <w:rPr>
          <w:highlight w:val="yellow"/>
        </w:rPr>
        <w:t>Les étapes de la planification d'une évaluation sont les suivantes:</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860A11" w:rsidRPr="004F4478" w:rsidTr="00FC0A30">
        <w:trPr>
          <w:trHeight w:val="405"/>
        </w:trPr>
        <w:tc>
          <w:tcPr>
            <w:tcW w:w="988" w:type="dxa"/>
            <w:shd w:val="clear" w:color="auto" w:fill="E7E6E6" w:themeFill="background2"/>
          </w:tcPr>
          <w:p w:rsidR="00860A11" w:rsidRPr="004F4478" w:rsidRDefault="00860A11" w:rsidP="00FC0A30">
            <w:pPr>
              <w:pStyle w:val="HStandard"/>
              <w:jc w:val="center"/>
              <w:rPr>
                <w:b/>
                <w:color w:val="5B9BD5" w:themeColor="accent1"/>
                <w:sz w:val="18"/>
                <w:szCs w:val="18"/>
                <w:highlight w:val="yellow"/>
              </w:rPr>
            </w:pPr>
            <w:r w:rsidRPr="004F4478">
              <w:rPr>
                <w:b/>
                <w:color w:val="5B9BD5" w:themeColor="accent1"/>
                <w:sz w:val="18"/>
                <w:highlight w:val="yellow"/>
              </w:rPr>
              <w:t>1</w:t>
            </w:r>
          </w:p>
        </w:tc>
        <w:tc>
          <w:tcPr>
            <w:tcW w:w="8028" w:type="dxa"/>
          </w:tcPr>
          <w:p w:rsidR="00860A11" w:rsidRPr="004F4478" w:rsidRDefault="00860A11" w:rsidP="00937568">
            <w:pPr>
              <w:pStyle w:val="HStandard"/>
              <w:rPr>
                <w:sz w:val="18"/>
                <w:szCs w:val="18"/>
                <w:highlight w:val="yellow"/>
              </w:rPr>
            </w:pPr>
            <w:r w:rsidRPr="004F4478">
              <w:rPr>
                <w:sz w:val="18"/>
                <w:highlight w:val="yellow"/>
              </w:rPr>
              <w:t xml:space="preserve">Identification des besoins d'évaluation et  des informations attendues suite à l'évaluation </w:t>
            </w:r>
          </w:p>
        </w:tc>
      </w:tr>
      <w:tr w:rsidR="00860A11" w:rsidRPr="004F4478" w:rsidTr="00FC0A30">
        <w:tc>
          <w:tcPr>
            <w:tcW w:w="988" w:type="dxa"/>
            <w:shd w:val="clear" w:color="auto" w:fill="E7E6E6" w:themeFill="background2"/>
          </w:tcPr>
          <w:p w:rsidR="00860A11" w:rsidRPr="004F4478" w:rsidRDefault="00860A11" w:rsidP="00FC0A30">
            <w:pPr>
              <w:pStyle w:val="HStandard"/>
              <w:jc w:val="center"/>
              <w:rPr>
                <w:b/>
                <w:color w:val="5B9BD5" w:themeColor="accent1"/>
                <w:sz w:val="18"/>
                <w:szCs w:val="18"/>
                <w:highlight w:val="yellow"/>
              </w:rPr>
            </w:pPr>
            <w:r w:rsidRPr="004F4478">
              <w:rPr>
                <w:b/>
                <w:color w:val="5B9BD5" w:themeColor="accent1"/>
                <w:sz w:val="18"/>
                <w:highlight w:val="yellow"/>
              </w:rPr>
              <w:t>2</w:t>
            </w:r>
          </w:p>
        </w:tc>
        <w:tc>
          <w:tcPr>
            <w:tcW w:w="8028" w:type="dxa"/>
          </w:tcPr>
          <w:p w:rsidR="00860A11" w:rsidRPr="004F4478" w:rsidRDefault="00860A11" w:rsidP="0017693D">
            <w:pPr>
              <w:pStyle w:val="HStandard"/>
              <w:rPr>
                <w:sz w:val="18"/>
                <w:szCs w:val="18"/>
                <w:highlight w:val="yellow"/>
              </w:rPr>
            </w:pPr>
            <w:r w:rsidRPr="004F4478">
              <w:rPr>
                <w:sz w:val="18"/>
                <w:highlight w:val="yellow"/>
              </w:rPr>
              <w:t>Décision sur la forme de l’évaluation</w:t>
            </w:r>
          </w:p>
        </w:tc>
      </w:tr>
      <w:tr w:rsidR="00860A11" w:rsidRPr="004F4478" w:rsidTr="00FC0A30">
        <w:tc>
          <w:tcPr>
            <w:tcW w:w="988" w:type="dxa"/>
            <w:shd w:val="clear" w:color="auto" w:fill="E7E6E6" w:themeFill="background2"/>
          </w:tcPr>
          <w:p w:rsidR="00860A11" w:rsidRPr="004F4478" w:rsidRDefault="00860A11" w:rsidP="00FC0A30">
            <w:pPr>
              <w:pStyle w:val="HStandard"/>
              <w:jc w:val="center"/>
              <w:rPr>
                <w:b/>
                <w:color w:val="5B9BD5" w:themeColor="accent1"/>
                <w:sz w:val="18"/>
                <w:szCs w:val="18"/>
                <w:highlight w:val="yellow"/>
              </w:rPr>
            </w:pPr>
            <w:r w:rsidRPr="004F4478">
              <w:rPr>
                <w:b/>
                <w:color w:val="5B9BD5" w:themeColor="accent1"/>
                <w:sz w:val="18"/>
                <w:highlight w:val="yellow"/>
              </w:rPr>
              <w:t>3</w:t>
            </w:r>
          </w:p>
        </w:tc>
        <w:tc>
          <w:tcPr>
            <w:tcW w:w="8028" w:type="dxa"/>
          </w:tcPr>
          <w:p w:rsidR="00860A11" w:rsidRPr="004F4478" w:rsidRDefault="00860A11" w:rsidP="00D549E5">
            <w:pPr>
              <w:pStyle w:val="HStandard"/>
              <w:rPr>
                <w:sz w:val="18"/>
                <w:szCs w:val="18"/>
                <w:highlight w:val="yellow"/>
              </w:rPr>
            </w:pPr>
            <w:r w:rsidRPr="004F4478">
              <w:rPr>
                <w:sz w:val="18"/>
                <w:highlight w:val="yellow"/>
              </w:rPr>
              <w:t xml:space="preserve">Planification du processus d'évaluation et calendrier </w:t>
            </w:r>
          </w:p>
        </w:tc>
      </w:tr>
      <w:tr w:rsidR="00860A11" w:rsidRPr="004F4478" w:rsidTr="00FC0A30">
        <w:tc>
          <w:tcPr>
            <w:tcW w:w="988" w:type="dxa"/>
            <w:shd w:val="clear" w:color="auto" w:fill="E7E6E6" w:themeFill="background2"/>
          </w:tcPr>
          <w:p w:rsidR="00860A11" w:rsidRPr="004F4478" w:rsidRDefault="00860A11" w:rsidP="00FC0A30">
            <w:pPr>
              <w:pStyle w:val="HStandard"/>
              <w:jc w:val="center"/>
              <w:rPr>
                <w:b/>
                <w:color w:val="5B9BD5" w:themeColor="accent1"/>
                <w:sz w:val="18"/>
                <w:szCs w:val="18"/>
                <w:highlight w:val="yellow"/>
              </w:rPr>
            </w:pPr>
            <w:r w:rsidRPr="004F4478">
              <w:rPr>
                <w:b/>
                <w:color w:val="5B9BD5" w:themeColor="accent1"/>
                <w:sz w:val="18"/>
                <w:highlight w:val="yellow"/>
              </w:rPr>
              <w:t>4</w:t>
            </w:r>
          </w:p>
        </w:tc>
        <w:tc>
          <w:tcPr>
            <w:tcW w:w="8028" w:type="dxa"/>
          </w:tcPr>
          <w:p w:rsidR="00860A11" w:rsidRPr="004F4478" w:rsidRDefault="00860A11" w:rsidP="00B62FBF">
            <w:pPr>
              <w:pStyle w:val="HStandard"/>
              <w:rPr>
                <w:sz w:val="18"/>
                <w:szCs w:val="18"/>
                <w:highlight w:val="yellow"/>
              </w:rPr>
            </w:pPr>
            <w:r w:rsidRPr="004F4478">
              <w:rPr>
                <w:sz w:val="18"/>
                <w:highlight w:val="yellow"/>
              </w:rPr>
              <w:t>Rédaction des plans de communication et du renforcement des capacités</w:t>
            </w:r>
          </w:p>
        </w:tc>
      </w:tr>
    </w:tbl>
    <w:p w:rsidR="00860A11" w:rsidRPr="004F4478" w:rsidRDefault="00860A11" w:rsidP="0079494B">
      <w:pPr>
        <w:pStyle w:val="HHeading5"/>
        <w:rPr>
          <w:highlight w:val="yellow"/>
        </w:rPr>
      </w:pPr>
      <w:r>
        <w:rPr>
          <w:highlight w:val="yellow"/>
        </w:rPr>
        <w:t xml:space="preserve">Étape 1 - </w:t>
      </w:r>
      <w:r w:rsidRPr="004F4478">
        <w:rPr>
          <w:highlight w:val="yellow"/>
        </w:rPr>
        <w:t>Identification des besoins d'évaluation (ce qu’il faut évaluer) et</w:t>
      </w:r>
      <w:r>
        <w:rPr>
          <w:highlight w:val="yellow"/>
        </w:rPr>
        <w:t xml:space="preserve"> des</w:t>
      </w:r>
      <w:r w:rsidRPr="004F4478">
        <w:rPr>
          <w:highlight w:val="yellow"/>
        </w:rPr>
        <w:t xml:space="preserve"> informations attendues suite à l'évaluation </w:t>
      </w:r>
    </w:p>
    <w:p w:rsidR="00860A11" w:rsidRPr="004F4478" w:rsidRDefault="00860A11" w:rsidP="003E2220">
      <w:pPr>
        <w:pStyle w:val="HStandard"/>
        <w:rPr>
          <w:highlight w:val="yellow"/>
        </w:rPr>
      </w:pPr>
      <w:r w:rsidRPr="004F4478">
        <w:rPr>
          <w:highlight w:val="yellow"/>
        </w:rPr>
        <w:t xml:space="preserve">L’organisme responsable du démarrage (MA ou NSU) peut rédiger une note conceptuelle pour mieux cibler l'évaluation et préparer le cahier des charges. La note conceptuelle devrait inclure l’environnement politique, les sujets d'évaluation, le calendrier, la portée, le but et la justification, ainsi que le rôle des </w:t>
      </w:r>
      <w:r>
        <w:rPr>
          <w:highlight w:val="yellow"/>
        </w:rPr>
        <w:t>parties prenantes</w:t>
      </w:r>
      <w:r w:rsidRPr="004F4478">
        <w:rPr>
          <w:highlight w:val="yellow"/>
        </w:rPr>
        <w:t xml:space="preserve"> dans l'évaluation et des références aux sources d'information et aux évaluations précédentes. La note conceptuelle peut être rédigée pendant le processus, à savoir qu'elle peut démarrer à la phase de planification et être mise à jour plus tard, lors de la phase de préparation quand les problèmes sont identifiés.</w:t>
      </w:r>
    </w:p>
    <w:p w:rsidR="00860A11" w:rsidRPr="004F4478" w:rsidRDefault="00860A11" w:rsidP="0079494B">
      <w:pPr>
        <w:pStyle w:val="HHeading5"/>
        <w:rPr>
          <w:highlight w:val="yellow"/>
        </w:rPr>
      </w:pPr>
      <w:r w:rsidRPr="004F4478">
        <w:rPr>
          <w:highlight w:val="yellow"/>
        </w:rPr>
        <w:t>Étape 2 - Décision sur la forme de l’évaluation</w:t>
      </w:r>
    </w:p>
    <w:p w:rsidR="00860A11" w:rsidRPr="004F4478" w:rsidRDefault="00860A11" w:rsidP="003E2220">
      <w:pPr>
        <w:pStyle w:val="HStandard"/>
        <w:rPr>
          <w:b/>
          <w:highlight w:val="yellow"/>
        </w:rPr>
      </w:pPr>
      <w:r w:rsidRPr="004F4478">
        <w:rPr>
          <w:highlight w:val="yellow"/>
        </w:rPr>
        <w:t xml:space="preserve">L'évaluation du RRN peut prendre différentes formes, suivant le niveau de détail requis.: </w:t>
      </w:r>
    </w:p>
    <w:p w:rsidR="00860A11" w:rsidRPr="004F4478" w:rsidRDefault="00860A11" w:rsidP="00E36BC6">
      <w:pPr>
        <w:pStyle w:val="HHeading5"/>
        <w:rPr>
          <w:color w:val="auto"/>
          <w:highlight w:val="yellow"/>
        </w:rPr>
      </w:pPr>
      <w:r w:rsidRPr="004F4478">
        <w:rPr>
          <w:color w:val="auto"/>
          <w:highlight w:val="yellow"/>
        </w:rPr>
        <w:t>Évaluation de RRN dans le cadre d'une évaluation de PDR</w:t>
      </w:r>
    </w:p>
    <w:p w:rsidR="00860A11" w:rsidRPr="004F4478" w:rsidRDefault="00860A11" w:rsidP="00E36BC6">
      <w:pPr>
        <w:pStyle w:val="HStandard"/>
        <w:rPr>
          <w:highlight w:val="yellow"/>
        </w:rPr>
      </w:pPr>
      <w:r w:rsidRPr="004F4478">
        <w:rPr>
          <w:highlight w:val="yellow"/>
        </w:rPr>
        <w:t>Les RRN qui font partie d</w:t>
      </w:r>
      <w:r>
        <w:rPr>
          <w:highlight w:val="yellow"/>
        </w:rPr>
        <w:t>e</w:t>
      </w:r>
      <w:r w:rsidRPr="004F4478">
        <w:rPr>
          <w:highlight w:val="yellow"/>
        </w:rPr>
        <w:t xml:space="preserve"> PDR doivent être inclus dans l'évaluation du programme comme sujets d'évaluation propres. Cela implique que les activités d'évaluation du RRN soient déjà décrites dans le plan d'évaluation du PDR et précisées dans le cahier des charges pour la sélection de l'évaluateur externe. Les activités d'évaluation du RRN sont présentées dans la section 2 des rapports annuels de mise en œuvre (AIR). Les évaluations de RRN spécifiques sont ensuite présentées dans le rapport annuel de mise en œuvre (AIR) amélioré de 2017 et 2019 et feront plus tard l'objet de l'évaluation ex post. Dans ce contexte, </w:t>
      </w:r>
      <w:r>
        <w:rPr>
          <w:highlight w:val="yellow"/>
        </w:rPr>
        <w:t>il convient de répondre aux</w:t>
      </w:r>
      <w:r w:rsidRPr="004F4478">
        <w:rPr>
          <w:highlight w:val="yellow"/>
        </w:rPr>
        <w:t xml:space="preserve"> questions d'évaluation communes sur le RRN et les indicateurs communs pour le RRN doivent être utilisés</w:t>
      </w:r>
      <w:r w:rsidRPr="004F4478">
        <w:rPr>
          <w:rFonts w:ascii="ZWAdobeF" w:hAnsi="ZWAdobeF"/>
          <w:color w:val="auto"/>
          <w:sz w:val="2"/>
          <w:highlight w:val="yellow"/>
        </w:rPr>
        <w:t xml:space="preserve">62F </w:t>
      </w:r>
      <w:r w:rsidRPr="004F4478">
        <w:rPr>
          <w:rStyle w:val="FootnoteReference"/>
          <w:highlight w:val="yellow"/>
        </w:rPr>
        <w:footnoteReference w:id="63"/>
      </w:r>
      <w:r w:rsidRPr="004F4478">
        <w:rPr>
          <w:highlight w:val="yellow"/>
        </w:rPr>
        <w:t xml:space="preserve"> .</w:t>
      </w:r>
    </w:p>
    <w:p w:rsidR="00860A11" w:rsidRPr="004F4478" w:rsidRDefault="00860A11" w:rsidP="00E36BC6">
      <w:pPr>
        <w:pStyle w:val="HStandard"/>
        <w:rPr>
          <w:highlight w:val="yellow"/>
        </w:rPr>
      </w:pPr>
      <w:r w:rsidRPr="004F4478">
        <w:rPr>
          <w:highlight w:val="yellow"/>
        </w:rPr>
        <w:t xml:space="preserve">Lorsque le RRN est inclus dans l'évaluation du PDR, en général seule une vue d'ensemble assez large des opérations, des réalisations et des résultats du RRN peut être présentée et rapportée dans les évaluations respectives. L'évaluation du RRN dans le cadre du PDR fournit généralement des recommandations utiles aux décideurs politiques, et non pas tant pour la NSU sur la façon d'améliorer de manière concrète les processus, les activités et les cibles de RRN. Les méthodologies utilisées risquent aussi de ne pas prendre en compte les spécificités du réseau et son fonctionnement. </w:t>
      </w:r>
      <w:r w:rsidRPr="004F4478">
        <w:rPr>
          <w:highlight w:val="yellow"/>
        </w:rPr>
        <w:lastRenderedPageBreak/>
        <w:t>Cependant, ce type d'évaluation est utile pour examiner comment le RRN fonctionne au sein du PDR. Il peut également provoquer des questions d'évaluation plus précises et spécifiques, à examiner dans le cadre d'une évaluation autonome RRN ou d’une auto-évaluation.</w:t>
      </w:r>
    </w:p>
    <w:p w:rsidR="00860A11" w:rsidRPr="004F4478" w:rsidRDefault="00860A11" w:rsidP="00E36BC6">
      <w:pPr>
        <w:pStyle w:val="HHeading5"/>
        <w:rPr>
          <w:color w:val="auto"/>
          <w:highlight w:val="yellow"/>
        </w:rPr>
      </w:pPr>
      <w:r w:rsidRPr="004F4478">
        <w:rPr>
          <w:color w:val="auto"/>
          <w:highlight w:val="yellow"/>
        </w:rPr>
        <w:t xml:space="preserve">Évaluations autonomes du (P)RRN. </w:t>
      </w:r>
    </w:p>
    <w:p w:rsidR="00860A11" w:rsidRPr="004F4478" w:rsidRDefault="00860A11" w:rsidP="00E36BC6">
      <w:pPr>
        <w:pStyle w:val="HStandard"/>
        <w:rPr>
          <w:highlight w:val="yellow"/>
        </w:rPr>
      </w:pPr>
      <w:r w:rsidRPr="004F4478">
        <w:rPr>
          <w:highlight w:val="yellow"/>
        </w:rPr>
        <w:t xml:space="preserve">Comme les PRRN sont des programmes distincts, ils doivent être évalués comme tout programme </w:t>
      </w:r>
      <w:r>
        <w:rPr>
          <w:highlight w:val="yellow"/>
        </w:rPr>
        <w:t>des Fonds E</w:t>
      </w:r>
      <w:r w:rsidRPr="004F4478">
        <w:rPr>
          <w:highlight w:val="yellow"/>
        </w:rPr>
        <w:t>SI</w:t>
      </w:r>
      <w:r w:rsidRPr="004F4478">
        <w:rPr>
          <w:rStyle w:val="FootnoteReference"/>
          <w:highlight w:val="yellow"/>
        </w:rPr>
        <w:footnoteReference w:id="64"/>
      </w:r>
      <w:r w:rsidRPr="004F4478">
        <w:rPr>
          <w:highlight w:val="yellow"/>
        </w:rPr>
        <w:t>. Cependant, même les États membres avec des RRN intégrés dans un PDR peuvent choisir de procéder à une évaluation autonome du RRN, car elle donnera un aperçu plus approfondi des réalisations, des résultats, des impacts, de la valeur ajoutée, de l’efficacité et de la productivité du RRN. Elle peut aussi fournir des recommandations plus pratiques sur la manière d'améliorer le fonctionnement du RRN. Une évaluation autonome du RRN peut également répondre à des questions d'évaluation plus spécifiques, ou se concentrer sur des questions particulières. Elle peut alimenter et éclairer l'évaluation du RRN menée dans le cadre de l'évaluation du PDR.</w:t>
      </w:r>
    </w:p>
    <w:p w:rsidR="00860A11" w:rsidRPr="004F4478" w:rsidRDefault="00860A11" w:rsidP="00E36BC6">
      <w:pPr>
        <w:pStyle w:val="HStandard"/>
        <w:rPr>
          <w:highlight w:val="yellow"/>
        </w:rPr>
      </w:pPr>
      <w:r w:rsidRPr="004F4478">
        <w:rPr>
          <w:highlight w:val="yellow"/>
        </w:rPr>
        <w:t>L'objectif des évaluations autonomes du (P)RRN devrait être:</w:t>
      </w:r>
    </w:p>
    <w:p w:rsidR="00860A11" w:rsidRPr="004F4478" w:rsidRDefault="00860A11" w:rsidP="00E36BC6">
      <w:pPr>
        <w:pStyle w:val="Hlistbullet"/>
        <w:rPr>
          <w:highlight w:val="yellow"/>
        </w:rPr>
      </w:pPr>
      <w:r w:rsidRPr="004F4478">
        <w:rPr>
          <w:highlight w:val="yellow"/>
        </w:rPr>
        <w:t>pertinence, efficacité, productivité, résultats, réalisations, impacts, ainsi que les facteurs de succès ou d'échec (c’est-à-dire une évaluation globale du RRN);</w:t>
      </w:r>
    </w:p>
    <w:p w:rsidR="00860A11" w:rsidRPr="004F4478" w:rsidRDefault="00860A11" w:rsidP="00E36BC6">
      <w:pPr>
        <w:pStyle w:val="Hlistbullet"/>
        <w:rPr>
          <w:highlight w:val="yellow"/>
        </w:rPr>
      </w:pPr>
      <w:r w:rsidRPr="004F4478">
        <w:rPr>
          <w:highlight w:val="yellow"/>
        </w:rPr>
        <w:t>logique d’intervention;</w:t>
      </w:r>
    </w:p>
    <w:p w:rsidR="00860A11" w:rsidRPr="004F4478" w:rsidRDefault="00860A11" w:rsidP="00E36BC6">
      <w:pPr>
        <w:pStyle w:val="Hlistbullet"/>
        <w:rPr>
          <w:highlight w:val="yellow"/>
        </w:rPr>
      </w:pPr>
      <w:r>
        <w:rPr>
          <w:highlight w:val="yellow"/>
        </w:rPr>
        <w:t>p</w:t>
      </w:r>
      <w:r w:rsidRPr="004F4478">
        <w:rPr>
          <w:highlight w:val="yellow"/>
        </w:rPr>
        <w:t xml:space="preserve">lan d'action et activités; </w:t>
      </w:r>
    </w:p>
    <w:p w:rsidR="00860A11" w:rsidRPr="004F4478" w:rsidRDefault="00860A11" w:rsidP="00E36BC6">
      <w:pPr>
        <w:pStyle w:val="Hlistbullet"/>
        <w:rPr>
          <w:highlight w:val="yellow"/>
        </w:rPr>
      </w:pPr>
      <w:r w:rsidRPr="004F4478">
        <w:rPr>
          <w:highlight w:val="yellow"/>
        </w:rPr>
        <w:t>réseaux régionaux;</w:t>
      </w:r>
    </w:p>
    <w:p w:rsidR="00860A11" w:rsidRPr="004F4478" w:rsidRDefault="00860A11" w:rsidP="00E36BC6">
      <w:pPr>
        <w:pStyle w:val="Hlistbullet2"/>
        <w:rPr>
          <w:highlight w:val="yellow"/>
        </w:rPr>
      </w:pPr>
      <w:r w:rsidRPr="004F4478">
        <w:rPr>
          <w:highlight w:val="yellow"/>
        </w:rPr>
        <w:t>structure du réseau.</w:t>
      </w:r>
    </w:p>
    <w:p w:rsidR="00860A11" w:rsidRPr="004F4478" w:rsidRDefault="00860A11" w:rsidP="00E36BC6">
      <w:pPr>
        <w:pStyle w:val="HStandard"/>
        <w:rPr>
          <w:highlight w:val="yellow"/>
        </w:rPr>
      </w:pPr>
      <w:r w:rsidRPr="004F4478">
        <w:rPr>
          <w:highlight w:val="yellow"/>
        </w:rPr>
        <w:t xml:space="preserve">La réalisation d'une évaluation autonome du (P)RRN requiert un plan complet d'évaluation et un processus de mise en œuvre, couvrant les étapes du projet telles que </w:t>
      </w:r>
      <w:r>
        <w:rPr>
          <w:highlight w:val="yellow"/>
        </w:rPr>
        <w:t>l'examen</w:t>
      </w:r>
      <w:r w:rsidRPr="004F4478">
        <w:rPr>
          <w:highlight w:val="yellow"/>
        </w:rPr>
        <w:t xml:space="preserve"> de la logique d'intervention du RRN (si la logique d'intervention existe déjà) ou la mise au point d’une logique d'intervention (si elle n’existe pas), ainsi que l'élaboration des questions et des indicateurs d'évaluation spécifiques au programme. Chaque fois que le (P)RRN est le seul sujet de l'évaluation, celle-ci devra couvrir la NSU, les membres et les activités du RRN.</w:t>
      </w:r>
    </w:p>
    <w:p w:rsidR="00860A11" w:rsidRPr="004F4478" w:rsidRDefault="00860A11" w:rsidP="0079494B">
      <w:pPr>
        <w:pStyle w:val="HHeading5"/>
        <w:rPr>
          <w:highlight w:val="yellow"/>
        </w:rPr>
      </w:pPr>
      <w:r w:rsidRPr="004F4478">
        <w:rPr>
          <w:highlight w:val="yellow"/>
        </w:rPr>
        <w:t xml:space="preserve">Étape 3 - Planification du processus d'évaluation et calendrier </w:t>
      </w:r>
    </w:p>
    <w:p w:rsidR="00860A11" w:rsidRPr="004F4478" w:rsidRDefault="00860A11" w:rsidP="00E36BC6">
      <w:pPr>
        <w:pStyle w:val="HStandard"/>
        <w:rPr>
          <w:highlight w:val="yellow"/>
        </w:rPr>
      </w:pPr>
      <w:r w:rsidRPr="004F4478">
        <w:rPr>
          <w:highlight w:val="yellow"/>
        </w:rPr>
        <w:t xml:space="preserve">Cela inclut le calendrier des activités d'évaluation liées aux différentes phases de l’évaluation (préparation, structuration, observation, analyse, jugement, diffusion et suivi des résultats de l'évaluation), ainsi que les différents acteurs concernés. Ce processus couvre toute la durée de l'évaluation. </w:t>
      </w:r>
    </w:p>
    <w:tbl>
      <w:tblPr>
        <w:tblStyle w:val="TableGrid"/>
        <w:tblW w:w="0" w:type="auto"/>
        <w:jc w:val="center"/>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860A11" w:rsidRPr="004F4478" w:rsidTr="00FC0A30">
        <w:trPr>
          <w:jc w:val="center"/>
        </w:trPr>
        <w:tc>
          <w:tcPr>
            <w:tcW w:w="9016" w:type="dxa"/>
            <w:shd w:val="clear" w:color="auto" w:fill="F5F4F4" w:themeFill="background2" w:themeFillTint="66"/>
          </w:tcPr>
          <w:p w:rsidR="00860A11" w:rsidRPr="004F4478" w:rsidRDefault="00860A11" w:rsidP="00BE7FA8">
            <w:pPr>
              <w:pStyle w:val="HStandard"/>
              <w:rPr>
                <w:highlight w:val="yellow"/>
              </w:rPr>
            </w:pPr>
            <w:r w:rsidRPr="004F4478">
              <w:rPr>
                <w:highlight w:val="yellow"/>
              </w:rPr>
              <w:t xml:space="preserve">Les questions suivantes peuvent être utiles pour cette tâche: </w:t>
            </w:r>
          </w:p>
          <w:p w:rsidR="00860A11" w:rsidRPr="004F4478" w:rsidRDefault="00860A11" w:rsidP="00860A11">
            <w:pPr>
              <w:pStyle w:val="Hlistbullet"/>
              <w:rPr>
                <w:highlight w:val="yellow"/>
              </w:rPr>
            </w:pPr>
            <w:r w:rsidRPr="004F4478">
              <w:rPr>
                <w:highlight w:val="yellow"/>
              </w:rPr>
              <w:t>Que cherche-t-on à savoir (quels sont les sujets de l’évaluation, par exemple la réalisation des objectifs du réseau, la mise en œuvre des activités du (P)RRN, son efficacité et sa productivité, la structure du réseau, l’impact du (P)RRN sur la mise en œuvre du programme, les résultats?)?</w:t>
            </w:r>
          </w:p>
          <w:p w:rsidR="00860A11" w:rsidRPr="004F4478" w:rsidRDefault="00860A11" w:rsidP="00860A11">
            <w:pPr>
              <w:pStyle w:val="Hlistbullet"/>
              <w:rPr>
                <w:highlight w:val="yellow"/>
              </w:rPr>
            </w:pPr>
            <w:r w:rsidRPr="004F4478">
              <w:rPr>
                <w:highlight w:val="yellow"/>
              </w:rPr>
              <w:t>Pourquoi est-il important d'évaluer ces points?</w:t>
            </w:r>
          </w:p>
          <w:p w:rsidR="00860A11" w:rsidRPr="004F4478" w:rsidRDefault="00860A11" w:rsidP="00860A11">
            <w:pPr>
              <w:pStyle w:val="Hlistbullet"/>
              <w:rPr>
                <w:highlight w:val="yellow"/>
              </w:rPr>
            </w:pPr>
            <w:r w:rsidRPr="004F4478">
              <w:rPr>
                <w:highlight w:val="yellow"/>
              </w:rPr>
              <w:t xml:space="preserve">Quelles sont les obligations légales concernant le contenu de l'évaluation et des sujets sélectionnés? </w:t>
            </w:r>
          </w:p>
          <w:p w:rsidR="00860A11" w:rsidRPr="004F4478" w:rsidRDefault="00860A11" w:rsidP="00860A11">
            <w:pPr>
              <w:pStyle w:val="Hlistbullet"/>
              <w:rPr>
                <w:highlight w:val="yellow"/>
              </w:rPr>
            </w:pPr>
            <w:r w:rsidRPr="004F4478">
              <w:rPr>
                <w:highlight w:val="yellow"/>
              </w:rPr>
              <w:t xml:space="preserve">Y a-t-il eu des évaluations antérieures, des mesures ou des études concernant les sujets choisis? </w:t>
            </w:r>
          </w:p>
          <w:p w:rsidR="00860A11" w:rsidRPr="004F4478" w:rsidRDefault="00860A11" w:rsidP="00860A11">
            <w:pPr>
              <w:pStyle w:val="Hlistbullet2"/>
              <w:rPr>
                <w:highlight w:val="yellow"/>
              </w:rPr>
            </w:pPr>
            <w:r w:rsidRPr="004F4478">
              <w:rPr>
                <w:highlight w:val="yellow"/>
              </w:rPr>
              <w:t xml:space="preserve">Quelles sont les principales lacunes dans les connaissances relatives au (P)RRN et aux sujets choisis? </w:t>
            </w:r>
          </w:p>
        </w:tc>
      </w:tr>
    </w:tbl>
    <w:p w:rsidR="00860A11" w:rsidRPr="004F4478" w:rsidRDefault="00860A11" w:rsidP="00FC0A30">
      <w:pPr>
        <w:pStyle w:val="HHeading5"/>
        <w:rPr>
          <w:highlight w:val="yellow"/>
        </w:rPr>
      </w:pPr>
      <w:r w:rsidRPr="004F4478">
        <w:rPr>
          <w:highlight w:val="yellow"/>
        </w:rPr>
        <w:lastRenderedPageBreak/>
        <w:t>Étape 4- Rédaction des plans de communication et de renforcement des capacités</w:t>
      </w:r>
    </w:p>
    <w:p w:rsidR="00860A11" w:rsidRPr="004F4478" w:rsidRDefault="00860A11" w:rsidP="003E2220">
      <w:pPr>
        <w:pStyle w:val="HStandard"/>
        <w:rPr>
          <w:b/>
          <w:highlight w:val="yellow"/>
        </w:rPr>
      </w:pPr>
      <w:r w:rsidRPr="004F4478">
        <w:rPr>
          <w:b/>
          <w:highlight w:val="yellow"/>
        </w:rPr>
        <w:t>Plan de communication</w:t>
      </w:r>
    </w:p>
    <w:p w:rsidR="00860A11" w:rsidRPr="004F4478" w:rsidRDefault="00860A11" w:rsidP="003E2220">
      <w:pPr>
        <w:pStyle w:val="HStandard"/>
        <w:rPr>
          <w:highlight w:val="yellow"/>
        </w:rPr>
      </w:pPr>
      <w:r w:rsidRPr="004F4478">
        <w:rPr>
          <w:highlight w:val="yellow"/>
        </w:rPr>
        <w:t xml:space="preserve">La communication est un élément clé de l'évaluation. Elle devrait donc être déjà conçue au début de l'évaluation. L'une des principales raisons de procéder à une évaluation est de pouvoir rendre des comptes aux parties prenantes et au grand public. Par conséquent, les résultats de l'évaluation devraient être communiqués aux publics visés. A cet effet, chaque évaluation doit être accompagnée d'un plan de communication, conçu au début du processus d'évaluation et dont la mise en œuvre commence immédiatement après la finalisation de l’évaluation. Les responsables du lancement de l'évaluation sont chargés de l'élaboration et de la mise en œuvre du plan de communication des résultats et des conclusions de l'évaluation. Le responsable  (unité du ministère ou MA, NSU, sous-traitant, etc.) de la communication générale du PDR dispose en général de toutes les ressources pour communiquer les résultats de l'évaluation au grand public. La NSU, les membres du réseau et le groupe de pilotage de l'évaluation peuvent assister l’autorité de </w:t>
      </w:r>
      <w:r>
        <w:rPr>
          <w:highlight w:val="yellow"/>
        </w:rPr>
        <w:t>gestion</w:t>
      </w:r>
      <w:r w:rsidRPr="004F4478">
        <w:rPr>
          <w:highlight w:val="yellow"/>
        </w:rPr>
        <w:t xml:space="preserve"> (MA) pour la communication des résultats de l'évaluation aux parties prenantes du PDR. La communication sur les résultats de l'évaluation devrait être inclus</w:t>
      </w:r>
      <w:r>
        <w:rPr>
          <w:highlight w:val="yellow"/>
        </w:rPr>
        <w:t>e</w:t>
      </w:r>
      <w:r w:rsidRPr="004F4478">
        <w:rPr>
          <w:highlight w:val="yellow"/>
        </w:rPr>
        <w:t xml:space="preserve"> dans le plan de communication, du (P)RRN qui est nécessaire au plan d'action pour les réseaux.</w:t>
      </w:r>
    </w:p>
    <w:tbl>
      <w:tblPr>
        <w:tblStyle w:val="TableGrid"/>
        <w:tblW w:w="0" w:type="auto"/>
        <w:jc w:val="center"/>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860A11" w:rsidRPr="004F4478" w:rsidTr="00FC0A30">
        <w:trPr>
          <w:jc w:val="center"/>
        </w:trPr>
        <w:tc>
          <w:tcPr>
            <w:tcW w:w="9016" w:type="dxa"/>
            <w:shd w:val="clear" w:color="auto" w:fill="F5F4F4" w:themeFill="background2" w:themeFillTint="66"/>
          </w:tcPr>
          <w:p w:rsidR="00860A11" w:rsidRPr="004F4478" w:rsidRDefault="00860A11" w:rsidP="00F26F45">
            <w:pPr>
              <w:pStyle w:val="HStandard"/>
              <w:rPr>
                <w:highlight w:val="yellow"/>
              </w:rPr>
            </w:pPr>
            <w:r w:rsidRPr="004F4478">
              <w:rPr>
                <w:highlight w:val="yellow"/>
              </w:rPr>
              <w:t xml:space="preserve">Les principales questions auxquelles il faut répondre en décrivant la stratégie de communication sont: </w:t>
            </w:r>
          </w:p>
          <w:p w:rsidR="00860A11" w:rsidRPr="004F4478" w:rsidRDefault="00860A11" w:rsidP="00860A11">
            <w:pPr>
              <w:pStyle w:val="Hlistbullet"/>
              <w:rPr>
                <w:highlight w:val="yellow"/>
              </w:rPr>
            </w:pPr>
            <w:r w:rsidRPr="004F4478">
              <w:rPr>
                <w:highlight w:val="yellow"/>
              </w:rPr>
              <w:t>Qui sont les publics cibles? Qui est intéressé par l'évaluation du RRN?</w:t>
            </w:r>
          </w:p>
          <w:p w:rsidR="00860A11" w:rsidRPr="004F4478" w:rsidRDefault="00860A11" w:rsidP="00860A11">
            <w:pPr>
              <w:pStyle w:val="Hlistbullet"/>
              <w:rPr>
                <w:highlight w:val="yellow"/>
              </w:rPr>
            </w:pPr>
            <w:r w:rsidRPr="004F4478">
              <w:rPr>
                <w:highlight w:val="yellow"/>
              </w:rPr>
              <w:t>Qu’est-ce qui les intéresse en particulier?</w:t>
            </w:r>
          </w:p>
          <w:p w:rsidR="00860A11" w:rsidRPr="004F4478" w:rsidRDefault="00860A11" w:rsidP="00860A11">
            <w:pPr>
              <w:pStyle w:val="Hlistbullet"/>
              <w:rPr>
                <w:highlight w:val="yellow"/>
              </w:rPr>
            </w:pPr>
            <w:r w:rsidRPr="004F4478">
              <w:rPr>
                <w:highlight w:val="yellow"/>
              </w:rPr>
              <w:t>Quels sont les meilleurs canaux de communication pour atteindre les différents publics cibles?</w:t>
            </w:r>
          </w:p>
          <w:p w:rsidR="00860A11" w:rsidRPr="004F4478" w:rsidRDefault="00860A11" w:rsidP="00860A11">
            <w:pPr>
              <w:pStyle w:val="Hlistbullet"/>
              <w:rPr>
                <w:highlight w:val="yellow"/>
              </w:rPr>
            </w:pPr>
            <w:r w:rsidRPr="004F4478">
              <w:rPr>
                <w:highlight w:val="yellow"/>
              </w:rPr>
              <w:t>Quels sont les styles de communication nécessaires pour chacun des publics cibles?</w:t>
            </w:r>
          </w:p>
          <w:p w:rsidR="00860A11" w:rsidRPr="004F4478" w:rsidRDefault="00860A11" w:rsidP="00860A11">
            <w:pPr>
              <w:pStyle w:val="Hlistbullet"/>
              <w:rPr>
                <w:highlight w:val="yellow"/>
              </w:rPr>
            </w:pPr>
            <w:r w:rsidRPr="004F4478">
              <w:rPr>
                <w:highlight w:val="yellow"/>
              </w:rPr>
              <w:t>Quand faut-il communiquer?</w:t>
            </w:r>
          </w:p>
          <w:p w:rsidR="00860A11" w:rsidRPr="004F4478" w:rsidRDefault="00860A11" w:rsidP="00860A11">
            <w:pPr>
              <w:pStyle w:val="Hlistbullet2"/>
              <w:rPr>
                <w:highlight w:val="yellow"/>
              </w:rPr>
            </w:pPr>
            <w:r w:rsidRPr="004F4478">
              <w:rPr>
                <w:highlight w:val="yellow"/>
              </w:rPr>
              <w:t>Qui doit communiquer quoi aux différents publics cibles?</w:t>
            </w:r>
          </w:p>
        </w:tc>
      </w:tr>
    </w:tbl>
    <w:p w:rsidR="00860A11" w:rsidRPr="004F4478" w:rsidRDefault="00860A11" w:rsidP="000C5FAA">
      <w:pPr>
        <w:pStyle w:val="HStandard"/>
        <w:rPr>
          <w:highlight w:val="yellow"/>
        </w:rPr>
      </w:pPr>
      <w:r w:rsidRPr="004F4478">
        <w:rPr>
          <w:highlight w:val="yellow"/>
        </w:rPr>
        <w:t>Le plan de communication  doit pouvoir être résumé dans un tableau (</w:t>
      </w:r>
      <w:r w:rsidRPr="004F4478">
        <w:rPr>
          <w:highlight w:val="yellow"/>
        </w:rPr>
        <w:fldChar w:fldCharType="begin" w:fldLock="1"/>
      </w:r>
      <w:r w:rsidRPr="004F4478">
        <w:rPr>
          <w:highlight w:val="yellow"/>
        </w:rPr>
        <w:instrText xml:space="preserve"> REF _Ref435790833 \r \h  \* MERGEFORMAT </w:instrText>
      </w:r>
      <w:r w:rsidRPr="004F4478">
        <w:rPr>
          <w:highlight w:val="yellow"/>
        </w:rPr>
      </w:r>
      <w:r w:rsidRPr="004F4478">
        <w:rPr>
          <w:highlight w:val="yellow"/>
        </w:rPr>
        <w:fldChar w:fldCharType="separate"/>
      </w:r>
      <w:r>
        <w:rPr>
          <w:highlight w:val="yellow"/>
        </w:rPr>
        <w:t>t</w:t>
      </w:r>
      <w:r w:rsidRPr="004F4478">
        <w:rPr>
          <w:highlight w:val="yellow"/>
        </w:rPr>
        <w:t>able</w:t>
      </w:r>
      <w:r>
        <w:rPr>
          <w:highlight w:val="yellow"/>
        </w:rPr>
        <w:t>au</w:t>
      </w:r>
      <w:r w:rsidRPr="004F4478">
        <w:rPr>
          <w:highlight w:val="yellow"/>
        </w:rPr>
        <w:t xml:space="preserve"> 2</w:t>
      </w:r>
      <w:r w:rsidRPr="004F4478">
        <w:rPr>
          <w:highlight w:val="yellow"/>
        </w:rPr>
        <w:fldChar w:fldCharType="end"/>
      </w:r>
      <w:r w:rsidRPr="004F4478">
        <w:rPr>
          <w:highlight w:val="yellow"/>
        </w:rPr>
        <w:t xml:space="preserve">). Pour en savoir plus sur le développement d'un plan de communication, voir le Guide RRN </w:t>
      </w:r>
      <w:r w:rsidRPr="004F4478">
        <w:rPr>
          <w:rFonts w:ascii="ZWAdobeF" w:hAnsi="ZWAdobeF"/>
          <w:color w:val="auto"/>
          <w:sz w:val="2"/>
          <w:highlight w:val="yellow"/>
        </w:rPr>
        <w:t xml:space="preserve">64F </w:t>
      </w:r>
      <w:r w:rsidRPr="004F4478">
        <w:rPr>
          <w:rStyle w:val="FootnoteReference"/>
          <w:highlight w:val="yellow"/>
        </w:rPr>
        <w:footnoteReference w:id="65"/>
      </w:r>
      <w:r w:rsidRPr="004F4478">
        <w:rPr>
          <w:highlight w:val="yellow"/>
        </w:rPr>
        <w:t xml:space="preserve"> . </w:t>
      </w:r>
    </w:p>
    <w:p w:rsidR="00860A11" w:rsidRPr="004F4478" w:rsidRDefault="00860A11" w:rsidP="001249DA">
      <w:pPr>
        <w:pStyle w:val="HHeadingtables"/>
        <w:rPr>
          <w:highlight w:val="yellow"/>
        </w:rPr>
      </w:pPr>
      <w:bookmarkStart w:id="98" w:name="_Ref435790833"/>
      <w:bookmarkStart w:id="99" w:name="_Toc436383143"/>
      <w:bookmarkStart w:id="100" w:name="_Toc451781906"/>
      <w:bookmarkStart w:id="101" w:name="_Toc463945780"/>
      <w:r w:rsidRPr="004F4478">
        <w:rPr>
          <w:highlight w:val="yellow"/>
        </w:rPr>
        <w:t>Plan de communication de l'évaluation</w:t>
      </w:r>
      <w:bookmarkEnd w:id="98"/>
      <w:bookmarkEnd w:id="99"/>
      <w:bookmarkEnd w:id="100"/>
      <w:bookmarkEnd w:id="101"/>
    </w:p>
    <w:tbl>
      <w:tblPr>
        <w:tblStyle w:val="TableGrid"/>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254"/>
        <w:gridCol w:w="1683"/>
        <w:gridCol w:w="1683"/>
        <w:gridCol w:w="1683"/>
        <w:gridCol w:w="1683"/>
      </w:tblGrid>
      <w:tr w:rsidR="00860A11" w:rsidRPr="004F4478" w:rsidTr="00387681">
        <w:trPr>
          <w:trHeight w:val="372"/>
          <w:jc w:val="center"/>
        </w:trPr>
        <w:tc>
          <w:tcPr>
            <w:tcW w:w="2254" w:type="dxa"/>
            <w:shd w:val="clear" w:color="auto" w:fill="E7E6E6" w:themeFill="background2"/>
          </w:tcPr>
          <w:p w:rsidR="00860A11" w:rsidRPr="004F4478" w:rsidRDefault="00860A11" w:rsidP="006A75AC">
            <w:pPr>
              <w:pStyle w:val="Htableleftbolt"/>
              <w:rPr>
                <w:rFonts w:cs="Arial"/>
                <w:color w:val="5B9BD5" w:themeColor="accent1"/>
                <w:highlight w:val="yellow"/>
              </w:rPr>
            </w:pPr>
            <w:r w:rsidRPr="004F4478">
              <w:rPr>
                <w:color w:val="5B9BD5" w:themeColor="accent1"/>
                <w:highlight w:val="yellow"/>
              </w:rPr>
              <w:t>QUI?</w:t>
            </w:r>
          </w:p>
        </w:tc>
        <w:tc>
          <w:tcPr>
            <w:tcW w:w="1683" w:type="dxa"/>
            <w:shd w:val="clear" w:color="auto" w:fill="E7E6E6" w:themeFill="background2"/>
          </w:tcPr>
          <w:p w:rsidR="00860A11" w:rsidRPr="004F4478" w:rsidRDefault="00860A11" w:rsidP="006A75AC">
            <w:pPr>
              <w:pStyle w:val="Htableleftbolt"/>
              <w:rPr>
                <w:rFonts w:cs="Arial"/>
                <w:color w:val="5B9BD5" w:themeColor="accent1"/>
                <w:highlight w:val="yellow"/>
              </w:rPr>
            </w:pPr>
            <w:r w:rsidRPr="004F4478">
              <w:rPr>
                <w:color w:val="5B9BD5" w:themeColor="accent1"/>
                <w:highlight w:val="yellow"/>
              </w:rPr>
              <w:t>QUOI?</w:t>
            </w:r>
          </w:p>
        </w:tc>
        <w:tc>
          <w:tcPr>
            <w:tcW w:w="1683" w:type="dxa"/>
            <w:shd w:val="clear" w:color="auto" w:fill="E7E6E6" w:themeFill="background2"/>
          </w:tcPr>
          <w:p w:rsidR="00860A11" w:rsidRPr="004F4478" w:rsidRDefault="00860A11" w:rsidP="006A75AC">
            <w:pPr>
              <w:pStyle w:val="Htableleftbolt"/>
              <w:rPr>
                <w:rFonts w:cs="Arial"/>
                <w:color w:val="5B9BD5" w:themeColor="accent1"/>
                <w:highlight w:val="yellow"/>
              </w:rPr>
            </w:pPr>
            <w:r w:rsidRPr="004F4478">
              <w:rPr>
                <w:color w:val="5B9BD5" w:themeColor="accent1"/>
                <w:highlight w:val="yellow"/>
              </w:rPr>
              <w:t>COMMENT?</w:t>
            </w:r>
          </w:p>
        </w:tc>
        <w:tc>
          <w:tcPr>
            <w:tcW w:w="1683" w:type="dxa"/>
            <w:shd w:val="clear" w:color="auto" w:fill="E7E6E6" w:themeFill="background2"/>
          </w:tcPr>
          <w:p w:rsidR="00860A11" w:rsidRPr="004F4478" w:rsidRDefault="00860A11" w:rsidP="006A75AC">
            <w:pPr>
              <w:pStyle w:val="Htableleftbolt"/>
              <w:rPr>
                <w:rFonts w:cs="Arial"/>
                <w:color w:val="5B9BD5" w:themeColor="accent1"/>
                <w:highlight w:val="yellow"/>
              </w:rPr>
            </w:pPr>
            <w:r w:rsidRPr="004F4478">
              <w:rPr>
                <w:color w:val="5B9BD5" w:themeColor="accent1"/>
                <w:highlight w:val="yellow"/>
              </w:rPr>
              <w:t>QUAND?</w:t>
            </w:r>
          </w:p>
        </w:tc>
        <w:tc>
          <w:tcPr>
            <w:tcW w:w="1683" w:type="dxa"/>
            <w:shd w:val="clear" w:color="auto" w:fill="E7E6E6" w:themeFill="background2"/>
          </w:tcPr>
          <w:p w:rsidR="00860A11" w:rsidRPr="004F4478" w:rsidRDefault="00860A11" w:rsidP="006A75AC">
            <w:pPr>
              <w:pStyle w:val="Htableleftbolt"/>
              <w:rPr>
                <w:rFonts w:cs="Arial"/>
                <w:color w:val="5B9BD5" w:themeColor="accent1"/>
                <w:highlight w:val="yellow"/>
              </w:rPr>
            </w:pPr>
            <w:r w:rsidRPr="004F4478">
              <w:rPr>
                <w:color w:val="5B9BD5" w:themeColor="accent1"/>
                <w:highlight w:val="yellow"/>
              </w:rPr>
              <w:t>Qui  va le faire?</w:t>
            </w:r>
          </w:p>
        </w:tc>
      </w:tr>
      <w:tr w:rsidR="00860A11" w:rsidRPr="004F4478" w:rsidTr="00387681">
        <w:trPr>
          <w:trHeight w:val="1233"/>
          <w:jc w:val="center"/>
        </w:trPr>
        <w:tc>
          <w:tcPr>
            <w:tcW w:w="2254" w:type="dxa"/>
            <w:shd w:val="clear" w:color="auto" w:fill="auto"/>
          </w:tcPr>
          <w:p w:rsidR="00860A11" w:rsidRPr="004F4478" w:rsidRDefault="00860A11" w:rsidP="00B62FBF">
            <w:pPr>
              <w:pStyle w:val="Htableleft"/>
              <w:rPr>
                <w:rFonts w:cs="Arial"/>
                <w:color w:val="576C88" w:themeColor="text2" w:themeTint="D9"/>
                <w:highlight w:val="yellow"/>
              </w:rPr>
            </w:pPr>
            <w:r w:rsidRPr="004F4478">
              <w:rPr>
                <w:color w:val="576C88" w:themeColor="text2" w:themeTint="D9"/>
                <w:highlight w:val="yellow"/>
              </w:rPr>
              <w:t xml:space="preserve">Public cible (par exemple les responsables politiques, les parties prenantes, le grand public) </w:t>
            </w:r>
          </w:p>
        </w:tc>
        <w:tc>
          <w:tcPr>
            <w:tcW w:w="1683" w:type="dxa"/>
            <w:shd w:val="clear" w:color="auto" w:fill="auto"/>
          </w:tcPr>
          <w:p w:rsidR="00860A11" w:rsidRPr="004F4478" w:rsidRDefault="00860A11" w:rsidP="00B62FBF">
            <w:pPr>
              <w:pStyle w:val="Htableleft"/>
              <w:rPr>
                <w:rFonts w:cs="Arial"/>
                <w:color w:val="576C88" w:themeColor="text2" w:themeTint="D9"/>
                <w:highlight w:val="yellow"/>
              </w:rPr>
            </w:pPr>
            <w:r w:rsidRPr="004F4478">
              <w:rPr>
                <w:color w:val="576C88" w:themeColor="text2" w:themeTint="D9"/>
                <w:highlight w:val="yellow"/>
              </w:rPr>
              <w:t>Sous réserve d’un intérêt pour un public cible</w:t>
            </w:r>
          </w:p>
        </w:tc>
        <w:tc>
          <w:tcPr>
            <w:tcW w:w="1683" w:type="dxa"/>
            <w:shd w:val="clear" w:color="auto" w:fill="auto"/>
          </w:tcPr>
          <w:p w:rsidR="00860A11" w:rsidRPr="004F4478" w:rsidRDefault="00860A11" w:rsidP="00B62FBF">
            <w:pPr>
              <w:pStyle w:val="Htableleft"/>
              <w:rPr>
                <w:rFonts w:cs="Arial"/>
                <w:color w:val="576C88" w:themeColor="text2" w:themeTint="D9"/>
                <w:highlight w:val="yellow"/>
              </w:rPr>
            </w:pPr>
            <w:r w:rsidRPr="004F4478">
              <w:rPr>
                <w:color w:val="576C88" w:themeColor="text2" w:themeTint="D9"/>
                <w:highlight w:val="yellow"/>
              </w:rPr>
              <w:t>Canaux de communication</w:t>
            </w:r>
          </w:p>
        </w:tc>
        <w:tc>
          <w:tcPr>
            <w:tcW w:w="1683" w:type="dxa"/>
            <w:shd w:val="clear" w:color="auto" w:fill="auto"/>
          </w:tcPr>
          <w:p w:rsidR="00860A11" w:rsidRPr="004F4478" w:rsidRDefault="00860A11" w:rsidP="00B62FBF">
            <w:pPr>
              <w:pStyle w:val="Htableleft"/>
              <w:rPr>
                <w:rFonts w:cs="Arial"/>
                <w:color w:val="576C88" w:themeColor="text2" w:themeTint="D9"/>
                <w:highlight w:val="yellow"/>
              </w:rPr>
            </w:pPr>
            <w:r w:rsidRPr="004F4478">
              <w:rPr>
                <w:color w:val="576C88" w:themeColor="text2" w:themeTint="D9"/>
                <w:highlight w:val="yellow"/>
              </w:rPr>
              <w:t>Calendrier et fréquence de la communication</w:t>
            </w:r>
          </w:p>
        </w:tc>
        <w:tc>
          <w:tcPr>
            <w:tcW w:w="1683" w:type="dxa"/>
            <w:shd w:val="clear" w:color="auto" w:fill="auto"/>
          </w:tcPr>
          <w:p w:rsidR="00860A11" w:rsidRPr="004F4478" w:rsidRDefault="00860A11" w:rsidP="00B62FBF">
            <w:pPr>
              <w:pStyle w:val="Htableleft"/>
              <w:rPr>
                <w:rFonts w:cs="Arial"/>
                <w:color w:val="576C88" w:themeColor="text2" w:themeTint="D9"/>
                <w:highlight w:val="yellow"/>
              </w:rPr>
            </w:pPr>
            <w:r w:rsidRPr="004F4478">
              <w:rPr>
                <w:color w:val="576C88" w:themeColor="text2" w:themeTint="D9"/>
                <w:highlight w:val="yellow"/>
              </w:rPr>
              <w:t xml:space="preserve">Le responsable de la communication </w:t>
            </w:r>
          </w:p>
        </w:tc>
      </w:tr>
    </w:tbl>
    <w:p w:rsidR="00860A11" w:rsidRPr="004F4478" w:rsidRDefault="00860A11" w:rsidP="008768CB">
      <w:pPr>
        <w:pStyle w:val="HStandard"/>
        <w:rPr>
          <w:b/>
          <w:highlight w:val="yellow"/>
        </w:rPr>
      </w:pPr>
      <w:r w:rsidRPr="004F4478">
        <w:rPr>
          <w:b/>
          <w:highlight w:val="yellow"/>
        </w:rPr>
        <w:t>Plan de renforcement des capacités</w:t>
      </w:r>
    </w:p>
    <w:p w:rsidR="00860A11" w:rsidRPr="004F4478" w:rsidRDefault="00860A11" w:rsidP="008768CB">
      <w:pPr>
        <w:pStyle w:val="HStandard"/>
        <w:rPr>
          <w:highlight w:val="yellow"/>
        </w:rPr>
      </w:pPr>
      <w:r w:rsidRPr="004F4478">
        <w:rPr>
          <w:highlight w:val="yellow"/>
        </w:rPr>
        <w:t>Le renforcement des capacités est généralement défini comme le renforcement et le développement des équipes humaines et institutionnelles. Le renforcement des capacités d'évaluation combine donc l'amélioration des connaissances et des compétences individuelles en matière d’évaluation avec le renforcement des mécanismes des organisations liés à l'évaluation, à savoir des systèmes et des processus établis.</w:t>
      </w:r>
    </w:p>
    <w:p w:rsidR="00860A11" w:rsidRPr="004F4478" w:rsidRDefault="00860A11" w:rsidP="008768CB">
      <w:pPr>
        <w:pStyle w:val="HStandard"/>
        <w:rPr>
          <w:highlight w:val="yellow"/>
        </w:rPr>
      </w:pPr>
      <w:r w:rsidRPr="004F4478">
        <w:rPr>
          <w:highlight w:val="yellow"/>
        </w:rPr>
        <w:t xml:space="preserve">Le renforcement des capacités d'évaluation liées aux ressources humaines commence par l'identification des publics cibles (par exemple l’autorité de </w:t>
      </w:r>
      <w:r>
        <w:rPr>
          <w:highlight w:val="yellow"/>
        </w:rPr>
        <w:t>gestion</w:t>
      </w:r>
      <w:r w:rsidRPr="004F4478">
        <w:rPr>
          <w:highlight w:val="yellow"/>
        </w:rPr>
        <w:t xml:space="preserve"> - MA - l’administration publique - PA </w:t>
      </w:r>
      <w:r w:rsidRPr="004F4478">
        <w:rPr>
          <w:highlight w:val="yellow"/>
        </w:rPr>
        <w:lastRenderedPageBreak/>
        <w:t xml:space="preserve">- les décideurs politiques, la NSU, les groupes d'actions locales - GAL - et les autres membres du RRN) et l'évaluation de leurs compétences d’évaluateurs et le type d’informations requises, ainsi que les niveaux de connaissances ( </w:t>
      </w:r>
      <w:r w:rsidRPr="004F4478">
        <w:rPr>
          <w:highlight w:val="yellow"/>
        </w:rPr>
        <w:fldChar w:fldCharType="begin" w:fldLock="1"/>
      </w:r>
      <w:r w:rsidRPr="004F4478">
        <w:rPr>
          <w:highlight w:val="yellow"/>
        </w:rPr>
        <w:instrText xml:space="preserve"> REF _Ref451784915 \r \h  \* MERGEFORMAT </w:instrText>
      </w:r>
      <w:r w:rsidRPr="004F4478">
        <w:rPr>
          <w:highlight w:val="yellow"/>
        </w:rPr>
      </w:r>
      <w:r w:rsidRPr="004F4478">
        <w:rPr>
          <w:highlight w:val="yellow"/>
        </w:rPr>
        <w:fldChar w:fldCharType="separate"/>
      </w:r>
      <w:r>
        <w:rPr>
          <w:highlight w:val="yellow"/>
        </w:rPr>
        <w:t>t</w:t>
      </w:r>
      <w:r w:rsidRPr="004F4478">
        <w:rPr>
          <w:highlight w:val="yellow"/>
        </w:rPr>
        <w:t>able</w:t>
      </w:r>
      <w:r>
        <w:rPr>
          <w:highlight w:val="yellow"/>
        </w:rPr>
        <w:t>au</w:t>
      </w:r>
      <w:r w:rsidRPr="004F4478">
        <w:rPr>
          <w:highlight w:val="yellow"/>
        </w:rPr>
        <w:t xml:space="preserve"> 4</w:t>
      </w:r>
      <w:r w:rsidRPr="004F4478">
        <w:rPr>
          <w:highlight w:val="yellow"/>
        </w:rPr>
        <w:fldChar w:fldCharType="end"/>
      </w:r>
      <w:r w:rsidRPr="004F4478">
        <w:rPr>
          <w:highlight w:val="yellow"/>
        </w:rPr>
        <w:t xml:space="preserve"> ). Dans certains États membres, le RRN a pour mission de renforcer les capacités d'évaluation des GAL. Dans ce cas, les GAL doivent être inclus dans le plan de renforcement des capacités.</w:t>
      </w:r>
    </w:p>
    <w:p w:rsidR="00860A11" w:rsidRPr="004F4478" w:rsidRDefault="00860A11" w:rsidP="008768CB">
      <w:pPr>
        <w:pStyle w:val="HStandard"/>
        <w:rPr>
          <w:highlight w:val="yellow"/>
        </w:rPr>
      </w:pPr>
      <w:r w:rsidRPr="004F4478">
        <w:rPr>
          <w:highlight w:val="yellow"/>
        </w:rPr>
        <w:t xml:space="preserve">En revanche, le renforcement des capacités d'évaluation liées à des organisations implique l’amélioration des mécanismes d'apprentissage organisationnels et de soutien liés à l'évaluation. L'apprentissage organisationnel, c’est l’analyse que l’organisation effectue de ses propres actions, qu’elle tente d'améliorer sur tous les fronts. Les processus sont également documentés afin que ceux-ci et les responsabilités soient clairs et que les connaissances demeurent dans l'organisation, même en cas de changement du personnel. L’assurance qualité (voir chapitre 2.2.3) et l'utilisation des résultats de l'évaluation (voir chapitre 2.2.4) font partie intégrante de l'apprentissage organisationnel. </w:t>
      </w:r>
    </w:p>
    <w:p w:rsidR="00860A11" w:rsidRPr="004F4478" w:rsidRDefault="00860A11" w:rsidP="008768CB">
      <w:pPr>
        <w:pStyle w:val="HStandard"/>
        <w:rPr>
          <w:highlight w:val="yellow"/>
        </w:rPr>
      </w:pPr>
      <w:r w:rsidRPr="004F4478">
        <w:rPr>
          <w:highlight w:val="yellow"/>
        </w:rPr>
        <w:t xml:space="preserve">Une fois qu’il est clair que les principaux besoins de renforcement des capacités liées à l'évaluation sont connus, il est possible de concevoir les actions de renforcement des capacités et leur calendrier, et de déterminer le responsable. Le plan de renforcement des capacités d'évaluation devrait être rédigé par l’entité qui a commandé l’évaluation (MA ou NSU). </w:t>
      </w:r>
    </w:p>
    <w:tbl>
      <w:tblPr>
        <w:tblStyle w:val="TableGrid"/>
        <w:tblW w:w="0" w:type="auto"/>
        <w:tblInd w:w="-5" w:type="dxa"/>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21"/>
      </w:tblGrid>
      <w:tr w:rsidR="00860A11" w:rsidRPr="004F4478" w:rsidTr="00FC0A30">
        <w:tc>
          <w:tcPr>
            <w:tcW w:w="9021" w:type="dxa"/>
            <w:shd w:val="clear" w:color="auto" w:fill="F5F4F4" w:themeFill="background2" w:themeFillTint="66"/>
          </w:tcPr>
          <w:p w:rsidR="00860A11" w:rsidRPr="004F4478" w:rsidRDefault="00860A11" w:rsidP="00F26F45">
            <w:pPr>
              <w:pStyle w:val="HStandard"/>
              <w:rPr>
                <w:highlight w:val="yellow"/>
              </w:rPr>
            </w:pPr>
            <w:r w:rsidRPr="004F4478">
              <w:rPr>
                <w:highlight w:val="yellow"/>
              </w:rPr>
              <w:t xml:space="preserve">Les questions principales sur le renforcement des capacités d'évaluation  portant sur </w:t>
            </w:r>
          </w:p>
          <w:p w:rsidR="00860A11" w:rsidRPr="004F4478" w:rsidRDefault="00860A11" w:rsidP="00F26F45">
            <w:pPr>
              <w:pStyle w:val="HStandard"/>
              <w:rPr>
                <w:highlight w:val="yellow"/>
              </w:rPr>
            </w:pPr>
            <w:r w:rsidRPr="004F4478">
              <w:rPr>
                <w:highlight w:val="yellow"/>
              </w:rPr>
              <w:t>des individus sont les suivantes:</w:t>
            </w:r>
          </w:p>
          <w:p w:rsidR="00860A11" w:rsidRPr="004F4478" w:rsidRDefault="00860A11" w:rsidP="00860A11">
            <w:pPr>
              <w:pStyle w:val="Hlistbullet"/>
              <w:rPr>
                <w:highlight w:val="yellow"/>
              </w:rPr>
            </w:pPr>
            <w:r w:rsidRPr="004F4478">
              <w:rPr>
                <w:highlight w:val="yellow"/>
              </w:rPr>
              <w:t>Qui sont les principaux acteurs de l'évaluation du RRN?</w:t>
            </w:r>
          </w:p>
          <w:p w:rsidR="00860A11" w:rsidRPr="004F4478" w:rsidRDefault="00860A11" w:rsidP="00860A11">
            <w:pPr>
              <w:pStyle w:val="Hlistbullet"/>
              <w:rPr>
                <w:highlight w:val="yellow"/>
              </w:rPr>
            </w:pPr>
            <w:r w:rsidRPr="004F4478">
              <w:rPr>
                <w:highlight w:val="yellow"/>
              </w:rPr>
              <w:t>Que doivent-ils savoir sur l'évaluation?</w:t>
            </w:r>
          </w:p>
          <w:p w:rsidR="00860A11" w:rsidRPr="004F4478" w:rsidRDefault="00860A11" w:rsidP="00860A11">
            <w:pPr>
              <w:pStyle w:val="Hlistbullet"/>
              <w:rPr>
                <w:highlight w:val="yellow"/>
              </w:rPr>
            </w:pPr>
            <w:r w:rsidRPr="004F4478">
              <w:rPr>
                <w:highlight w:val="yellow"/>
              </w:rPr>
              <w:t>Quel est leur niveau actuel de connaissances sur l'évaluation?</w:t>
            </w:r>
          </w:p>
          <w:p w:rsidR="00860A11" w:rsidRPr="004F4478" w:rsidRDefault="00860A11" w:rsidP="00860A11">
            <w:pPr>
              <w:pStyle w:val="Hlistbullet"/>
              <w:rPr>
                <w:highlight w:val="yellow"/>
              </w:rPr>
            </w:pPr>
            <w:r w:rsidRPr="004F4478">
              <w:rPr>
                <w:highlight w:val="yellow"/>
              </w:rPr>
              <w:t>Quel</w:t>
            </w:r>
            <w:r>
              <w:rPr>
                <w:highlight w:val="yellow"/>
              </w:rPr>
              <w:t>s</w:t>
            </w:r>
            <w:r w:rsidRPr="004F4478">
              <w:rPr>
                <w:highlight w:val="yellow"/>
              </w:rPr>
              <w:t xml:space="preserve"> types de connaissances sont encore nécessaires? Quels sont les besoins fondamentaux en termes de renforcement des capacités?</w:t>
            </w:r>
          </w:p>
          <w:p w:rsidR="00860A11" w:rsidRPr="004F4478" w:rsidRDefault="00860A11" w:rsidP="00860A11">
            <w:pPr>
              <w:pStyle w:val="Hlistbullet"/>
              <w:rPr>
                <w:highlight w:val="yellow"/>
              </w:rPr>
            </w:pPr>
            <w:r w:rsidRPr="004F4478">
              <w:rPr>
                <w:highlight w:val="yellow"/>
              </w:rPr>
              <w:t>Quelle forme de renforcement des capacités correspond le mieux aux besoins identifiés?</w:t>
            </w:r>
          </w:p>
          <w:p w:rsidR="00860A11" w:rsidRPr="004F4478" w:rsidRDefault="00860A11" w:rsidP="00860A11">
            <w:pPr>
              <w:pStyle w:val="Hlistbullet"/>
              <w:rPr>
                <w:highlight w:val="yellow"/>
              </w:rPr>
            </w:pPr>
            <w:r w:rsidRPr="004F4478">
              <w:rPr>
                <w:highlight w:val="yellow"/>
              </w:rPr>
              <w:t>Quand faut-il commencer à renforcer les capacités?</w:t>
            </w:r>
          </w:p>
          <w:p w:rsidR="00860A11" w:rsidRPr="004F4478" w:rsidRDefault="00860A11" w:rsidP="00860A11">
            <w:pPr>
              <w:pStyle w:val="Hlistbullet"/>
              <w:rPr>
                <w:highlight w:val="yellow"/>
              </w:rPr>
            </w:pPr>
            <w:r w:rsidRPr="004F4478">
              <w:rPr>
                <w:highlight w:val="yellow"/>
              </w:rPr>
              <w:t>Qui est responsable de l'organisation des actions de renforcement des capacités? Qui les dirige? Faut-il recourir à des formateurs externes?</w:t>
            </w:r>
          </w:p>
          <w:p w:rsidR="00860A11" w:rsidRPr="004F4478" w:rsidRDefault="00860A11" w:rsidP="00F26F45">
            <w:pPr>
              <w:pStyle w:val="HStandard"/>
              <w:rPr>
                <w:highlight w:val="yellow"/>
              </w:rPr>
            </w:pPr>
            <w:r>
              <w:rPr>
                <w:highlight w:val="yellow"/>
              </w:rPr>
              <w:t>Pour les</w:t>
            </w:r>
            <w:r w:rsidRPr="004F4478">
              <w:rPr>
                <w:highlight w:val="yellow"/>
              </w:rPr>
              <w:t xml:space="preserve"> organisations: </w:t>
            </w:r>
          </w:p>
          <w:p w:rsidR="00860A11" w:rsidRPr="004F4478" w:rsidRDefault="00860A11" w:rsidP="00860A11">
            <w:pPr>
              <w:pStyle w:val="Hlistbullet"/>
              <w:rPr>
                <w:highlight w:val="yellow"/>
              </w:rPr>
            </w:pPr>
            <w:r w:rsidRPr="004F4478">
              <w:rPr>
                <w:highlight w:val="yellow"/>
              </w:rPr>
              <w:t xml:space="preserve">Comment utiliser l'évaluation pour améliorer la politique? </w:t>
            </w:r>
          </w:p>
          <w:p w:rsidR="00860A11" w:rsidRPr="004F4478" w:rsidRDefault="00860A11" w:rsidP="00860A11">
            <w:pPr>
              <w:pStyle w:val="Hlistbullet"/>
              <w:rPr>
                <w:highlight w:val="yellow"/>
              </w:rPr>
            </w:pPr>
            <w:r w:rsidRPr="004F4478">
              <w:rPr>
                <w:highlight w:val="yellow"/>
              </w:rPr>
              <w:t>Comment faire de l'évaluation une partie intégrante de notre planification annuelle?</w:t>
            </w:r>
          </w:p>
          <w:p w:rsidR="00860A11" w:rsidRPr="004F4478" w:rsidRDefault="00860A11" w:rsidP="00860A11">
            <w:pPr>
              <w:pStyle w:val="Hlistbullet"/>
              <w:rPr>
                <w:highlight w:val="yellow"/>
              </w:rPr>
            </w:pPr>
            <w:r w:rsidRPr="004F4478">
              <w:rPr>
                <w:highlight w:val="yellow"/>
              </w:rPr>
              <w:t xml:space="preserve">Quelles sont les mesures concrètes de suivi des résultats de l'évaluation? </w:t>
            </w:r>
          </w:p>
          <w:p w:rsidR="00860A11" w:rsidRPr="004F4478" w:rsidRDefault="00860A11" w:rsidP="00860A11">
            <w:pPr>
              <w:pStyle w:val="Hlistbullet"/>
              <w:rPr>
                <w:highlight w:val="yellow"/>
              </w:rPr>
            </w:pPr>
            <w:r w:rsidRPr="004F4478">
              <w:rPr>
                <w:highlight w:val="yellow"/>
              </w:rPr>
              <w:t>Quels sont nos principaux processus liés à l'évaluation? Comment peut-on les améliorer?</w:t>
            </w:r>
          </w:p>
          <w:p w:rsidR="00860A11" w:rsidRPr="004F4478" w:rsidRDefault="00860A11" w:rsidP="00860A11">
            <w:pPr>
              <w:pStyle w:val="Hlistbullet2"/>
              <w:rPr>
                <w:highlight w:val="yellow"/>
              </w:rPr>
            </w:pPr>
            <w:r w:rsidRPr="004F4478">
              <w:rPr>
                <w:highlight w:val="yellow"/>
              </w:rPr>
              <w:t>Comment peut-on s’assurer d’avoir des processus d'évaluation de qualité? Quels sont les outils et les tâches nécessaires?</w:t>
            </w:r>
          </w:p>
        </w:tc>
      </w:tr>
    </w:tbl>
    <w:p w:rsidR="00860A11" w:rsidRPr="004F4478" w:rsidRDefault="00860A11" w:rsidP="001249DA">
      <w:pPr>
        <w:pStyle w:val="HHeadingtables"/>
        <w:rPr>
          <w:highlight w:val="yellow"/>
        </w:rPr>
      </w:pPr>
      <w:bookmarkStart w:id="102" w:name="_Toc436383144"/>
      <w:bookmarkStart w:id="103" w:name="_Toc451781907"/>
      <w:bookmarkStart w:id="104" w:name="_Toc463945781"/>
      <w:r w:rsidRPr="004F4478">
        <w:rPr>
          <w:highlight w:val="yellow"/>
        </w:rPr>
        <w:t>Le renforcement des capacités d'évaluation: ressources humaines</w:t>
      </w:r>
      <w:bookmarkEnd w:id="102"/>
      <w:bookmarkEnd w:id="103"/>
      <w:bookmarkEnd w:id="104"/>
    </w:p>
    <w:tbl>
      <w:tblPr>
        <w:tblStyle w:val="TableGrid"/>
        <w:tblW w:w="9067"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1511"/>
        <w:gridCol w:w="1511"/>
        <w:gridCol w:w="1511"/>
        <w:gridCol w:w="1511"/>
        <w:gridCol w:w="1511"/>
        <w:gridCol w:w="1512"/>
      </w:tblGrid>
      <w:tr w:rsidR="00860A11" w:rsidRPr="004F4478" w:rsidTr="008768CB">
        <w:trPr>
          <w:trHeight w:val="372"/>
          <w:jc w:val="center"/>
        </w:trPr>
        <w:tc>
          <w:tcPr>
            <w:tcW w:w="1511" w:type="dxa"/>
            <w:shd w:val="clear" w:color="auto" w:fill="E7E6E6" w:themeFill="background2"/>
          </w:tcPr>
          <w:p w:rsidR="00860A11" w:rsidRPr="004F4478" w:rsidRDefault="00860A11" w:rsidP="006A75AC">
            <w:pPr>
              <w:pStyle w:val="Htableleftbolt"/>
              <w:rPr>
                <w:rFonts w:cs="Arial"/>
                <w:color w:val="5B9BD5" w:themeColor="accent1"/>
                <w:highlight w:val="yellow"/>
              </w:rPr>
            </w:pPr>
            <w:r w:rsidRPr="004F4478">
              <w:rPr>
                <w:color w:val="5B9BD5" w:themeColor="accent1"/>
                <w:highlight w:val="yellow"/>
              </w:rPr>
              <w:t>QUI?</w:t>
            </w:r>
          </w:p>
        </w:tc>
        <w:tc>
          <w:tcPr>
            <w:tcW w:w="1511" w:type="dxa"/>
            <w:shd w:val="clear" w:color="auto" w:fill="E7E6E6" w:themeFill="background2"/>
          </w:tcPr>
          <w:p w:rsidR="00860A11" w:rsidRPr="004F4478" w:rsidRDefault="00860A11" w:rsidP="006A75AC">
            <w:pPr>
              <w:pStyle w:val="Htableleftbolt"/>
              <w:rPr>
                <w:rFonts w:cs="Arial"/>
                <w:color w:val="5B9BD5" w:themeColor="accent1"/>
                <w:highlight w:val="yellow"/>
              </w:rPr>
            </w:pPr>
            <w:r w:rsidRPr="004F4478">
              <w:rPr>
                <w:color w:val="5B9BD5" w:themeColor="accent1"/>
                <w:highlight w:val="yellow"/>
              </w:rPr>
              <w:t>Que doivent-ils savoir sur l'évaluation?</w:t>
            </w:r>
          </w:p>
        </w:tc>
        <w:tc>
          <w:tcPr>
            <w:tcW w:w="1511" w:type="dxa"/>
            <w:shd w:val="clear" w:color="auto" w:fill="E7E6E6" w:themeFill="background2"/>
          </w:tcPr>
          <w:p w:rsidR="00860A11" w:rsidRPr="004F4478" w:rsidRDefault="00860A11" w:rsidP="006A75AC">
            <w:pPr>
              <w:pStyle w:val="Htableleftbolt"/>
              <w:rPr>
                <w:rFonts w:cs="Arial"/>
                <w:color w:val="5B9BD5" w:themeColor="accent1"/>
                <w:highlight w:val="yellow"/>
              </w:rPr>
            </w:pPr>
            <w:r w:rsidRPr="004F4478">
              <w:rPr>
                <w:color w:val="5B9BD5" w:themeColor="accent1"/>
                <w:highlight w:val="yellow"/>
              </w:rPr>
              <w:t>Quel est leur niveau actuel de connaissances sur l'évaluation?</w:t>
            </w:r>
          </w:p>
        </w:tc>
        <w:tc>
          <w:tcPr>
            <w:tcW w:w="1511" w:type="dxa"/>
            <w:shd w:val="clear" w:color="auto" w:fill="E7E6E6" w:themeFill="background2"/>
          </w:tcPr>
          <w:p w:rsidR="00860A11" w:rsidRPr="004F4478" w:rsidRDefault="00860A11" w:rsidP="006A75AC">
            <w:pPr>
              <w:pStyle w:val="Htableleftbolt"/>
              <w:rPr>
                <w:rFonts w:cs="Arial"/>
                <w:color w:val="5B9BD5" w:themeColor="accent1"/>
                <w:highlight w:val="yellow"/>
              </w:rPr>
            </w:pPr>
            <w:r w:rsidRPr="004F4478">
              <w:rPr>
                <w:color w:val="5B9BD5" w:themeColor="accent1"/>
                <w:highlight w:val="yellow"/>
              </w:rPr>
              <w:t>COMMENT?</w:t>
            </w:r>
          </w:p>
        </w:tc>
        <w:tc>
          <w:tcPr>
            <w:tcW w:w="1511" w:type="dxa"/>
            <w:shd w:val="clear" w:color="auto" w:fill="E7E6E6" w:themeFill="background2"/>
          </w:tcPr>
          <w:p w:rsidR="00860A11" w:rsidRPr="004F4478" w:rsidRDefault="00860A11" w:rsidP="006A75AC">
            <w:pPr>
              <w:pStyle w:val="Htableleftbolt"/>
              <w:rPr>
                <w:rFonts w:cs="Arial"/>
                <w:color w:val="5B9BD5" w:themeColor="accent1"/>
                <w:highlight w:val="yellow"/>
              </w:rPr>
            </w:pPr>
            <w:r w:rsidRPr="004F4478">
              <w:rPr>
                <w:color w:val="5B9BD5" w:themeColor="accent1"/>
                <w:highlight w:val="yellow"/>
              </w:rPr>
              <w:t>QUAND?</w:t>
            </w:r>
          </w:p>
        </w:tc>
        <w:tc>
          <w:tcPr>
            <w:tcW w:w="1512" w:type="dxa"/>
            <w:shd w:val="clear" w:color="auto" w:fill="E7E6E6" w:themeFill="background2"/>
          </w:tcPr>
          <w:p w:rsidR="00860A11" w:rsidRPr="004F4478" w:rsidRDefault="00860A11" w:rsidP="006A75AC">
            <w:pPr>
              <w:pStyle w:val="Htableleftbolt"/>
              <w:rPr>
                <w:rFonts w:cs="Arial"/>
                <w:color w:val="5B9BD5" w:themeColor="accent1"/>
                <w:highlight w:val="yellow"/>
              </w:rPr>
            </w:pPr>
            <w:r w:rsidRPr="004F4478">
              <w:rPr>
                <w:color w:val="5B9BD5" w:themeColor="accent1"/>
                <w:highlight w:val="yellow"/>
              </w:rPr>
              <w:t>Qui  va le faire?</w:t>
            </w:r>
          </w:p>
        </w:tc>
      </w:tr>
      <w:tr w:rsidR="00860A11" w:rsidRPr="004F4478" w:rsidTr="008768CB">
        <w:trPr>
          <w:trHeight w:val="464"/>
          <w:jc w:val="center"/>
        </w:trPr>
        <w:tc>
          <w:tcPr>
            <w:tcW w:w="1511" w:type="dxa"/>
            <w:shd w:val="clear" w:color="auto" w:fill="auto"/>
          </w:tcPr>
          <w:p w:rsidR="00860A11" w:rsidRPr="004F4478" w:rsidRDefault="00860A11" w:rsidP="006A75AC">
            <w:pPr>
              <w:pStyle w:val="Htableleft"/>
              <w:rPr>
                <w:rFonts w:cs="Arial"/>
                <w:color w:val="576C88" w:themeColor="text2" w:themeTint="D9"/>
                <w:highlight w:val="yellow"/>
              </w:rPr>
            </w:pPr>
            <w:r w:rsidRPr="004F4478">
              <w:rPr>
                <w:color w:val="576C88" w:themeColor="text2" w:themeTint="D9"/>
                <w:highlight w:val="yellow"/>
              </w:rPr>
              <w:t>Acteurs (par exemple MA, PA, NSU, GAL)</w:t>
            </w:r>
          </w:p>
        </w:tc>
        <w:tc>
          <w:tcPr>
            <w:tcW w:w="1511" w:type="dxa"/>
            <w:shd w:val="clear" w:color="auto" w:fill="auto"/>
          </w:tcPr>
          <w:p w:rsidR="00860A11" w:rsidRPr="004F4478" w:rsidRDefault="00860A11" w:rsidP="00B62FBF">
            <w:pPr>
              <w:pStyle w:val="Htableleft"/>
              <w:rPr>
                <w:rFonts w:cs="Arial"/>
                <w:color w:val="576C88" w:themeColor="text2" w:themeTint="D9"/>
                <w:highlight w:val="yellow"/>
              </w:rPr>
            </w:pPr>
            <w:r w:rsidRPr="004F4478">
              <w:rPr>
                <w:color w:val="576C88" w:themeColor="text2" w:themeTint="D9"/>
                <w:highlight w:val="yellow"/>
              </w:rPr>
              <w:t>Liste des questions techniques et questions de fond liées à l'évaluation</w:t>
            </w:r>
          </w:p>
          <w:p w:rsidR="00860A11" w:rsidRPr="004F4478" w:rsidRDefault="00860A11" w:rsidP="00B62FBF">
            <w:pPr>
              <w:pStyle w:val="Htableleft"/>
              <w:rPr>
                <w:rFonts w:cs="Arial"/>
                <w:color w:val="576C88" w:themeColor="text2" w:themeTint="D9"/>
                <w:highlight w:val="yellow"/>
              </w:rPr>
            </w:pPr>
            <w:r w:rsidRPr="004F4478">
              <w:rPr>
                <w:color w:val="576C88" w:themeColor="text2" w:themeTint="D9"/>
                <w:highlight w:val="yellow"/>
              </w:rPr>
              <w:t xml:space="preserve">par exemple, cadre logique, </w:t>
            </w:r>
            <w:r w:rsidRPr="004F4478">
              <w:rPr>
                <w:color w:val="576C88" w:themeColor="text2" w:themeTint="D9"/>
                <w:highlight w:val="yellow"/>
              </w:rPr>
              <w:lastRenderedPageBreak/>
              <w:t>hiérarchie des objectifs, logique d'intervention, suivi,  indicateurs, appel d'offres, processus d'évaluation</w:t>
            </w:r>
          </w:p>
        </w:tc>
        <w:tc>
          <w:tcPr>
            <w:tcW w:w="1511" w:type="dxa"/>
            <w:shd w:val="clear" w:color="auto" w:fill="auto"/>
          </w:tcPr>
          <w:p w:rsidR="00860A11" w:rsidRPr="004F4478" w:rsidRDefault="00860A11" w:rsidP="008768CB">
            <w:pPr>
              <w:pStyle w:val="Htableleft"/>
              <w:rPr>
                <w:rFonts w:cs="Arial"/>
                <w:color w:val="576C88" w:themeColor="text2" w:themeTint="D9"/>
                <w:highlight w:val="yellow"/>
              </w:rPr>
            </w:pPr>
            <w:r w:rsidRPr="004F4478">
              <w:rPr>
                <w:color w:val="576C88" w:themeColor="text2" w:themeTint="D9"/>
                <w:highlight w:val="yellow"/>
              </w:rPr>
              <w:lastRenderedPageBreak/>
              <w:t xml:space="preserve">Évaluation des connaissances sur des questions techniques et de fond liées à l'évaluation (et les lacunes de </w:t>
            </w:r>
            <w:r w:rsidRPr="004F4478">
              <w:rPr>
                <w:color w:val="576C88" w:themeColor="text2" w:themeTint="D9"/>
                <w:highlight w:val="yellow"/>
              </w:rPr>
              <w:lastRenderedPageBreak/>
              <w:t>celle-ci) identifiées sur la base de questionnaires ou de sondages. Identification des besoins essentiels de renforcement des capacités</w:t>
            </w:r>
          </w:p>
        </w:tc>
        <w:tc>
          <w:tcPr>
            <w:tcW w:w="1511" w:type="dxa"/>
            <w:shd w:val="clear" w:color="auto" w:fill="auto"/>
          </w:tcPr>
          <w:p w:rsidR="00860A11" w:rsidRPr="004F4478" w:rsidRDefault="00860A11" w:rsidP="006A75AC">
            <w:pPr>
              <w:pStyle w:val="Htableleft"/>
              <w:rPr>
                <w:rFonts w:cs="Arial"/>
                <w:color w:val="576C88" w:themeColor="text2" w:themeTint="D9"/>
                <w:highlight w:val="yellow"/>
              </w:rPr>
            </w:pPr>
            <w:r w:rsidRPr="004F4478">
              <w:rPr>
                <w:color w:val="576C88" w:themeColor="text2" w:themeTint="D9"/>
                <w:highlight w:val="yellow"/>
              </w:rPr>
              <w:lastRenderedPageBreak/>
              <w:t xml:space="preserve">Actions pour renforcer les capacités nécessaires (par exemple, ateliers, séminaires, présentations, </w:t>
            </w:r>
            <w:r w:rsidRPr="004F4478">
              <w:rPr>
                <w:color w:val="576C88" w:themeColor="text2" w:themeTint="D9"/>
                <w:highlight w:val="yellow"/>
              </w:rPr>
              <w:lastRenderedPageBreak/>
              <w:t>formations, fiches d'information, newsletters, formations en ligne).</w:t>
            </w:r>
          </w:p>
        </w:tc>
        <w:tc>
          <w:tcPr>
            <w:tcW w:w="1511" w:type="dxa"/>
            <w:shd w:val="clear" w:color="auto" w:fill="auto"/>
          </w:tcPr>
          <w:p w:rsidR="00860A11" w:rsidRPr="004F4478" w:rsidRDefault="00860A11" w:rsidP="006A75AC">
            <w:pPr>
              <w:pStyle w:val="Htableleft"/>
              <w:rPr>
                <w:rFonts w:cs="Arial"/>
                <w:color w:val="576C88" w:themeColor="text2" w:themeTint="D9"/>
                <w:highlight w:val="yellow"/>
              </w:rPr>
            </w:pPr>
            <w:r w:rsidRPr="004F4478">
              <w:rPr>
                <w:color w:val="576C88" w:themeColor="text2" w:themeTint="D9"/>
                <w:highlight w:val="yellow"/>
              </w:rPr>
              <w:lastRenderedPageBreak/>
              <w:t>Calendrier et  fréquence des actions de renforcement des capacités</w:t>
            </w:r>
          </w:p>
        </w:tc>
        <w:tc>
          <w:tcPr>
            <w:tcW w:w="1512" w:type="dxa"/>
            <w:shd w:val="clear" w:color="auto" w:fill="auto"/>
          </w:tcPr>
          <w:p w:rsidR="00860A11" w:rsidRPr="004F4478" w:rsidRDefault="00860A11" w:rsidP="00B62FBF">
            <w:pPr>
              <w:pStyle w:val="Htableleft"/>
              <w:rPr>
                <w:rFonts w:cs="Arial"/>
                <w:color w:val="576C88" w:themeColor="text2" w:themeTint="D9"/>
                <w:highlight w:val="yellow"/>
              </w:rPr>
            </w:pPr>
            <w:r w:rsidRPr="004F4478">
              <w:rPr>
                <w:color w:val="576C88" w:themeColor="text2" w:themeTint="D9"/>
                <w:highlight w:val="yellow"/>
              </w:rPr>
              <w:t>Responsabilité des actions de renforcement des capacités</w:t>
            </w:r>
          </w:p>
          <w:p w:rsidR="00860A11" w:rsidRPr="004F4478" w:rsidRDefault="00860A11" w:rsidP="00B62FBF">
            <w:pPr>
              <w:pStyle w:val="Htableleft"/>
              <w:rPr>
                <w:rFonts w:cs="Arial"/>
                <w:color w:val="576C88" w:themeColor="text2" w:themeTint="D9"/>
                <w:highlight w:val="yellow"/>
              </w:rPr>
            </w:pPr>
            <w:r w:rsidRPr="004F4478">
              <w:rPr>
                <w:color w:val="576C88" w:themeColor="text2" w:themeTint="D9"/>
                <w:highlight w:val="yellow"/>
              </w:rPr>
              <w:t>(Organisation et mise en œuvre)</w:t>
            </w:r>
          </w:p>
        </w:tc>
      </w:tr>
    </w:tbl>
    <w:p w:rsidR="00860A11" w:rsidRPr="004F4478" w:rsidRDefault="00860A11" w:rsidP="00923616">
      <w:pPr>
        <w:pStyle w:val="HStandard"/>
        <w:rPr>
          <w:highlight w:val="yellow"/>
        </w:rPr>
      </w:pPr>
      <w:r w:rsidRPr="004F4478">
        <w:rPr>
          <w:highlight w:val="yellow"/>
        </w:rPr>
        <w:t>Les responsabilités des différents acteurs dans la planification de l'évaluation des RRN peuvent être résumé</w:t>
      </w:r>
      <w:r>
        <w:rPr>
          <w:highlight w:val="yellow"/>
        </w:rPr>
        <w:t>e</w:t>
      </w:r>
      <w:r w:rsidRPr="004F4478">
        <w:rPr>
          <w:highlight w:val="yellow"/>
        </w:rPr>
        <w:t xml:space="preserve">s dans le </w:t>
      </w:r>
      <w:r w:rsidRPr="004F4478">
        <w:rPr>
          <w:highlight w:val="yellow"/>
        </w:rPr>
        <w:fldChar w:fldCharType="begin" w:fldLock="1"/>
      </w:r>
      <w:r w:rsidRPr="004F4478">
        <w:rPr>
          <w:highlight w:val="yellow"/>
        </w:rPr>
        <w:instrText xml:space="preserve"> REF _Ref451784925 \r \h  \* MERGEFORMAT </w:instrText>
      </w:r>
      <w:r w:rsidRPr="004F4478">
        <w:rPr>
          <w:highlight w:val="yellow"/>
        </w:rPr>
      </w:r>
      <w:r w:rsidRPr="004F4478">
        <w:rPr>
          <w:highlight w:val="yellow"/>
        </w:rPr>
        <w:fldChar w:fldCharType="separate"/>
      </w:r>
      <w:r>
        <w:rPr>
          <w:highlight w:val="yellow"/>
        </w:rPr>
        <w:t>t</w:t>
      </w:r>
      <w:r w:rsidRPr="004F4478">
        <w:rPr>
          <w:highlight w:val="yellow"/>
        </w:rPr>
        <w:t>able</w:t>
      </w:r>
      <w:r>
        <w:rPr>
          <w:highlight w:val="yellow"/>
        </w:rPr>
        <w:t>au</w:t>
      </w:r>
      <w:r w:rsidRPr="004F4478">
        <w:rPr>
          <w:highlight w:val="yellow"/>
        </w:rPr>
        <w:t xml:space="preserve"> 4</w:t>
      </w:r>
      <w:r w:rsidRPr="004F4478">
        <w:rPr>
          <w:highlight w:val="yellow"/>
        </w:rPr>
        <w:fldChar w:fldCharType="end"/>
      </w:r>
      <w:r w:rsidRPr="004F4478">
        <w:rPr>
          <w:highlight w:val="yellow"/>
        </w:rPr>
        <w:t xml:space="preserve"> ci-dessous.</w:t>
      </w:r>
    </w:p>
    <w:p w:rsidR="00860A11" w:rsidRPr="004F4478" w:rsidRDefault="00860A11" w:rsidP="001249DA">
      <w:pPr>
        <w:pStyle w:val="HHeadingtables"/>
        <w:rPr>
          <w:highlight w:val="yellow"/>
        </w:rPr>
      </w:pPr>
      <w:bookmarkStart w:id="105" w:name="_Toc451781908"/>
      <w:bookmarkStart w:id="106" w:name="_Ref451784915"/>
      <w:bookmarkStart w:id="107" w:name="_Ref451784925"/>
      <w:bookmarkStart w:id="108" w:name="_Toc463945782"/>
      <w:r w:rsidRPr="004F4478">
        <w:rPr>
          <w:highlight w:val="yellow"/>
        </w:rPr>
        <w:t>Responsabilités des parties prenantes dans la planification de l'évaluation des RRN</w:t>
      </w:r>
      <w:bookmarkEnd w:id="105"/>
      <w:bookmarkEnd w:id="106"/>
      <w:bookmarkEnd w:id="107"/>
      <w:bookmarkEnd w:id="108"/>
      <w:r w:rsidRPr="004F4478">
        <w:rPr>
          <w:highlight w:val="yellow"/>
        </w:rPr>
        <w:t xml:space="preserve">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460"/>
        <w:gridCol w:w="1984"/>
        <w:gridCol w:w="1454"/>
        <w:gridCol w:w="2085"/>
        <w:gridCol w:w="1391"/>
        <w:gridCol w:w="1647"/>
      </w:tblGrid>
      <w:tr w:rsidR="00860A11" w:rsidRPr="004F4478" w:rsidTr="00FC0A30">
        <w:trPr>
          <w:trHeight w:val="581"/>
        </w:trPr>
        <w:tc>
          <w:tcPr>
            <w:tcW w:w="0" w:type="auto"/>
            <w:tcBorders>
              <w:top w:val="nil"/>
              <w:left w:val="nil"/>
              <w:bottom w:val="single" w:sz="4" w:space="0" w:color="000000" w:themeColor="text1"/>
            </w:tcBorders>
          </w:tcPr>
          <w:p w:rsidR="00860A11" w:rsidRPr="004F4478" w:rsidRDefault="00860A11" w:rsidP="008B1515">
            <w:pPr>
              <w:jc w:val="right"/>
              <w:rPr>
                <w:b/>
                <w:color w:val="576C88" w:themeColor="text2" w:themeTint="D9"/>
                <w:szCs w:val="18"/>
                <w:highlight w:val="yellow"/>
              </w:rPr>
            </w:pPr>
          </w:p>
        </w:tc>
        <w:tc>
          <w:tcPr>
            <w:tcW w:w="0" w:type="auto"/>
            <w:shd w:val="clear" w:color="auto" w:fill="E7E6E6" w:themeFill="background2"/>
          </w:tcPr>
          <w:p w:rsidR="00860A11" w:rsidRPr="004F4478" w:rsidRDefault="00860A11" w:rsidP="00FC0A30">
            <w:pPr>
              <w:jc w:val="center"/>
              <w:rPr>
                <w:b/>
                <w:color w:val="5B9BD5" w:themeColor="accent1"/>
                <w:szCs w:val="18"/>
                <w:highlight w:val="yellow"/>
              </w:rPr>
            </w:pPr>
            <w:r w:rsidRPr="004F4478">
              <w:rPr>
                <w:b/>
                <w:color w:val="5B9BD5" w:themeColor="accent1"/>
                <w:highlight w:val="yellow"/>
              </w:rPr>
              <w:t>Actions</w:t>
            </w:r>
          </w:p>
        </w:tc>
        <w:tc>
          <w:tcPr>
            <w:tcW w:w="0" w:type="auto"/>
            <w:gridSpan w:val="4"/>
            <w:shd w:val="clear" w:color="auto" w:fill="E7E6E6" w:themeFill="background2"/>
          </w:tcPr>
          <w:p w:rsidR="00860A11" w:rsidRPr="004F4478" w:rsidRDefault="00860A11" w:rsidP="00FC0A30">
            <w:pPr>
              <w:jc w:val="center"/>
              <w:rPr>
                <w:b/>
                <w:color w:val="5B9BD5" w:themeColor="accent1"/>
                <w:szCs w:val="18"/>
                <w:highlight w:val="yellow"/>
              </w:rPr>
            </w:pPr>
            <w:r w:rsidRPr="004F4478">
              <w:rPr>
                <w:b/>
                <w:color w:val="5B9BD5" w:themeColor="accent1"/>
                <w:highlight w:val="yellow"/>
              </w:rPr>
              <w:t>Acteurs</w:t>
            </w:r>
          </w:p>
        </w:tc>
      </w:tr>
      <w:tr w:rsidR="00860A11" w:rsidRPr="004F4478" w:rsidTr="00937568">
        <w:trPr>
          <w:cantSplit/>
          <w:trHeight w:val="829"/>
        </w:trPr>
        <w:tc>
          <w:tcPr>
            <w:tcW w:w="0" w:type="auto"/>
            <w:shd w:val="clear" w:color="auto" w:fill="E7E6E6" w:themeFill="background2"/>
            <w:textDirection w:val="tbRl"/>
          </w:tcPr>
          <w:p w:rsidR="00860A11" w:rsidRPr="004F4478" w:rsidRDefault="00860A11" w:rsidP="00FC0A30">
            <w:pPr>
              <w:ind w:left="113" w:right="113"/>
              <w:jc w:val="center"/>
              <w:rPr>
                <w:b/>
                <w:color w:val="5B9BD5" w:themeColor="accent1"/>
                <w:szCs w:val="18"/>
                <w:highlight w:val="yellow"/>
              </w:rPr>
            </w:pPr>
            <w:r w:rsidRPr="004F4478">
              <w:rPr>
                <w:b/>
                <w:color w:val="5B9BD5" w:themeColor="accent1"/>
                <w:highlight w:val="yellow"/>
              </w:rPr>
              <w:t>Phase</w:t>
            </w:r>
          </w:p>
        </w:tc>
        <w:tc>
          <w:tcPr>
            <w:tcW w:w="0" w:type="auto"/>
          </w:tcPr>
          <w:p w:rsidR="00860A11" w:rsidRPr="004F4478" w:rsidRDefault="00860A11" w:rsidP="008B1515">
            <w:pPr>
              <w:rPr>
                <w:b/>
                <w:color w:val="E7E6E6" w:themeColor="background2"/>
                <w:szCs w:val="18"/>
                <w:highlight w:val="yellow"/>
              </w:rPr>
            </w:pPr>
            <w:r w:rsidRPr="004F4478">
              <w:rPr>
                <w:b/>
                <w:color w:val="E7E6E6" w:themeColor="background2"/>
                <w:highlight w:val="yellow"/>
              </w:rPr>
              <w:t>Étape</w:t>
            </w:r>
          </w:p>
        </w:tc>
        <w:tc>
          <w:tcPr>
            <w:tcW w:w="0" w:type="auto"/>
          </w:tcPr>
          <w:p w:rsidR="00860A11" w:rsidRPr="004F4478" w:rsidRDefault="00860A11" w:rsidP="008B1515">
            <w:pPr>
              <w:rPr>
                <w:i/>
                <w:color w:val="576C88" w:themeColor="text2" w:themeTint="D9"/>
                <w:szCs w:val="18"/>
                <w:highlight w:val="yellow"/>
              </w:rPr>
            </w:pPr>
            <w:r w:rsidRPr="004F4478">
              <w:rPr>
                <w:i/>
                <w:color w:val="576C88" w:themeColor="text2" w:themeTint="D9"/>
                <w:highlight w:val="yellow"/>
              </w:rPr>
              <w:t>MA</w:t>
            </w:r>
          </w:p>
        </w:tc>
        <w:tc>
          <w:tcPr>
            <w:tcW w:w="0" w:type="auto"/>
          </w:tcPr>
          <w:p w:rsidR="00860A11" w:rsidRPr="004F4478" w:rsidRDefault="00860A11" w:rsidP="008B1515">
            <w:pPr>
              <w:rPr>
                <w:i/>
                <w:color w:val="576C88" w:themeColor="text2" w:themeTint="D9"/>
                <w:szCs w:val="18"/>
                <w:highlight w:val="yellow"/>
              </w:rPr>
            </w:pPr>
            <w:r w:rsidRPr="004F4478">
              <w:rPr>
                <w:i/>
                <w:color w:val="576C88" w:themeColor="text2" w:themeTint="D9"/>
                <w:highlight w:val="yellow"/>
              </w:rPr>
              <w:t>autres unités de MA</w:t>
            </w:r>
          </w:p>
        </w:tc>
        <w:tc>
          <w:tcPr>
            <w:tcW w:w="0" w:type="auto"/>
          </w:tcPr>
          <w:p w:rsidR="00860A11" w:rsidRPr="004F4478" w:rsidRDefault="00860A11" w:rsidP="008B1515">
            <w:pPr>
              <w:rPr>
                <w:i/>
                <w:color w:val="576C88" w:themeColor="text2" w:themeTint="D9"/>
                <w:szCs w:val="18"/>
                <w:highlight w:val="yellow"/>
              </w:rPr>
            </w:pPr>
            <w:r w:rsidRPr="004F4478">
              <w:rPr>
                <w:i/>
                <w:color w:val="576C88" w:themeColor="text2" w:themeTint="D9"/>
                <w:highlight w:val="yellow"/>
              </w:rPr>
              <w:t>NSU</w:t>
            </w:r>
          </w:p>
        </w:tc>
        <w:tc>
          <w:tcPr>
            <w:tcW w:w="0" w:type="auto"/>
          </w:tcPr>
          <w:p w:rsidR="00860A11" w:rsidRPr="004F4478" w:rsidRDefault="00860A11" w:rsidP="008B1515">
            <w:pPr>
              <w:rPr>
                <w:i/>
                <w:color w:val="576C88" w:themeColor="text2" w:themeTint="D9"/>
                <w:szCs w:val="18"/>
                <w:highlight w:val="yellow"/>
              </w:rPr>
            </w:pPr>
            <w:r w:rsidRPr="004F4478">
              <w:rPr>
                <w:i/>
                <w:color w:val="576C88" w:themeColor="text2" w:themeTint="D9"/>
                <w:highlight w:val="yellow"/>
              </w:rPr>
              <w:t>Autres</w:t>
            </w:r>
          </w:p>
        </w:tc>
      </w:tr>
      <w:tr w:rsidR="00860A11" w:rsidRPr="004F4478" w:rsidTr="00FC0A30">
        <w:tc>
          <w:tcPr>
            <w:tcW w:w="0" w:type="auto"/>
            <w:vMerge w:val="restart"/>
            <w:shd w:val="clear" w:color="auto" w:fill="E7E6E6" w:themeFill="background2"/>
            <w:textDirection w:val="tbRl"/>
          </w:tcPr>
          <w:p w:rsidR="00860A11" w:rsidRPr="004F4478" w:rsidRDefault="00860A11" w:rsidP="00FC0A30">
            <w:pPr>
              <w:ind w:left="113" w:right="113"/>
              <w:jc w:val="center"/>
              <w:rPr>
                <w:b/>
                <w:color w:val="5B9BD5" w:themeColor="accent1"/>
                <w:szCs w:val="18"/>
                <w:highlight w:val="yellow"/>
              </w:rPr>
            </w:pPr>
            <w:r w:rsidRPr="004F4478">
              <w:rPr>
                <w:b/>
                <w:color w:val="5B9BD5" w:themeColor="accent1"/>
                <w:highlight w:val="yellow"/>
              </w:rPr>
              <w:t>Planification</w:t>
            </w:r>
          </w:p>
        </w:tc>
        <w:tc>
          <w:tcPr>
            <w:tcW w:w="0" w:type="auto"/>
          </w:tcPr>
          <w:p w:rsidR="00860A11" w:rsidRPr="004F4478" w:rsidRDefault="00860A11" w:rsidP="008B1515">
            <w:pPr>
              <w:rPr>
                <w:b/>
                <w:color w:val="E7E6E6" w:themeColor="background2"/>
                <w:szCs w:val="18"/>
                <w:highlight w:val="yellow"/>
              </w:rPr>
            </w:pPr>
            <w:r w:rsidRPr="004F4478">
              <w:rPr>
                <w:b/>
                <w:color w:val="E7E6E6" w:themeColor="background2"/>
                <w:highlight w:val="yellow"/>
              </w:rPr>
              <w:t>Processus et calendrier</w:t>
            </w:r>
          </w:p>
        </w:tc>
        <w:tc>
          <w:tcPr>
            <w:tcW w:w="0" w:type="auto"/>
          </w:tcPr>
          <w:p w:rsidR="00860A11" w:rsidRPr="004F4478" w:rsidRDefault="00860A11" w:rsidP="008B1515">
            <w:pPr>
              <w:rPr>
                <w:color w:val="576C88" w:themeColor="text2" w:themeTint="D9"/>
                <w:szCs w:val="18"/>
                <w:highlight w:val="yellow"/>
              </w:rPr>
            </w:pPr>
            <w:r w:rsidRPr="004F4478">
              <w:rPr>
                <w:color w:val="576C88" w:themeColor="text2" w:themeTint="D9"/>
                <w:highlight w:val="yellow"/>
              </w:rPr>
              <w:t>Responsable / participe</w:t>
            </w:r>
          </w:p>
        </w:tc>
        <w:tc>
          <w:tcPr>
            <w:tcW w:w="0" w:type="auto"/>
          </w:tcPr>
          <w:p w:rsidR="00860A11" w:rsidRPr="004F4478" w:rsidRDefault="00860A11" w:rsidP="008B1515">
            <w:pPr>
              <w:rPr>
                <w:color w:val="576C88" w:themeColor="text2" w:themeTint="D9"/>
                <w:szCs w:val="18"/>
                <w:highlight w:val="yellow"/>
              </w:rPr>
            </w:pPr>
          </w:p>
        </w:tc>
        <w:tc>
          <w:tcPr>
            <w:tcW w:w="0" w:type="auto"/>
          </w:tcPr>
          <w:p w:rsidR="00860A11" w:rsidRPr="004F4478" w:rsidRDefault="00860A11" w:rsidP="008B1515">
            <w:pPr>
              <w:rPr>
                <w:color w:val="576C88" w:themeColor="text2" w:themeTint="D9"/>
                <w:szCs w:val="18"/>
                <w:highlight w:val="yellow"/>
              </w:rPr>
            </w:pPr>
            <w:r w:rsidRPr="004F4478">
              <w:rPr>
                <w:color w:val="576C88" w:themeColor="text2" w:themeTint="D9"/>
                <w:highlight w:val="yellow"/>
              </w:rPr>
              <w:t>Participe / responsable</w:t>
            </w:r>
          </w:p>
        </w:tc>
        <w:tc>
          <w:tcPr>
            <w:tcW w:w="0" w:type="auto"/>
          </w:tcPr>
          <w:p w:rsidR="00860A11" w:rsidRPr="004F4478" w:rsidRDefault="00860A11" w:rsidP="008B1515">
            <w:pPr>
              <w:rPr>
                <w:color w:val="576C88" w:themeColor="text2" w:themeTint="D9"/>
                <w:szCs w:val="18"/>
                <w:highlight w:val="yellow"/>
              </w:rPr>
            </w:pPr>
            <w:r w:rsidRPr="004F4478">
              <w:rPr>
                <w:color w:val="576C88" w:themeColor="text2" w:themeTint="D9"/>
                <w:highlight w:val="yellow"/>
              </w:rPr>
              <w:t>SG Possible, A</w:t>
            </w:r>
            <w:r>
              <w:rPr>
                <w:color w:val="576C88" w:themeColor="text2" w:themeTint="D9"/>
                <w:highlight w:val="yellow"/>
              </w:rPr>
              <w:t>P</w:t>
            </w:r>
            <w:r w:rsidRPr="004F4478">
              <w:rPr>
                <w:color w:val="576C88" w:themeColor="text2" w:themeTint="D9"/>
                <w:highlight w:val="yellow"/>
              </w:rPr>
              <w:t xml:space="preserve"> participe</w:t>
            </w:r>
          </w:p>
        </w:tc>
      </w:tr>
      <w:tr w:rsidR="00860A11" w:rsidRPr="004F4478" w:rsidTr="00FC0A30">
        <w:tc>
          <w:tcPr>
            <w:tcW w:w="0" w:type="auto"/>
            <w:vMerge/>
            <w:shd w:val="clear" w:color="auto" w:fill="E7E6E6" w:themeFill="background2"/>
            <w:textDirection w:val="tbRl"/>
          </w:tcPr>
          <w:p w:rsidR="00860A11" w:rsidRPr="004F4478" w:rsidRDefault="00860A11" w:rsidP="008B1515">
            <w:pPr>
              <w:ind w:left="113" w:right="113"/>
              <w:rPr>
                <w:color w:val="576C88" w:themeColor="text2" w:themeTint="D9"/>
                <w:szCs w:val="18"/>
                <w:highlight w:val="yellow"/>
              </w:rPr>
            </w:pPr>
          </w:p>
        </w:tc>
        <w:tc>
          <w:tcPr>
            <w:tcW w:w="0" w:type="auto"/>
          </w:tcPr>
          <w:p w:rsidR="00860A11" w:rsidRPr="004F4478" w:rsidRDefault="00860A11" w:rsidP="008B1515">
            <w:pPr>
              <w:rPr>
                <w:b/>
                <w:color w:val="E7E6E6" w:themeColor="background2"/>
                <w:szCs w:val="18"/>
                <w:highlight w:val="yellow"/>
              </w:rPr>
            </w:pPr>
            <w:r w:rsidRPr="004F4478">
              <w:rPr>
                <w:b/>
                <w:color w:val="E7E6E6" w:themeColor="background2"/>
                <w:highlight w:val="yellow"/>
              </w:rPr>
              <w:t>Les besoins d'évaluation</w:t>
            </w:r>
          </w:p>
        </w:tc>
        <w:tc>
          <w:tcPr>
            <w:tcW w:w="0" w:type="auto"/>
          </w:tcPr>
          <w:p w:rsidR="00860A11" w:rsidRPr="004F4478" w:rsidRDefault="00860A11" w:rsidP="008B1515">
            <w:pPr>
              <w:rPr>
                <w:color w:val="576C88" w:themeColor="text2" w:themeTint="D9"/>
                <w:szCs w:val="18"/>
                <w:highlight w:val="yellow"/>
              </w:rPr>
            </w:pPr>
            <w:r w:rsidRPr="004F4478">
              <w:rPr>
                <w:color w:val="576C88" w:themeColor="text2" w:themeTint="D9"/>
                <w:highlight w:val="yellow"/>
              </w:rPr>
              <w:t>Responsable / participe</w:t>
            </w:r>
          </w:p>
        </w:tc>
        <w:tc>
          <w:tcPr>
            <w:tcW w:w="0" w:type="auto"/>
          </w:tcPr>
          <w:p w:rsidR="00860A11" w:rsidRPr="004F4478" w:rsidRDefault="00860A11" w:rsidP="008B1515">
            <w:pPr>
              <w:rPr>
                <w:color w:val="576C88" w:themeColor="text2" w:themeTint="D9"/>
                <w:szCs w:val="18"/>
                <w:highlight w:val="yellow"/>
              </w:rPr>
            </w:pPr>
            <w:r w:rsidRPr="004F4478">
              <w:rPr>
                <w:color w:val="576C88" w:themeColor="text2" w:themeTint="D9"/>
                <w:highlight w:val="yellow"/>
              </w:rPr>
              <w:t>Si unité d'évaluation, peut participer</w:t>
            </w:r>
          </w:p>
        </w:tc>
        <w:tc>
          <w:tcPr>
            <w:tcW w:w="0" w:type="auto"/>
          </w:tcPr>
          <w:p w:rsidR="00860A11" w:rsidRPr="004F4478" w:rsidRDefault="00860A11" w:rsidP="008B1515">
            <w:pPr>
              <w:rPr>
                <w:color w:val="576C88" w:themeColor="text2" w:themeTint="D9"/>
                <w:szCs w:val="18"/>
                <w:highlight w:val="yellow"/>
              </w:rPr>
            </w:pPr>
            <w:r w:rsidRPr="004F4478">
              <w:rPr>
                <w:color w:val="576C88" w:themeColor="text2" w:themeTint="D9"/>
                <w:highlight w:val="yellow"/>
              </w:rPr>
              <w:t>Participe / responsable</w:t>
            </w:r>
          </w:p>
        </w:tc>
        <w:tc>
          <w:tcPr>
            <w:tcW w:w="0" w:type="auto"/>
          </w:tcPr>
          <w:p w:rsidR="00860A11" w:rsidRPr="004F4478" w:rsidRDefault="00860A11" w:rsidP="008B1515">
            <w:pPr>
              <w:rPr>
                <w:color w:val="576C88" w:themeColor="text2" w:themeTint="D9"/>
                <w:szCs w:val="18"/>
                <w:highlight w:val="yellow"/>
              </w:rPr>
            </w:pPr>
            <w:r w:rsidRPr="004F4478">
              <w:rPr>
                <w:color w:val="576C88" w:themeColor="text2" w:themeTint="D9"/>
                <w:highlight w:val="yellow"/>
              </w:rPr>
              <w:t>organisme de coordination</w:t>
            </w:r>
            <w:r>
              <w:rPr>
                <w:color w:val="576C88" w:themeColor="text2" w:themeTint="D9"/>
                <w:highlight w:val="yellow"/>
              </w:rPr>
              <w:t xml:space="preserve"> RRN</w:t>
            </w:r>
          </w:p>
        </w:tc>
      </w:tr>
      <w:tr w:rsidR="00860A11" w:rsidRPr="004F4478" w:rsidTr="00FC0A30">
        <w:tc>
          <w:tcPr>
            <w:tcW w:w="0" w:type="auto"/>
            <w:vMerge/>
            <w:shd w:val="clear" w:color="auto" w:fill="E7E6E6" w:themeFill="background2"/>
            <w:textDirection w:val="tbRl"/>
          </w:tcPr>
          <w:p w:rsidR="00860A11" w:rsidRPr="004F4478" w:rsidRDefault="00860A11" w:rsidP="008B1515">
            <w:pPr>
              <w:ind w:left="113" w:right="113"/>
              <w:rPr>
                <w:color w:val="576C88" w:themeColor="text2" w:themeTint="D9"/>
                <w:szCs w:val="18"/>
                <w:highlight w:val="yellow"/>
              </w:rPr>
            </w:pPr>
          </w:p>
        </w:tc>
        <w:tc>
          <w:tcPr>
            <w:tcW w:w="0" w:type="auto"/>
          </w:tcPr>
          <w:p w:rsidR="00860A11" w:rsidRPr="004F4478" w:rsidRDefault="00860A11" w:rsidP="008B1515">
            <w:pPr>
              <w:rPr>
                <w:b/>
                <w:color w:val="E7E6E6" w:themeColor="background2"/>
                <w:szCs w:val="18"/>
                <w:highlight w:val="yellow"/>
              </w:rPr>
            </w:pPr>
            <w:r w:rsidRPr="004F4478">
              <w:rPr>
                <w:b/>
                <w:color w:val="E7E6E6" w:themeColor="background2"/>
                <w:highlight w:val="yellow"/>
              </w:rPr>
              <w:t>Plan de communication</w:t>
            </w:r>
          </w:p>
        </w:tc>
        <w:tc>
          <w:tcPr>
            <w:tcW w:w="0" w:type="auto"/>
          </w:tcPr>
          <w:p w:rsidR="00860A11" w:rsidRPr="004F4478" w:rsidRDefault="00860A11" w:rsidP="008B1515">
            <w:pPr>
              <w:rPr>
                <w:color w:val="576C88" w:themeColor="text2" w:themeTint="D9"/>
                <w:szCs w:val="18"/>
                <w:highlight w:val="yellow"/>
              </w:rPr>
            </w:pPr>
            <w:r w:rsidRPr="004F4478">
              <w:rPr>
                <w:color w:val="576C88" w:themeColor="text2" w:themeTint="D9"/>
                <w:highlight w:val="yellow"/>
              </w:rPr>
              <w:t>Responsable / participe</w:t>
            </w:r>
          </w:p>
        </w:tc>
        <w:tc>
          <w:tcPr>
            <w:tcW w:w="0" w:type="auto"/>
          </w:tcPr>
          <w:p w:rsidR="00860A11" w:rsidRPr="004F4478" w:rsidRDefault="00860A11" w:rsidP="008B1515">
            <w:pPr>
              <w:rPr>
                <w:color w:val="576C88" w:themeColor="text2" w:themeTint="D9"/>
                <w:szCs w:val="18"/>
                <w:highlight w:val="yellow"/>
              </w:rPr>
            </w:pPr>
            <w:r w:rsidRPr="004F4478">
              <w:rPr>
                <w:color w:val="576C88" w:themeColor="text2" w:themeTint="D9"/>
                <w:highlight w:val="yellow"/>
              </w:rPr>
              <w:t>Si entité de communication, peut participer</w:t>
            </w:r>
          </w:p>
        </w:tc>
        <w:tc>
          <w:tcPr>
            <w:tcW w:w="0" w:type="auto"/>
          </w:tcPr>
          <w:p w:rsidR="00860A11" w:rsidRPr="004F4478" w:rsidRDefault="00860A11" w:rsidP="008B1515">
            <w:pPr>
              <w:rPr>
                <w:color w:val="576C88" w:themeColor="text2" w:themeTint="D9"/>
                <w:szCs w:val="18"/>
                <w:highlight w:val="yellow"/>
              </w:rPr>
            </w:pPr>
            <w:r w:rsidRPr="004F4478">
              <w:rPr>
                <w:color w:val="576C88" w:themeColor="text2" w:themeTint="D9"/>
                <w:highlight w:val="yellow"/>
              </w:rPr>
              <w:t>Participe / responsable</w:t>
            </w:r>
          </w:p>
        </w:tc>
        <w:tc>
          <w:tcPr>
            <w:tcW w:w="0" w:type="auto"/>
          </w:tcPr>
          <w:p w:rsidR="00860A11" w:rsidRPr="004F4478" w:rsidRDefault="00860A11" w:rsidP="008B1515">
            <w:pPr>
              <w:rPr>
                <w:color w:val="576C88" w:themeColor="text2" w:themeTint="D9"/>
                <w:szCs w:val="18"/>
                <w:highlight w:val="yellow"/>
              </w:rPr>
            </w:pPr>
          </w:p>
        </w:tc>
      </w:tr>
      <w:tr w:rsidR="00860A11" w:rsidRPr="004F4478" w:rsidTr="00FC0A30">
        <w:tc>
          <w:tcPr>
            <w:tcW w:w="0" w:type="auto"/>
            <w:vMerge/>
            <w:shd w:val="clear" w:color="auto" w:fill="E7E6E6" w:themeFill="background2"/>
            <w:textDirection w:val="tbRl"/>
          </w:tcPr>
          <w:p w:rsidR="00860A11" w:rsidRPr="004F4478" w:rsidRDefault="00860A11" w:rsidP="008B1515">
            <w:pPr>
              <w:ind w:left="113" w:right="113"/>
              <w:rPr>
                <w:color w:val="576C88" w:themeColor="text2" w:themeTint="D9"/>
                <w:szCs w:val="18"/>
                <w:highlight w:val="yellow"/>
              </w:rPr>
            </w:pPr>
          </w:p>
        </w:tc>
        <w:tc>
          <w:tcPr>
            <w:tcW w:w="0" w:type="auto"/>
          </w:tcPr>
          <w:p w:rsidR="00860A11" w:rsidRPr="004F4478" w:rsidRDefault="00860A11" w:rsidP="008B1515">
            <w:pPr>
              <w:rPr>
                <w:b/>
                <w:color w:val="E7E6E6" w:themeColor="background2"/>
                <w:szCs w:val="18"/>
                <w:highlight w:val="yellow"/>
              </w:rPr>
            </w:pPr>
            <w:r w:rsidRPr="004F4478">
              <w:rPr>
                <w:b/>
                <w:color w:val="E7E6E6" w:themeColor="background2"/>
                <w:highlight w:val="yellow"/>
              </w:rPr>
              <w:t>Plan de renforcement des capacités</w:t>
            </w:r>
          </w:p>
        </w:tc>
        <w:tc>
          <w:tcPr>
            <w:tcW w:w="0" w:type="auto"/>
          </w:tcPr>
          <w:p w:rsidR="00860A11" w:rsidRPr="004F4478" w:rsidRDefault="00860A11" w:rsidP="008B1515">
            <w:pPr>
              <w:rPr>
                <w:color w:val="576C88" w:themeColor="text2" w:themeTint="D9"/>
                <w:szCs w:val="18"/>
                <w:highlight w:val="yellow"/>
              </w:rPr>
            </w:pPr>
            <w:r w:rsidRPr="004F4478">
              <w:rPr>
                <w:color w:val="576C88" w:themeColor="text2" w:themeTint="D9"/>
                <w:highlight w:val="yellow"/>
              </w:rPr>
              <w:t>Responsable / participe</w:t>
            </w:r>
          </w:p>
        </w:tc>
        <w:tc>
          <w:tcPr>
            <w:tcW w:w="0" w:type="auto"/>
          </w:tcPr>
          <w:p w:rsidR="00860A11" w:rsidRPr="004F4478" w:rsidRDefault="00860A11" w:rsidP="008B1515">
            <w:pPr>
              <w:rPr>
                <w:color w:val="576C88" w:themeColor="text2" w:themeTint="D9"/>
                <w:szCs w:val="18"/>
                <w:highlight w:val="yellow"/>
              </w:rPr>
            </w:pPr>
          </w:p>
        </w:tc>
        <w:tc>
          <w:tcPr>
            <w:tcW w:w="0" w:type="auto"/>
          </w:tcPr>
          <w:p w:rsidR="00860A11" w:rsidRPr="004F4478" w:rsidRDefault="00860A11" w:rsidP="008B1515">
            <w:pPr>
              <w:rPr>
                <w:color w:val="576C88" w:themeColor="text2" w:themeTint="D9"/>
                <w:szCs w:val="18"/>
                <w:highlight w:val="yellow"/>
              </w:rPr>
            </w:pPr>
            <w:r w:rsidRPr="004F4478">
              <w:rPr>
                <w:color w:val="576C88" w:themeColor="text2" w:themeTint="D9"/>
                <w:highlight w:val="yellow"/>
              </w:rPr>
              <w:t>Participe / responsable</w:t>
            </w:r>
          </w:p>
        </w:tc>
        <w:tc>
          <w:tcPr>
            <w:tcW w:w="0" w:type="auto"/>
          </w:tcPr>
          <w:p w:rsidR="00860A11" w:rsidRPr="004F4478" w:rsidRDefault="00860A11" w:rsidP="008B1515">
            <w:pPr>
              <w:rPr>
                <w:color w:val="576C88" w:themeColor="text2" w:themeTint="D9"/>
                <w:szCs w:val="18"/>
                <w:highlight w:val="yellow"/>
              </w:rPr>
            </w:pPr>
          </w:p>
        </w:tc>
      </w:tr>
    </w:tbl>
    <w:p w:rsidR="00860A11" w:rsidRPr="004F4478" w:rsidRDefault="00860A11" w:rsidP="00992336">
      <w:pPr>
        <w:pStyle w:val="HStandard"/>
        <w:rPr>
          <w:highlight w:val="yellow"/>
        </w:rPr>
      </w:pPr>
    </w:p>
    <w:p w:rsidR="00860A11" w:rsidRPr="004F4478" w:rsidRDefault="00860A11" w:rsidP="00FC0A30">
      <w:pPr>
        <w:pStyle w:val="HHeading3"/>
        <w:rPr>
          <w:highlight w:val="yellow"/>
        </w:rPr>
      </w:pPr>
      <w:r w:rsidRPr="004F4478">
        <w:rPr>
          <w:highlight w:val="yellow"/>
        </w:rPr>
        <w:br w:type="column"/>
      </w:r>
      <w:bookmarkStart w:id="109" w:name="_Toc453079760"/>
      <w:bookmarkStart w:id="110" w:name="_Toc463945867"/>
      <w:r w:rsidRPr="004F4478">
        <w:rPr>
          <w:highlight w:val="yellow"/>
        </w:rPr>
        <w:lastRenderedPageBreak/>
        <w:t>Préparation de l’évaluation des RRN</w:t>
      </w:r>
      <w:bookmarkEnd w:id="109"/>
      <w:bookmarkEnd w:id="110"/>
    </w:p>
    <w:p w:rsidR="00860A11" w:rsidRPr="004F4478" w:rsidRDefault="00860A11" w:rsidP="00FC0A30">
      <w:pPr>
        <w:pStyle w:val="HStandard"/>
        <w:rPr>
          <w:highlight w:val="yellow"/>
        </w:rPr>
      </w:pPr>
      <w:r w:rsidRPr="004F4478">
        <w:rPr>
          <w:highlight w:val="yellow"/>
        </w:rPr>
        <w:t xml:space="preserve">Dans la préparation de l'évaluation des RRN il est particulièrement important de mettre en place un socle pour tous les types d'évaluation de RRN: la logique d'intervention et le système d'évaluation du RRN, composé des questions et  indicateurs communs liés au RRN et spécifiques au programme d'évaluation. En outre, il est essentiel de définir les éléments de preuve qui doivent être recueillis et comment obtenir par l’évaluation  des informations demandées par les parties prenantes. En principe, la logique d'intervention et le système d'évaluation du RRN doivent être préparés avant la mise en œuvre du RRN pour toute la période de programmation (pour toutes les évaluations de RRN) ou avant toute évaluation de RRN unique faite à n’importe quel moment pendant la période de programmation. </w:t>
      </w:r>
    </w:p>
    <w:p w:rsidR="00860A11" w:rsidRPr="004F4478" w:rsidRDefault="00860A11" w:rsidP="00FC0A30">
      <w:pPr>
        <w:pStyle w:val="HStandard"/>
        <w:rPr>
          <w:highlight w:val="yellow"/>
        </w:rPr>
      </w:pPr>
      <w:r w:rsidRPr="004F4478">
        <w:rPr>
          <w:b/>
          <w:highlight w:val="yellow"/>
        </w:rPr>
        <w:t xml:space="preserve">La phase de préparation se compose des étapes principales </w:t>
      </w:r>
      <w:r w:rsidRPr="00B26A34">
        <w:rPr>
          <w:b/>
          <w:highlight w:val="yellow"/>
        </w:rPr>
        <w:t>suivantes</w:t>
      </w:r>
      <w:r w:rsidRPr="004F4478">
        <w:rPr>
          <w:highlight w:val="yellow"/>
        </w:rPr>
        <w:t>:</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846"/>
        <w:gridCol w:w="8170"/>
      </w:tblGrid>
      <w:tr w:rsidR="00860A11" w:rsidRPr="004F4478" w:rsidTr="00406CAA">
        <w:trPr>
          <w:trHeight w:val="488"/>
        </w:trPr>
        <w:tc>
          <w:tcPr>
            <w:tcW w:w="846" w:type="dxa"/>
            <w:shd w:val="clear" w:color="auto" w:fill="E7E6E6" w:themeFill="background2"/>
          </w:tcPr>
          <w:p w:rsidR="00860A11" w:rsidRPr="004F4478" w:rsidRDefault="00860A11" w:rsidP="00406CAA">
            <w:pPr>
              <w:pStyle w:val="HStandard"/>
              <w:jc w:val="center"/>
              <w:rPr>
                <w:b/>
                <w:color w:val="5B9BD5" w:themeColor="accent1"/>
                <w:sz w:val="18"/>
                <w:szCs w:val="18"/>
                <w:highlight w:val="yellow"/>
              </w:rPr>
            </w:pPr>
            <w:r w:rsidRPr="004F4478">
              <w:rPr>
                <w:b/>
                <w:color w:val="5B9BD5" w:themeColor="accent1"/>
                <w:sz w:val="18"/>
                <w:highlight w:val="yellow"/>
              </w:rPr>
              <w:t>1</w:t>
            </w:r>
          </w:p>
        </w:tc>
        <w:tc>
          <w:tcPr>
            <w:tcW w:w="8170" w:type="dxa"/>
          </w:tcPr>
          <w:p w:rsidR="00860A11" w:rsidRPr="004F4478" w:rsidRDefault="00860A11" w:rsidP="00FC0A30">
            <w:pPr>
              <w:pStyle w:val="HStandard"/>
              <w:rPr>
                <w:sz w:val="18"/>
                <w:szCs w:val="18"/>
                <w:highlight w:val="yellow"/>
              </w:rPr>
            </w:pPr>
            <w:r w:rsidRPr="004F4478">
              <w:rPr>
                <w:sz w:val="18"/>
                <w:highlight w:val="yellow"/>
              </w:rPr>
              <w:t>Élaboration de la logique d'intervention du RRN</w:t>
            </w:r>
          </w:p>
        </w:tc>
      </w:tr>
      <w:tr w:rsidR="00860A11" w:rsidRPr="004F4478" w:rsidTr="00406CAA">
        <w:tc>
          <w:tcPr>
            <w:tcW w:w="846" w:type="dxa"/>
            <w:shd w:val="clear" w:color="auto" w:fill="E7E6E6" w:themeFill="background2"/>
          </w:tcPr>
          <w:p w:rsidR="00860A11" w:rsidRPr="004F4478" w:rsidRDefault="00860A11" w:rsidP="00406CAA">
            <w:pPr>
              <w:pStyle w:val="HStandard"/>
              <w:jc w:val="center"/>
              <w:rPr>
                <w:b/>
                <w:color w:val="5B9BD5" w:themeColor="accent1"/>
                <w:sz w:val="18"/>
                <w:szCs w:val="18"/>
                <w:highlight w:val="yellow"/>
              </w:rPr>
            </w:pPr>
            <w:r w:rsidRPr="004F4478">
              <w:rPr>
                <w:b/>
                <w:color w:val="5B9BD5" w:themeColor="accent1"/>
                <w:sz w:val="18"/>
                <w:highlight w:val="yellow"/>
              </w:rPr>
              <w:t>2</w:t>
            </w:r>
          </w:p>
        </w:tc>
        <w:tc>
          <w:tcPr>
            <w:tcW w:w="8170" w:type="dxa"/>
          </w:tcPr>
          <w:p w:rsidR="00860A11" w:rsidRPr="004F4478" w:rsidRDefault="00860A11" w:rsidP="005E5B66">
            <w:pPr>
              <w:pStyle w:val="HStandard"/>
              <w:rPr>
                <w:sz w:val="18"/>
                <w:szCs w:val="18"/>
                <w:highlight w:val="yellow"/>
              </w:rPr>
            </w:pPr>
            <w:r w:rsidRPr="004F4478">
              <w:rPr>
                <w:sz w:val="18"/>
                <w:highlight w:val="yellow"/>
              </w:rPr>
              <w:t>Révision / formulation  des questions et indicateurs d'évaluation de RRN et vérification de leur cohérence avec la logique d'intervention</w:t>
            </w:r>
          </w:p>
        </w:tc>
      </w:tr>
      <w:tr w:rsidR="00860A11" w:rsidRPr="004F4478" w:rsidTr="00406CAA">
        <w:tc>
          <w:tcPr>
            <w:tcW w:w="846" w:type="dxa"/>
            <w:shd w:val="clear" w:color="auto" w:fill="E7E6E6" w:themeFill="background2"/>
          </w:tcPr>
          <w:p w:rsidR="00860A11" w:rsidRPr="004F4478" w:rsidRDefault="00860A11" w:rsidP="00406CAA">
            <w:pPr>
              <w:pStyle w:val="HStandard"/>
              <w:jc w:val="center"/>
              <w:rPr>
                <w:b/>
                <w:color w:val="5B9BD5" w:themeColor="accent1"/>
                <w:sz w:val="18"/>
                <w:szCs w:val="18"/>
                <w:highlight w:val="yellow"/>
              </w:rPr>
            </w:pPr>
            <w:r w:rsidRPr="004F4478">
              <w:rPr>
                <w:b/>
                <w:color w:val="5B9BD5" w:themeColor="accent1"/>
                <w:sz w:val="18"/>
                <w:highlight w:val="yellow"/>
              </w:rPr>
              <w:t>3</w:t>
            </w:r>
          </w:p>
        </w:tc>
        <w:tc>
          <w:tcPr>
            <w:tcW w:w="8170" w:type="dxa"/>
          </w:tcPr>
          <w:p w:rsidR="00860A11" w:rsidRPr="004F4478" w:rsidRDefault="00860A11" w:rsidP="00FC0A30">
            <w:pPr>
              <w:pStyle w:val="HStandard"/>
              <w:rPr>
                <w:sz w:val="18"/>
                <w:szCs w:val="18"/>
                <w:highlight w:val="yellow"/>
              </w:rPr>
            </w:pPr>
            <w:r w:rsidRPr="004F4478">
              <w:rPr>
                <w:sz w:val="18"/>
                <w:highlight w:val="yellow"/>
              </w:rPr>
              <w:t>Sélection de l'approche d'évaluation préférée</w:t>
            </w:r>
          </w:p>
        </w:tc>
      </w:tr>
      <w:tr w:rsidR="00860A11" w:rsidRPr="004F4478" w:rsidTr="00406CAA">
        <w:tc>
          <w:tcPr>
            <w:tcW w:w="846" w:type="dxa"/>
            <w:shd w:val="clear" w:color="auto" w:fill="E7E6E6" w:themeFill="background2"/>
          </w:tcPr>
          <w:p w:rsidR="00860A11" w:rsidRPr="004F4478" w:rsidRDefault="00860A11" w:rsidP="00406CAA">
            <w:pPr>
              <w:pStyle w:val="HStandard"/>
              <w:jc w:val="center"/>
              <w:rPr>
                <w:b/>
                <w:color w:val="5B9BD5" w:themeColor="accent1"/>
                <w:sz w:val="18"/>
                <w:szCs w:val="18"/>
                <w:highlight w:val="yellow"/>
              </w:rPr>
            </w:pPr>
            <w:r w:rsidRPr="004F4478">
              <w:rPr>
                <w:b/>
                <w:color w:val="5B9BD5" w:themeColor="accent1"/>
                <w:sz w:val="18"/>
                <w:highlight w:val="yellow"/>
              </w:rPr>
              <w:t>4</w:t>
            </w:r>
          </w:p>
        </w:tc>
        <w:tc>
          <w:tcPr>
            <w:tcW w:w="8170" w:type="dxa"/>
          </w:tcPr>
          <w:p w:rsidR="00860A11" w:rsidRPr="004F4478" w:rsidRDefault="00860A11" w:rsidP="00FC0A30">
            <w:pPr>
              <w:pStyle w:val="HStandard"/>
              <w:rPr>
                <w:sz w:val="18"/>
                <w:szCs w:val="18"/>
                <w:highlight w:val="yellow"/>
              </w:rPr>
            </w:pPr>
            <w:r w:rsidRPr="004F4478">
              <w:rPr>
                <w:sz w:val="18"/>
                <w:highlight w:val="yellow"/>
              </w:rPr>
              <w:t>Passage en revue des besoins d'information et de données et de leurs sources potentielles</w:t>
            </w:r>
          </w:p>
        </w:tc>
      </w:tr>
      <w:tr w:rsidR="00860A11" w:rsidRPr="004F4478" w:rsidTr="00406CAA">
        <w:tc>
          <w:tcPr>
            <w:tcW w:w="846" w:type="dxa"/>
            <w:shd w:val="clear" w:color="auto" w:fill="E7E6E6" w:themeFill="background2"/>
          </w:tcPr>
          <w:p w:rsidR="00860A11" w:rsidRPr="004F4478" w:rsidRDefault="00860A11" w:rsidP="00406CAA">
            <w:pPr>
              <w:pStyle w:val="HStandard"/>
              <w:jc w:val="center"/>
              <w:rPr>
                <w:b/>
                <w:color w:val="5B9BD5" w:themeColor="accent1"/>
                <w:sz w:val="18"/>
                <w:szCs w:val="18"/>
                <w:highlight w:val="yellow"/>
              </w:rPr>
            </w:pPr>
            <w:r w:rsidRPr="004F4478">
              <w:rPr>
                <w:b/>
                <w:color w:val="5B9BD5" w:themeColor="accent1"/>
                <w:sz w:val="18"/>
                <w:highlight w:val="yellow"/>
              </w:rPr>
              <w:t>5</w:t>
            </w:r>
          </w:p>
        </w:tc>
        <w:tc>
          <w:tcPr>
            <w:tcW w:w="8170" w:type="dxa"/>
          </w:tcPr>
          <w:p w:rsidR="00860A11" w:rsidRPr="004F4478" w:rsidRDefault="00860A11" w:rsidP="00FC0A30">
            <w:pPr>
              <w:pStyle w:val="HStandard"/>
              <w:rPr>
                <w:sz w:val="18"/>
                <w:szCs w:val="18"/>
                <w:highlight w:val="yellow"/>
              </w:rPr>
            </w:pPr>
            <w:r w:rsidRPr="004F4478">
              <w:rPr>
                <w:sz w:val="18"/>
                <w:highlight w:val="yellow"/>
              </w:rPr>
              <w:t>Appels d'offres et sélection de l'évaluateur externe</w:t>
            </w:r>
          </w:p>
        </w:tc>
      </w:tr>
    </w:tbl>
    <w:p w:rsidR="00860A11" w:rsidRPr="004F4478" w:rsidRDefault="00860A11" w:rsidP="00FC0A30">
      <w:pPr>
        <w:pStyle w:val="HHeading5"/>
        <w:rPr>
          <w:highlight w:val="yellow"/>
        </w:rPr>
      </w:pPr>
      <w:r w:rsidRPr="004F4478">
        <w:rPr>
          <w:highlight w:val="yellow"/>
        </w:rPr>
        <w:t>Étape 1 - Élaboration de la logique d'intervention du RRN</w:t>
      </w:r>
    </w:p>
    <w:p w:rsidR="00860A11" w:rsidRPr="004F4478" w:rsidRDefault="00860A11" w:rsidP="00FC0A30">
      <w:pPr>
        <w:pStyle w:val="HStandard"/>
        <w:rPr>
          <w:highlight w:val="yellow"/>
        </w:rPr>
      </w:pPr>
      <w:r w:rsidRPr="004F4478">
        <w:rPr>
          <w:highlight w:val="yellow"/>
        </w:rPr>
        <w:t xml:space="preserve">La logique d'intervention d'un RRN inclus dans le PDR ou un programme distinct (PRRN) est un élément essentiel de son fonctionnement et de son évaluation. Une logique d'intervention est un instrument méthodologique reliant le SWOT, les besoins du territoire concerné par le programme et liés au RRN, les objectifs du réseau, les activités et budgets du RRN, et les effets attendus et observés du RRN comme les réalisations, résultats et impacts du réseau </w:t>
      </w:r>
      <w:r w:rsidRPr="004F4478">
        <w:rPr>
          <w:rFonts w:ascii="ZWAdobeF" w:hAnsi="ZWAdobeF"/>
          <w:color w:val="auto"/>
          <w:sz w:val="2"/>
          <w:highlight w:val="yellow"/>
        </w:rPr>
        <w:t xml:space="preserve">65F </w:t>
      </w:r>
      <w:r w:rsidRPr="004F4478">
        <w:rPr>
          <w:rStyle w:val="FootnoteReference"/>
          <w:highlight w:val="yellow"/>
        </w:rPr>
        <w:footnoteReference w:id="66"/>
      </w:r>
      <w:r w:rsidRPr="004F4478">
        <w:rPr>
          <w:highlight w:val="yellow"/>
        </w:rPr>
        <w:t xml:space="preserve"> . (Voir </w:t>
      </w:r>
      <w:r w:rsidRPr="004F4478">
        <w:rPr>
          <w:highlight w:val="yellow"/>
        </w:rPr>
        <w:fldChar w:fldCharType="begin" w:fldLock="1"/>
      </w:r>
      <w:r w:rsidRPr="004F4478">
        <w:rPr>
          <w:highlight w:val="yellow"/>
        </w:rPr>
        <w:instrText xml:space="preserve"> REF _Ref451784505 \r \h  \* MERGEFORMAT </w:instrText>
      </w:r>
      <w:r w:rsidRPr="004F4478">
        <w:rPr>
          <w:highlight w:val="yellow"/>
        </w:rPr>
      </w:r>
      <w:r w:rsidRPr="004F4478">
        <w:rPr>
          <w:highlight w:val="yellow"/>
        </w:rPr>
        <w:fldChar w:fldCharType="separate"/>
      </w:r>
      <w:r>
        <w:rPr>
          <w:highlight w:val="yellow"/>
        </w:rPr>
        <w:t>f</w:t>
      </w:r>
      <w:r w:rsidRPr="004F4478">
        <w:rPr>
          <w:highlight w:val="yellow"/>
        </w:rPr>
        <w:t>igure 6</w:t>
      </w:r>
      <w:r w:rsidRPr="004F4478">
        <w:rPr>
          <w:highlight w:val="yellow"/>
        </w:rPr>
        <w:fldChar w:fldCharType="end"/>
      </w:r>
      <w:r w:rsidRPr="004F4478">
        <w:rPr>
          <w:highlight w:val="yellow"/>
        </w:rPr>
        <w:t xml:space="preserve"> au chapitre 1.4.2) </w:t>
      </w:r>
      <w:bookmarkStart w:id="111" w:name="_Ref434414555"/>
    </w:p>
    <w:bookmarkEnd w:id="111"/>
    <w:p w:rsidR="00860A11" w:rsidRPr="004F4478" w:rsidRDefault="00860A11" w:rsidP="00FC0A30">
      <w:pPr>
        <w:pStyle w:val="HStandard"/>
        <w:rPr>
          <w:highlight w:val="yellow"/>
        </w:rPr>
      </w:pPr>
      <w:r w:rsidRPr="004F4478">
        <w:rPr>
          <w:highlight w:val="yellow"/>
        </w:rPr>
        <w:t>La logique d'intervention du PRRN aurait dû être développée au moment de la conception du programme: sa cohérence et sa pertinence auraient dû être estimées dans l'évaluation ex ante. En revanche, la logique d'intervention d’un RRN inclus dans le PDR n’est en général pas complètement développée; le PDR ne contient souvent que quatre objectifs communs de RRN et des groupes  d'action communs. Cependant, la logique d'intervention du RRN est la base de l'évaluation du RRN et doit être mise en place, voire terminée, avant le début de l'évaluation.</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860A11" w:rsidRPr="004F4478" w:rsidTr="00406CAA">
        <w:tc>
          <w:tcPr>
            <w:tcW w:w="9016" w:type="dxa"/>
            <w:shd w:val="clear" w:color="auto" w:fill="F5F4F4" w:themeFill="background2" w:themeFillTint="66"/>
          </w:tcPr>
          <w:p w:rsidR="00860A11" w:rsidRPr="004F4478" w:rsidRDefault="00860A11" w:rsidP="00FC0A30">
            <w:pPr>
              <w:pStyle w:val="HStandard"/>
              <w:rPr>
                <w:highlight w:val="yellow"/>
              </w:rPr>
            </w:pPr>
            <w:r w:rsidRPr="004F4478">
              <w:rPr>
                <w:highlight w:val="yellow"/>
              </w:rPr>
              <w:t xml:space="preserve">Les questions suivantes peuvent contribuer à l’élaboration de la logique d'intervention: </w:t>
            </w:r>
          </w:p>
          <w:p w:rsidR="00860A11" w:rsidRPr="004F4478" w:rsidRDefault="00860A11" w:rsidP="00860A11">
            <w:pPr>
              <w:pStyle w:val="Hlistbullet"/>
              <w:tabs>
                <w:tab w:val="left" w:pos="567"/>
              </w:tabs>
              <w:rPr>
                <w:highlight w:val="yellow"/>
              </w:rPr>
            </w:pPr>
            <w:r w:rsidRPr="004F4478">
              <w:rPr>
                <w:highlight w:val="yellow"/>
              </w:rPr>
              <w:t>Quels sont les besoins de la région de programmation pouvant être traités par le RRN?</w:t>
            </w:r>
          </w:p>
          <w:p w:rsidR="00860A11" w:rsidRPr="004F4478" w:rsidRDefault="00860A11" w:rsidP="00860A11">
            <w:pPr>
              <w:pStyle w:val="Hlistbullet"/>
              <w:tabs>
                <w:tab w:val="left" w:pos="567"/>
              </w:tabs>
              <w:rPr>
                <w:highlight w:val="yellow"/>
              </w:rPr>
            </w:pPr>
            <w:r w:rsidRPr="004F4478">
              <w:rPr>
                <w:highlight w:val="yellow"/>
              </w:rPr>
              <w:t xml:space="preserve">Quels sont les objectifs spécifiques du programme de RRN liés aux besoins identifiés? </w:t>
            </w:r>
          </w:p>
          <w:p w:rsidR="00860A11" w:rsidRPr="004F4478" w:rsidRDefault="00860A11" w:rsidP="00860A11">
            <w:pPr>
              <w:pStyle w:val="Hlistbullet"/>
              <w:tabs>
                <w:tab w:val="left" w:pos="567"/>
              </w:tabs>
              <w:rPr>
                <w:highlight w:val="yellow"/>
              </w:rPr>
            </w:pPr>
            <w:r w:rsidRPr="004F4478">
              <w:rPr>
                <w:highlight w:val="yellow"/>
              </w:rPr>
              <w:t xml:space="preserve">Quelles sont les activités à mettre en œuvre pour atteindre les objectifs spécifiques du programme RRN? </w:t>
            </w:r>
          </w:p>
          <w:p w:rsidR="00860A11" w:rsidRPr="004F4478" w:rsidRDefault="00860A11" w:rsidP="00860A11">
            <w:pPr>
              <w:pStyle w:val="Hlistbullet"/>
              <w:tabs>
                <w:tab w:val="left" w:pos="567"/>
              </w:tabs>
              <w:rPr>
                <w:highlight w:val="yellow"/>
              </w:rPr>
            </w:pPr>
            <w:r w:rsidRPr="004F4478">
              <w:rPr>
                <w:highlight w:val="yellow"/>
              </w:rPr>
              <w:t>Quelles activités spécifiques au RRN doivent être mises en œuvre, si les activités communes ne suffisent pas à atteindre les objectifs propres au programme RRN?</w:t>
            </w:r>
          </w:p>
        </w:tc>
      </w:tr>
    </w:tbl>
    <w:p w:rsidR="00860A11" w:rsidRPr="004F4478" w:rsidRDefault="00860A11" w:rsidP="00FC0A30">
      <w:pPr>
        <w:pStyle w:val="HStandard"/>
        <w:rPr>
          <w:highlight w:val="yellow"/>
        </w:rPr>
      </w:pPr>
      <w:r w:rsidRPr="004F4478">
        <w:rPr>
          <w:highlight w:val="yellow"/>
        </w:rPr>
        <w:t xml:space="preserve">L’élaboration de la logique d'intervention du RRN doit suivre la </w:t>
      </w:r>
      <w:r w:rsidRPr="004F4478">
        <w:rPr>
          <w:b/>
          <w:highlight w:val="yellow"/>
        </w:rPr>
        <w:t>séquence suivante:</w:t>
      </w:r>
      <w:r w:rsidRPr="004F4478">
        <w:rPr>
          <w:highlight w:val="yellow"/>
        </w:rPr>
        <w:t xml:space="preserve"> </w:t>
      </w:r>
    </w:p>
    <w:tbl>
      <w:tblPr>
        <w:tblStyle w:val="TableGrid"/>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860A11" w:rsidRPr="004F4478" w:rsidTr="009A7C06">
        <w:trPr>
          <w:jc w:val="center"/>
        </w:trPr>
        <w:tc>
          <w:tcPr>
            <w:tcW w:w="988" w:type="dxa"/>
            <w:shd w:val="clear" w:color="auto" w:fill="E7E6E6" w:themeFill="background2"/>
          </w:tcPr>
          <w:p w:rsidR="00860A11" w:rsidRPr="004F4478" w:rsidRDefault="00860A11" w:rsidP="009A7C06">
            <w:pPr>
              <w:pStyle w:val="HStandard"/>
              <w:jc w:val="center"/>
              <w:rPr>
                <w:b/>
                <w:color w:val="FFFFFF"/>
                <w:sz w:val="18"/>
                <w:szCs w:val="18"/>
                <w:highlight w:val="yellow"/>
              </w:rPr>
            </w:pPr>
            <w:r w:rsidRPr="004F4478">
              <w:rPr>
                <w:b/>
                <w:color w:val="FFFFFF"/>
                <w:sz w:val="18"/>
                <w:highlight w:val="yellow"/>
              </w:rPr>
              <w:t>a.</w:t>
            </w:r>
          </w:p>
        </w:tc>
        <w:tc>
          <w:tcPr>
            <w:tcW w:w="8028" w:type="dxa"/>
          </w:tcPr>
          <w:p w:rsidR="00860A11" w:rsidRPr="004F4478" w:rsidRDefault="00860A11" w:rsidP="009A7C06">
            <w:pPr>
              <w:pStyle w:val="Hlistbullet"/>
              <w:numPr>
                <w:ilvl w:val="0"/>
                <w:numId w:val="0"/>
              </w:numPr>
              <w:spacing w:before="0" w:line="280" w:lineRule="atLeast"/>
              <w:jc w:val="left"/>
              <w:rPr>
                <w:sz w:val="18"/>
                <w:szCs w:val="18"/>
                <w:highlight w:val="yellow"/>
              </w:rPr>
            </w:pPr>
            <w:r w:rsidRPr="004F4478">
              <w:rPr>
                <w:sz w:val="18"/>
                <w:highlight w:val="yellow"/>
              </w:rPr>
              <w:t>Procéder à l'évaluation des besoins et à l'analyse de contexte du réseau.</w:t>
            </w:r>
          </w:p>
        </w:tc>
      </w:tr>
      <w:tr w:rsidR="00860A11" w:rsidRPr="004F4478" w:rsidTr="009A7C06">
        <w:trPr>
          <w:jc w:val="center"/>
        </w:trPr>
        <w:tc>
          <w:tcPr>
            <w:tcW w:w="988" w:type="dxa"/>
            <w:shd w:val="clear" w:color="auto" w:fill="E7E6E6" w:themeFill="background2"/>
          </w:tcPr>
          <w:p w:rsidR="00860A11" w:rsidRPr="004F4478" w:rsidRDefault="00860A11" w:rsidP="009A7C06">
            <w:pPr>
              <w:pStyle w:val="HStandard"/>
              <w:jc w:val="center"/>
              <w:rPr>
                <w:b/>
                <w:color w:val="FFFFFF"/>
                <w:sz w:val="18"/>
                <w:szCs w:val="18"/>
                <w:highlight w:val="yellow"/>
              </w:rPr>
            </w:pPr>
            <w:r w:rsidRPr="004F4478">
              <w:rPr>
                <w:b/>
                <w:color w:val="FFFFFF"/>
                <w:sz w:val="18"/>
                <w:highlight w:val="yellow"/>
              </w:rPr>
              <w:lastRenderedPageBreak/>
              <w:t>b.</w:t>
            </w:r>
          </w:p>
        </w:tc>
        <w:tc>
          <w:tcPr>
            <w:tcW w:w="8028" w:type="dxa"/>
          </w:tcPr>
          <w:p w:rsidR="00860A11" w:rsidRPr="004F4478" w:rsidRDefault="00860A11" w:rsidP="009A7C06">
            <w:pPr>
              <w:pStyle w:val="HStandard"/>
              <w:jc w:val="left"/>
              <w:rPr>
                <w:b/>
                <w:i/>
                <w:sz w:val="18"/>
                <w:szCs w:val="18"/>
                <w:highlight w:val="yellow"/>
              </w:rPr>
            </w:pPr>
            <w:r w:rsidRPr="004F4478">
              <w:rPr>
                <w:sz w:val="18"/>
                <w:highlight w:val="yellow"/>
              </w:rPr>
              <w:t>Réévaluer les objectifs communs du réseau</w:t>
            </w:r>
            <w:r w:rsidRPr="004F4478">
              <w:rPr>
                <w:highlight w:val="yellow"/>
              </w:rPr>
              <w:t xml:space="preserve"> </w:t>
            </w:r>
            <w:r w:rsidRPr="004F4478">
              <w:rPr>
                <w:rFonts w:ascii="ZWAdobeF" w:hAnsi="ZWAdobeF"/>
                <w:color w:val="auto"/>
                <w:sz w:val="2"/>
                <w:highlight w:val="yellow"/>
              </w:rPr>
              <w:t xml:space="preserve">66F </w:t>
            </w:r>
            <w:r w:rsidRPr="004F4478">
              <w:rPr>
                <w:sz w:val="18"/>
                <w:highlight w:val="yellow"/>
                <w:vertAlign w:val="superscript"/>
              </w:rPr>
              <w:footnoteReference w:id="67"/>
            </w:r>
            <w:r w:rsidRPr="004F4478">
              <w:rPr>
                <w:highlight w:val="yellow"/>
              </w:rPr>
              <w:t xml:space="preserve"> </w:t>
            </w:r>
            <w:r w:rsidRPr="004F4478">
              <w:rPr>
                <w:sz w:val="18"/>
                <w:highlight w:val="yellow"/>
                <w:vertAlign w:val="superscript"/>
              </w:rPr>
              <w:t xml:space="preserve"> </w:t>
            </w:r>
            <w:r w:rsidRPr="004F4478">
              <w:rPr>
                <w:highlight w:val="yellow"/>
              </w:rPr>
              <w:t xml:space="preserve"> </w:t>
            </w:r>
            <w:r w:rsidRPr="004F4478">
              <w:rPr>
                <w:sz w:val="18"/>
                <w:highlight w:val="yellow"/>
              </w:rPr>
              <w:t>et</w:t>
            </w:r>
            <w:r w:rsidRPr="004F4478">
              <w:rPr>
                <w:highlight w:val="yellow"/>
              </w:rPr>
              <w:t xml:space="preserve"> les </w:t>
            </w:r>
            <w:r w:rsidRPr="004F4478">
              <w:rPr>
                <w:sz w:val="18"/>
                <w:highlight w:val="yellow"/>
              </w:rPr>
              <w:t>groupes d'actions</w:t>
            </w:r>
            <w:r w:rsidRPr="004F4478">
              <w:rPr>
                <w:highlight w:val="yellow"/>
              </w:rPr>
              <w:t xml:space="preserve"> </w:t>
            </w:r>
            <w:r w:rsidRPr="004F4478">
              <w:rPr>
                <w:rFonts w:ascii="ZWAdobeF" w:hAnsi="ZWAdobeF"/>
                <w:color w:val="auto"/>
                <w:sz w:val="2"/>
                <w:highlight w:val="yellow"/>
              </w:rPr>
              <w:t xml:space="preserve">67F </w:t>
            </w:r>
            <w:r w:rsidRPr="004F4478">
              <w:rPr>
                <w:sz w:val="18"/>
                <w:highlight w:val="yellow"/>
                <w:vertAlign w:val="superscript"/>
              </w:rPr>
              <w:footnoteReference w:id="68"/>
            </w:r>
            <w:r w:rsidRPr="004F4478">
              <w:rPr>
                <w:highlight w:val="yellow"/>
              </w:rPr>
              <w:t xml:space="preserve"> </w:t>
            </w:r>
            <w:r w:rsidRPr="004F4478">
              <w:rPr>
                <w:sz w:val="18"/>
                <w:highlight w:val="yellow"/>
              </w:rPr>
              <w:t>pour vérifier leur pertinence</w:t>
            </w:r>
            <w:r w:rsidRPr="004F4478">
              <w:rPr>
                <w:highlight w:val="yellow"/>
              </w:rPr>
              <w:t xml:space="preserve"> par </w:t>
            </w:r>
            <w:r w:rsidRPr="004F4478">
              <w:rPr>
                <w:sz w:val="18"/>
                <w:highlight w:val="yellow"/>
              </w:rPr>
              <w:t>rapport aux besoins identifiés dans</w:t>
            </w:r>
            <w:r w:rsidRPr="004F4478">
              <w:rPr>
                <w:highlight w:val="yellow"/>
              </w:rPr>
              <w:t xml:space="preserve"> le </w:t>
            </w:r>
            <w:r w:rsidRPr="004F4478">
              <w:rPr>
                <w:sz w:val="18"/>
                <w:highlight w:val="yellow"/>
              </w:rPr>
              <w:t>contexte et</w:t>
            </w:r>
            <w:r w:rsidRPr="004F4478">
              <w:rPr>
                <w:highlight w:val="yellow"/>
              </w:rPr>
              <w:t xml:space="preserve"> l'</w:t>
            </w:r>
            <w:r w:rsidRPr="004F4478">
              <w:rPr>
                <w:sz w:val="18"/>
                <w:highlight w:val="yellow"/>
              </w:rPr>
              <w:t>analyse SWOT.</w:t>
            </w:r>
          </w:p>
        </w:tc>
      </w:tr>
      <w:tr w:rsidR="00860A11" w:rsidRPr="004F4478" w:rsidTr="009A7C06">
        <w:trPr>
          <w:jc w:val="center"/>
        </w:trPr>
        <w:tc>
          <w:tcPr>
            <w:tcW w:w="988" w:type="dxa"/>
            <w:shd w:val="clear" w:color="auto" w:fill="E7E6E6" w:themeFill="background2"/>
          </w:tcPr>
          <w:p w:rsidR="00860A11" w:rsidRPr="004F4478" w:rsidRDefault="00860A11" w:rsidP="009A7C06">
            <w:pPr>
              <w:pStyle w:val="HStandard"/>
              <w:jc w:val="center"/>
              <w:rPr>
                <w:b/>
                <w:color w:val="FFFFFF"/>
                <w:sz w:val="18"/>
                <w:szCs w:val="18"/>
                <w:highlight w:val="yellow"/>
              </w:rPr>
            </w:pPr>
            <w:r w:rsidRPr="004F4478">
              <w:rPr>
                <w:b/>
                <w:color w:val="FFFFFF"/>
                <w:sz w:val="18"/>
                <w:highlight w:val="yellow"/>
              </w:rPr>
              <w:t>c.</w:t>
            </w:r>
          </w:p>
        </w:tc>
        <w:tc>
          <w:tcPr>
            <w:tcW w:w="8028" w:type="dxa"/>
          </w:tcPr>
          <w:p w:rsidR="00860A11" w:rsidRPr="004F4478" w:rsidRDefault="00860A11" w:rsidP="009A7C06">
            <w:pPr>
              <w:pStyle w:val="Hlistbullet"/>
              <w:numPr>
                <w:ilvl w:val="0"/>
                <w:numId w:val="0"/>
              </w:numPr>
              <w:spacing w:before="0" w:line="280" w:lineRule="atLeast"/>
              <w:jc w:val="left"/>
              <w:rPr>
                <w:sz w:val="18"/>
                <w:szCs w:val="18"/>
                <w:highlight w:val="yellow"/>
              </w:rPr>
            </w:pPr>
            <w:r w:rsidRPr="004F4478">
              <w:rPr>
                <w:sz w:val="18"/>
                <w:highlight w:val="yellow"/>
              </w:rPr>
              <w:t>Définir et formuler les objectifs spécifiques au programme de RRN.</w:t>
            </w:r>
          </w:p>
        </w:tc>
      </w:tr>
      <w:tr w:rsidR="00860A11" w:rsidRPr="004F4478" w:rsidTr="009A7C06">
        <w:trPr>
          <w:jc w:val="center"/>
        </w:trPr>
        <w:tc>
          <w:tcPr>
            <w:tcW w:w="988" w:type="dxa"/>
            <w:shd w:val="clear" w:color="auto" w:fill="E7E6E6" w:themeFill="background2"/>
          </w:tcPr>
          <w:p w:rsidR="00860A11" w:rsidRPr="004F4478" w:rsidRDefault="00860A11" w:rsidP="009A7C06">
            <w:pPr>
              <w:pStyle w:val="HStandard"/>
              <w:jc w:val="center"/>
              <w:rPr>
                <w:b/>
                <w:color w:val="FFFFFF"/>
                <w:sz w:val="18"/>
                <w:szCs w:val="18"/>
                <w:highlight w:val="yellow"/>
              </w:rPr>
            </w:pPr>
            <w:r w:rsidRPr="004F4478">
              <w:rPr>
                <w:b/>
                <w:color w:val="FFFFFF"/>
                <w:sz w:val="18"/>
                <w:highlight w:val="yellow"/>
              </w:rPr>
              <w:t>d.</w:t>
            </w:r>
          </w:p>
        </w:tc>
        <w:tc>
          <w:tcPr>
            <w:tcW w:w="8028" w:type="dxa"/>
          </w:tcPr>
          <w:p w:rsidR="00860A11" w:rsidRPr="004F4478" w:rsidRDefault="00860A11" w:rsidP="009A7C06">
            <w:pPr>
              <w:pStyle w:val="Hlistbullet"/>
              <w:numPr>
                <w:ilvl w:val="0"/>
                <w:numId w:val="0"/>
              </w:numPr>
              <w:tabs>
                <w:tab w:val="left" w:pos="317"/>
              </w:tabs>
              <w:spacing w:before="0" w:line="280" w:lineRule="atLeast"/>
              <w:jc w:val="left"/>
              <w:rPr>
                <w:sz w:val="18"/>
                <w:szCs w:val="18"/>
                <w:highlight w:val="yellow"/>
              </w:rPr>
            </w:pPr>
            <w:r w:rsidRPr="004F4478">
              <w:rPr>
                <w:sz w:val="18"/>
                <w:highlight w:val="yellow"/>
              </w:rPr>
              <w:t>Définir les réalisations, les résultats et les impacts attendus du RRN dans le soutien du développement rural et à l'égard de la zone rurale couverte par le programme, ainsi que le capital humain et social.</w:t>
            </w:r>
          </w:p>
        </w:tc>
      </w:tr>
      <w:tr w:rsidR="00860A11" w:rsidRPr="004F4478" w:rsidTr="009A7C06">
        <w:trPr>
          <w:jc w:val="center"/>
        </w:trPr>
        <w:tc>
          <w:tcPr>
            <w:tcW w:w="988" w:type="dxa"/>
            <w:shd w:val="clear" w:color="auto" w:fill="E7E6E6" w:themeFill="background2"/>
          </w:tcPr>
          <w:p w:rsidR="00860A11" w:rsidRPr="004F4478" w:rsidRDefault="00860A11" w:rsidP="009A7C06">
            <w:pPr>
              <w:pStyle w:val="HStandard"/>
              <w:jc w:val="center"/>
              <w:rPr>
                <w:b/>
                <w:color w:val="FFFFFF"/>
                <w:sz w:val="18"/>
                <w:szCs w:val="18"/>
                <w:highlight w:val="yellow"/>
              </w:rPr>
            </w:pPr>
            <w:r w:rsidRPr="004F4478">
              <w:rPr>
                <w:b/>
                <w:color w:val="FFFFFF"/>
                <w:sz w:val="18"/>
                <w:highlight w:val="yellow"/>
              </w:rPr>
              <w:t>e.</w:t>
            </w:r>
          </w:p>
        </w:tc>
        <w:tc>
          <w:tcPr>
            <w:tcW w:w="8028" w:type="dxa"/>
          </w:tcPr>
          <w:p w:rsidR="00860A11" w:rsidRPr="004F4478" w:rsidRDefault="00860A11" w:rsidP="009A7C06">
            <w:pPr>
              <w:pStyle w:val="Hlistbullet"/>
              <w:numPr>
                <w:ilvl w:val="0"/>
                <w:numId w:val="0"/>
              </w:numPr>
              <w:spacing w:before="0" w:line="280" w:lineRule="atLeast"/>
              <w:jc w:val="left"/>
              <w:rPr>
                <w:sz w:val="18"/>
                <w:szCs w:val="18"/>
                <w:highlight w:val="yellow"/>
              </w:rPr>
            </w:pPr>
            <w:r w:rsidRPr="004F4478">
              <w:rPr>
                <w:sz w:val="18"/>
                <w:highlight w:val="yellow"/>
              </w:rPr>
              <w:t>Élaborer la logique d'intervention du RRN et vérifier sa cohérence verticale et horizontale.</w:t>
            </w:r>
          </w:p>
        </w:tc>
      </w:tr>
      <w:tr w:rsidR="00860A11" w:rsidRPr="004F4478" w:rsidTr="009A7C06">
        <w:trPr>
          <w:jc w:val="center"/>
        </w:trPr>
        <w:tc>
          <w:tcPr>
            <w:tcW w:w="9016" w:type="dxa"/>
            <w:gridSpan w:val="2"/>
            <w:shd w:val="clear" w:color="auto" w:fill="auto"/>
          </w:tcPr>
          <w:p w:rsidR="00860A11" w:rsidRPr="004F4478" w:rsidRDefault="00860A11" w:rsidP="009A7C06">
            <w:pPr>
              <w:pStyle w:val="HStandard"/>
              <w:jc w:val="left"/>
              <w:rPr>
                <w:sz w:val="18"/>
                <w:szCs w:val="18"/>
                <w:highlight w:val="yellow"/>
              </w:rPr>
            </w:pPr>
            <w:r w:rsidRPr="004F4478">
              <w:rPr>
                <w:b/>
                <w:sz w:val="18"/>
                <w:highlight w:val="yellow"/>
              </w:rPr>
              <w:t>Effets escomptés:</w:t>
            </w:r>
            <w:r w:rsidRPr="004F4478">
              <w:rPr>
                <w:sz w:val="18"/>
                <w:highlight w:val="yellow"/>
              </w:rPr>
              <w:t xml:space="preserve"> logique d'intervention du RRN cohérente verticalement et horizontalement </w:t>
            </w:r>
          </w:p>
        </w:tc>
      </w:tr>
    </w:tbl>
    <w:p w:rsidR="00860A11" w:rsidRPr="004F4478" w:rsidRDefault="00860A11" w:rsidP="00D7626C">
      <w:pPr>
        <w:pStyle w:val="Heading6"/>
        <w:rPr>
          <w:highlight w:val="yellow"/>
        </w:rPr>
      </w:pPr>
      <w:r w:rsidRPr="004F4478">
        <w:rPr>
          <w:highlight w:val="yellow"/>
        </w:rPr>
        <w:t>Procéder à l'évaluation des besoins et à l'analyse de contexte du réseau.</w:t>
      </w:r>
    </w:p>
    <w:p w:rsidR="00860A11" w:rsidRPr="004F4478" w:rsidRDefault="00860A11" w:rsidP="00FC0A30">
      <w:pPr>
        <w:pStyle w:val="HStandard"/>
        <w:rPr>
          <w:highlight w:val="yellow"/>
        </w:rPr>
      </w:pPr>
      <w:r w:rsidRPr="004F4478">
        <w:rPr>
          <w:highlight w:val="yellow"/>
        </w:rPr>
        <w:t xml:space="preserve">Avant d’élaborer la logique d'intervention RRN il est nécessaire d'évaluer la situation dans la zone du programme et d'identifier les besoins qui pourraient bénéficier des activités des réseaux ruraux. Les besoins en matière de mise en réseau devraient également être évalués à ce stade au moyen des paramètres des réseaux. Les acteurs des États membres peuvent décider eux-mêmes des paramètres de contexte du réseau à utiliser pour évaluer l'environnement RRN, en fonction de la situation spécifique de la zone de PDR. Des exemples de paramètres de contexte sont fournis ci-dessous: </w:t>
      </w:r>
    </w:p>
    <w:p w:rsidR="00860A11" w:rsidRPr="004F4478" w:rsidRDefault="00860A11" w:rsidP="005368DC">
      <w:pPr>
        <w:pStyle w:val="Hlistbullet2"/>
        <w:rPr>
          <w:highlight w:val="yellow"/>
        </w:rPr>
      </w:pPr>
      <w:r w:rsidRPr="004F4478">
        <w:rPr>
          <w:highlight w:val="yellow"/>
        </w:rPr>
        <w:t xml:space="preserve">Les différents acteurs du développement rural: Cartographie des groupes existants de parties prenantes au développement rural actives au niveau local, régional et national et / ou des membres potentiels du RRN, représentant: (i) la communauté rurale au sens large; (ii) </w:t>
      </w:r>
      <w:r>
        <w:rPr>
          <w:highlight w:val="yellow"/>
        </w:rPr>
        <w:t>l</w:t>
      </w:r>
      <w:r w:rsidRPr="004F4478">
        <w:rPr>
          <w:highlight w:val="yellow"/>
        </w:rPr>
        <w:t>es bénéficiaires du programme de développement rural au sens de la réglementation et des programmes, y compris ceux qui sont en relation avec les groupes d'action locale (GAL); (iii) autres, par exemple, divers ONG, chercheurs et universitaires  impliqués dans le développement rural, y compris ceux qui travaillent dans des domaines liés à l'innovation, etc.</w:t>
      </w:r>
    </w:p>
    <w:p w:rsidR="00860A11" w:rsidRPr="004F4478" w:rsidRDefault="00860A11" w:rsidP="005368DC">
      <w:pPr>
        <w:pStyle w:val="Hlistbullet2"/>
        <w:rPr>
          <w:highlight w:val="yellow"/>
        </w:rPr>
      </w:pPr>
      <w:r w:rsidRPr="004F4478">
        <w:rPr>
          <w:highlight w:val="yellow"/>
        </w:rPr>
        <w:t>Les liens entre les parties prenantes: Cartographie des connexions et des liens actuels entre les parties prenantes, y compris les projets et activités de coopération en cours et prévus entre les participants aux réseaux existants (liens internes) et entre les réseaux (liens externes).</w:t>
      </w:r>
    </w:p>
    <w:p w:rsidR="00860A11" w:rsidRPr="004F4478" w:rsidRDefault="00860A11" w:rsidP="005368DC">
      <w:pPr>
        <w:pStyle w:val="Hlistbullet2"/>
        <w:rPr>
          <w:highlight w:val="yellow"/>
        </w:rPr>
      </w:pPr>
      <w:r w:rsidRPr="004F4478">
        <w:rPr>
          <w:highlight w:val="yellow"/>
        </w:rPr>
        <w:t>Niveau de décentralisation des structures opérationnelles des réseaux ruraux: Description et analyse des structures opérationnelles et de coordination existant</w:t>
      </w:r>
      <w:r>
        <w:rPr>
          <w:highlight w:val="yellow"/>
        </w:rPr>
        <w:t>e</w:t>
      </w:r>
      <w:r w:rsidRPr="004F4478">
        <w:rPr>
          <w:highlight w:val="yellow"/>
        </w:rPr>
        <w:t xml:space="preserve">s dans lesquels fonctionnent les RRN, en tenant compte de l’échelle nationale et régionale et du partage des responsabilités nationales et régionales (décentralisation). </w:t>
      </w:r>
    </w:p>
    <w:p w:rsidR="00860A11" w:rsidRPr="004F4478" w:rsidRDefault="00860A11" w:rsidP="005368DC">
      <w:pPr>
        <w:pStyle w:val="Hlistbullet2"/>
        <w:rPr>
          <w:highlight w:val="yellow"/>
        </w:rPr>
      </w:pPr>
      <w:r w:rsidRPr="004F4478">
        <w:rPr>
          <w:highlight w:val="yellow"/>
        </w:rPr>
        <w:t>Niveau d'ouverture du RRN en cours: La description et l'analyse de l'ouverture du RRN en cours à une participation plus large des parties prenantes rurales (par exemple par une adhésion formelle ou informelle; grâce à la possibilité de rejoindre un réseau régulièrement, etc.) et les règles connexes s’appliquent dans ce cas.</w:t>
      </w:r>
    </w:p>
    <w:p w:rsidR="00860A11" w:rsidRPr="004F4478" w:rsidRDefault="00860A11" w:rsidP="005368DC">
      <w:pPr>
        <w:pStyle w:val="Hlistbullet2"/>
        <w:rPr>
          <w:highlight w:val="yellow"/>
        </w:rPr>
      </w:pPr>
      <w:r w:rsidRPr="004F4478">
        <w:rPr>
          <w:highlight w:val="yellow"/>
        </w:rPr>
        <w:t xml:space="preserve">Structure et contenu du PDR dans lequel le réseau fonctionnera: Analyse des mesures et contributions financières connexes au sein du PDR liées aux activités du RRN  </w:t>
      </w:r>
      <w:r w:rsidRPr="004F4478">
        <w:rPr>
          <w:rFonts w:ascii="ZWAdobeF" w:hAnsi="ZWAdobeF"/>
          <w:color w:val="auto"/>
          <w:sz w:val="2"/>
          <w:highlight w:val="yellow"/>
        </w:rPr>
        <w:t xml:space="preserve">68F </w:t>
      </w:r>
      <w:r w:rsidRPr="004F4478">
        <w:rPr>
          <w:rStyle w:val="FootnoteReference"/>
          <w:highlight w:val="yellow"/>
        </w:rPr>
        <w:footnoteReference w:id="69"/>
      </w:r>
      <w:r w:rsidRPr="004F4478">
        <w:rPr>
          <w:highlight w:val="yellow"/>
        </w:rPr>
        <w:t xml:space="preserve"> qui pourraient être complémentaires, synergiques ou  conflictuelles. Cela aidera à déterminer si les activités du RRN sont nécessaires ou si l'objectif peut être atteint par les mesures du PDR.</w:t>
      </w:r>
    </w:p>
    <w:p w:rsidR="00860A11" w:rsidRPr="004F4478" w:rsidRDefault="00860A11" w:rsidP="005368DC">
      <w:pPr>
        <w:pStyle w:val="Hlistbullet2"/>
        <w:rPr>
          <w:highlight w:val="yellow"/>
        </w:rPr>
      </w:pPr>
      <w:r w:rsidRPr="004F4478">
        <w:rPr>
          <w:highlight w:val="yellow"/>
        </w:rPr>
        <w:t xml:space="preserve">L'analyse de la NSU (que la NSU soit </w:t>
      </w:r>
      <w:r>
        <w:rPr>
          <w:highlight w:val="yellow"/>
        </w:rPr>
        <w:t xml:space="preserve">intégrée </w:t>
      </w:r>
      <w:r w:rsidRPr="004F4478">
        <w:rPr>
          <w:highlight w:val="yellow"/>
        </w:rPr>
        <w:t>dans la MA, déléguée à une agence ministérielle ou d’autres institutions publiques ou qu’elle soit externalisée), mettant en évidence les points forts et les points faibles du système actuel et les enseignements à tirer pour l'avenir.</w:t>
      </w:r>
    </w:p>
    <w:p w:rsidR="00860A11" w:rsidRPr="004F4478" w:rsidRDefault="00860A11" w:rsidP="00C72F66">
      <w:pPr>
        <w:pStyle w:val="Heading6"/>
        <w:rPr>
          <w:highlight w:val="yellow"/>
        </w:rPr>
      </w:pPr>
      <w:r w:rsidRPr="004F4478">
        <w:rPr>
          <w:highlight w:val="yellow"/>
        </w:rPr>
        <w:t xml:space="preserve">Examen des objectifs et des groupes d'actions communs au réseau </w:t>
      </w:r>
    </w:p>
    <w:p w:rsidR="00860A11" w:rsidRPr="004F4478" w:rsidRDefault="00860A11" w:rsidP="00FC0A30">
      <w:pPr>
        <w:pStyle w:val="HStandard"/>
        <w:rPr>
          <w:highlight w:val="yellow"/>
        </w:rPr>
      </w:pPr>
      <w:r w:rsidRPr="004F4478">
        <w:rPr>
          <w:highlight w:val="yellow"/>
        </w:rPr>
        <w:t>Le cadre juridique définit les éléments communs pour la construction de la logique d'intervention RRN:</w:t>
      </w:r>
    </w:p>
    <w:p w:rsidR="00860A11" w:rsidRPr="004F4478" w:rsidRDefault="00860A11" w:rsidP="00406CAA">
      <w:pPr>
        <w:pStyle w:val="Hlistbullet"/>
        <w:rPr>
          <w:highlight w:val="yellow"/>
        </w:rPr>
      </w:pPr>
      <w:r w:rsidRPr="004F4478">
        <w:rPr>
          <w:highlight w:val="yellow"/>
        </w:rPr>
        <w:lastRenderedPageBreak/>
        <w:t xml:space="preserve">quatre objectifs communs de RRN </w:t>
      </w:r>
      <w:r w:rsidRPr="004F4478">
        <w:rPr>
          <w:rFonts w:ascii="ZWAdobeF" w:hAnsi="ZWAdobeF"/>
          <w:color w:val="auto"/>
          <w:sz w:val="2"/>
          <w:highlight w:val="yellow"/>
        </w:rPr>
        <w:t xml:space="preserve">69F </w:t>
      </w:r>
      <w:r w:rsidRPr="004F4478">
        <w:rPr>
          <w:rStyle w:val="FootnoteReference"/>
          <w:highlight w:val="yellow"/>
        </w:rPr>
        <w:footnoteReference w:id="70"/>
      </w:r>
      <w:r w:rsidRPr="004F4478">
        <w:rPr>
          <w:highlight w:val="yellow"/>
        </w:rPr>
        <w:t xml:space="preserve"> et </w:t>
      </w:r>
    </w:p>
    <w:p w:rsidR="00860A11" w:rsidRPr="004F4478" w:rsidRDefault="00860A11" w:rsidP="00406CAA">
      <w:pPr>
        <w:pStyle w:val="Hlistbullet"/>
        <w:rPr>
          <w:highlight w:val="yellow"/>
        </w:rPr>
      </w:pPr>
      <w:r w:rsidRPr="004F4478">
        <w:rPr>
          <w:highlight w:val="yellow"/>
        </w:rPr>
        <w:t xml:space="preserve">sept groupes d'actions communes </w:t>
      </w:r>
      <w:r w:rsidRPr="004F4478">
        <w:rPr>
          <w:rFonts w:ascii="ZWAdobeF" w:hAnsi="ZWAdobeF"/>
          <w:color w:val="auto"/>
          <w:sz w:val="2"/>
          <w:highlight w:val="yellow"/>
        </w:rPr>
        <w:t xml:space="preserve">70F </w:t>
      </w:r>
      <w:r w:rsidRPr="004F4478">
        <w:rPr>
          <w:rStyle w:val="FootnoteReference"/>
          <w:highlight w:val="yellow"/>
        </w:rPr>
        <w:footnoteReference w:id="71"/>
      </w:r>
      <w:r w:rsidRPr="004F4478">
        <w:rPr>
          <w:highlight w:val="yellow"/>
        </w:rPr>
        <w:t xml:space="preserve"> .</w:t>
      </w:r>
    </w:p>
    <w:p w:rsidR="00860A11" w:rsidRPr="004F4478" w:rsidRDefault="00860A11" w:rsidP="00FC0A30">
      <w:pPr>
        <w:pStyle w:val="HStandard"/>
        <w:rPr>
          <w:highlight w:val="yellow"/>
        </w:rPr>
      </w:pPr>
      <w:r w:rsidRPr="004F4478">
        <w:rPr>
          <w:highlight w:val="yellow"/>
        </w:rPr>
        <w:t xml:space="preserve">La fiche d'orientation pour la mise en place et le fonctionnement des réseaux ruraux propose les liens suivants entre les quatre objectifs communs de RRN et les sept groupes d'actions communes (voir </w:t>
      </w:r>
      <w:r w:rsidRPr="004F4478">
        <w:rPr>
          <w:highlight w:val="yellow"/>
        </w:rPr>
        <w:fldChar w:fldCharType="begin" w:fldLock="1"/>
      </w:r>
      <w:r w:rsidRPr="004F4478">
        <w:rPr>
          <w:highlight w:val="yellow"/>
        </w:rPr>
        <w:instrText xml:space="preserve"> REF _Ref451784531 \r \h  \* MERGEFORMAT </w:instrText>
      </w:r>
      <w:r w:rsidRPr="004F4478">
        <w:rPr>
          <w:highlight w:val="yellow"/>
        </w:rPr>
      </w:r>
      <w:r w:rsidRPr="004F4478">
        <w:rPr>
          <w:highlight w:val="yellow"/>
        </w:rPr>
        <w:fldChar w:fldCharType="separate"/>
      </w:r>
      <w:r>
        <w:rPr>
          <w:highlight w:val="yellow"/>
        </w:rPr>
        <w:t>f</w:t>
      </w:r>
      <w:r w:rsidRPr="004F4478">
        <w:rPr>
          <w:highlight w:val="yellow"/>
        </w:rPr>
        <w:t>igure 12</w:t>
      </w:r>
      <w:r w:rsidRPr="004F4478">
        <w:rPr>
          <w:highlight w:val="yellow"/>
        </w:rPr>
        <w:fldChar w:fldCharType="end"/>
      </w:r>
      <w:r w:rsidRPr="004F4478">
        <w:rPr>
          <w:highlight w:val="yellow"/>
        </w:rPr>
        <w:t xml:space="preserve">). Toutefois, les parties prenantes des États membres peuvent créer leurs propres liens correspondant à la logique concrète d'intervention des RRN. </w:t>
      </w:r>
    </w:p>
    <w:p w:rsidR="00860A11" w:rsidRPr="004F4478" w:rsidRDefault="00860A11" w:rsidP="00922CBE">
      <w:pPr>
        <w:pStyle w:val="HHeadingfigures"/>
        <w:rPr>
          <w:highlight w:val="yellow"/>
        </w:rPr>
      </w:pPr>
      <w:bookmarkStart w:id="112" w:name="_Toc463945758"/>
      <w:bookmarkStart w:id="113" w:name="_Toc445465127"/>
      <w:bookmarkStart w:id="114" w:name="_Toc451781930"/>
      <w:r w:rsidRPr="004F4478">
        <w:rPr>
          <w:highlight w:val="yellow"/>
        </w:rPr>
        <w:t>Liens possibles entre les objectifs communs de RRN et les groupes d’actions communes</w:t>
      </w:r>
      <w:bookmarkEnd w:id="112"/>
      <w:r w:rsidRPr="004F4478">
        <w:rPr>
          <w:highlight w:val="yellow"/>
        </w:rPr>
        <w:t xml:space="preserve">  </w:t>
      </w:r>
      <w:bookmarkEnd w:id="113"/>
      <w:r w:rsidRPr="004F4478">
        <w:rPr>
          <w:highlight w:val="yellow"/>
        </w:rPr>
        <w:t xml:space="preserve"> </w:t>
      </w:r>
      <w:bookmarkEnd w:id="114"/>
    </w:p>
    <w:p w:rsidR="00860A11" w:rsidRPr="004F4478" w:rsidRDefault="00860A11" w:rsidP="00DB1A74">
      <w:pPr>
        <w:pStyle w:val="HStandard"/>
        <w:jc w:val="center"/>
        <w:rPr>
          <w:highlight w:val="yellow"/>
        </w:rPr>
      </w:pPr>
      <w:r>
        <w:rPr>
          <w:noProof/>
          <w:lang w:val="en-GB" w:eastAsia="en-GB" w:bidi="ar-SA"/>
        </w:rPr>
        <w:drawing>
          <wp:inline distT="0" distB="0" distL="0" distR="0" wp14:anchorId="19DBE8D7" wp14:editId="24803934">
            <wp:extent cx="5731510" cy="2969260"/>
            <wp:effectExtent l="0" t="0" r="254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731510" cy="2969260"/>
                    </a:xfrm>
                    <a:prstGeom prst="rect">
                      <a:avLst/>
                    </a:prstGeom>
                  </pic:spPr>
                </pic:pic>
              </a:graphicData>
            </a:graphic>
          </wp:inline>
        </w:drawing>
      </w:r>
    </w:p>
    <w:p w:rsidR="00860A11" w:rsidRPr="004F4478" w:rsidRDefault="00860A11" w:rsidP="00FC0A30">
      <w:pPr>
        <w:pStyle w:val="HSource"/>
        <w:rPr>
          <w:highlight w:val="yellow"/>
        </w:rPr>
      </w:pPr>
      <w:r w:rsidRPr="004F4478">
        <w:rPr>
          <w:highlight w:val="yellow"/>
        </w:rPr>
        <w:t>Source: Helpdesk du Réseau européen d'évaluation du développement rural, 2016</w:t>
      </w:r>
    </w:p>
    <w:p w:rsidR="00860A11" w:rsidRPr="004F4478" w:rsidRDefault="00860A11" w:rsidP="00406CAA">
      <w:pPr>
        <w:pStyle w:val="HStandard"/>
        <w:rPr>
          <w:highlight w:val="yellow"/>
        </w:rPr>
      </w:pPr>
      <w:r w:rsidRPr="004F4478">
        <w:rPr>
          <w:highlight w:val="yellow"/>
        </w:rPr>
        <w:t>Les objectifs communs de RRN, les groupes d'actions et les liens entre eux décrits ci-dessus forment les pierres angulaire</w:t>
      </w:r>
      <w:r>
        <w:rPr>
          <w:highlight w:val="yellow"/>
        </w:rPr>
        <w:t>s</w:t>
      </w:r>
      <w:r w:rsidRPr="004F4478">
        <w:rPr>
          <w:highlight w:val="yellow"/>
        </w:rPr>
        <w:t xml:space="preserve"> de base, mais suffisantes pour l’élaboration  de la logique d'intervention des RRN. Les intervenants de l'État membre doivent compléter ces éléments communs par des éléments spécifiques au programme. </w:t>
      </w:r>
    </w:p>
    <w:p w:rsidR="00860A11" w:rsidRPr="004F4478" w:rsidRDefault="00860A11" w:rsidP="00406CAA">
      <w:pPr>
        <w:pStyle w:val="HStandard"/>
        <w:rPr>
          <w:highlight w:val="yellow"/>
        </w:rPr>
      </w:pPr>
      <w:r w:rsidRPr="004F4478">
        <w:rPr>
          <w:highlight w:val="yellow"/>
        </w:rPr>
        <w:t xml:space="preserve">La pratique montre que de nombreux RRN ont préparé leur plan d'action sans établir de logique d'intervention de RRN. Si tel est le cas, il est important de comprendre quels groupes d'actions - communes et spécifiques au programme - sont inclus dans le plan d'action de RRN, de les relier aux quatre objectifs communs, de formuler des objectifs de RRN spécifiques au programme et de définir les réalisations, résultats et impacts attendus. </w:t>
      </w:r>
    </w:p>
    <w:p w:rsidR="00860A11" w:rsidRPr="004F4478" w:rsidRDefault="00860A11" w:rsidP="00C72F66">
      <w:pPr>
        <w:pStyle w:val="Heading6"/>
        <w:rPr>
          <w:highlight w:val="yellow"/>
        </w:rPr>
      </w:pPr>
      <w:r w:rsidRPr="004F4478">
        <w:rPr>
          <w:highlight w:val="yellow"/>
        </w:rPr>
        <w:t xml:space="preserve">Définir et formuler des objectifs de RRN spécifiques au programme. </w:t>
      </w:r>
    </w:p>
    <w:p w:rsidR="00860A11" w:rsidRPr="004F4478" w:rsidRDefault="00860A11" w:rsidP="00FC0A30">
      <w:pPr>
        <w:pStyle w:val="HStandard"/>
        <w:rPr>
          <w:highlight w:val="yellow"/>
        </w:rPr>
      </w:pPr>
      <w:r w:rsidRPr="004F4478">
        <w:rPr>
          <w:highlight w:val="yellow"/>
        </w:rPr>
        <w:t xml:space="preserve">Les objectifs de RRN spécifiques au programme peuvent être formulés au niveau général ou spécifique. Les possibilités suivantes existent lors de la formulation des objectifs RRN spécifiques au programme: </w:t>
      </w:r>
    </w:p>
    <w:p w:rsidR="00860A11" w:rsidRPr="004F4478" w:rsidRDefault="00860A11" w:rsidP="005368DC">
      <w:pPr>
        <w:pStyle w:val="Hlistbullet2"/>
        <w:rPr>
          <w:highlight w:val="yellow"/>
        </w:rPr>
      </w:pPr>
      <w:r w:rsidRPr="004F4478">
        <w:rPr>
          <w:highlight w:val="yellow"/>
        </w:rPr>
        <w:t xml:space="preserve">Lorsque l'analyse SWOT de la situation et l’évaluation des besoins ont permis d’identifier les situations à traiter par des interventions de RRN spécifiques au programme, </w:t>
      </w:r>
      <w:r>
        <w:rPr>
          <w:highlight w:val="yellow"/>
        </w:rPr>
        <w:t xml:space="preserve">et </w:t>
      </w:r>
      <w:r w:rsidRPr="004F4478">
        <w:rPr>
          <w:highlight w:val="yellow"/>
        </w:rPr>
        <w:t xml:space="preserve">ils ne sont pas couverts par les quatre objectifs communs, comme le renforcement des capacités pour améliorer la gouvernance dans les zones rurales. Les besoins identifiés sont transformés en objectifs de RRN globaux spécifiques au programme. </w:t>
      </w:r>
    </w:p>
    <w:p w:rsidR="00860A11" w:rsidRPr="004F4478" w:rsidRDefault="00860A11" w:rsidP="005368DC">
      <w:pPr>
        <w:pStyle w:val="Hlistbullet2"/>
        <w:rPr>
          <w:highlight w:val="yellow"/>
        </w:rPr>
      </w:pPr>
      <w:r w:rsidRPr="004F4478">
        <w:rPr>
          <w:highlight w:val="yellow"/>
        </w:rPr>
        <w:lastRenderedPageBreak/>
        <w:t>Les quatre objectifs communs du RRN sont ensuite concrétisés par des objectifs spécifiques du RRN. Par exemple, il y aura une stimulation de l'innovation si des pratiques innovantes sont échangées entre les parties prenantes.</w:t>
      </w:r>
    </w:p>
    <w:p w:rsidR="00860A11" w:rsidRPr="004F4478" w:rsidRDefault="00860A11" w:rsidP="005368DC">
      <w:pPr>
        <w:pStyle w:val="Hlistbullet2"/>
        <w:rPr>
          <w:highlight w:val="yellow"/>
        </w:rPr>
      </w:pPr>
      <w:r w:rsidRPr="004F4478">
        <w:rPr>
          <w:highlight w:val="yellow"/>
        </w:rPr>
        <w:t xml:space="preserve">La chaîne réalisations - résultats - impacts des RRN permet également de formuler des objectifs spécifiques au programme de RRN. Les résultats escomptés du RRN définis comme les résultats escomptés propres au programme permettent la formulation des objectifs spécifiques et des impacts attendus du RRN pour la définition des objectifs généraux du RRN. </w:t>
      </w:r>
    </w:p>
    <w:p w:rsidR="00860A11" w:rsidRPr="004F4478" w:rsidRDefault="00860A11" w:rsidP="005368DC">
      <w:pPr>
        <w:pStyle w:val="Hlistbullet2"/>
        <w:rPr>
          <w:highlight w:val="yellow"/>
        </w:rPr>
      </w:pPr>
      <w:r w:rsidRPr="004F4478">
        <w:rPr>
          <w:highlight w:val="yellow"/>
        </w:rPr>
        <w:t>Le groupe d'actions communes et spécifiques au programme, comme prévu dans le plan d'action du RRN sert à formuler les objectifs opérationnels du RRN, liés aux réalisations du RRN.</w:t>
      </w:r>
    </w:p>
    <w:p w:rsidR="00860A11" w:rsidRPr="004F4478" w:rsidRDefault="00860A11" w:rsidP="00FC0A30">
      <w:pPr>
        <w:pStyle w:val="HStandard"/>
        <w:rPr>
          <w:highlight w:val="yellow"/>
        </w:rPr>
      </w:pPr>
      <w:r w:rsidRPr="004F4478">
        <w:rPr>
          <w:highlight w:val="yellow"/>
        </w:rPr>
        <w:t xml:space="preserve">Les objectifs spécifiques au programme de RRN devraient être formulés comme des objectifs SMART </w:t>
      </w:r>
      <w:r w:rsidRPr="004F4478">
        <w:rPr>
          <w:rFonts w:ascii="ZWAdobeF" w:hAnsi="ZWAdobeF"/>
          <w:color w:val="auto"/>
          <w:sz w:val="2"/>
          <w:highlight w:val="yellow"/>
        </w:rPr>
        <w:t xml:space="preserve">71F </w:t>
      </w:r>
      <w:r w:rsidRPr="004F4478">
        <w:rPr>
          <w:rStyle w:val="FootnoteReference"/>
          <w:highlight w:val="yellow"/>
        </w:rPr>
        <w:footnoteReference w:id="72"/>
      </w:r>
      <w:r w:rsidRPr="004F4478">
        <w:rPr>
          <w:highlight w:val="yellow"/>
        </w:rPr>
        <w:t xml:space="preserve"> et une hiérarchie des objectifs, globaux, spécifiques et opérationnels doit être établie. </w:t>
      </w:r>
    </w:p>
    <w:p w:rsidR="00860A11" w:rsidRPr="004F4478" w:rsidRDefault="00860A11" w:rsidP="00FC0A30">
      <w:pPr>
        <w:pStyle w:val="HStandard"/>
        <w:rPr>
          <w:highlight w:val="yellow"/>
        </w:rPr>
      </w:pPr>
      <w:r w:rsidRPr="004F4478">
        <w:rPr>
          <w:highlight w:val="yellow"/>
        </w:rPr>
        <w:t xml:space="preserve">Dans la formulation des objectifs spécifiques au programme de RRN il peut être question du rôle des RRN dans la mise en œuvre de la politique de développement rural ou des aspects plus larges des réseaux ruraux dans le domaine du capital humain et social (par exemple la gouvernance, le changement de comportement, le renforcement des compétences et des connaissances, etc., voir aussi </w:t>
      </w:r>
      <w:r w:rsidRPr="004F4478">
        <w:rPr>
          <w:highlight w:val="yellow"/>
        </w:rPr>
        <w:fldChar w:fldCharType="begin" w:fldLock="1"/>
      </w:r>
      <w:r w:rsidRPr="004F4478">
        <w:rPr>
          <w:highlight w:val="yellow"/>
        </w:rPr>
        <w:instrText xml:space="preserve"> REF _Ref451784562 \r \h  \* MERGEFORMAT </w:instrText>
      </w:r>
      <w:r w:rsidRPr="004F4478">
        <w:rPr>
          <w:highlight w:val="yellow"/>
        </w:rPr>
      </w:r>
      <w:r w:rsidRPr="004F4478">
        <w:rPr>
          <w:highlight w:val="yellow"/>
        </w:rPr>
        <w:fldChar w:fldCharType="separate"/>
      </w:r>
      <w:r>
        <w:rPr>
          <w:highlight w:val="yellow"/>
        </w:rPr>
        <w:t>f</w:t>
      </w:r>
      <w:r w:rsidRPr="004F4478">
        <w:rPr>
          <w:highlight w:val="yellow"/>
        </w:rPr>
        <w:t>igure 7</w:t>
      </w:r>
      <w:r w:rsidRPr="004F4478">
        <w:rPr>
          <w:highlight w:val="yellow"/>
        </w:rPr>
        <w:fldChar w:fldCharType="end"/>
      </w:r>
      <w:r w:rsidRPr="004F4478">
        <w:rPr>
          <w:highlight w:val="yellow"/>
        </w:rPr>
        <w:t xml:space="preserve"> au chapitre 1.4.2).</w:t>
      </w:r>
    </w:p>
    <w:p w:rsidR="00860A11" w:rsidRPr="004F4478" w:rsidRDefault="00860A11" w:rsidP="00FC0A30">
      <w:pPr>
        <w:pStyle w:val="HStandard"/>
        <w:rPr>
          <w:highlight w:val="yellow"/>
        </w:rPr>
      </w:pPr>
      <w:r w:rsidRPr="004F4478">
        <w:rPr>
          <w:highlight w:val="yellow"/>
        </w:rPr>
        <w:t>Pour un PRRN, les objectifs et les activités spécifiques du programme sont définis lors de la conception de celui-ci. Idéalement les objectifs d’un RRN faisant partie d’un PDR devraient être formulés au démarrage des opérations de RRN ou plus tard au cours de la préparation de l'évaluation. Toutefois, ils peuvent également être définis dans la préparation de l'évaluation ou lors de changements dans l'environnement qui créent de nouveaux besoins.</w:t>
      </w:r>
    </w:p>
    <w:p w:rsidR="00860A11" w:rsidRPr="004F4478" w:rsidRDefault="00860A11" w:rsidP="00C72F66">
      <w:pPr>
        <w:pStyle w:val="Heading6"/>
        <w:rPr>
          <w:highlight w:val="yellow"/>
        </w:rPr>
      </w:pPr>
      <w:r w:rsidRPr="004F4478">
        <w:rPr>
          <w:highlight w:val="yellow"/>
        </w:rPr>
        <w:t xml:space="preserve">Définir les réalisations, résultats et impacts attendus du RRN </w:t>
      </w:r>
    </w:p>
    <w:p w:rsidR="00860A11" w:rsidRPr="004F4478" w:rsidRDefault="00860A11" w:rsidP="00FC0A30">
      <w:pPr>
        <w:pStyle w:val="HStandard"/>
        <w:rPr>
          <w:highlight w:val="yellow"/>
        </w:rPr>
      </w:pPr>
      <w:r w:rsidRPr="004F4478">
        <w:rPr>
          <w:highlight w:val="yellow"/>
        </w:rPr>
        <w:t>Avec le groupe d'activités communes RRN, et propres au programme, les RRN devraient produire:</w:t>
      </w:r>
    </w:p>
    <w:p w:rsidR="00860A11" w:rsidRPr="004F4478" w:rsidRDefault="00860A11" w:rsidP="00406CAA">
      <w:pPr>
        <w:pStyle w:val="Hlistbullet"/>
        <w:rPr>
          <w:highlight w:val="yellow"/>
        </w:rPr>
      </w:pPr>
      <w:r w:rsidRPr="004F4478">
        <w:rPr>
          <w:highlight w:val="yellow"/>
        </w:rPr>
        <w:t xml:space="preserve">des réalisations (par exemple nombre de formations, échanges d'analyses, exemples recueillis, etc.), </w:t>
      </w:r>
    </w:p>
    <w:p w:rsidR="00860A11" w:rsidRPr="004F4478" w:rsidRDefault="00860A11" w:rsidP="00406CAA">
      <w:pPr>
        <w:pStyle w:val="Hlistbullet"/>
        <w:rPr>
          <w:highlight w:val="yellow"/>
        </w:rPr>
      </w:pPr>
      <w:r w:rsidRPr="004F4478">
        <w:rPr>
          <w:highlight w:val="yellow"/>
        </w:rPr>
        <w:t xml:space="preserve">des résultats au sein du groupe des membres du RRN et des bénéficiaires du programme (comme de meilleures connaissances et compétences dans la mise en œuvre du PDR, des projets plus innovants, des changements de comportement dans la prise de décision, etc.) et </w:t>
      </w:r>
    </w:p>
    <w:p w:rsidR="00860A11" w:rsidRPr="004F4478" w:rsidRDefault="00860A11" w:rsidP="00406CAA">
      <w:pPr>
        <w:pStyle w:val="Hlistbullet"/>
        <w:rPr>
          <w:highlight w:val="yellow"/>
        </w:rPr>
      </w:pPr>
      <w:r w:rsidRPr="004F4478">
        <w:rPr>
          <w:highlight w:val="yellow"/>
        </w:rPr>
        <w:t xml:space="preserve">des impacts dans la zone du programme (par exemple une meilleure gouvernance du programme, une mise en réseau renforcée, etc.). </w:t>
      </w:r>
    </w:p>
    <w:p w:rsidR="00860A11" w:rsidRPr="004F4478" w:rsidRDefault="00860A11" w:rsidP="00FC0A30">
      <w:pPr>
        <w:pStyle w:val="HStandard"/>
        <w:rPr>
          <w:highlight w:val="yellow"/>
        </w:rPr>
      </w:pPr>
      <w:r w:rsidRPr="004F4478">
        <w:rPr>
          <w:highlight w:val="yellow"/>
        </w:rPr>
        <w:t>Lors de l’élaboration de la logique d'intervention des RRN, les réalisations, les résultats et les impacts attendus peuvent être formulés:</w:t>
      </w:r>
    </w:p>
    <w:p w:rsidR="00860A11" w:rsidRPr="004F4478" w:rsidRDefault="00860A11" w:rsidP="00406CAA">
      <w:pPr>
        <w:pStyle w:val="Hlistbullet"/>
        <w:rPr>
          <w:highlight w:val="yellow"/>
        </w:rPr>
      </w:pPr>
      <w:r w:rsidRPr="004F4478">
        <w:rPr>
          <w:highlight w:val="yellow"/>
        </w:rPr>
        <w:t>En cohérence horizontale avec les objectifs RRN communs et spécifiques au programme. Par exemple, les impacts attendus devraient permettre d’atteindre les objectifs généraux du RRN. Les résultats attendus devraient être conformes aux objectifs spécifiques du RRN et les résultats attendus doivent permettre d’atteindre les objectifs opérationnels.</w:t>
      </w:r>
    </w:p>
    <w:p w:rsidR="00860A11" w:rsidRPr="004F4478" w:rsidRDefault="00860A11" w:rsidP="00406CAA">
      <w:pPr>
        <w:pStyle w:val="Hlistbullet"/>
        <w:rPr>
          <w:highlight w:val="yellow"/>
        </w:rPr>
      </w:pPr>
      <w:r w:rsidRPr="004F4478">
        <w:rPr>
          <w:highlight w:val="yellow"/>
        </w:rPr>
        <w:t>En cohérence verticale, à partir des groupes d'actions jusqu'à la chaîne de réalisations, résultats et impacts du RRN. Par exemple, des formations pour les conseillers (réalisations) contribueront à améliorer les pratiques innovantes transversales entre les agriculteurs (résultats) et à favoriser l'innovation dans les projets de PDR proposés (impacts).</w:t>
      </w:r>
    </w:p>
    <w:p w:rsidR="00860A11" w:rsidRPr="004F4478" w:rsidRDefault="00860A11" w:rsidP="00C72F66">
      <w:pPr>
        <w:pStyle w:val="Heading6"/>
        <w:rPr>
          <w:highlight w:val="yellow"/>
        </w:rPr>
      </w:pPr>
      <w:r w:rsidRPr="004F4478">
        <w:rPr>
          <w:highlight w:val="yellow"/>
        </w:rPr>
        <w:t>Élaborer la logique d'intervention du RRN et vérifier sa cohérence verticale et horizontale.</w:t>
      </w:r>
    </w:p>
    <w:p w:rsidR="00860A11" w:rsidRPr="004F4478" w:rsidRDefault="00860A11" w:rsidP="00FC0A30">
      <w:pPr>
        <w:pStyle w:val="HStandard"/>
        <w:rPr>
          <w:highlight w:val="yellow"/>
        </w:rPr>
      </w:pPr>
      <w:r w:rsidRPr="004F4478">
        <w:rPr>
          <w:highlight w:val="yellow"/>
        </w:rPr>
        <w:lastRenderedPageBreak/>
        <w:t xml:space="preserve">Tel qu’indiqué ci-dessus, les objectifs communs (qui couvrent également les impacts attendus), les activités et les réalisations doivent encore être complétés par les objectifs, les activités ainsi que les réalisations, les résultats et les impacts attendus, propres au programme de RRN. </w:t>
      </w:r>
    </w:p>
    <w:p w:rsidR="00860A11" w:rsidRPr="004F4478" w:rsidRDefault="00860A11" w:rsidP="00FC0A30">
      <w:pPr>
        <w:pStyle w:val="HStandard"/>
        <w:rPr>
          <w:highlight w:val="yellow"/>
        </w:rPr>
      </w:pPr>
      <w:r w:rsidRPr="004F4478">
        <w:rPr>
          <w:highlight w:val="yellow"/>
        </w:rPr>
        <w:t xml:space="preserve">Le graphique ci-dessous peut faciliter l’élaboration de la logique d'intervention de RRN. Sur ce graphique, les objectifs communs sont à gauche, les activités communes au milieu et les réalisations et impacts communs attendus sont à droite. D’après le graphique, il est clair que les quatre objectifs communs ne suffisent pas à couvrir toutes les interventions possibles des RRN, les réalisations communes ne couvrent pas toutes les activités communes, et les résultats et les impacts communs ne sont pas définis. Par conséquent, dans le graphique, il reste toujours de la place pour des objectifs, activités, réalisations, résultats et impacts propres au programme de RRN. Il appartient aux parties prenantes de l'État membre de définir les éléments manquants  de la logique d'intervention de RRN et de les relier </w:t>
      </w:r>
      <w:r w:rsidRPr="004F4478">
        <w:rPr>
          <w:b/>
          <w:highlight w:val="yellow"/>
        </w:rPr>
        <w:t>verticalement</w:t>
      </w:r>
      <w:r>
        <w:rPr>
          <w:b/>
          <w:highlight w:val="yellow"/>
        </w:rPr>
        <w:t xml:space="preserve"> </w:t>
      </w:r>
      <w:r w:rsidRPr="004F4478">
        <w:rPr>
          <w:highlight w:val="yellow"/>
        </w:rPr>
        <w:t xml:space="preserve">(entre les objectifs et les réalisations, les résultats et les impacts) et de vérifier la cohérence </w:t>
      </w:r>
      <w:r w:rsidRPr="004F4478">
        <w:rPr>
          <w:b/>
          <w:highlight w:val="yellow"/>
        </w:rPr>
        <w:t>horizontale</w:t>
      </w:r>
      <w:r w:rsidRPr="004F4478">
        <w:rPr>
          <w:highlight w:val="yellow"/>
        </w:rPr>
        <w:t xml:space="preserve"> (entre les objectifs et les effets à chaque niveau de la hiérarchie de la logique d'intervention).</w:t>
      </w:r>
    </w:p>
    <w:p w:rsidR="00860A11" w:rsidRPr="004F4478" w:rsidRDefault="00860A11">
      <w:pPr>
        <w:spacing w:after="0" w:line="240" w:lineRule="auto"/>
        <w:rPr>
          <w:rFonts w:cs="Arial"/>
          <w:b/>
          <w:color w:val="576C88" w:themeColor="text2" w:themeTint="D9"/>
          <w:sz w:val="16"/>
          <w:szCs w:val="20"/>
          <w:highlight w:val="yellow"/>
        </w:rPr>
      </w:pPr>
      <w:bookmarkStart w:id="115" w:name="_Toc445465128"/>
      <w:bookmarkStart w:id="116" w:name="_Ref435791996"/>
      <w:r w:rsidRPr="004F4478">
        <w:rPr>
          <w:highlight w:val="yellow"/>
        </w:rPr>
        <w:br w:type="page"/>
      </w:r>
    </w:p>
    <w:p w:rsidR="00860A11" w:rsidRPr="004F4478" w:rsidRDefault="00860A11" w:rsidP="00922CBE">
      <w:pPr>
        <w:pStyle w:val="HHeadingfigures"/>
        <w:rPr>
          <w:highlight w:val="yellow"/>
        </w:rPr>
      </w:pPr>
      <w:bookmarkStart w:id="117" w:name="_Toc451781931"/>
      <w:bookmarkStart w:id="118" w:name="_Ref451784531"/>
      <w:bookmarkStart w:id="119" w:name="_Ref451784607"/>
      <w:bookmarkStart w:id="120" w:name="_Toc463945759"/>
      <w:r w:rsidRPr="004F4478">
        <w:rPr>
          <w:highlight w:val="yellow"/>
        </w:rPr>
        <w:lastRenderedPageBreak/>
        <w:t>Liaison entre les objectifs communs et spécifiques du programme RRN, entre les groupes d'actions et les réalisations attendues, entre les résultats et les impacts</w:t>
      </w:r>
      <w:bookmarkEnd w:id="115"/>
      <w:bookmarkEnd w:id="117"/>
      <w:bookmarkEnd w:id="118"/>
      <w:bookmarkEnd w:id="119"/>
      <w:bookmarkEnd w:id="120"/>
    </w:p>
    <w:bookmarkEnd w:id="116"/>
    <w:p w:rsidR="00860A11" w:rsidRPr="004F4478" w:rsidRDefault="00860A11" w:rsidP="00FC0A30">
      <w:pPr>
        <w:pStyle w:val="HStandard"/>
        <w:rPr>
          <w:highlight w:val="yellow"/>
        </w:rPr>
      </w:pPr>
      <w:r>
        <w:rPr>
          <w:noProof/>
          <w:lang w:val="en-GB" w:eastAsia="en-GB" w:bidi="ar-SA"/>
        </w:rPr>
        <w:drawing>
          <wp:inline distT="0" distB="0" distL="0" distR="0" wp14:anchorId="661F4319" wp14:editId="585E13A9">
            <wp:extent cx="5731510" cy="3328670"/>
            <wp:effectExtent l="0" t="0" r="254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731510" cy="3328670"/>
                    </a:xfrm>
                    <a:prstGeom prst="rect">
                      <a:avLst/>
                    </a:prstGeom>
                  </pic:spPr>
                </pic:pic>
              </a:graphicData>
            </a:graphic>
          </wp:inline>
        </w:drawing>
      </w:r>
    </w:p>
    <w:p w:rsidR="00860A11" w:rsidRPr="004F4478" w:rsidRDefault="00860A11" w:rsidP="00FC0A30">
      <w:pPr>
        <w:pStyle w:val="HSource"/>
        <w:rPr>
          <w:highlight w:val="yellow"/>
        </w:rPr>
      </w:pPr>
      <w:r w:rsidRPr="004F4478">
        <w:rPr>
          <w:highlight w:val="yellow"/>
        </w:rPr>
        <w:t>Source: Helpdesk du Réseau européen d'évaluation du développement rural 2016</w:t>
      </w:r>
    </w:p>
    <w:p w:rsidR="00860A11" w:rsidRPr="004F4478" w:rsidRDefault="00860A11" w:rsidP="00FC0A30">
      <w:pPr>
        <w:pStyle w:val="HStandard"/>
        <w:rPr>
          <w:highlight w:val="yellow"/>
        </w:rPr>
      </w:pPr>
      <w:r w:rsidRPr="004F4478">
        <w:rPr>
          <w:highlight w:val="yellow"/>
        </w:rPr>
        <w:t xml:space="preserve">Un autre outil utile qui peut être utilisé dans l’élaboration de la logique d'intervention est un tableau (voir </w:t>
      </w:r>
      <w:r w:rsidRPr="004F4478">
        <w:rPr>
          <w:highlight w:val="yellow"/>
        </w:rPr>
        <w:fldChar w:fldCharType="begin" w:fldLock="1"/>
      </w:r>
      <w:r w:rsidRPr="004F4478">
        <w:rPr>
          <w:highlight w:val="yellow"/>
        </w:rPr>
        <w:instrText xml:space="preserve"> REF _Ref451784947 \r \h  \* MERGEFORMAT </w:instrText>
      </w:r>
      <w:r w:rsidRPr="004F4478">
        <w:rPr>
          <w:highlight w:val="yellow"/>
        </w:rPr>
      </w:r>
      <w:r w:rsidRPr="004F4478">
        <w:rPr>
          <w:highlight w:val="yellow"/>
        </w:rPr>
        <w:fldChar w:fldCharType="separate"/>
      </w:r>
      <w:r>
        <w:rPr>
          <w:highlight w:val="yellow"/>
        </w:rPr>
        <w:t>t</w:t>
      </w:r>
      <w:r w:rsidRPr="004F4478">
        <w:rPr>
          <w:highlight w:val="yellow"/>
        </w:rPr>
        <w:t>able</w:t>
      </w:r>
      <w:r>
        <w:rPr>
          <w:highlight w:val="yellow"/>
        </w:rPr>
        <w:t>au</w:t>
      </w:r>
      <w:r w:rsidRPr="004F4478">
        <w:rPr>
          <w:highlight w:val="yellow"/>
        </w:rPr>
        <w:t xml:space="preserve"> 5</w:t>
      </w:r>
      <w:r w:rsidRPr="004F4478">
        <w:rPr>
          <w:highlight w:val="yellow"/>
        </w:rPr>
        <w:fldChar w:fldCharType="end"/>
      </w:r>
      <w:r w:rsidRPr="004F4478">
        <w:rPr>
          <w:highlight w:val="yellow"/>
        </w:rPr>
        <w:t xml:space="preserve"> ) permettant d’établir une hiérarchie des objectifs et des effets attendus avec une cohérence verticale et horizontale. Cela permet d’affiner la logique et d’identifier les lacunes dans la définition des objectifs. Dans cet exemple, les objectifs généraux et spécifiques du RRN sont fondés sur des objectifs communs et spécifiques au programme. La combinaison dépend du contexte et des besoins de la région en question.</w:t>
      </w:r>
    </w:p>
    <w:p w:rsidR="00860A11" w:rsidRPr="004F4478" w:rsidRDefault="00860A11" w:rsidP="001249DA">
      <w:pPr>
        <w:pStyle w:val="HHeadingtables"/>
        <w:rPr>
          <w:highlight w:val="yellow"/>
        </w:rPr>
      </w:pPr>
      <w:bookmarkStart w:id="121" w:name="_Toc463945783"/>
      <w:bookmarkStart w:id="122" w:name="_Toc436383147"/>
      <w:bookmarkStart w:id="123" w:name="_Toc451781909"/>
      <w:bookmarkStart w:id="124" w:name="_Ref451784947"/>
      <w:r w:rsidRPr="004F4478">
        <w:rPr>
          <w:highlight w:val="yellow"/>
        </w:rPr>
        <w:t>Hiérarchie des objectifs et des effets attendus du RRN</w:t>
      </w:r>
      <w:bookmarkEnd w:id="121"/>
      <w:r w:rsidRPr="004F4478">
        <w:rPr>
          <w:highlight w:val="yellow"/>
        </w:rPr>
        <w:t xml:space="preserve"> </w:t>
      </w:r>
      <w:bookmarkEnd w:id="122"/>
      <w:r w:rsidRPr="004F4478">
        <w:rPr>
          <w:highlight w:val="yellow"/>
        </w:rPr>
        <w:t xml:space="preserve"> </w:t>
      </w:r>
      <w:bookmarkEnd w:id="123"/>
      <w:bookmarkEnd w:id="124"/>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6516"/>
        <w:gridCol w:w="2500"/>
      </w:tblGrid>
      <w:tr w:rsidR="00860A11" w:rsidRPr="004F4478" w:rsidTr="00D322AA">
        <w:tc>
          <w:tcPr>
            <w:tcW w:w="6516" w:type="dxa"/>
            <w:shd w:val="clear" w:color="auto" w:fill="F5F4F4" w:themeFill="background2" w:themeFillTint="66"/>
          </w:tcPr>
          <w:p w:rsidR="00860A11" w:rsidRPr="004F4478" w:rsidRDefault="00860A11" w:rsidP="00FC0A30">
            <w:pPr>
              <w:pStyle w:val="Htableleft"/>
              <w:spacing w:before="20" w:after="20"/>
              <w:rPr>
                <w:b/>
                <w:color w:val="576C88" w:themeColor="text2" w:themeTint="D9"/>
                <w:highlight w:val="yellow"/>
              </w:rPr>
            </w:pPr>
            <w:r w:rsidRPr="004F4478">
              <w:rPr>
                <w:b/>
                <w:color w:val="576C88" w:themeColor="text2" w:themeTint="D9"/>
                <w:highlight w:val="yellow"/>
              </w:rPr>
              <w:t>Objectifs généraux du RRN</w:t>
            </w:r>
          </w:p>
          <w:p w:rsidR="00860A11" w:rsidRPr="004F4478" w:rsidRDefault="00860A11" w:rsidP="00FC0A30">
            <w:pPr>
              <w:pStyle w:val="Htableleft"/>
              <w:spacing w:before="20" w:after="20"/>
              <w:rPr>
                <w:color w:val="576C88" w:themeColor="text2" w:themeTint="D9"/>
                <w:highlight w:val="yellow"/>
              </w:rPr>
            </w:pPr>
            <w:r w:rsidRPr="004F4478">
              <w:rPr>
                <w:color w:val="576C88" w:themeColor="text2" w:themeTint="D9"/>
                <w:highlight w:val="yellow"/>
              </w:rPr>
              <w:t>suivant l'article 54 du règlement (UE) n° 1305/2015</w:t>
            </w:r>
          </w:p>
          <w:p w:rsidR="00860A11" w:rsidRPr="004F4478" w:rsidRDefault="00860A11" w:rsidP="00860A11">
            <w:pPr>
              <w:pStyle w:val="Htablebullet"/>
              <w:spacing w:before="20" w:after="20"/>
              <w:rPr>
                <w:color w:val="576C88" w:themeColor="text2" w:themeTint="D9"/>
                <w:highlight w:val="yellow"/>
              </w:rPr>
            </w:pPr>
            <w:r w:rsidRPr="004F4478">
              <w:rPr>
                <w:color w:val="576C88" w:themeColor="text2" w:themeTint="D9"/>
                <w:highlight w:val="yellow"/>
              </w:rPr>
              <w:t>Accroître la participation des parties prenantes à la mise en œuvre de la politique de développement rural;</w:t>
            </w:r>
          </w:p>
          <w:p w:rsidR="00860A11" w:rsidRPr="004F4478" w:rsidRDefault="00860A11" w:rsidP="00860A11">
            <w:pPr>
              <w:pStyle w:val="Htablebullet"/>
              <w:spacing w:before="20" w:after="20"/>
              <w:rPr>
                <w:color w:val="576C88" w:themeColor="text2" w:themeTint="D9"/>
                <w:highlight w:val="yellow"/>
              </w:rPr>
            </w:pPr>
            <w:r w:rsidRPr="004F4478">
              <w:rPr>
                <w:color w:val="576C88" w:themeColor="text2" w:themeTint="D9"/>
                <w:highlight w:val="yellow"/>
              </w:rPr>
              <w:t>Améliorer le déploiement des programmes de développement rural,</w:t>
            </w:r>
          </w:p>
          <w:p w:rsidR="00860A11" w:rsidRPr="004F4478" w:rsidRDefault="00860A11" w:rsidP="00860A11">
            <w:pPr>
              <w:pStyle w:val="Htablebullet"/>
              <w:spacing w:before="20" w:after="20"/>
              <w:rPr>
                <w:color w:val="576C88" w:themeColor="text2" w:themeTint="D9"/>
                <w:highlight w:val="yellow"/>
              </w:rPr>
            </w:pPr>
            <w:r w:rsidRPr="004F4478">
              <w:rPr>
                <w:color w:val="576C88" w:themeColor="text2" w:themeTint="D9"/>
                <w:highlight w:val="yellow"/>
              </w:rPr>
              <w:t>Informer le grand public et les bénéficiaires potentiels de la politique de développement rural et des possibilités de financement;</w:t>
            </w:r>
          </w:p>
          <w:p w:rsidR="00860A11" w:rsidRPr="004F4478" w:rsidRDefault="00860A11" w:rsidP="00860A11">
            <w:pPr>
              <w:pStyle w:val="Htablebullet"/>
              <w:spacing w:before="20" w:after="20"/>
              <w:rPr>
                <w:color w:val="576C88" w:themeColor="text2" w:themeTint="D9"/>
                <w:highlight w:val="yellow"/>
              </w:rPr>
            </w:pPr>
            <w:r w:rsidRPr="004F4478">
              <w:rPr>
                <w:color w:val="576C88" w:themeColor="text2" w:themeTint="D9"/>
                <w:highlight w:val="yellow"/>
              </w:rPr>
              <w:t>Favoriser l'innovation dans le secteur de l'agriculture, de la production alimentaire, des activités forestières ainsi que dans les zones rurales.</w:t>
            </w:r>
          </w:p>
          <w:p w:rsidR="00860A11" w:rsidRPr="004F4478" w:rsidRDefault="00860A11" w:rsidP="00FC0A30">
            <w:pPr>
              <w:pStyle w:val="Htableleft"/>
              <w:spacing w:before="20" w:after="20"/>
              <w:rPr>
                <w:color w:val="576C88" w:themeColor="text2" w:themeTint="D9"/>
                <w:highlight w:val="yellow"/>
              </w:rPr>
            </w:pPr>
          </w:p>
          <w:p w:rsidR="00860A11" w:rsidRPr="004F4478" w:rsidRDefault="00860A11" w:rsidP="00CD2BC2">
            <w:pPr>
              <w:pStyle w:val="Htableleft"/>
              <w:spacing w:before="20" w:after="20"/>
              <w:rPr>
                <w:color w:val="576C88" w:themeColor="text2" w:themeTint="D9"/>
                <w:highlight w:val="yellow"/>
              </w:rPr>
            </w:pPr>
            <w:r w:rsidRPr="004F4478">
              <w:rPr>
                <w:color w:val="576C88" w:themeColor="text2" w:themeTint="D9"/>
                <w:highlight w:val="yellow"/>
              </w:rPr>
              <w:t>Ils peuvent également inclure l'ensemble des objectifs propres du programme du RRN, avec les changements initiés par les activités du RRN au niveau de la zone de PDR (par exemple la mise en réseau globale dans les zones rurales, le développement du capital social)</w:t>
            </w:r>
          </w:p>
        </w:tc>
        <w:tc>
          <w:tcPr>
            <w:tcW w:w="2500" w:type="dxa"/>
            <w:shd w:val="clear" w:color="auto" w:fill="F5F4F4" w:themeFill="background2" w:themeFillTint="66"/>
          </w:tcPr>
          <w:p w:rsidR="00860A11" w:rsidRPr="004F4478" w:rsidRDefault="00860A11" w:rsidP="00FC0A30">
            <w:pPr>
              <w:pStyle w:val="Htableleft"/>
              <w:spacing w:before="20" w:after="20"/>
              <w:rPr>
                <w:b/>
                <w:color w:val="576C88" w:themeColor="text2" w:themeTint="D9"/>
                <w:highlight w:val="yellow"/>
              </w:rPr>
            </w:pPr>
            <w:r w:rsidRPr="004F4478">
              <w:rPr>
                <w:b/>
                <w:color w:val="576C88" w:themeColor="text2" w:themeTint="D9"/>
                <w:highlight w:val="yellow"/>
              </w:rPr>
              <w:t>Impacts attendus</w:t>
            </w:r>
          </w:p>
          <w:p w:rsidR="00860A11" w:rsidRPr="004F4478" w:rsidRDefault="00860A11" w:rsidP="00FC0A30">
            <w:pPr>
              <w:pStyle w:val="Htableleft"/>
              <w:spacing w:before="20" w:after="20"/>
              <w:rPr>
                <w:color w:val="576C88" w:themeColor="text2" w:themeTint="D9"/>
                <w:highlight w:val="yellow"/>
              </w:rPr>
            </w:pPr>
            <w:r w:rsidRPr="004F4478">
              <w:rPr>
                <w:color w:val="576C88" w:themeColor="text2" w:themeTint="D9"/>
                <w:highlight w:val="yellow"/>
              </w:rPr>
              <w:t xml:space="preserve">liés à l'ensemble des objectifs RRN (communs et propres au programme), </w:t>
            </w:r>
          </w:p>
          <w:p w:rsidR="00860A11" w:rsidRPr="004F4478" w:rsidRDefault="00860A11" w:rsidP="00FC0A30">
            <w:pPr>
              <w:pStyle w:val="Htableleft"/>
              <w:spacing w:before="20" w:after="20"/>
              <w:rPr>
                <w:color w:val="576C88" w:themeColor="text2" w:themeTint="D9"/>
                <w:highlight w:val="yellow"/>
              </w:rPr>
            </w:pPr>
          </w:p>
        </w:tc>
      </w:tr>
      <w:tr w:rsidR="00860A11" w:rsidRPr="004F4478" w:rsidTr="00D322AA">
        <w:tc>
          <w:tcPr>
            <w:tcW w:w="6516" w:type="dxa"/>
            <w:shd w:val="clear" w:color="auto" w:fill="F5F4F4" w:themeFill="background2" w:themeFillTint="66"/>
          </w:tcPr>
          <w:p w:rsidR="00860A11" w:rsidRPr="004F4478" w:rsidRDefault="00860A11" w:rsidP="00FC0A30">
            <w:pPr>
              <w:pStyle w:val="Htableleft"/>
              <w:spacing w:before="20" w:after="20"/>
              <w:rPr>
                <w:b/>
                <w:color w:val="576C88" w:themeColor="text2" w:themeTint="D9"/>
                <w:highlight w:val="yellow"/>
              </w:rPr>
            </w:pPr>
            <w:r w:rsidRPr="004F4478">
              <w:rPr>
                <w:b/>
                <w:color w:val="576C88" w:themeColor="text2" w:themeTint="D9"/>
                <w:highlight w:val="yellow"/>
              </w:rPr>
              <w:t>Objectifs spécifiques du RRN</w:t>
            </w:r>
          </w:p>
          <w:p w:rsidR="00860A11" w:rsidRPr="004F4478" w:rsidRDefault="00860A11" w:rsidP="00FC0A30">
            <w:pPr>
              <w:pStyle w:val="Htableleft"/>
              <w:spacing w:before="20" w:after="20"/>
              <w:rPr>
                <w:color w:val="576C88" w:themeColor="text2" w:themeTint="D9"/>
                <w:highlight w:val="yellow"/>
              </w:rPr>
            </w:pPr>
            <w:r w:rsidRPr="004F4478">
              <w:rPr>
                <w:color w:val="576C88" w:themeColor="text2" w:themeTint="D9"/>
                <w:highlight w:val="yellow"/>
              </w:rPr>
              <w:t>Ils peuvent inclure des objectifs spécifiques du programme de RRN couvrant les changements au sein du groupe des bénéficiaires du RRN (par exemple le renforcement des liens entre les bénéficiaires).</w:t>
            </w:r>
          </w:p>
          <w:p w:rsidR="00860A11" w:rsidRPr="004F4478" w:rsidRDefault="00860A11" w:rsidP="00FC0A30">
            <w:pPr>
              <w:pStyle w:val="Htableleft"/>
              <w:spacing w:before="20" w:after="20"/>
              <w:rPr>
                <w:color w:val="576C88" w:themeColor="text2" w:themeTint="D9"/>
                <w:highlight w:val="yellow"/>
              </w:rPr>
            </w:pPr>
          </w:p>
          <w:p w:rsidR="00860A11" w:rsidRPr="004F4478" w:rsidRDefault="00860A11" w:rsidP="00FC0A30">
            <w:pPr>
              <w:pStyle w:val="Htableleft"/>
              <w:spacing w:before="20" w:after="20"/>
              <w:rPr>
                <w:color w:val="576C88" w:themeColor="text2" w:themeTint="D9"/>
                <w:highlight w:val="yellow"/>
              </w:rPr>
            </w:pPr>
            <w:r w:rsidRPr="004F4478">
              <w:rPr>
                <w:color w:val="576C88" w:themeColor="text2" w:themeTint="D9"/>
                <w:highlight w:val="yellow"/>
              </w:rPr>
              <w:t>Ils peuvent également inclure des objectifs séparés tel qu’énoncé dans l'article 54 du règlement  (UE) n° 1305/2015.</w:t>
            </w:r>
          </w:p>
        </w:tc>
        <w:tc>
          <w:tcPr>
            <w:tcW w:w="2500" w:type="dxa"/>
            <w:shd w:val="clear" w:color="auto" w:fill="F5F4F4" w:themeFill="background2" w:themeFillTint="66"/>
          </w:tcPr>
          <w:p w:rsidR="00860A11" w:rsidRPr="004F4478" w:rsidRDefault="00860A11" w:rsidP="00FC0A30">
            <w:pPr>
              <w:pStyle w:val="Htableleft"/>
              <w:spacing w:before="20" w:after="20"/>
              <w:rPr>
                <w:b/>
                <w:color w:val="576C88" w:themeColor="text2" w:themeTint="D9"/>
                <w:highlight w:val="yellow"/>
              </w:rPr>
            </w:pPr>
            <w:r w:rsidRPr="004F4478">
              <w:rPr>
                <w:b/>
                <w:color w:val="576C88" w:themeColor="text2" w:themeTint="D9"/>
                <w:highlight w:val="yellow"/>
              </w:rPr>
              <w:t xml:space="preserve">Résultats attendus </w:t>
            </w:r>
          </w:p>
          <w:p w:rsidR="00860A11" w:rsidRPr="004F4478" w:rsidRDefault="00860A11" w:rsidP="00FC0A30">
            <w:pPr>
              <w:pStyle w:val="Htableleft"/>
              <w:spacing w:before="20" w:after="20"/>
              <w:rPr>
                <w:color w:val="576C88" w:themeColor="text2" w:themeTint="D9"/>
                <w:highlight w:val="yellow"/>
              </w:rPr>
            </w:pPr>
            <w:r w:rsidRPr="004F4478">
              <w:rPr>
                <w:color w:val="576C88" w:themeColor="text2" w:themeTint="D9"/>
                <w:highlight w:val="yellow"/>
              </w:rPr>
              <w:t xml:space="preserve">liés aux objectifs spécifiques du RRN (communs et propres au programme), </w:t>
            </w:r>
          </w:p>
          <w:p w:rsidR="00860A11" w:rsidRPr="004F4478" w:rsidRDefault="00860A11" w:rsidP="00FC0A30">
            <w:pPr>
              <w:pStyle w:val="Htableleft"/>
              <w:spacing w:before="20" w:after="20"/>
              <w:rPr>
                <w:color w:val="576C88" w:themeColor="text2" w:themeTint="D9"/>
                <w:highlight w:val="yellow"/>
              </w:rPr>
            </w:pPr>
          </w:p>
        </w:tc>
      </w:tr>
      <w:tr w:rsidR="00860A11" w:rsidRPr="004F4478" w:rsidTr="00D322AA">
        <w:tc>
          <w:tcPr>
            <w:tcW w:w="6516" w:type="dxa"/>
            <w:shd w:val="clear" w:color="auto" w:fill="F5F4F4" w:themeFill="background2" w:themeFillTint="66"/>
          </w:tcPr>
          <w:p w:rsidR="00860A11" w:rsidRPr="004F4478" w:rsidRDefault="00860A11" w:rsidP="00FC0A30">
            <w:pPr>
              <w:pStyle w:val="Htableleft"/>
              <w:spacing w:before="20" w:after="20"/>
              <w:rPr>
                <w:b/>
                <w:color w:val="576C88" w:themeColor="text2" w:themeTint="D9"/>
                <w:highlight w:val="yellow"/>
              </w:rPr>
            </w:pPr>
            <w:r w:rsidRPr="004F4478">
              <w:rPr>
                <w:b/>
                <w:color w:val="576C88" w:themeColor="text2" w:themeTint="D9"/>
                <w:highlight w:val="yellow"/>
              </w:rPr>
              <w:t>Objectifs opérationnels</w:t>
            </w:r>
          </w:p>
          <w:p w:rsidR="00860A11" w:rsidRPr="004F4478" w:rsidRDefault="00860A11" w:rsidP="00C72F66">
            <w:pPr>
              <w:pStyle w:val="Htableleft"/>
              <w:spacing w:before="20" w:after="20"/>
              <w:rPr>
                <w:color w:val="576C88" w:themeColor="text2" w:themeTint="D9"/>
                <w:highlight w:val="yellow"/>
              </w:rPr>
            </w:pPr>
            <w:r w:rsidRPr="004F4478">
              <w:rPr>
                <w:color w:val="576C88" w:themeColor="text2" w:themeTint="D9"/>
                <w:highlight w:val="yellow"/>
              </w:rPr>
              <w:lastRenderedPageBreak/>
              <w:t>liés à des activités prévues dans le plan d'action</w:t>
            </w:r>
          </w:p>
        </w:tc>
        <w:tc>
          <w:tcPr>
            <w:tcW w:w="2500" w:type="dxa"/>
            <w:shd w:val="clear" w:color="auto" w:fill="F5F4F4" w:themeFill="background2" w:themeFillTint="66"/>
          </w:tcPr>
          <w:p w:rsidR="00860A11" w:rsidRPr="004F4478" w:rsidRDefault="00860A11" w:rsidP="00FC0A30">
            <w:pPr>
              <w:pStyle w:val="Htableleft"/>
              <w:spacing w:before="20" w:after="20"/>
              <w:rPr>
                <w:b/>
                <w:color w:val="576C88" w:themeColor="text2" w:themeTint="D9"/>
                <w:highlight w:val="yellow"/>
              </w:rPr>
            </w:pPr>
            <w:r w:rsidRPr="004F4478">
              <w:rPr>
                <w:b/>
                <w:color w:val="576C88" w:themeColor="text2" w:themeTint="D9"/>
                <w:highlight w:val="yellow"/>
              </w:rPr>
              <w:lastRenderedPageBreak/>
              <w:t>Résultats attendus</w:t>
            </w:r>
          </w:p>
          <w:p w:rsidR="00860A11" w:rsidRPr="004F4478" w:rsidRDefault="00860A11" w:rsidP="00FC0A30">
            <w:pPr>
              <w:pStyle w:val="Htableleft"/>
              <w:spacing w:before="20" w:after="20"/>
              <w:rPr>
                <w:color w:val="576C88" w:themeColor="text2" w:themeTint="D9"/>
                <w:highlight w:val="yellow"/>
              </w:rPr>
            </w:pPr>
            <w:r w:rsidRPr="004F4478">
              <w:rPr>
                <w:color w:val="576C88" w:themeColor="text2" w:themeTint="D9"/>
                <w:highlight w:val="yellow"/>
              </w:rPr>
              <w:lastRenderedPageBreak/>
              <w:t xml:space="preserve">Résultats communs comme indiqués à l'annexe IV du règlement d'exécution  (UE) n° 808/2014 de la Commission, </w:t>
            </w:r>
          </w:p>
          <w:p w:rsidR="00860A11" w:rsidRPr="004F4478" w:rsidRDefault="00860A11" w:rsidP="00FC0A30">
            <w:pPr>
              <w:pStyle w:val="Htableleft"/>
              <w:spacing w:before="20" w:after="20"/>
              <w:rPr>
                <w:color w:val="576C88" w:themeColor="text2" w:themeTint="D9"/>
                <w:highlight w:val="yellow"/>
              </w:rPr>
            </w:pPr>
            <w:r w:rsidRPr="004F4478">
              <w:rPr>
                <w:color w:val="576C88" w:themeColor="text2" w:themeTint="D9"/>
                <w:highlight w:val="yellow"/>
              </w:rPr>
              <w:t>Nombre d’échanges thématiques et analytiques mis en place grâce au soutien du RRN (O.24)</w:t>
            </w:r>
          </w:p>
          <w:p w:rsidR="00860A11" w:rsidRPr="004F4478" w:rsidRDefault="00860A11" w:rsidP="00FC0A30">
            <w:pPr>
              <w:pStyle w:val="Htableleft"/>
              <w:spacing w:before="20" w:after="20"/>
              <w:rPr>
                <w:color w:val="576C88" w:themeColor="text2" w:themeTint="D9"/>
                <w:highlight w:val="yellow"/>
              </w:rPr>
            </w:pPr>
            <w:r w:rsidRPr="004F4478">
              <w:rPr>
                <w:color w:val="576C88" w:themeColor="text2" w:themeTint="D9"/>
                <w:highlight w:val="yellow"/>
              </w:rPr>
              <w:t>Nombre d’outils de communication RRN (O.25)</w:t>
            </w:r>
          </w:p>
          <w:p w:rsidR="00860A11" w:rsidRPr="004F4478" w:rsidRDefault="00860A11" w:rsidP="00FC0A30">
            <w:pPr>
              <w:pStyle w:val="Htableleft"/>
              <w:spacing w:before="20" w:after="20"/>
              <w:rPr>
                <w:color w:val="576C88" w:themeColor="text2" w:themeTint="D9"/>
                <w:highlight w:val="yellow"/>
              </w:rPr>
            </w:pPr>
            <w:r w:rsidRPr="004F4478">
              <w:rPr>
                <w:color w:val="576C88" w:themeColor="text2" w:themeTint="D9"/>
                <w:highlight w:val="yellow"/>
              </w:rPr>
              <w:t xml:space="preserve">Nombre d’activités du REDR auxquelles le RRN a participé(O.26) </w:t>
            </w:r>
          </w:p>
          <w:p w:rsidR="00860A11" w:rsidRPr="004F4478" w:rsidRDefault="00860A11" w:rsidP="00FC0A30">
            <w:pPr>
              <w:pStyle w:val="Htableleft"/>
              <w:spacing w:before="20" w:after="20"/>
              <w:rPr>
                <w:color w:val="576C88" w:themeColor="text2" w:themeTint="D9"/>
                <w:highlight w:val="yellow"/>
              </w:rPr>
            </w:pPr>
          </w:p>
          <w:p w:rsidR="00860A11" w:rsidRPr="004F4478" w:rsidRDefault="00860A11" w:rsidP="00FC0A30">
            <w:pPr>
              <w:pStyle w:val="Htableleft"/>
              <w:spacing w:before="20" w:after="20"/>
              <w:rPr>
                <w:color w:val="576C88" w:themeColor="text2" w:themeTint="D9"/>
                <w:highlight w:val="yellow"/>
              </w:rPr>
            </w:pPr>
            <w:r w:rsidRPr="004F4478">
              <w:rPr>
                <w:color w:val="576C88" w:themeColor="text2" w:themeTint="D9"/>
                <w:highlight w:val="yellow"/>
              </w:rPr>
              <w:t xml:space="preserve">Activités spécifiques du programme de RRN </w:t>
            </w:r>
          </w:p>
        </w:tc>
      </w:tr>
    </w:tbl>
    <w:p w:rsidR="00860A11" w:rsidRPr="004F4478" w:rsidRDefault="00860A11" w:rsidP="00FC0A30">
      <w:pPr>
        <w:pStyle w:val="HStandard"/>
        <w:rPr>
          <w:highlight w:val="yellow"/>
        </w:rPr>
      </w:pPr>
      <w:r w:rsidRPr="004F4478">
        <w:rPr>
          <w:highlight w:val="yellow"/>
        </w:rPr>
        <w:lastRenderedPageBreak/>
        <w:t xml:space="preserve">Après avoir élaboré la logique d'intervention du RRN, il est important de vérifier sa cohérence interne (verticale et horizontale). </w:t>
      </w:r>
    </w:p>
    <w:p w:rsidR="00860A11" w:rsidRPr="004F4478" w:rsidRDefault="00860A11" w:rsidP="00FC0A30">
      <w:pPr>
        <w:pStyle w:val="HStandard"/>
        <w:rPr>
          <w:highlight w:val="yellow"/>
        </w:rPr>
      </w:pPr>
      <w:r w:rsidRPr="004F4478">
        <w:rPr>
          <w:highlight w:val="yellow"/>
        </w:rPr>
        <w:t xml:space="preserve">Pour </w:t>
      </w:r>
      <w:r w:rsidRPr="004F4478">
        <w:rPr>
          <w:b/>
          <w:highlight w:val="yellow"/>
        </w:rPr>
        <w:t>vérifier</w:t>
      </w:r>
      <w:r w:rsidRPr="004F4478">
        <w:rPr>
          <w:highlight w:val="yellow"/>
        </w:rPr>
        <w:t xml:space="preserve"> la </w:t>
      </w:r>
      <w:r w:rsidRPr="004F4478">
        <w:rPr>
          <w:b/>
          <w:highlight w:val="yellow"/>
        </w:rPr>
        <w:t>cohérence horizontale</w:t>
      </w:r>
      <w:r w:rsidRPr="004F4478">
        <w:rPr>
          <w:highlight w:val="yellow"/>
        </w:rPr>
        <w:t xml:space="preserve">, on détermine si les effets attendus à chaque niveau (réalisations, résultats, impacts) correspondent aux objectifs fixés aux niveaux respectifs (objectifs opérationnels, spécifiques ou généraux) et s'il y a des contradictions ou une inadéquation entre les objectifs et les effets attendus fixés à chaque niveau. Dans le cas d’un PSRRN le risque d'objectifs contradictoires sera plutôt limité. </w:t>
      </w:r>
      <w:r>
        <w:rPr>
          <w:highlight w:val="yellow"/>
        </w:rPr>
        <w:t>Pour</w:t>
      </w:r>
      <w:r w:rsidRPr="004F4478">
        <w:rPr>
          <w:highlight w:val="yellow"/>
        </w:rPr>
        <w:t xml:space="preserve"> un RRN inclus dans un PDR, les objectifs devraient être compatibles avec ceux du PDR dans son ensemble. Des contradictions peuvent apparaître ici et là, mais les incohérences les plus fréquentes sont les duplications ou les lacunes par rapport à d'autres mesures, en particulier pour la priorité 1.</w:t>
      </w:r>
    </w:p>
    <w:p w:rsidR="00860A11" w:rsidRPr="004F4478" w:rsidRDefault="00860A11" w:rsidP="00FC0A30">
      <w:pPr>
        <w:pStyle w:val="HStandard"/>
        <w:rPr>
          <w:highlight w:val="yellow"/>
        </w:rPr>
      </w:pPr>
      <w:r w:rsidRPr="004F4478">
        <w:rPr>
          <w:highlight w:val="yellow"/>
        </w:rPr>
        <w:t xml:space="preserve">Pour </w:t>
      </w:r>
      <w:r w:rsidRPr="004F4478">
        <w:rPr>
          <w:b/>
          <w:highlight w:val="yellow"/>
        </w:rPr>
        <w:t>contrôler la cohérence verticale</w:t>
      </w:r>
      <w:r w:rsidRPr="004F4478">
        <w:rPr>
          <w:highlight w:val="yellow"/>
        </w:rPr>
        <w:t xml:space="preserve"> on analyse la hiérarchie des objectifs et effets attendus du RRN, </w:t>
      </w:r>
    </w:p>
    <w:p w:rsidR="00860A11" w:rsidRPr="004F4478" w:rsidRDefault="00860A11" w:rsidP="00C72F66">
      <w:pPr>
        <w:pStyle w:val="Hlistbullet"/>
        <w:rPr>
          <w:highlight w:val="yellow"/>
        </w:rPr>
      </w:pPr>
      <w:r w:rsidRPr="004F4478">
        <w:rPr>
          <w:highlight w:val="yellow"/>
        </w:rPr>
        <w:t>d'abord en vérifiant si les hypothèses qui régissent le cadre logique sont plausibles (par exemple «pourquoi ou sur la base de quel postulat la formation des parties prenantes devrait-elle entraîner des changements dans leurs pratiques?»);</w:t>
      </w:r>
    </w:p>
    <w:p w:rsidR="00860A11" w:rsidRPr="004F4478" w:rsidRDefault="00860A11" w:rsidP="000610EA">
      <w:pPr>
        <w:pStyle w:val="Hlistbullet"/>
        <w:rPr>
          <w:b/>
          <w:highlight w:val="yellow"/>
        </w:rPr>
      </w:pPr>
      <w:r w:rsidRPr="004F4478">
        <w:rPr>
          <w:highlight w:val="yellow"/>
        </w:rPr>
        <w:t xml:space="preserve">d'autre part, en vérifiant si les activités choisies et les dotations budgétaires pour chaque groupe d'actions sont susceptibles de produire les effets escomptés. </w:t>
      </w:r>
    </w:p>
    <w:p w:rsidR="00860A11" w:rsidRPr="004F4478" w:rsidRDefault="00860A11" w:rsidP="00C72F66">
      <w:pPr>
        <w:pStyle w:val="Heading6"/>
        <w:rPr>
          <w:highlight w:val="yellow"/>
        </w:rPr>
      </w:pPr>
      <w:r w:rsidRPr="004F4478">
        <w:rPr>
          <w:highlight w:val="yellow"/>
        </w:rPr>
        <w:t>Les différences dans l’élaboration des logiques d'intervention des RRN et des PRRN.</w:t>
      </w:r>
    </w:p>
    <w:p w:rsidR="00860A11" w:rsidRPr="004F4478" w:rsidRDefault="00860A11" w:rsidP="00FC0A30">
      <w:pPr>
        <w:pStyle w:val="HStandard"/>
        <w:rPr>
          <w:highlight w:val="yellow"/>
        </w:rPr>
      </w:pPr>
      <w:r w:rsidRPr="004F4478">
        <w:rPr>
          <w:highlight w:val="yellow"/>
        </w:rPr>
        <w:t>On constate quelques différences dans l’élaboration de la logique d'intervention entre le PRRN et le RRN au sein du PDR.</w:t>
      </w:r>
    </w:p>
    <w:p w:rsidR="00860A11" w:rsidRPr="004F4478" w:rsidRDefault="00860A11" w:rsidP="00FC0A30">
      <w:pPr>
        <w:pStyle w:val="HStandard"/>
        <w:rPr>
          <w:highlight w:val="yellow"/>
        </w:rPr>
      </w:pPr>
      <w:r w:rsidRPr="004F4478">
        <w:rPr>
          <w:highlight w:val="yellow"/>
        </w:rPr>
        <w:t>Le RRN prévu au sein du PDR prend en charge un seul programme qui est lié au territoire spécifique (généralement un État membre ou une région dans le cas du Royaume-Uni) et à ses besoins, y compris ceux auxquels le RRN peut répondre. Toutefois, le PRRN</w:t>
      </w:r>
      <w:r>
        <w:rPr>
          <w:highlight w:val="yellow"/>
        </w:rPr>
        <w:t xml:space="preserve"> </w:t>
      </w:r>
      <w:r w:rsidRPr="004F4478">
        <w:rPr>
          <w:highlight w:val="yellow"/>
        </w:rPr>
        <w:t xml:space="preserve">est généralement conçu et mis en œuvre dans les États membres multirégionaux et soutient donc plusieurs PDR régionaux. Ceux-ci peuvent contenir des objectifs spécifiques au programme, qui peuvent différer les uns des autres. Dans ce cas, le PRRN peut être prévu pour créer un champ d'application plus étendu des résultats et des impacts. Ainsi, les objectifs généraux et spécifiques du PRRN devraient être plus étendus. </w:t>
      </w:r>
    </w:p>
    <w:p w:rsidR="00860A11" w:rsidRPr="004F4478" w:rsidRDefault="00860A11" w:rsidP="00C72F66">
      <w:pPr>
        <w:pStyle w:val="Heading6"/>
        <w:rPr>
          <w:highlight w:val="yellow"/>
        </w:rPr>
      </w:pPr>
      <w:r w:rsidRPr="004F4478">
        <w:rPr>
          <w:highlight w:val="yellow"/>
        </w:rPr>
        <w:t xml:space="preserve">Comment élaborer la logique d'intervention du RRN s’il y a seulement un plan d'action de RRN dans le PDR? </w:t>
      </w:r>
    </w:p>
    <w:p w:rsidR="00860A11" w:rsidRPr="004F4478" w:rsidRDefault="00860A11" w:rsidP="00FC0A30">
      <w:pPr>
        <w:pStyle w:val="HStandard"/>
        <w:rPr>
          <w:highlight w:val="yellow"/>
        </w:rPr>
      </w:pPr>
      <w:r w:rsidRPr="004F4478">
        <w:rPr>
          <w:highlight w:val="yellow"/>
        </w:rPr>
        <w:t>Comme mentionné ci-dessus, la logique d'intervention du RRN n’est souvent pas établie avant le début de sa mise en œuvre. Au lieu de cela, seul un plan d'action RRN existe. Dans ce cas, le plan d'action et les quatre objectifs communs sont le point de départ de l’élaboration de la logique d'intervention du RRN. La logique d'intervention peut être élaborée selon les étapes suivantes :</w:t>
      </w:r>
    </w:p>
    <w:p w:rsidR="00860A11" w:rsidRPr="004F4478" w:rsidRDefault="00860A11" w:rsidP="00C72F66">
      <w:pPr>
        <w:pStyle w:val="Hlistbullet"/>
        <w:rPr>
          <w:highlight w:val="yellow"/>
        </w:rPr>
      </w:pPr>
      <w:r w:rsidRPr="004F4478">
        <w:rPr>
          <w:highlight w:val="yellow"/>
        </w:rPr>
        <w:lastRenderedPageBreak/>
        <w:t xml:space="preserve">identifier </w:t>
      </w:r>
      <w:r w:rsidRPr="004F4478">
        <w:rPr>
          <w:b/>
          <w:highlight w:val="yellow"/>
        </w:rPr>
        <w:t>tous</w:t>
      </w:r>
      <w:r w:rsidRPr="004F4478">
        <w:rPr>
          <w:highlight w:val="yellow"/>
        </w:rPr>
        <w:t xml:space="preserve"> les </w:t>
      </w:r>
      <w:r w:rsidRPr="004F4478">
        <w:rPr>
          <w:b/>
          <w:highlight w:val="yellow"/>
        </w:rPr>
        <w:t>groupes d'actions</w:t>
      </w:r>
      <w:r w:rsidRPr="004F4478">
        <w:rPr>
          <w:highlight w:val="yellow"/>
        </w:rPr>
        <w:t xml:space="preserve"> (communs et propres au programme) inclus dans le plan d'action du RRN, </w:t>
      </w:r>
    </w:p>
    <w:p w:rsidR="00860A11" w:rsidRPr="004F4478" w:rsidRDefault="00860A11" w:rsidP="00C72F66">
      <w:pPr>
        <w:pStyle w:val="Hlistbullet"/>
        <w:rPr>
          <w:highlight w:val="yellow"/>
        </w:rPr>
      </w:pPr>
      <w:r w:rsidRPr="004F4478">
        <w:rPr>
          <w:highlight w:val="yellow"/>
        </w:rPr>
        <w:t xml:space="preserve">définir tous les </w:t>
      </w:r>
      <w:r w:rsidRPr="004F4478">
        <w:rPr>
          <w:b/>
          <w:highlight w:val="yellow"/>
        </w:rPr>
        <w:t>résultats attendus</w:t>
      </w:r>
      <w:r w:rsidRPr="004F4478">
        <w:rPr>
          <w:highlight w:val="yellow"/>
        </w:rPr>
        <w:t xml:space="preserve">  et possibles des activités dans chaque groupe d'actions et formuler des </w:t>
      </w:r>
      <w:r w:rsidRPr="004F4478">
        <w:rPr>
          <w:b/>
          <w:highlight w:val="yellow"/>
        </w:rPr>
        <w:t>objectifs opérationnels</w:t>
      </w:r>
      <w:r w:rsidRPr="004F4478">
        <w:rPr>
          <w:highlight w:val="yellow"/>
        </w:rPr>
        <w:t xml:space="preserve"> du </w:t>
      </w:r>
      <w:r w:rsidRPr="004F4478">
        <w:rPr>
          <w:b/>
          <w:highlight w:val="yellow"/>
        </w:rPr>
        <w:t>RRN,</w:t>
      </w:r>
      <w:r w:rsidRPr="004F4478">
        <w:rPr>
          <w:highlight w:val="yellow"/>
        </w:rPr>
        <w:t xml:space="preserve"> liés aux résultats attendus,</w:t>
      </w:r>
    </w:p>
    <w:p w:rsidR="00860A11" w:rsidRPr="004F4478" w:rsidRDefault="00860A11" w:rsidP="00C72F66">
      <w:pPr>
        <w:pStyle w:val="Hlistbullet"/>
        <w:rPr>
          <w:highlight w:val="yellow"/>
        </w:rPr>
      </w:pPr>
      <w:r w:rsidRPr="004F4478">
        <w:rPr>
          <w:highlight w:val="yellow"/>
        </w:rPr>
        <w:t xml:space="preserve">définir les </w:t>
      </w:r>
      <w:r w:rsidRPr="004F4478">
        <w:rPr>
          <w:b/>
          <w:highlight w:val="yellow"/>
        </w:rPr>
        <w:t>résultats et</w:t>
      </w:r>
      <w:r w:rsidRPr="004F4478">
        <w:rPr>
          <w:highlight w:val="yellow"/>
        </w:rPr>
        <w:t xml:space="preserve"> les </w:t>
      </w:r>
      <w:r w:rsidRPr="004F4478">
        <w:rPr>
          <w:b/>
          <w:highlight w:val="yellow"/>
        </w:rPr>
        <w:t>impacts attendus,</w:t>
      </w:r>
      <w:r w:rsidRPr="004F4478">
        <w:rPr>
          <w:highlight w:val="yellow"/>
        </w:rPr>
        <w:t xml:space="preserve"> les réalisations qui devraient découler de la chaîne de réalisations - résultats - impacts (voir aussi des exemples de chaînes de réalisations - résultats - impacts pour les groupes d'actions communes dans la </w:t>
      </w:r>
      <w:r w:rsidRPr="004F4478">
        <w:rPr>
          <w:b/>
          <w:color w:val="E7E6E6" w:themeColor="background2"/>
          <w:highlight w:val="yellow"/>
        </w:rPr>
        <w:t>Partie III</w:t>
      </w:r>
      <w:r w:rsidRPr="004F4478">
        <w:rPr>
          <w:highlight w:val="yellow"/>
        </w:rPr>
        <w:t xml:space="preserve"> des lignes directrices), </w:t>
      </w:r>
    </w:p>
    <w:p w:rsidR="00860A11" w:rsidRPr="004F4478" w:rsidRDefault="00860A11" w:rsidP="00C72F66">
      <w:pPr>
        <w:pStyle w:val="Hlistbullet"/>
        <w:rPr>
          <w:highlight w:val="yellow"/>
        </w:rPr>
      </w:pPr>
      <w:r w:rsidRPr="004F4478">
        <w:rPr>
          <w:highlight w:val="yellow"/>
        </w:rPr>
        <w:t xml:space="preserve">formuler des </w:t>
      </w:r>
      <w:r w:rsidRPr="004F4478">
        <w:rPr>
          <w:b/>
          <w:highlight w:val="yellow"/>
        </w:rPr>
        <w:t>objectifs spécifiques du RRN</w:t>
      </w:r>
      <w:r w:rsidRPr="004F4478">
        <w:rPr>
          <w:highlight w:val="yellow"/>
        </w:rPr>
        <w:t xml:space="preserve"> propres au programme en fonction des résultats attendus, </w:t>
      </w:r>
    </w:p>
    <w:p w:rsidR="00860A11" w:rsidRPr="004F4478" w:rsidRDefault="00860A11" w:rsidP="00C72F66">
      <w:pPr>
        <w:pStyle w:val="Hlistbullet"/>
        <w:rPr>
          <w:highlight w:val="yellow"/>
        </w:rPr>
      </w:pPr>
      <w:r w:rsidRPr="004F4478">
        <w:rPr>
          <w:highlight w:val="yellow"/>
        </w:rPr>
        <w:t xml:space="preserve">relier des </w:t>
      </w:r>
      <w:r w:rsidRPr="004F4478">
        <w:rPr>
          <w:b/>
          <w:highlight w:val="yellow"/>
        </w:rPr>
        <w:t>impacts</w:t>
      </w:r>
      <w:r w:rsidRPr="004F4478">
        <w:rPr>
          <w:highlight w:val="yellow"/>
        </w:rPr>
        <w:t xml:space="preserve"> attendus </w:t>
      </w:r>
      <w:r w:rsidRPr="004F4478">
        <w:rPr>
          <w:b/>
          <w:highlight w:val="yellow"/>
        </w:rPr>
        <w:t>aux quatre objectifs communs</w:t>
      </w:r>
      <w:r w:rsidRPr="004F4478">
        <w:rPr>
          <w:highlight w:val="yellow"/>
        </w:rPr>
        <w:t xml:space="preserve"> et formuler des </w:t>
      </w:r>
      <w:r w:rsidRPr="004F4478">
        <w:rPr>
          <w:b/>
          <w:highlight w:val="yellow"/>
        </w:rPr>
        <w:t>objectifs généraux de RRN</w:t>
      </w:r>
      <w:r w:rsidRPr="004F4478">
        <w:rPr>
          <w:highlight w:val="yellow"/>
        </w:rPr>
        <w:t xml:space="preserve"> propres au programme si les impacts identifiés ne peuvent être liés à aucun des quatre objectifs communs, </w:t>
      </w:r>
    </w:p>
    <w:p w:rsidR="00860A11" w:rsidRPr="004F4478" w:rsidRDefault="00860A11" w:rsidP="00C72F66">
      <w:pPr>
        <w:pStyle w:val="Hlistbullet"/>
        <w:rPr>
          <w:highlight w:val="yellow"/>
        </w:rPr>
      </w:pPr>
      <w:r w:rsidRPr="004F4478">
        <w:rPr>
          <w:b/>
          <w:highlight w:val="yellow"/>
        </w:rPr>
        <w:t>vérifier la cohérence horizontale et verticale</w:t>
      </w:r>
      <w:r w:rsidRPr="004F4478">
        <w:t xml:space="preserve"> </w:t>
      </w:r>
      <w:r w:rsidRPr="004F4478">
        <w:rPr>
          <w:highlight w:val="yellow"/>
        </w:rPr>
        <w:t>entre les activités de RRN,</w:t>
      </w:r>
      <w:r w:rsidRPr="004F4478">
        <w:t xml:space="preserve"> les </w:t>
      </w:r>
      <w:r w:rsidRPr="004F4478">
        <w:rPr>
          <w:highlight w:val="yellow"/>
        </w:rPr>
        <w:t>réalisations,</w:t>
      </w:r>
      <w:r w:rsidRPr="004F4478">
        <w:t xml:space="preserve"> </w:t>
      </w:r>
      <w:r w:rsidRPr="004F4478">
        <w:rPr>
          <w:highlight w:val="yellow"/>
        </w:rPr>
        <w:t>résultats et impacts attendus et</w:t>
      </w:r>
      <w:r w:rsidRPr="004F4478">
        <w:t xml:space="preserve"> les </w:t>
      </w:r>
      <w:r w:rsidRPr="004F4478">
        <w:rPr>
          <w:highlight w:val="yellow"/>
        </w:rPr>
        <w:t xml:space="preserve">objectifs du RRN (voir </w:t>
      </w:r>
      <w:r w:rsidRPr="004F4478">
        <w:rPr>
          <w:highlight w:val="yellow"/>
        </w:rPr>
        <w:fldChar w:fldCharType="begin" w:fldLock="1"/>
      </w:r>
      <w:r w:rsidRPr="004F4478">
        <w:rPr>
          <w:highlight w:val="yellow"/>
        </w:rPr>
        <w:instrText xml:space="preserve"> REF _Ref451784593 \r \h  \* MERGEFORMAT </w:instrText>
      </w:r>
      <w:r w:rsidRPr="004F4478">
        <w:rPr>
          <w:highlight w:val="yellow"/>
        </w:rPr>
      </w:r>
      <w:r w:rsidRPr="004F4478">
        <w:rPr>
          <w:highlight w:val="yellow"/>
        </w:rPr>
        <w:fldChar w:fldCharType="separate"/>
      </w:r>
      <w:r>
        <w:rPr>
          <w:highlight w:val="yellow"/>
        </w:rPr>
        <w:t>f</w:t>
      </w:r>
      <w:r w:rsidRPr="004F4478">
        <w:rPr>
          <w:highlight w:val="yellow"/>
        </w:rPr>
        <w:t>igure 6</w:t>
      </w:r>
      <w:r w:rsidRPr="004F4478">
        <w:rPr>
          <w:highlight w:val="yellow"/>
        </w:rPr>
        <w:fldChar w:fldCharType="end"/>
      </w:r>
      <w:r w:rsidRPr="004F4478">
        <w:rPr>
          <w:highlight w:val="yellow"/>
        </w:rPr>
        <w:t>).</w:t>
      </w:r>
    </w:p>
    <w:p w:rsidR="00860A11" w:rsidRPr="004F4478" w:rsidRDefault="00860A11" w:rsidP="00FC0A30">
      <w:pPr>
        <w:pStyle w:val="HStandard"/>
        <w:rPr>
          <w:highlight w:val="yellow"/>
        </w:rPr>
      </w:pPr>
      <w:r w:rsidRPr="004F4478">
        <w:t xml:space="preserve">La </w:t>
      </w:r>
      <w:r w:rsidRPr="004F4478">
        <w:rPr>
          <w:highlight w:val="yellow"/>
        </w:rPr>
        <w:fldChar w:fldCharType="begin" w:fldLock="1"/>
      </w:r>
      <w:r w:rsidRPr="004F4478">
        <w:rPr>
          <w:highlight w:val="yellow"/>
        </w:rPr>
        <w:instrText xml:space="preserve"> REF _Ref451784607 \r \h  \* MERGEFORMAT </w:instrText>
      </w:r>
      <w:r w:rsidRPr="004F4478">
        <w:rPr>
          <w:highlight w:val="yellow"/>
        </w:rPr>
      </w:r>
      <w:r w:rsidRPr="004F4478">
        <w:rPr>
          <w:highlight w:val="yellow"/>
        </w:rPr>
        <w:fldChar w:fldCharType="separate"/>
      </w:r>
      <w:r>
        <w:rPr>
          <w:highlight w:val="yellow"/>
        </w:rPr>
        <w:t>f</w:t>
      </w:r>
      <w:r w:rsidRPr="004F4478">
        <w:rPr>
          <w:highlight w:val="yellow"/>
        </w:rPr>
        <w:t>igure 12</w:t>
      </w:r>
      <w:r w:rsidRPr="004F4478">
        <w:rPr>
          <w:highlight w:val="yellow"/>
        </w:rPr>
        <w:fldChar w:fldCharType="end"/>
      </w:r>
      <w:r w:rsidRPr="004F4478">
        <w:t xml:space="preserve"> </w:t>
      </w:r>
      <w:r w:rsidRPr="004F4478">
        <w:rPr>
          <w:highlight w:val="yellow"/>
        </w:rPr>
        <w:t>ci</w:t>
      </w:r>
      <w:r w:rsidRPr="004F4478">
        <w:t>-</w:t>
      </w:r>
      <w:r w:rsidRPr="004F4478">
        <w:rPr>
          <w:highlight w:val="yellow"/>
        </w:rPr>
        <w:t>dessus peut également être utilisée pour illustrer le développement de la logique d'intervention du RRN sur la base du plan d'action du RRN.</w:t>
      </w:r>
    </w:p>
    <w:p w:rsidR="00860A11" w:rsidRPr="004F4478" w:rsidRDefault="00860A11" w:rsidP="00FC0A30">
      <w:pPr>
        <w:pStyle w:val="HHeading5"/>
        <w:rPr>
          <w:highlight w:val="yellow"/>
        </w:rPr>
      </w:pPr>
      <w:r w:rsidRPr="004F4478">
        <w:rPr>
          <w:highlight w:val="yellow"/>
        </w:rPr>
        <w:t xml:space="preserve">Étape 2 - Revoir / formuler  les questions et indicateurs d'évaluation des RRN et vérifier leur cohérence avec la logique d'intervention </w:t>
      </w:r>
    </w:p>
    <w:p w:rsidR="00860A11" w:rsidRPr="004F4478" w:rsidRDefault="00860A11" w:rsidP="00FC0A30">
      <w:pPr>
        <w:pStyle w:val="HStandard"/>
        <w:rPr>
          <w:highlight w:val="yellow"/>
        </w:rPr>
      </w:pPr>
      <w:r w:rsidRPr="004F4478">
        <w:rPr>
          <w:highlight w:val="yellow"/>
        </w:rPr>
        <w:t xml:space="preserve">Cette étape inclut l'examen des éléments existants du RRN communs et propres au programme d'évaluation (questions et indicateurs d'évaluation) et le développement de nouveaux éléments d'évaluation.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860A11" w:rsidRPr="004F4478" w:rsidTr="00D322AA">
        <w:tc>
          <w:tcPr>
            <w:tcW w:w="9016" w:type="dxa"/>
            <w:shd w:val="clear" w:color="auto" w:fill="F5F4F4" w:themeFill="background2" w:themeFillTint="66"/>
          </w:tcPr>
          <w:p w:rsidR="00860A11" w:rsidRPr="004F4478" w:rsidRDefault="00860A11" w:rsidP="00FC0A30">
            <w:pPr>
              <w:pStyle w:val="HStandard"/>
              <w:rPr>
                <w:highlight w:val="yellow"/>
              </w:rPr>
            </w:pPr>
            <w:r w:rsidRPr="004F4478">
              <w:rPr>
                <w:highlight w:val="yellow"/>
              </w:rPr>
              <w:t>Lors de l'examen ou de la formulation des questions et des indicateurs d'évaluation les questions d'orientation suivantes devraient être examinées:</w:t>
            </w:r>
          </w:p>
          <w:p w:rsidR="00860A11" w:rsidRPr="004F4478" w:rsidRDefault="00860A11" w:rsidP="00860A11">
            <w:pPr>
              <w:pStyle w:val="Hlistbullet"/>
              <w:tabs>
                <w:tab w:val="left" w:pos="567"/>
              </w:tabs>
              <w:rPr>
                <w:highlight w:val="yellow"/>
              </w:rPr>
            </w:pPr>
            <w:r w:rsidRPr="004F4478">
              <w:rPr>
                <w:highlight w:val="yellow"/>
              </w:rPr>
              <w:t>Quelles questions permettent d’évaluer le succès du RRN?</w:t>
            </w:r>
          </w:p>
          <w:p w:rsidR="00860A11" w:rsidRPr="004F4478" w:rsidRDefault="00860A11" w:rsidP="00860A11">
            <w:pPr>
              <w:pStyle w:val="Hlistbullet"/>
              <w:tabs>
                <w:tab w:val="left" w:pos="567"/>
              </w:tabs>
              <w:rPr>
                <w:highlight w:val="yellow"/>
              </w:rPr>
            </w:pPr>
            <w:r w:rsidRPr="004F4478">
              <w:rPr>
                <w:highlight w:val="yellow"/>
              </w:rPr>
              <w:t>Sur quels critères les jugements sont-ils fondés?</w:t>
            </w:r>
          </w:p>
          <w:p w:rsidR="00860A11" w:rsidRPr="004F4478" w:rsidRDefault="00860A11" w:rsidP="00860A11">
            <w:pPr>
              <w:pStyle w:val="Hlistbullet2"/>
              <w:tabs>
                <w:tab w:val="left" w:pos="567"/>
              </w:tabs>
              <w:rPr>
                <w:highlight w:val="yellow"/>
              </w:rPr>
            </w:pPr>
            <w:r w:rsidRPr="004F4478">
              <w:rPr>
                <w:highlight w:val="yellow"/>
              </w:rPr>
              <w:t>Quels indicateurs devraient être utilisés pour répondre aux questions d'évaluation? Suffisent-ils à recueillir de solides preuves?</w:t>
            </w:r>
          </w:p>
        </w:tc>
      </w:tr>
    </w:tbl>
    <w:p w:rsidR="00860A11" w:rsidRPr="004F4478" w:rsidRDefault="00860A11" w:rsidP="00FC0A30">
      <w:pPr>
        <w:pStyle w:val="HStandard"/>
        <w:rPr>
          <w:highlight w:val="yellow"/>
        </w:rPr>
      </w:pPr>
      <w:r w:rsidRPr="004F4478">
        <w:rPr>
          <w:highlight w:val="yellow"/>
        </w:rPr>
        <w:t xml:space="preserve">Cette étape se déroule dans </w:t>
      </w:r>
      <w:r w:rsidRPr="004F4478">
        <w:rPr>
          <w:b/>
          <w:highlight w:val="yellow"/>
        </w:rPr>
        <w:t>l'ordre suivant:</w:t>
      </w:r>
      <w:r w:rsidRPr="004F4478">
        <w:rPr>
          <w:highlight w:val="yellow"/>
        </w:rPr>
        <w:t xml:space="preserve">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860A11" w:rsidRPr="004F4478" w:rsidTr="00BE6F49">
        <w:tc>
          <w:tcPr>
            <w:tcW w:w="988" w:type="dxa"/>
            <w:shd w:val="clear" w:color="auto" w:fill="E7E6E6" w:themeFill="background2"/>
          </w:tcPr>
          <w:p w:rsidR="00860A11" w:rsidRPr="004F4478" w:rsidRDefault="00860A11" w:rsidP="00BE6F49">
            <w:pPr>
              <w:pStyle w:val="HStandard"/>
              <w:jc w:val="center"/>
              <w:rPr>
                <w:b/>
                <w:color w:val="FFFFFF"/>
                <w:sz w:val="18"/>
                <w:szCs w:val="18"/>
                <w:highlight w:val="yellow"/>
              </w:rPr>
            </w:pPr>
            <w:r w:rsidRPr="004F4478">
              <w:rPr>
                <w:b/>
                <w:color w:val="FFFFFF"/>
                <w:sz w:val="18"/>
                <w:highlight w:val="yellow"/>
              </w:rPr>
              <w:t>a.</w:t>
            </w:r>
          </w:p>
        </w:tc>
        <w:tc>
          <w:tcPr>
            <w:tcW w:w="8028" w:type="dxa"/>
          </w:tcPr>
          <w:p w:rsidR="00860A11" w:rsidRPr="004F4478" w:rsidRDefault="00860A11" w:rsidP="00BE6F49">
            <w:pPr>
              <w:pStyle w:val="Hlistbullet"/>
              <w:numPr>
                <w:ilvl w:val="0"/>
                <w:numId w:val="0"/>
              </w:numPr>
              <w:spacing w:before="0" w:line="280" w:lineRule="atLeast"/>
              <w:jc w:val="left"/>
              <w:rPr>
                <w:sz w:val="18"/>
                <w:szCs w:val="18"/>
                <w:highlight w:val="yellow"/>
              </w:rPr>
            </w:pPr>
            <w:r w:rsidRPr="004F4478">
              <w:rPr>
                <w:sz w:val="18"/>
                <w:highlight w:val="yellow"/>
              </w:rPr>
              <w:t>Réexaminer les questions d'évaluation existantes et élaborer les questions d'évaluation spécifiques du programme de RRN.</w:t>
            </w:r>
          </w:p>
        </w:tc>
      </w:tr>
      <w:tr w:rsidR="00860A11" w:rsidRPr="004F4478" w:rsidTr="00BE6F49">
        <w:tc>
          <w:tcPr>
            <w:tcW w:w="988" w:type="dxa"/>
            <w:shd w:val="clear" w:color="auto" w:fill="E7E6E6" w:themeFill="background2"/>
          </w:tcPr>
          <w:p w:rsidR="00860A11" w:rsidRPr="004F4478" w:rsidRDefault="00860A11" w:rsidP="00BE6F49">
            <w:pPr>
              <w:pStyle w:val="HStandard"/>
              <w:jc w:val="center"/>
              <w:rPr>
                <w:b/>
                <w:color w:val="FFFFFF"/>
                <w:sz w:val="18"/>
                <w:szCs w:val="18"/>
                <w:highlight w:val="yellow"/>
              </w:rPr>
            </w:pPr>
            <w:r w:rsidRPr="004F4478">
              <w:rPr>
                <w:b/>
                <w:color w:val="FFFFFF"/>
                <w:sz w:val="18"/>
                <w:highlight w:val="yellow"/>
              </w:rPr>
              <w:t>b.</w:t>
            </w:r>
          </w:p>
        </w:tc>
        <w:tc>
          <w:tcPr>
            <w:tcW w:w="8028" w:type="dxa"/>
          </w:tcPr>
          <w:p w:rsidR="00860A11" w:rsidRPr="004F4478" w:rsidRDefault="00860A11" w:rsidP="00BE6F49">
            <w:pPr>
              <w:pStyle w:val="HStandard"/>
              <w:rPr>
                <w:sz w:val="18"/>
                <w:szCs w:val="18"/>
                <w:highlight w:val="yellow"/>
              </w:rPr>
            </w:pPr>
            <w:r w:rsidRPr="004F4478">
              <w:rPr>
                <w:sz w:val="18"/>
                <w:highlight w:val="yellow"/>
              </w:rPr>
              <w:t>Formuler des critères d’évaluation propres au succès des interventions de RRN et mettre l’accent sur le type de réponses aux questions d'évaluation.</w:t>
            </w:r>
          </w:p>
        </w:tc>
      </w:tr>
      <w:tr w:rsidR="00860A11" w:rsidRPr="004F4478" w:rsidTr="00BE6F49">
        <w:tc>
          <w:tcPr>
            <w:tcW w:w="988" w:type="dxa"/>
            <w:shd w:val="clear" w:color="auto" w:fill="E7E6E6" w:themeFill="background2"/>
          </w:tcPr>
          <w:p w:rsidR="00860A11" w:rsidRPr="004F4478" w:rsidRDefault="00860A11" w:rsidP="00BE6F49">
            <w:pPr>
              <w:pStyle w:val="HStandard"/>
              <w:jc w:val="center"/>
              <w:rPr>
                <w:b/>
                <w:color w:val="FFFFFF"/>
                <w:sz w:val="18"/>
                <w:szCs w:val="18"/>
                <w:highlight w:val="yellow"/>
              </w:rPr>
            </w:pPr>
            <w:r w:rsidRPr="004F4478">
              <w:rPr>
                <w:b/>
                <w:color w:val="FFFFFF"/>
                <w:sz w:val="18"/>
                <w:highlight w:val="yellow"/>
              </w:rPr>
              <w:t>c.</w:t>
            </w:r>
          </w:p>
        </w:tc>
        <w:tc>
          <w:tcPr>
            <w:tcW w:w="8028" w:type="dxa"/>
          </w:tcPr>
          <w:p w:rsidR="00860A11" w:rsidRPr="004F4478" w:rsidRDefault="00860A11" w:rsidP="00BE6F49">
            <w:pPr>
              <w:pStyle w:val="Hlistbullet"/>
              <w:numPr>
                <w:ilvl w:val="0"/>
                <w:numId w:val="0"/>
              </w:numPr>
              <w:spacing w:before="0" w:line="280" w:lineRule="atLeast"/>
              <w:jc w:val="left"/>
              <w:rPr>
                <w:sz w:val="18"/>
                <w:szCs w:val="18"/>
                <w:highlight w:val="yellow"/>
              </w:rPr>
            </w:pPr>
            <w:r w:rsidRPr="004F4478">
              <w:rPr>
                <w:sz w:val="18"/>
                <w:highlight w:val="yellow"/>
              </w:rPr>
              <w:t xml:space="preserve">Formuler les indicateurs de résultats et d’impacts spécifiques au programme de RRN. </w:t>
            </w:r>
          </w:p>
        </w:tc>
      </w:tr>
      <w:tr w:rsidR="00860A11" w:rsidRPr="004F4478" w:rsidTr="00BE6F49">
        <w:tc>
          <w:tcPr>
            <w:tcW w:w="988" w:type="dxa"/>
            <w:shd w:val="clear" w:color="auto" w:fill="E7E6E6" w:themeFill="background2"/>
          </w:tcPr>
          <w:p w:rsidR="00860A11" w:rsidRPr="004F4478" w:rsidRDefault="00860A11" w:rsidP="00BE6F49">
            <w:pPr>
              <w:pStyle w:val="HStandard"/>
              <w:jc w:val="center"/>
              <w:rPr>
                <w:b/>
                <w:color w:val="FFFFFF"/>
                <w:sz w:val="18"/>
                <w:szCs w:val="18"/>
                <w:highlight w:val="yellow"/>
              </w:rPr>
            </w:pPr>
            <w:r w:rsidRPr="004F4478">
              <w:rPr>
                <w:b/>
                <w:color w:val="FFFFFF"/>
                <w:sz w:val="18"/>
                <w:highlight w:val="yellow"/>
              </w:rPr>
              <w:t>d.</w:t>
            </w:r>
          </w:p>
        </w:tc>
        <w:tc>
          <w:tcPr>
            <w:tcW w:w="8028" w:type="dxa"/>
          </w:tcPr>
          <w:p w:rsidR="00860A11" w:rsidRPr="004F4478" w:rsidRDefault="00860A11" w:rsidP="00BE6F49">
            <w:pPr>
              <w:pStyle w:val="Hlistbullet"/>
              <w:numPr>
                <w:ilvl w:val="0"/>
                <w:numId w:val="0"/>
              </w:numPr>
              <w:tabs>
                <w:tab w:val="left" w:pos="317"/>
              </w:tabs>
              <w:spacing w:before="0" w:line="280" w:lineRule="atLeast"/>
              <w:jc w:val="left"/>
              <w:rPr>
                <w:sz w:val="18"/>
                <w:szCs w:val="18"/>
                <w:highlight w:val="yellow"/>
              </w:rPr>
            </w:pPr>
            <w:r w:rsidRPr="004F4478">
              <w:rPr>
                <w:sz w:val="18"/>
                <w:highlight w:val="yellow"/>
              </w:rPr>
              <w:t>Vérifier la cohérence des éléments d'évaluation des RRN avec la logique d'intervention des RRN.</w:t>
            </w:r>
          </w:p>
        </w:tc>
      </w:tr>
      <w:tr w:rsidR="00860A11" w:rsidRPr="004F4478" w:rsidTr="00BE6F49">
        <w:tc>
          <w:tcPr>
            <w:tcW w:w="9016" w:type="dxa"/>
            <w:gridSpan w:val="2"/>
            <w:shd w:val="clear" w:color="auto" w:fill="auto"/>
          </w:tcPr>
          <w:p w:rsidR="00860A11" w:rsidRPr="004F4478" w:rsidRDefault="00860A11" w:rsidP="00BE6F49">
            <w:pPr>
              <w:pStyle w:val="HStandard"/>
              <w:jc w:val="left"/>
              <w:rPr>
                <w:sz w:val="18"/>
                <w:szCs w:val="18"/>
                <w:highlight w:val="yellow"/>
              </w:rPr>
            </w:pPr>
            <w:r w:rsidRPr="004F4478">
              <w:rPr>
                <w:b/>
                <w:sz w:val="18"/>
                <w:highlight w:val="yellow"/>
              </w:rPr>
              <w:t>Effets escomptés:</w:t>
            </w:r>
            <w:r w:rsidRPr="004F4478">
              <w:rPr>
                <w:sz w:val="18"/>
                <w:highlight w:val="yellow"/>
              </w:rPr>
              <w:t xml:space="preserve"> un cadre cohérent de suivi et d'évaluation des RRN </w:t>
            </w:r>
          </w:p>
        </w:tc>
      </w:tr>
    </w:tbl>
    <w:p w:rsidR="00860A11" w:rsidRPr="004F4478" w:rsidRDefault="00860A11" w:rsidP="00D322AA">
      <w:pPr>
        <w:pStyle w:val="Heading6"/>
        <w:rPr>
          <w:highlight w:val="yellow"/>
        </w:rPr>
      </w:pPr>
      <w:r w:rsidRPr="004F4478">
        <w:rPr>
          <w:highlight w:val="yellow"/>
        </w:rPr>
        <w:t>Questions d’évaluation</w:t>
      </w:r>
      <w:r>
        <w:rPr>
          <w:highlight w:val="yellow"/>
        </w:rPr>
        <w:t xml:space="preserve"> communes et</w:t>
      </w:r>
      <w:r w:rsidRPr="004F4478">
        <w:rPr>
          <w:highlight w:val="yellow"/>
        </w:rPr>
        <w:t xml:space="preserve"> liées aux programmes des RRN </w:t>
      </w:r>
    </w:p>
    <w:p w:rsidR="00860A11" w:rsidRPr="004F4478" w:rsidRDefault="00860A11" w:rsidP="00FC0A30">
      <w:pPr>
        <w:pStyle w:val="HStandard"/>
        <w:rPr>
          <w:highlight w:val="yellow"/>
        </w:rPr>
      </w:pPr>
      <w:r w:rsidRPr="004F4478">
        <w:rPr>
          <w:highlight w:val="yellow"/>
        </w:rPr>
        <w:t xml:space="preserve">Une fois que les besoins et les sujets d'évaluation ont été définis, les responsables du lancement (MA ou NSU), en collaboration avec d'autres acteurs (l'unité d'évaluation des RRN au ministère, et éventuellement le groupe de pilotage) devraient tenir compte des objectifs et des effets attendus du RRN et réfléchir à la manière dont les informations sur les réalisations et les effets du RRN peuvent être obtenues. Pour cela, on doit poser des questions d'évaluation (EQ) appropriées  </w:t>
      </w:r>
      <w:r w:rsidRPr="004F4478">
        <w:rPr>
          <w:rFonts w:ascii="ZWAdobeF" w:hAnsi="ZWAdobeF"/>
          <w:color w:val="auto"/>
          <w:sz w:val="2"/>
          <w:highlight w:val="yellow"/>
        </w:rPr>
        <w:t xml:space="preserve">72F </w:t>
      </w:r>
      <w:r w:rsidRPr="004F4478">
        <w:rPr>
          <w:rStyle w:val="FootnoteReference"/>
          <w:highlight w:val="yellow"/>
        </w:rPr>
        <w:footnoteReference w:id="73"/>
      </w:r>
      <w:r w:rsidRPr="004F4478">
        <w:rPr>
          <w:highlight w:val="yellow"/>
        </w:rPr>
        <w:t xml:space="preserve"> portant sur les </w:t>
      </w:r>
      <w:r w:rsidRPr="004F4478">
        <w:rPr>
          <w:highlight w:val="yellow"/>
        </w:rPr>
        <w:lastRenderedPageBreak/>
        <w:t xml:space="preserve">objectifs communs ou spécifiques du programme de RRN. Les questions d’évaluation (EQ) définissent l'objet de l'évaluation et orientent ainsi le travail de l'évaluateur. </w:t>
      </w:r>
    </w:p>
    <w:p w:rsidR="00860A11" w:rsidRPr="004F4478" w:rsidRDefault="00860A11" w:rsidP="00FC0A30">
      <w:pPr>
        <w:pStyle w:val="HStandard"/>
        <w:rPr>
          <w:highlight w:val="yellow"/>
        </w:rPr>
      </w:pPr>
      <w:r w:rsidRPr="004F4478">
        <w:rPr>
          <w:highlight w:val="yellow"/>
        </w:rPr>
        <w:t xml:space="preserve">Au niveau de l'UE, il n'y a qu'une EQ commune pour évaluer le RRN et le PRRN </w:t>
      </w:r>
      <w:r w:rsidRPr="004F4478">
        <w:rPr>
          <w:rFonts w:ascii="ZWAdobeF" w:hAnsi="ZWAdobeF"/>
          <w:color w:val="auto"/>
          <w:sz w:val="2"/>
          <w:highlight w:val="yellow"/>
        </w:rPr>
        <w:t xml:space="preserve">73F </w:t>
      </w:r>
      <w:r w:rsidRPr="004F4478">
        <w:rPr>
          <w:rStyle w:val="FootnoteReference"/>
          <w:highlight w:val="yellow"/>
        </w:rPr>
        <w:footnoteReference w:id="74"/>
      </w:r>
      <w:r w:rsidRPr="004F4478">
        <w:rPr>
          <w:highlight w:val="yellow"/>
        </w:rPr>
        <w:t>:</w:t>
      </w:r>
    </w:p>
    <w:p w:rsidR="00860A11" w:rsidRPr="004F4478" w:rsidRDefault="00860A11" w:rsidP="00FC0A30">
      <w:pPr>
        <w:pStyle w:val="HStandard"/>
        <w:rPr>
          <w:highlight w:val="yellow"/>
        </w:rPr>
      </w:pPr>
      <w:r w:rsidRPr="004F4478">
        <w:rPr>
          <w:highlight w:val="yellow"/>
        </w:rPr>
        <w:t>«Dans quelle mesure le réseau rural national a-t-il contribué à la réalisation des objectifs de l’article 59 du règlement (UE) n° 1303/2013 et de l’article 51, paragraphe 2 du règlement (UE) n° 1305/2013?»</w:t>
      </w:r>
    </w:p>
    <w:p w:rsidR="00860A11" w:rsidRPr="004F4478" w:rsidRDefault="00860A11" w:rsidP="00FC0A30">
      <w:pPr>
        <w:pStyle w:val="HStandard"/>
        <w:rPr>
          <w:highlight w:val="yellow"/>
        </w:rPr>
      </w:pPr>
      <w:r w:rsidRPr="004F4478">
        <w:rPr>
          <w:highlight w:val="yellow"/>
        </w:rPr>
        <w:t xml:space="preserve">La question d'évaluation commune ci-dessus est liée aux quatre objectifs politiques communs des RRN. Elle sert de plateforme commune pour évaluer les avantages des RRN dans l'UE. Elle permet également de comparer les réalisations des RRN entre les États membres de l'UE. Elle peut être décomposée en quatre questions d'évaluation, chacune d’entre elles demandant dans quelle mesure chacun des objectifs communs a été atteint. </w:t>
      </w:r>
    </w:p>
    <w:p w:rsidR="00860A11" w:rsidRPr="004F4478" w:rsidRDefault="00860A11" w:rsidP="00FC0A30">
      <w:pPr>
        <w:pStyle w:val="HStandard"/>
        <w:rPr>
          <w:highlight w:val="yellow"/>
        </w:rPr>
      </w:pPr>
      <w:r w:rsidRPr="004F4478">
        <w:rPr>
          <w:highlight w:val="yellow"/>
        </w:rPr>
        <w:t xml:space="preserve">Tout en gardant à l'esprit que le PRRN devrait améliorer le déploiement des programmes de développement rural, dans l’évaluation des (P)RRN on devrait également demander dans quelle mesure les RRN ont contribué à la réalisation des objectifs du PDR, dont voici des exemples: favoriser le transfert des connaissances et l'innovation dans l'agriculture, la sylviculture et les zones rurales, ou renforcer les liens entre l'agriculture, la transformation des aliments, la sylviculture ainsi que la recherche et l'innovation. </w:t>
      </w:r>
    </w:p>
    <w:p w:rsidR="00860A11" w:rsidRPr="004F4478" w:rsidRDefault="00860A11" w:rsidP="00FC0A30">
      <w:pPr>
        <w:pStyle w:val="HStandard"/>
        <w:rPr>
          <w:highlight w:val="yellow"/>
        </w:rPr>
      </w:pPr>
      <w:r w:rsidRPr="004F4478">
        <w:rPr>
          <w:highlight w:val="yellow"/>
        </w:rPr>
        <w:t>Outre la question d'évaluation commune des RRN, les MA et NSU / RRN sont encouragés à élaborer des questionnaires d'évaluation spécifiques au programme reflétant les spécificités de chaque (P)RRN et les effets spécifiques attendus du RRN. L’élaboration de questionnaires d'évaluation propres au programme devrait suivre les objectifs spécifiques des programmes de RRN, inclus dans la logique d'intervention des RRN.</w:t>
      </w:r>
    </w:p>
    <w:p w:rsidR="00860A11" w:rsidRPr="004F4478" w:rsidRDefault="00860A11" w:rsidP="00FC0A30">
      <w:pPr>
        <w:pStyle w:val="HStandard"/>
        <w:rPr>
          <w:highlight w:val="yellow"/>
        </w:rPr>
      </w:pPr>
      <w:r w:rsidRPr="004F4478">
        <w:rPr>
          <w:highlight w:val="yellow"/>
        </w:rPr>
        <w:t>Pour être cohérent avec les objectifs du RRN, les questions d'évaluation propres au programme RRN devraient employer une terminologie qui reflète le contenu de l'objectif. Par exemple:</w:t>
      </w:r>
    </w:p>
    <w:p w:rsidR="00860A11" w:rsidRPr="004F4478" w:rsidRDefault="00860A11" w:rsidP="00975D9B">
      <w:pPr>
        <w:pStyle w:val="Hlistbullet2"/>
        <w:rPr>
          <w:highlight w:val="yellow"/>
        </w:rPr>
      </w:pPr>
      <w:r w:rsidRPr="004F4478">
        <w:rPr>
          <w:highlight w:val="yellow"/>
        </w:rPr>
        <w:t>Au niveau des réalisations, les questions d'évaluation propres au programme devraient représenter les intérêts des groupes d'actions et refléter les résultats attendus des interventions de RRN pour atteindre les objectifs opérationnels. Ainsi une question d'évaluation propre au programme serait «combien de réalisations immédiates (comme les échanges thématiques dans l'exemple ci-dessus) ont été obtenues grâce à des activités de RRN?»</w:t>
      </w:r>
    </w:p>
    <w:p w:rsidR="00860A11" w:rsidRPr="004F4478" w:rsidRDefault="00860A11" w:rsidP="00975D9B">
      <w:pPr>
        <w:pStyle w:val="Hlistbullet2"/>
        <w:rPr>
          <w:highlight w:val="yellow"/>
        </w:rPr>
      </w:pPr>
      <w:r w:rsidRPr="004F4478">
        <w:rPr>
          <w:highlight w:val="yellow"/>
        </w:rPr>
        <w:t>Au niveau des résultats, les questions d'évaluation spécifiques au programme devraient refléter la réalisation des objectifs spécifiques du RRN. Elles devraient montrer les effets du RRN sur le changement attendu pour les bénéficiaires, par exemple, «dans quelle mesure les activités du RRN ont entraîné un changement (une collaboration accrue dans l'exemple ci-dessus)?»</w:t>
      </w:r>
    </w:p>
    <w:p w:rsidR="00860A11" w:rsidRPr="004F4478" w:rsidRDefault="00860A11" w:rsidP="00975D9B">
      <w:pPr>
        <w:pStyle w:val="Hlistbullet2"/>
        <w:rPr>
          <w:highlight w:val="yellow"/>
        </w:rPr>
      </w:pPr>
      <w:r w:rsidRPr="004F4478">
        <w:rPr>
          <w:highlight w:val="yellow"/>
        </w:rPr>
        <w:t>Au niveau des impacts, les questions d'évaluation spécifiques du programme doivent refléter la réalisation des objectifs généraux et les changements dans la zone de programmation. Elles devraient permettre d’attribuer les changements constatés aux interventions des RRN. Par exemple, «dans quelle mesure le RRN a-t-il contribué au changement observé de la variable cible (promotion de l'innovation dans l'exemple ci-dessus) dans la zone du programme?»</w:t>
      </w:r>
    </w:p>
    <w:p w:rsidR="00860A11" w:rsidRPr="004F4478" w:rsidRDefault="00860A11" w:rsidP="00FC0A30">
      <w:pPr>
        <w:pStyle w:val="HStandard"/>
        <w:rPr>
          <w:highlight w:val="yellow"/>
        </w:rPr>
      </w:pPr>
      <w:r w:rsidRPr="004F4478">
        <w:rPr>
          <w:highlight w:val="yellow"/>
        </w:rPr>
        <w:t xml:space="preserve">La MA, la NSU ou les experts en évaluation devraient vérifier la cohérence des questions d'évaluation avec les objectifs communs ou spécifiques du programme avant de commencer l'évaluation. Il s’agit de définir la relation entre les questions d'évaluation spécifiques du programme et chaque niveau d’objectifs. </w:t>
      </w:r>
    </w:p>
    <w:p w:rsidR="00860A11" w:rsidRPr="004F4478" w:rsidRDefault="00860A11" w:rsidP="00FC0A30">
      <w:pPr>
        <w:pStyle w:val="HStandard"/>
        <w:rPr>
          <w:highlight w:val="yellow"/>
        </w:rPr>
      </w:pPr>
      <w:r w:rsidRPr="004F4478">
        <w:rPr>
          <w:highlight w:val="yellow"/>
        </w:rPr>
        <w:t xml:space="preserve">Un exemple montrant la cohérence entre les objectifs spécifiques du programme RRN et les questions d'évaluation est présenté dans le tableau ci-dessous. Le point de départ est le développement de l’innovation dans les zones rurales pour créer des produits et des marchés nouveaux. Il est prévu que </w:t>
      </w:r>
      <w:r w:rsidRPr="004F4478">
        <w:rPr>
          <w:highlight w:val="yellow"/>
        </w:rPr>
        <w:lastRenderedPageBreak/>
        <w:t>le RRN répondra à ce besoin et favorisera l'innovation dans le but de créer des produits et des marchés nouveaux (objectif spécifique du programme) et de promouvoir le transfert des connaissances et l'innovation (objectif commun).</w:t>
      </w:r>
    </w:p>
    <w:p w:rsidR="00860A11" w:rsidRPr="004F4478" w:rsidRDefault="00860A11" w:rsidP="001249DA">
      <w:pPr>
        <w:pStyle w:val="HHeadingtables"/>
        <w:rPr>
          <w:color w:val="262626"/>
          <w:sz w:val="20"/>
          <w:highlight w:val="yellow"/>
        </w:rPr>
      </w:pPr>
      <w:r w:rsidRPr="004F4478">
        <w:br w:type="page"/>
      </w:r>
      <w:bookmarkStart w:id="125" w:name="_Toc436383148"/>
      <w:bookmarkStart w:id="126" w:name="_Toc451781910"/>
      <w:bookmarkStart w:id="127" w:name="_Toc463945784"/>
      <w:r w:rsidRPr="004F4478">
        <w:rPr>
          <w:highlight w:val="yellow"/>
        </w:rPr>
        <w:lastRenderedPageBreak/>
        <w:t>Les liens entre les objectifs et les questions d'évaluation (exemple)</w:t>
      </w:r>
      <w:bookmarkEnd w:id="125"/>
      <w:bookmarkEnd w:id="126"/>
      <w:bookmarkEnd w:id="127"/>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853"/>
        <w:gridCol w:w="3462"/>
        <w:gridCol w:w="3701"/>
      </w:tblGrid>
      <w:tr w:rsidR="00860A11" w:rsidRPr="004F4478" w:rsidTr="00FC0A30">
        <w:tc>
          <w:tcPr>
            <w:tcW w:w="1914" w:type="dxa"/>
            <w:shd w:val="clear" w:color="auto" w:fill="E7E6E6" w:themeFill="background2"/>
          </w:tcPr>
          <w:p w:rsidR="00860A11" w:rsidRPr="004F4478" w:rsidRDefault="00860A11" w:rsidP="00D322AA">
            <w:pPr>
              <w:pStyle w:val="Htableleftbolt"/>
              <w:jc w:val="center"/>
              <w:rPr>
                <w:color w:val="5B9BD5" w:themeColor="accent1"/>
                <w:highlight w:val="yellow"/>
              </w:rPr>
            </w:pPr>
            <w:r w:rsidRPr="004F4478">
              <w:rPr>
                <w:color w:val="5B9BD5" w:themeColor="accent1"/>
                <w:highlight w:val="yellow"/>
              </w:rPr>
              <w:t>Niveau des objectifs dans la hiérarchie</w:t>
            </w:r>
          </w:p>
        </w:tc>
        <w:tc>
          <w:tcPr>
            <w:tcW w:w="3685" w:type="dxa"/>
            <w:shd w:val="clear" w:color="auto" w:fill="E7E6E6" w:themeFill="background2"/>
          </w:tcPr>
          <w:p w:rsidR="00860A11" w:rsidRPr="004F4478" w:rsidRDefault="00860A11" w:rsidP="00D322AA">
            <w:pPr>
              <w:pStyle w:val="Htableleftbolt"/>
              <w:jc w:val="center"/>
              <w:rPr>
                <w:color w:val="5B9BD5" w:themeColor="accent1"/>
                <w:highlight w:val="yellow"/>
              </w:rPr>
            </w:pPr>
            <w:r w:rsidRPr="004F4478">
              <w:rPr>
                <w:color w:val="5B9BD5" w:themeColor="accent1"/>
                <w:highlight w:val="yellow"/>
              </w:rPr>
              <w:t>Formulation des objectifs</w:t>
            </w:r>
          </w:p>
          <w:p w:rsidR="00860A11" w:rsidRPr="004F4478" w:rsidRDefault="00860A11" w:rsidP="00D322AA">
            <w:pPr>
              <w:pStyle w:val="Htableleftbolt"/>
              <w:jc w:val="center"/>
              <w:rPr>
                <w:color w:val="5B9BD5" w:themeColor="accent1"/>
                <w:highlight w:val="yellow"/>
              </w:rPr>
            </w:pPr>
            <w:r w:rsidRPr="004F4478">
              <w:rPr>
                <w:color w:val="5B9BD5" w:themeColor="accent1"/>
                <w:highlight w:val="yellow"/>
              </w:rPr>
              <w:t>(CO - objectifs communs</w:t>
            </w:r>
          </w:p>
          <w:p w:rsidR="00860A11" w:rsidRPr="004F4478" w:rsidRDefault="00860A11" w:rsidP="00D322AA">
            <w:pPr>
              <w:pStyle w:val="Htableleftbolt"/>
              <w:jc w:val="center"/>
              <w:rPr>
                <w:color w:val="5B9BD5" w:themeColor="accent1"/>
                <w:highlight w:val="yellow"/>
              </w:rPr>
            </w:pPr>
            <w:r w:rsidRPr="004F4478">
              <w:rPr>
                <w:color w:val="5B9BD5" w:themeColor="accent1"/>
                <w:highlight w:val="yellow"/>
              </w:rPr>
              <w:t>PSO - objectifs spécifiques du programme)</w:t>
            </w:r>
          </w:p>
        </w:tc>
        <w:tc>
          <w:tcPr>
            <w:tcW w:w="3963" w:type="dxa"/>
            <w:shd w:val="clear" w:color="auto" w:fill="E7E6E6" w:themeFill="background2"/>
          </w:tcPr>
          <w:p w:rsidR="00860A11" w:rsidRPr="004F4478" w:rsidRDefault="00860A11" w:rsidP="00D322AA">
            <w:pPr>
              <w:pStyle w:val="Htableleftbolt"/>
              <w:jc w:val="center"/>
              <w:rPr>
                <w:color w:val="5B9BD5" w:themeColor="accent1"/>
                <w:highlight w:val="yellow"/>
              </w:rPr>
            </w:pPr>
            <w:r w:rsidRPr="004F4478">
              <w:rPr>
                <w:color w:val="5B9BD5" w:themeColor="accent1"/>
                <w:highlight w:val="yellow"/>
              </w:rPr>
              <w:t>Questions posées dans l'évaluation</w:t>
            </w:r>
          </w:p>
          <w:p w:rsidR="00860A11" w:rsidRPr="004F4478" w:rsidRDefault="00860A11" w:rsidP="00514B11">
            <w:pPr>
              <w:pStyle w:val="Htableleftbolt"/>
              <w:rPr>
                <w:color w:val="5B9BD5" w:themeColor="accent1"/>
                <w:highlight w:val="yellow"/>
              </w:rPr>
            </w:pPr>
            <w:r w:rsidRPr="004F4478">
              <w:rPr>
                <w:color w:val="5B9BD5" w:themeColor="accent1"/>
                <w:highlight w:val="yellow"/>
              </w:rPr>
              <w:t>(CEQ - questions communes d’évaluation</w:t>
            </w:r>
          </w:p>
          <w:p w:rsidR="00860A11" w:rsidRPr="004F4478" w:rsidRDefault="00860A11" w:rsidP="00514B11">
            <w:pPr>
              <w:pStyle w:val="Htableleftbolt"/>
              <w:jc w:val="center"/>
              <w:rPr>
                <w:color w:val="5B9BD5" w:themeColor="accent1"/>
                <w:highlight w:val="yellow"/>
              </w:rPr>
            </w:pPr>
            <w:r w:rsidRPr="004F4478">
              <w:rPr>
                <w:color w:val="5B9BD5" w:themeColor="accent1"/>
                <w:highlight w:val="yellow"/>
              </w:rPr>
              <w:t>PSEQ – questions d’évaluation propres au programme)</w:t>
            </w:r>
          </w:p>
        </w:tc>
      </w:tr>
      <w:tr w:rsidR="00860A11" w:rsidRPr="004F4478" w:rsidTr="00FC0A30">
        <w:tc>
          <w:tcPr>
            <w:tcW w:w="1914" w:type="dxa"/>
            <w:shd w:val="clear" w:color="auto" w:fill="auto"/>
          </w:tcPr>
          <w:p w:rsidR="00860A11" w:rsidRPr="004F4478" w:rsidRDefault="00860A11" w:rsidP="00FC0A30">
            <w:pPr>
              <w:pStyle w:val="Htableleft"/>
              <w:rPr>
                <w:color w:val="576C88" w:themeColor="text2" w:themeTint="D9"/>
                <w:highlight w:val="yellow"/>
              </w:rPr>
            </w:pPr>
            <w:r w:rsidRPr="004F4478">
              <w:rPr>
                <w:color w:val="576C88" w:themeColor="text2" w:themeTint="D9"/>
                <w:highlight w:val="yellow"/>
              </w:rPr>
              <w:t>Réalisations - objectifs opérationnels</w:t>
            </w:r>
          </w:p>
        </w:tc>
        <w:tc>
          <w:tcPr>
            <w:tcW w:w="3685" w:type="dxa"/>
            <w:shd w:val="clear" w:color="auto" w:fill="auto"/>
          </w:tcPr>
          <w:p w:rsidR="00860A11" w:rsidRPr="004F4478" w:rsidRDefault="00860A11" w:rsidP="00FC0A30">
            <w:pPr>
              <w:pStyle w:val="Htableleft"/>
              <w:rPr>
                <w:color w:val="576C88" w:themeColor="text2" w:themeTint="D9"/>
                <w:highlight w:val="yellow"/>
              </w:rPr>
            </w:pPr>
            <w:r w:rsidRPr="004F4478">
              <w:rPr>
                <w:color w:val="576C88" w:themeColor="text2" w:themeTint="D9"/>
                <w:highlight w:val="yellow"/>
              </w:rPr>
              <w:t>Faciliter les échanges thématiques et analytiques entre les acteurs du développement rural</w:t>
            </w:r>
          </w:p>
          <w:p w:rsidR="00860A11" w:rsidRPr="004F4478" w:rsidRDefault="00860A11" w:rsidP="00FC0A30">
            <w:pPr>
              <w:pStyle w:val="Htableleft"/>
              <w:rPr>
                <w:color w:val="576C88" w:themeColor="text2" w:themeTint="D9"/>
                <w:highlight w:val="yellow"/>
              </w:rPr>
            </w:pPr>
            <w:r w:rsidRPr="004F4478">
              <w:rPr>
                <w:color w:val="576C88" w:themeColor="text2" w:themeTint="D9"/>
                <w:highlight w:val="yellow"/>
              </w:rPr>
              <w:t>Proposer des activités de réseautage aux conseillers et aux services de soutien à l'innovation</w:t>
            </w:r>
          </w:p>
          <w:p w:rsidR="00860A11" w:rsidRPr="004F4478" w:rsidRDefault="00860A11" w:rsidP="00FC0A30">
            <w:pPr>
              <w:pStyle w:val="Htableleft"/>
              <w:rPr>
                <w:color w:val="576C88" w:themeColor="text2" w:themeTint="D9"/>
                <w:highlight w:val="yellow"/>
              </w:rPr>
            </w:pPr>
            <w:r w:rsidRPr="004F4478">
              <w:rPr>
                <w:color w:val="576C88" w:themeColor="text2" w:themeTint="D9"/>
                <w:highlight w:val="yellow"/>
              </w:rPr>
              <w:t>Offrir des  formations et des activités de réseautage aux GAL</w:t>
            </w:r>
          </w:p>
          <w:p w:rsidR="00860A11" w:rsidRPr="004F4478" w:rsidRDefault="00860A11" w:rsidP="00FC0A30">
            <w:pPr>
              <w:pStyle w:val="Htableleft"/>
              <w:rPr>
                <w:color w:val="576C88" w:themeColor="text2" w:themeTint="D9"/>
                <w:highlight w:val="yellow"/>
              </w:rPr>
            </w:pPr>
            <w:r w:rsidRPr="004F4478">
              <w:rPr>
                <w:color w:val="576C88" w:themeColor="text2" w:themeTint="D9"/>
                <w:highlight w:val="yellow"/>
              </w:rPr>
              <w:t>Recueillir des exemples de projets</w:t>
            </w:r>
          </w:p>
        </w:tc>
        <w:tc>
          <w:tcPr>
            <w:tcW w:w="3963" w:type="dxa"/>
            <w:shd w:val="clear" w:color="auto" w:fill="auto"/>
          </w:tcPr>
          <w:p w:rsidR="00860A11" w:rsidRPr="004F4478" w:rsidRDefault="00860A11" w:rsidP="00FC0A30">
            <w:pPr>
              <w:pStyle w:val="Htableleft"/>
              <w:rPr>
                <w:color w:val="576C88" w:themeColor="text2" w:themeTint="D9"/>
                <w:highlight w:val="yellow"/>
              </w:rPr>
            </w:pPr>
            <w:r w:rsidRPr="004F4478">
              <w:rPr>
                <w:color w:val="576C88" w:themeColor="text2" w:themeTint="D9"/>
                <w:highlight w:val="yellow"/>
              </w:rPr>
              <w:t>PSEQ: Combien d’échanges thématiques, de bases de données de projets innovants à la disposition du public et de programmes de formation sur l'innovation ont été obtenus grâce aux activités des RRN?</w:t>
            </w:r>
          </w:p>
        </w:tc>
      </w:tr>
      <w:tr w:rsidR="00860A11" w:rsidRPr="004F4478" w:rsidTr="00FC0A30">
        <w:tc>
          <w:tcPr>
            <w:tcW w:w="1914" w:type="dxa"/>
            <w:shd w:val="clear" w:color="auto" w:fill="auto"/>
          </w:tcPr>
          <w:p w:rsidR="00860A11" w:rsidRPr="004F4478" w:rsidRDefault="00860A11" w:rsidP="00FC0A30">
            <w:pPr>
              <w:pStyle w:val="Htableleft"/>
              <w:rPr>
                <w:color w:val="576C88" w:themeColor="text2" w:themeTint="D9"/>
                <w:highlight w:val="yellow"/>
              </w:rPr>
            </w:pPr>
            <w:r w:rsidRPr="004F4478">
              <w:rPr>
                <w:color w:val="576C88" w:themeColor="text2" w:themeTint="D9"/>
                <w:highlight w:val="yellow"/>
              </w:rPr>
              <w:t>Résultat - objectifs spécifiques</w:t>
            </w:r>
          </w:p>
        </w:tc>
        <w:tc>
          <w:tcPr>
            <w:tcW w:w="3685" w:type="dxa"/>
            <w:shd w:val="clear" w:color="auto" w:fill="auto"/>
          </w:tcPr>
          <w:p w:rsidR="00860A11" w:rsidRPr="004F4478" w:rsidRDefault="00860A11" w:rsidP="00FC0A30">
            <w:pPr>
              <w:pStyle w:val="Htableleft"/>
              <w:rPr>
                <w:color w:val="576C88" w:themeColor="text2" w:themeTint="D9"/>
                <w:highlight w:val="yellow"/>
              </w:rPr>
            </w:pPr>
            <w:r w:rsidRPr="004F4478">
              <w:rPr>
                <w:color w:val="576C88" w:themeColor="text2" w:themeTint="D9"/>
                <w:highlight w:val="yellow"/>
              </w:rPr>
              <w:t>(PSO) Renforcer la coopération, l'échange et le réseautage entre les partenaires du projet d'innovation dans les zones rurales grâce au RRN</w:t>
            </w:r>
          </w:p>
          <w:p w:rsidR="00860A11" w:rsidRPr="004F4478" w:rsidRDefault="00860A11" w:rsidP="00FC0A30">
            <w:pPr>
              <w:pStyle w:val="Htableleft"/>
              <w:rPr>
                <w:color w:val="576C88" w:themeColor="text2" w:themeTint="D9"/>
                <w:highlight w:val="yellow"/>
              </w:rPr>
            </w:pPr>
            <w:r w:rsidRPr="004F4478">
              <w:rPr>
                <w:color w:val="576C88" w:themeColor="text2" w:themeTint="D9"/>
                <w:highlight w:val="yellow"/>
              </w:rPr>
              <w:t>(PSO) Contribuer à l'émergence de produits et  de marchés innovants, de nouveaux processus et  formes d'organisation</w:t>
            </w:r>
          </w:p>
        </w:tc>
        <w:tc>
          <w:tcPr>
            <w:tcW w:w="3963" w:type="dxa"/>
            <w:shd w:val="clear" w:color="auto" w:fill="auto"/>
          </w:tcPr>
          <w:p w:rsidR="00860A11" w:rsidRPr="004F4478" w:rsidRDefault="00860A11" w:rsidP="00FC0A30">
            <w:pPr>
              <w:pStyle w:val="Htableleft"/>
              <w:rPr>
                <w:color w:val="576C88" w:themeColor="text2" w:themeTint="D9"/>
                <w:highlight w:val="yellow"/>
              </w:rPr>
            </w:pPr>
            <w:r w:rsidRPr="004F4478">
              <w:rPr>
                <w:color w:val="576C88" w:themeColor="text2" w:themeTint="D9"/>
                <w:highlight w:val="yellow"/>
              </w:rPr>
              <w:t>PSEQ: Dans quelle mesure les activités du RRN contribuent-elles à renforcer la coopération, les échanges et le réseautage entre les partenaires du projet d'innovation?</w:t>
            </w:r>
          </w:p>
          <w:p w:rsidR="00860A11" w:rsidRPr="004F4478" w:rsidRDefault="00860A11" w:rsidP="00FC0A30">
            <w:pPr>
              <w:pStyle w:val="Htableleft"/>
              <w:rPr>
                <w:color w:val="576C88" w:themeColor="text2" w:themeTint="D9"/>
                <w:highlight w:val="yellow"/>
              </w:rPr>
            </w:pPr>
            <w:r w:rsidRPr="004F4478">
              <w:rPr>
                <w:color w:val="576C88" w:themeColor="text2" w:themeTint="D9"/>
                <w:highlight w:val="yellow"/>
              </w:rPr>
              <w:t>PSEQ: Dans quelle mesure des produits et des marchés innovants, de nouveaux processus et formes d'organisation ont été développés et transférés grâce aux activités des RRN?</w:t>
            </w:r>
          </w:p>
        </w:tc>
      </w:tr>
      <w:tr w:rsidR="00860A11" w:rsidRPr="004F4478" w:rsidTr="00FC0A30">
        <w:tc>
          <w:tcPr>
            <w:tcW w:w="1914" w:type="dxa"/>
            <w:shd w:val="clear" w:color="auto" w:fill="auto"/>
          </w:tcPr>
          <w:p w:rsidR="00860A11" w:rsidRPr="004F4478" w:rsidRDefault="00860A11" w:rsidP="00FC0A30">
            <w:pPr>
              <w:pStyle w:val="Htableleft"/>
              <w:rPr>
                <w:color w:val="576C88" w:themeColor="text2" w:themeTint="D9"/>
                <w:highlight w:val="yellow"/>
              </w:rPr>
            </w:pPr>
            <w:r w:rsidRPr="004F4478">
              <w:rPr>
                <w:color w:val="576C88" w:themeColor="text2" w:themeTint="D9"/>
                <w:highlight w:val="yellow"/>
              </w:rPr>
              <w:t>Impact - objectifs généraux</w:t>
            </w:r>
          </w:p>
        </w:tc>
        <w:tc>
          <w:tcPr>
            <w:tcW w:w="3685" w:type="dxa"/>
            <w:shd w:val="clear" w:color="auto" w:fill="auto"/>
          </w:tcPr>
          <w:p w:rsidR="00860A11" w:rsidRPr="004F4478" w:rsidRDefault="00860A11" w:rsidP="00FC0A30">
            <w:pPr>
              <w:pStyle w:val="Htableleft"/>
              <w:rPr>
                <w:color w:val="576C88" w:themeColor="text2" w:themeTint="D9"/>
                <w:highlight w:val="yellow"/>
              </w:rPr>
            </w:pPr>
            <w:r w:rsidRPr="004F4478">
              <w:rPr>
                <w:color w:val="576C88" w:themeColor="text2" w:themeTint="D9"/>
                <w:highlight w:val="yellow"/>
              </w:rPr>
              <w:t>Favoriser l'innovation dans le secteur de l'agriculture, de la production alimentaire et de la sylviculture ainsi que dans les zones rurales.</w:t>
            </w:r>
          </w:p>
        </w:tc>
        <w:tc>
          <w:tcPr>
            <w:tcW w:w="3963" w:type="dxa"/>
            <w:shd w:val="clear" w:color="auto" w:fill="auto"/>
          </w:tcPr>
          <w:p w:rsidR="00860A11" w:rsidRPr="004F4478" w:rsidRDefault="00860A11" w:rsidP="00FC0A30">
            <w:pPr>
              <w:pStyle w:val="Htableleft"/>
              <w:rPr>
                <w:color w:val="576C88" w:themeColor="text2" w:themeTint="D9"/>
                <w:highlight w:val="yellow"/>
              </w:rPr>
            </w:pPr>
            <w:r w:rsidRPr="004F4478">
              <w:rPr>
                <w:color w:val="576C88" w:themeColor="text2" w:themeTint="D9"/>
                <w:highlight w:val="yellow"/>
              </w:rPr>
              <w:t>CEQ: Dans quelle mesure le RRN a-t-il contribué (objectif de la politique européenne) à favoriser l'innovation dans l'agriculture, la production alimentaire, l’exploitation forestière et les zones rurales?</w:t>
            </w:r>
          </w:p>
        </w:tc>
      </w:tr>
    </w:tbl>
    <w:p w:rsidR="00860A11" w:rsidRPr="004F4478" w:rsidRDefault="00860A11" w:rsidP="00D7626C">
      <w:pPr>
        <w:pStyle w:val="HSource"/>
        <w:jc w:val="left"/>
        <w:rPr>
          <w:highlight w:val="yellow"/>
        </w:rPr>
      </w:pPr>
      <w:r w:rsidRPr="004F4478">
        <w:rPr>
          <w:highlight w:val="yellow"/>
        </w:rPr>
        <w:t>Source: Helpdesk du Réseau européen d'évaluation pour le développement rural, 2015</w:t>
      </w:r>
    </w:p>
    <w:p w:rsidR="00860A11" w:rsidRPr="004F4478" w:rsidRDefault="00860A11" w:rsidP="00FC0A30">
      <w:pPr>
        <w:pStyle w:val="HStandard"/>
        <w:rPr>
          <w:highlight w:val="yellow"/>
        </w:rPr>
      </w:pPr>
      <w:r w:rsidRPr="004F4478">
        <w:rPr>
          <w:highlight w:val="yellow"/>
        </w:rPr>
        <w:t xml:space="preserve">Les questionnaires d'évaluation utilisés pour évaluer le (P)RRN au cours de la période de programmation précédente, les expériences recueillies par le biais d’ateliers de bonnes pratiques RRN </w:t>
      </w:r>
      <w:r w:rsidRPr="004F4478">
        <w:rPr>
          <w:rFonts w:ascii="ZWAdobeF" w:hAnsi="ZWAdobeF"/>
          <w:color w:val="auto"/>
          <w:sz w:val="2"/>
          <w:highlight w:val="yellow"/>
        </w:rPr>
        <w:t xml:space="preserve">74F </w:t>
      </w:r>
      <w:r w:rsidRPr="004F4478">
        <w:rPr>
          <w:rStyle w:val="FootnoteReference"/>
          <w:highlight w:val="yellow"/>
        </w:rPr>
        <w:footnoteReference w:id="75"/>
      </w:r>
      <w:r w:rsidRPr="004F4478">
        <w:rPr>
          <w:highlight w:val="yellow"/>
        </w:rPr>
        <w:t xml:space="preserve"> organisés par le Helpdesk d’évaluation et </w:t>
      </w:r>
      <w:r>
        <w:rPr>
          <w:highlight w:val="yellow"/>
        </w:rPr>
        <w:t>les</w:t>
      </w:r>
      <w:r w:rsidRPr="004F4478">
        <w:rPr>
          <w:highlight w:val="yellow"/>
        </w:rPr>
        <w:t xml:space="preserve"> conseils sur l'évaluation des PRRN pour la période 2007-2013 </w:t>
      </w:r>
      <w:r w:rsidRPr="004F4478">
        <w:rPr>
          <w:rFonts w:ascii="ZWAdobeF" w:hAnsi="ZWAdobeF"/>
          <w:color w:val="auto"/>
          <w:sz w:val="2"/>
          <w:highlight w:val="yellow"/>
        </w:rPr>
        <w:t xml:space="preserve">75F </w:t>
      </w:r>
      <w:r w:rsidRPr="004F4478">
        <w:rPr>
          <w:rStyle w:val="FootnoteReference"/>
          <w:highlight w:val="yellow"/>
        </w:rPr>
        <w:footnoteReference w:id="76"/>
      </w:r>
      <w:r w:rsidRPr="004F4478">
        <w:rPr>
          <w:highlight w:val="yellow"/>
        </w:rPr>
        <w:t xml:space="preserve"> , peuvent être utilisés comme source d'inspiration </w:t>
      </w:r>
      <w:r w:rsidRPr="004F4478">
        <w:rPr>
          <w:rFonts w:ascii="ZWAdobeF" w:hAnsi="ZWAdobeF"/>
          <w:color w:val="auto"/>
          <w:sz w:val="2"/>
          <w:highlight w:val="yellow"/>
        </w:rPr>
        <w:t xml:space="preserve">76F </w:t>
      </w:r>
      <w:r w:rsidRPr="004F4478">
        <w:rPr>
          <w:rStyle w:val="FootnoteReference"/>
          <w:highlight w:val="yellow"/>
        </w:rPr>
        <w:footnoteReference w:id="77"/>
      </w:r>
      <w:r w:rsidRPr="004F4478">
        <w:rPr>
          <w:highlight w:val="yellow"/>
        </w:rPr>
        <w:t xml:space="preserve"> dans l'élaboration des questions d'évaluation spécifiques au programme de RRN. </w:t>
      </w:r>
    </w:p>
    <w:p w:rsidR="00860A11" w:rsidRPr="004F4478" w:rsidRDefault="00860A11" w:rsidP="00D322AA">
      <w:pPr>
        <w:pStyle w:val="Heading6"/>
        <w:rPr>
          <w:highlight w:val="yellow"/>
        </w:rPr>
      </w:pPr>
      <w:r w:rsidRPr="004F4478">
        <w:rPr>
          <w:highlight w:val="yellow"/>
        </w:rPr>
        <w:t>Critères d’évaluation</w:t>
      </w:r>
    </w:p>
    <w:p w:rsidR="00860A11" w:rsidRPr="004F4478" w:rsidRDefault="00860A11" w:rsidP="00FC0A30">
      <w:pPr>
        <w:pStyle w:val="HStandard"/>
        <w:rPr>
          <w:highlight w:val="yellow"/>
        </w:rPr>
      </w:pPr>
      <w:r w:rsidRPr="004F4478">
        <w:rPr>
          <w:highlight w:val="yellow"/>
        </w:rPr>
        <w:t xml:space="preserve">Les critères d’évaluation permettent de définir le succès de l'intervention et d’apporter davantage de précisions aux questions d’évaluation - EQ. Ils facilitent la formulation des indicateurs de RRN et permettent d’obtenir des réponses structurées aux EQ </w:t>
      </w:r>
      <w:r w:rsidRPr="004F4478">
        <w:rPr>
          <w:rStyle w:val="FootnoteReference"/>
          <w:highlight w:val="yellow"/>
        </w:rPr>
        <w:footnoteReference w:id="78"/>
      </w:r>
      <w:r w:rsidRPr="004F4478">
        <w:rPr>
          <w:highlight w:val="yellow"/>
        </w:rPr>
        <w:t xml:space="preserve">. En règle générale, les critères d’évaluation sont formulés avec les questions d'évaluation. Leur cohérence avec les indicateurs est la condition de base pour obtenir des réponses factuelles aux questions d'évaluation. Le schéma suivant illustre la cohérence entre les questions d'évaluation, les critères d’évaluation et les indicateurs. </w:t>
      </w:r>
    </w:p>
    <w:p w:rsidR="00860A11" w:rsidRPr="004F4478" w:rsidRDefault="00860A11">
      <w:pPr>
        <w:spacing w:after="0" w:line="240" w:lineRule="auto"/>
        <w:rPr>
          <w:rFonts w:cs="Arial"/>
          <w:color w:val="576C88" w:themeColor="text2" w:themeTint="D9"/>
          <w:sz w:val="20"/>
          <w:szCs w:val="20"/>
          <w:highlight w:val="yellow"/>
        </w:rPr>
      </w:pPr>
      <w:r w:rsidRPr="004F4478">
        <w:br w:type="page"/>
      </w:r>
    </w:p>
    <w:p w:rsidR="00860A11" w:rsidRPr="004F4478" w:rsidRDefault="00860A11" w:rsidP="00922CBE">
      <w:pPr>
        <w:pStyle w:val="HHeadingfigures"/>
        <w:rPr>
          <w:highlight w:val="yellow"/>
        </w:rPr>
      </w:pPr>
      <w:bookmarkStart w:id="128" w:name="_Toc463945760"/>
      <w:bookmarkStart w:id="129" w:name="_Toc445465129"/>
      <w:bookmarkStart w:id="130" w:name="_Toc451781932"/>
      <w:r w:rsidRPr="004F4478">
        <w:rPr>
          <w:highlight w:val="yellow"/>
        </w:rPr>
        <w:lastRenderedPageBreak/>
        <w:t>Cohérence entre les questions, les critères</w:t>
      </w:r>
      <w:r>
        <w:rPr>
          <w:highlight w:val="yellow"/>
        </w:rPr>
        <w:t xml:space="preserve"> d'évaluation</w:t>
      </w:r>
      <w:r w:rsidRPr="004F4478">
        <w:rPr>
          <w:highlight w:val="yellow"/>
        </w:rPr>
        <w:t xml:space="preserve"> et les indicateurs</w:t>
      </w:r>
      <w:bookmarkEnd w:id="128"/>
      <w:r w:rsidRPr="004F4478">
        <w:rPr>
          <w:highlight w:val="yellow"/>
        </w:rPr>
        <w:t xml:space="preserve"> </w:t>
      </w:r>
      <w:bookmarkEnd w:id="129"/>
      <w:bookmarkEnd w:id="130"/>
    </w:p>
    <w:p w:rsidR="00860A11" w:rsidRPr="004F4478" w:rsidRDefault="00860A11" w:rsidP="00FC0A30">
      <w:pPr>
        <w:jc w:val="center"/>
        <w:rPr>
          <w:highlight w:val="yellow"/>
        </w:rPr>
      </w:pPr>
      <w:r>
        <w:rPr>
          <w:noProof/>
          <w:lang w:eastAsia="en-GB"/>
        </w:rPr>
        <w:drawing>
          <wp:inline distT="0" distB="0" distL="0" distR="0" wp14:anchorId="2C2524B8" wp14:editId="27FE7705">
            <wp:extent cx="5731510" cy="2643505"/>
            <wp:effectExtent l="0" t="0" r="254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731510" cy="2643505"/>
                    </a:xfrm>
                    <a:prstGeom prst="rect">
                      <a:avLst/>
                    </a:prstGeom>
                  </pic:spPr>
                </pic:pic>
              </a:graphicData>
            </a:graphic>
          </wp:inline>
        </w:drawing>
      </w:r>
    </w:p>
    <w:p w:rsidR="00860A11" w:rsidRPr="004F4478" w:rsidRDefault="00860A11" w:rsidP="00FC0A30">
      <w:pPr>
        <w:pStyle w:val="HSource"/>
        <w:rPr>
          <w:highlight w:val="yellow"/>
        </w:rPr>
      </w:pPr>
      <w:r w:rsidRPr="004F4478">
        <w:rPr>
          <w:highlight w:val="yellow"/>
        </w:rPr>
        <w:t>Source: Helpdesk du Réseau européen d'évaluation du développement rural 2016</w:t>
      </w:r>
    </w:p>
    <w:p w:rsidR="00860A11" w:rsidRPr="004F4478" w:rsidRDefault="00860A11" w:rsidP="00D322AA">
      <w:pPr>
        <w:pStyle w:val="Heading6"/>
        <w:rPr>
          <w:highlight w:val="yellow"/>
        </w:rPr>
      </w:pPr>
      <w:r w:rsidRPr="004F4478">
        <w:rPr>
          <w:highlight w:val="yellow"/>
        </w:rPr>
        <w:t>Indicateurs communs et spécifiques concernant le programme de RRN</w:t>
      </w:r>
    </w:p>
    <w:p w:rsidR="00860A11" w:rsidRPr="004F4478" w:rsidRDefault="00860A11" w:rsidP="00FC0A30">
      <w:pPr>
        <w:pStyle w:val="HStandard"/>
        <w:rPr>
          <w:highlight w:val="yellow"/>
        </w:rPr>
      </w:pPr>
      <w:r w:rsidRPr="004F4478">
        <w:rPr>
          <w:highlight w:val="yellow"/>
        </w:rPr>
        <w:t xml:space="preserve">Seuls trois indicateurs de réalisation communs </w:t>
      </w:r>
      <w:r w:rsidRPr="004F4478">
        <w:rPr>
          <w:rFonts w:ascii="ZWAdobeF" w:hAnsi="ZWAdobeF"/>
          <w:color w:val="auto"/>
          <w:sz w:val="2"/>
          <w:highlight w:val="yellow"/>
        </w:rPr>
        <w:t xml:space="preserve">78F </w:t>
      </w:r>
      <w:r w:rsidRPr="004F4478">
        <w:rPr>
          <w:rStyle w:val="FootnoteReference"/>
          <w:highlight w:val="yellow"/>
        </w:rPr>
        <w:footnoteReference w:id="79"/>
      </w:r>
      <w:r w:rsidRPr="004F4478">
        <w:rPr>
          <w:highlight w:val="yellow"/>
        </w:rPr>
        <w:t xml:space="preserve"> ont été définis par les groupes d'actions de RRN, à savoir: </w:t>
      </w:r>
    </w:p>
    <w:p w:rsidR="00860A11" w:rsidRPr="004F4478" w:rsidRDefault="00860A11" w:rsidP="00D322AA">
      <w:pPr>
        <w:pStyle w:val="Hlistbullet"/>
        <w:rPr>
          <w:highlight w:val="yellow"/>
        </w:rPr>
      </w:pPr>
      <w:r w:rsidRPr="004F4478">
        <w:rPr>
          <w:highlight w:val="yellow"/>
        </w:rPr>
        <w:t>Nombre d'échanges thématiques et analytiques organisés avec le soutien du RRN</w:t>
      </w:r>
    </w:p>
    <w:p w:rsidR="00860A11" w:rsidRPr="004F4478" w:rsidRDefault="00860A11" w:rsidP="00D322AA">
      <w:pPr>
        <w:pStyle w:val="Hlistbullet"/>
        <w:rPr>
          <w:highlight w:val="yellow"/>
        </w:rPr>
      </w:pPr>
      <w:r w:rsidRPr="004F4478">
        <w:rPr>
          <w:highlight w:val="yellow"/>
        </w:rPr>
        <w:t xml:space="preserve">Nombre d’outils de communication du RRN </w:t>
      </w:r>
    </w:p>
    <w:p w:rsidR="00860A11" w:rsidRPr="004F4478" w:rsidRDefault="00860A11" w:rsidP="00D322AA">
      <w:pPr>
        <w:pStyle w:val="Hlistbullet"/>
        <w:rPr>
          <w:highlight w:val="yellow"/>
        </w:rPr>
      </w:pPr>
      <w:r w:rsidRPr="004F4478">
        <w:rPr>
          <w:highlight w:val="yellow"/>
        </w:rPr>
        <w:t>Nombre d’activités du REDR auxquelles le RRN a participé</w:t>
      </w:r>
    </w:p>
    <w:p w:rsidR="00860A11" w:rsidRPr="004F4478" w:rsidRDefault="00860A11" w:rsidP="00FC0A30">
      <w:pPr>
        <w:pStyle w:val="HStandard"/>
        <w:rPr>
          <w:highlight w:val="yellow"/>
        </w:rPr>
      </w:pPr>
      <w:r w:rsidRPr="004F4478">
        <w:rPr>
          <w:highlight w:val="yellow"/>
        </w:rPr>
        <w:t xml:space="preserve">Les indicateurs communs ne sont pas suffisants pour mesurer tous les résultats et impacts attendus du RRN et ils ne peuvent pas fournir des preuves suffisantes pour répondre aux questions d’évaluation (EQ) communes et propres au programme. Les responsables du (P)RRN sont donc incités à définir des indicateurs supplémentaires de résultats et d'impacts pour répondre </w:t>
      </w:r>
      <w:r>
        <w:rPr>
          <w:highlight w:val="yellow"/>
        </w:rPr>
        <w:t>à la</w:t>
      </w:r>
      <w:r w:rsidRPr="004F4478">
        <w:rPr>
          <w:highlight w:val="yellow"/>
        </w:rPr>
        <w:t xml:space="preserve"> question commune d'évaluation (n° 21). Ils sont aussi incités à définir des indicateurs de résultats et d'impacts propres au </w:t>
      </w:r>
      <w:r>
        <w:rPr>
          <w:highlight w:val="yellow"/>
        </w:rPr>
        <w:t>programme</w:t>
      </w:r>
      <w:r w:rsidRPr="004F4478">
        <w:rPr>
          <w:highlight w:val="yellow"/>
        </w:rPr>
        <w:t xml:space="preserve"> pour répondre aux questions d'évaluation spécifiques du programme. Les indicateurs devraient être formulés au cours de la phase de programmation ou, lors de la préparation de l'évaluation par les responsables  du programme (MA, NSU ou les deux). Les résultats et impacts attendus des RRN, tels que présentés dans les parties précédentes de ce chapitre, fournissent une base pour définir les indicateurs spécifiques du programme de RRN. </w:t>
      </w:r>
    </w:p>
    <w:p w:rsidR="00860A11" w:rsidRPr="004F4478" w:rsidRDefault="00860A11" w:rsidP="00FC0A30">
      <w:pPr>
        <w:pStyle w:val="HStandard"/>
        <w:rPr>
          <w:highlight w:val="yellow"/>
        </w:rPr>
      </w:pPr>
      <w:r w:rsidRPr="004F4478">
        <w:rPr>
          <w:highlight w:val="yellow"/>
        </w:rPr>
        <w:t>Le WD: Les questions d'évaluation communes pour les PDR pour la période de programmation 2014-2020 fournissent des exemples d'informations supplémentaires à recueillir pour répondre à la question d'évaluation commune du RRN, à savoir:</w:t>
      </w:r>
    </w:p>
    <w:p w:rsidR="00860A11" w:rsidRPr="004F4478" w:rsidRDefault="00860A11" w:rsidP="00975D9B">
      <w:pPr>
        <w:pStyle w:val="Hlistbullet2"/>
        <w:rPr>
          <w:highlight w:val="yellow"/>
        </w:rPr>
      </w:pPr>
      <w:r w:rsidRPr="004F4478">
        <w:rPr>
          <w:highlight w:val="yellow"/>
        </w:rPr>
        <w:t>Le nombre de parties prenantes (par type) participant à la mise en œuvre du PDR suite aux activités du RRN (y compris celles des GAL)</w:t>
      </w:r>
    </w:p>
    <w:p w:rsidR="00860A11" w:rsidRPr="004F4478" w:rsidRDefault="00860A11" w:rsidP="00975D9B">
      <w:pPr>
        <w:pStyle w:val="Hlistbullet2"/>
        <w:rPr>
          <w:highlight w:val="yellow"/>
        </w:rPr>
      </w:pPr>
      <w:r w:rsidRPr="004F4478">
        <w:rPr>
          <w:highlight w:val="yellow"/>
        </w:rPr>
        <w:t>Le nombre de modifications de PDR suite aux résultats de l'évaluation et aux recommandations des groupes de travail thématiques organisés par le RRN</w:t>
      </w:r>
    </w:p>
    <w:p w:rsidR="00860A11" w:rsidRPr="004F4478" w:rsidRDefault="00860A11" w:rsidP="00975D9B">
      <w:pPr>
        <w:pStyle w:val="Hlistbullet2"/>
        <w:rPr>
          <w:highlight w:val="yellow"/>
        </w:rPr>
      </w:pPr>
      <w:r w:rsidRPr="004F4478">
        <w:rPr>
          <w:highlight w:val="yellow"/>
        </w:rPr>
        <w:t>% de projets de PDR mis en œuvre grâce aux activités du RRN</w:t>
      </w:r>
    </w:p>
    <w:p w:rsidR="00860A11" w:rsidRPr="004F4478" w:rsidRDefault="00860A11" w:rsidP="00975D9B">
      <w:pPr>
        <w:pStyle w:val="Hlistbullet2"/>
        <w:rPr>
          <w:highlight w:val="yellow"/>
        </w:rPr>
      </w:pPr>
      <w:r w:rsidRPr="004F4478">
        <w:rPr>
          <w:highlight w:val="yellow"/>
        </w:rPr>
        <w:lastRenderedPageBreak/>
        <w:t>Le nombre de personnes qui ont été informées de la politique de développement rural et des possibilités de financement par les outils de communication des RRN</w:t>
      </w:r>
    </w:p>
    <w:p w:rsidR="00860A11" w:rsidRPr="004F4478" w:rsidRDefault="00860A11" w:rsidP="00975D9B">
      <w:pPr>
        <w:pStyle w:val="Hlistbullet2"/>
        <w:rPr>
          <w:highlight w:val="yellow"/>
        </w:rPr>
      </w:pPr>
      <w:r w:rsidRPr="004F4478">
        <w:rPr>
          <w:highlight w:val="yellow"/>
        </w:rPr>
        <w:t>% de projets innovants favorisés par les RRN sur le nombre total de projets innovants soutenus par le(s) PDR</w:t>
      </w:r>
    </w:p>
    <w:p w:rsidR="00860A11" w:rsidRPr="004F4478" w:rsidRDefault="00860A11" w:rsidP="00FC0A30">
      <w:pPr>
        <w:pStyle w:val="HStandard"/>
        <w:rPr>
          <w:highlight w:val="yellow"/>
        </w:rPr>
      </w:pPr>
      <w:r w:rsidRPr="004F4478">
        <w:rPr>
          <w:highlight w:val="yellow"/>
        </w:rPr>
        <w:t xml:space="preserve">Cette liste peut servir de base à la formulation d'indicateurs supplémentaires. La liste n’est pas exhaustive et peut être complétée par des indicateurs supplémentaires. En outre, en fonction du RRN, une logique d'intervention spécifique et des questions d'évaluation propres au programme peuvent nécessiter l'élaboration d'indicateurs spécifiques au programme à utiliser lors de la réponse aux questions. </w:t>
      </w:r>
    </w:p>
    <w:p w:rsidR="00860A11" w:rsidRPr="004F4478" w:rsidRDefault="00860A11" w:rsidP="00FC0A30">
      <w:pPr>
        <w:pStyle w:val="HStandard"/>
        <w:rPr>
          <w:highlight w:val="yellow"/>
        </w:rPr>
      </w:pPr>
      <w:r w:rsidRPr="004F4478">
        <w:rPr>
          <w:highlight w:val="yellow"/>
        </w:rPr>
        <w:t xml:space="preserve">Une approche pratique pour l'élaboration d'indicateurs spécifiques au programme de RRN serait d'utiliser un tableau énumérant les objectifs et les questions d'évaluation à chaque niveau de la hiérarchie (réalisation, résultat, impact). Ceci est représenté </w:t>
      </w:r>
      <w:r>
        <w:rPr>
          <w:highlight w:val="yellow"/>
        </w:rPr>
        <w:t>au</w:t>
      </w:r>
      <w:r w:rsidRPr="004F4478">
        <w:rPr>
          <w:highlight w:val="yellow"/>
        </w:rPr>
        <w:t xml:space="preserve"> </w:t>
      </w:r>
      <w:r w:rsidRPr="004F4478">
        <w:rPr>
          <w:highlight w:val="yellow"/>
        </w:rPr>
        <w:fldChar w:fldCharType="begin" w:fldLock="1"/>
      </w:r>
      <w:r w:rsidRPr="004F4478">
        <w:rPr>
          <w:highlight w:val="yellow"/>
        </w:rPr>
        <w:instrText xml:space="preserve"> REF _Ref451784970 \r \h  \* MERGEFORMAT </w:instrText>
      </w:r>
      <w:r w:rsidRPr="004F4478">
        <w:rPr>
          <w:highlight w:val="yellow"/>
        </w:rPr>
      </w:r>
      <w:r w:rsidRPr="004F4478">
        <w:rPr>
          <w:highlight w:val="yellow"/>
        </w:rPr>
        <w:fldChar w:fldCharType="separate"/>
      </w:r>
      <w:r>
        <w:rPr>
          <w:highlight w:val="yellow"/>
        </w:rPr>
        <w:t>t</w:t>
      </w:r>
      <w:r w:rsidRPr="004F4478">
        <w:rPr>
          <w:highlight w:val="yellow"/>
        </w:rPr>
        <w:t>able</w:t>
      </w:r>
      <w:r>
        <w:rPr>
          <w:highlight w:val="yellow"/>
        </w:rPr>
        <w:t>au</w:t>
      </w:r>
      <w:r w:rsidRPr="004F4478">
        <w:rPr>
          <w:highlight w:val="yellow"/>
        </w:rPr>
        <w:t xml:space="preserve"> 7</w:t>
      </w:r>
      <w:r w:rsidRPr="004F4478">
        <w:rPr>
          <w:highlight w:val="yellow"/>
        </w:rPr>
        <w:fldChar w:fldCharType="end"/>
      </w:r>
      <w:r w:rsidRPr="004F4478">
        <w:rPr>
          <w:highlight w:val="yellow"/>
        </w:rPr>
        <w:t xml:space="preserve"> utilisant l'exemple sur l'innovation cité ci-dessus.</w:t>
      </w:r>
    </w:p>
    <w:p w:rsidR="00860A11" w:rsidRPr="004F4478" w:rsidRDefault="00860A11">
      <w:pPr>
        <w:spacing w:after="0" w:line="240" w:lineRule="auto"/>
        <w:rPr>
          <w:rFonts w:cs="Arial"/>
          <w:color w:val="576C88" w:themeColor="text2" w:themeTint="D9"/>
          <w:sz w:val="20"/>
          <w:szCs w:val="20"/>
          <w:highlight w:val="yellow"/>
        </w:rPr>
      </w:pPr>
      <w:r w:rsidRPr="004F4478">
        <w:br w:type="page"/>
      </w:r>
    </w:p>
    <w:p w:rsidR="00860A11" w:rsidRPr="004F4478" w:rsidRDefault="00860A11" w:rsidP="001249DA">
      <w:pPr>
        <w:pStyle w:val="HHeadingtables"/>
        <w:rPr>
          <w:sz w:val="20"/>
          <w:highlight w:val="yellow"/>
        </w:rPr>
      </w:pPr>
      <w:bookmarkStart w:id="131" w:name="_Toc451781911"/>
      <w:bookmarkStart w:id="132" w:name="_Ref451784970"/>
      <w:bookmarkStart w:id="133" w:name="_Toc463945785"/>
      <w:bookmarkStart w:id="134" w:name="_Ref435792426"/>
      <w:bookmarkStart w:id="135" w:name="_Toc436383149"/>
      <w:r w:rsidRPr="004F4478">
        <w:rPr>
          <w:highlight w:val="yellow"/>
        </w:rPr>
        <w:lastRenderedPageBreak/>
        <w:t xml:space="preserve">Exemple de liaison entre les objectifs, les questions d'évaluation et </w:t>
      </w:r>
      <w:r>
        <w:rPr>
          <w:highlight w:val="yellow"/>
        </w:rPr>
        <w:t>l</w:t>
      </w:r>
      <w:r w:rsidRPr="004F4478">
        <w:rPr>
          <w:highlight w:val="yellow"/>
        </w:rPr>
        <w:t>es indicateurs se rapportant  au RRN</w:t>
      </w:r>
      <w:bookmarkEnd w:id="131"/>
      <w:bookmarkEnd w:id="132"/>
      <w:bookmarkEnd w:id="133"/>
      <w:r w:rsidRPr="004F4478">
        <w:rPr>
          <w:highlight w:val="yellow"/>
        </w:rPr>
        <w:t xml:space="preserve"> </w:t>
      </w:r>
      <w:bookmarkEnd w:id="134"/>
      <w:bookmarkEnd w:id="135"/>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DDDDDD"/>
        <w:tblLook w:val="04A0" w:firstRow="1" w:lastRow="0" w:firstColumn="1" w:lastColumn="0" w:noHBand="0" w:noVBand="1"/>
      </w:tblPr>
      <w:tblGrid>
        <w:gridCol w:w="1711"/>
        <w:gridCol w:w="2562"/>
        <w:gridCol w:w="2454"/>
        <w:gridCol w:w="2289"/>
      </w:tblGrid>
      <w:tr w:rsidR="00860A11" w:rsidRPr="004F4478" w:rsidTr="00FC0A30">
        <w:tc>
          <w:tcPr>
            <w:tcW w:w="1711" w:type="dxa"/>
            <w:shd w:val="clear" w:color="auto" w:fill="E7E6E6" w:themeFill="background2"/>
          </w:tcPr>
          <w:p w:rsidR="00860A11" w:rsidRPr="004F4478" w:rsidRDefault="00860A11" w:rsidP="00D322AA">
            <w:pPr>
              <w:pStyle w:val="Htableleftbolt"/>
              <w:rPr>
                <w:color w:val="5B9BD5" w:themeColor="accent1"/>
                <w:highlight w:val="yellow"/>
              </w:rPr>
            </w:pPr>
            <w:r w:rsidRPr="004F4478">
              <w:rPr>
                <w:color w:val="5B9BD5" w:themeColor="accent1"/>
                <w:highlight w:val="yellow"/>
              </w:rPr>
              <w:t>Niveau des objectifs dans la hiérarchie de la logique d'intervention des RRN</w:t>
            </w:r>
          </w:p>
        </w:tc>
        <w:tc>
          <w:tcPr>
            <w:tcW w:w="2562" w:type="dxa"/>
            <w:shd w:val="clear" w:color="auto" w:fill="E7E6E6" w:themeFill="background2"/>
          </w:tcPr>
          <w:p w:rsidR="00860A11" w:rsidRPr="004F4478" w:rsidRDefault="00860A11" w:rsidP="00D322AA">
            <w:pPr>
              <w:pStyle w:val="Htableleftbolt"/>
              <w:rPr>
                <w:color w:val="5B9BD5" w:themeColor="accent1"/>
                <w:highlight w:val="yellow"/>
              </w:rPr>
            </w:pPr>
            <w:r w:rsidRPr="004F4478">
              <w:rPr>
                <w:color w:val="5B9BD5" w:themeColor="accent1"/>
                <w:highlight w:val="yellow"/>
              </w:rPr>
              <w:t>Objectifs des RRN</w:t>
            </w:r>
          </w:p>
          <w:p w:rsidR="00860A11" w:rsidRPr="004F4478" w:rsidRDefault="00860A11" w:rsidP="00D322AA">
            <w:pPr>
              <w:pStyle w:val="Htableleftbolt"/>
              <w:rPr>
                <w:b w:val="0"/>
                <w:color w:val="5B9BD5" w:themeColor="accent1"/>
                <w:highlight w:val="yellow"/>
              </w:rPr>
            </w:pPr>
            <w:r w:rsidRPr="004F4478">
              <w:rPr>
                <w:b w:val="0"/>
                <w:color w:val="5B9BD5" w:themeColor="accent1"/>
                <w:highlight w:val="yellow"/>
              </w:rPr>
              <w:t xml:space="preserve">CO - objectifs communs </w:t>
            </w:r>
          </w:p>
          <w:p w:rsidR="00860A11" w:rsidRPr="004F4478" w:rsidRDefault="00860A11" w:rsidP="007E5B15">
            <w:pPr>
              <w:pStyle w:val="Htableleftbolt"/>
              <w:rPr>
                <w:color w:val="5B9BD5" w:themeColor="accent1"/>
                <w:highlight w:val="yellow"/>
              </w:rPr>
            </w:pPr>
            <w:r w:rsidRPr="004F4478">
              <w:rPr>
                <w:b w:val="0"/>
                <w:color w:val="5B9BD5" w:themeColor="accent1"/>
                <w:highlight w:val="yellow"/>
              </w:rPr>
              <w:t>PSO - objectifs spécifiques du programme</w:t>
            </w:r>
          </w:p>
        </w:tc>
        <w:tc>
          <w:tcPr>
            <w:tcW w:w="2454" w:type="dxa"/>
            <w:shd w:val="clear" w:color="auto" w:fill="E7E6E6" w:themeFill="background2"/>
          </w:tcPr>
          <w:p w:rsidR="00860A11" w:rsidRPr="004F4478" w:rsidRDefault="00860A11" w:rsidP="00D322AA">
            <w:pPr>
              <w:pStyle w:val="Htableleftbolt"/>
              <w:rPr>
                <w:color w:val="5B9BD5" w:themeColor="accent1"/>
                <w:highlight w:val="yellow"/>
              </w:rPr>
            </w:pPr>
            <w:r w:rsidRPr="004F4478">
              <w:rPr>
                <w:color w:val="5B9BD5" w:themeColor="accent1"/>
                <w:highlight w:val="yellow"/>
              </w:rPr>
              <w:t>Questions d’évaluation des RRN</w:t>
            </w:r>
          </w:p>
          <w:p w:rsidR="00860A11" w:rsidRPr="004F4478" w:rsidRDefault="00860A11" w:rsidP="00D322AA">
            <w:pPr>
              <w:pStyle w:val="Htableleftbolt"/>
              <w:rPr>
                <w:b w:val="0"/>
                <w:color w:val="5B9BD5" w:themeColor="accent1"/>
                <w:highlight w:val="yellow"/>
              </w:rPr>
            </w:pPr>
            <w:r w:rsidRPr="004F4478">
              <w:rPr>
                <w:b w:val="0"/>
                <w:color w:val="5B9BD5" w:themeColor="accent1"/>
                <w:highlight w:val="yellow"/>
              </w:rPr>
              <w:t>(CEQ - questions d'évaluation communes</w:t>
            </w:r>
          </w:p>
          <w:p w:rsidR="00860A11" w:rsidRPr="004F4478" w:rsidRDefault="00860A11" w:rsidP="00D322AA">
            <w:pPr>
              <w:pStyle w:val="Htableleftbolt"/>
              <w:rPr>
                <w:color w:val="5B9BD5" w:themeColor="accent1"/>
                <w:highlight w:val="yellow"/>
              </w:rPr>
            </w:pPr>
            <w:r w:rsidRPr="004F4478">
              <w:rPr>
                <w:b w:val="0"/>
                <w:color w:val="5B9BD5" w:themeColor="accent1"/>
                <w:highlight w:val="yellow"/>
              </w:rPr>
              <w:t>PSEQ – questions d’évaluation spécifiques du programme)</w:t>
            </w:r>
          </w:p>
        </w:tc>
        <w:tc>
          <w:tcPr>
            <w:tcW w:w="2289" w:type="dxa"/>
            <w:shd w:val="clear" w:color="auto" w:fill="E7E6E6" w:themeFill="background2"/>
          </w:tcPr>
          <w:p w:rsidR="00860A11" w:rsidRPr="004F4478" w:rsidRDefault="00860A11" w:rsidP="00D322AA">
            <w:pPr>
              <w:pStyle w:val="Htableleftbolt"/>
              <w:rPr>
                <w:color w:val="5B9BD5" w:themeColor="accent1"/>
                <w:highlight w:val="yellow"/>
              </w:rPr>
            </w:pPr>
            <w:r w:rsidRPr="004F4478">
              <w:rPr>
                <w:color w:val="5B9BD5" w:themeColor="accent1"/>
                <w:highlight w:val="yellow"/>
              </w:rPr>
              <w:t>Indicateurs de RRN</w:t>
            </w:r>
          </w:p>
          <w:p w:rsidR="00860A11" w:rsidRPr="004F4478" w:rsidRDefault="00860A11" w:rsidP="00D322AA">
            <w:pPr>
              <w:pStyle w:val="Htableleftbolt"/>
              <w:rPr>
                <w:b w:val="0"/>
                <w:color w:val="5B9BD5" w:themeColor="accent1"/>
                <w:szCs w:val="16"/>
                <w:highlight w:val="yellow"/>
              </w:rPr>
            </w:pPr>
            <w:r w:rsidRPr="004F4478">
              <w:rPr>
                <w:b w:val="0"/>
                <w:color w:val="5B9BD5" w:themeColor="accent1"/>
                <w:highlight w:val="yellow"/>
              </w:rPr>
              <w:t>CO - réalisations communes</w:t>
            </w:r>
          </w:p>
          <w:p w:rsidR="00860A11" w:rsidRPr="004F4478" w:rsidRDefault="00860A11" w:rsidP="00D322AA">
            <w:pPr>
              <w:pStyle w:val="Htableleftbolt"/>
              <w:rPr>
                <w:b w:val="0"/>
                <w:color w:val="5B9BD5" w:themeColor="accent1"/>
                <w:szCs w:val="16"/>
                <w:highlight w:val="yellow"/>
              </w:rPr>
            </w:pPr>
            <w:r w:rsidRPr="004F4478">
              <w:rPr>
                <w:b w:val="0"/>
                <w:color w:val="5B9BD5" w:themeColor="accent1"/>
                <w:highlight w:val="yellow"/>
              </w:rPr>
              <w:t>PSR - résultats spécifiques au programme</w:t>
            </w:r>
          </w:p>
          <w:p w:rsidR="00860A11" w:rsidRPr="004F4478" w:rsidRDefault="00860A11" w:rsidP="007E5B15">
            <w:pPr>
              <w:pStyle w:val="Htableleftbolt"/>
              <w:rPr>
                <w:color w:val="5B9BD5" w:themeColor="accent1"/>
                <w:highlight w:val="yellow"/>
              </w:rPr>
            </w:pPr>
            <w:r w:rsidRPr="004F4478">
              <w:rPr>
                <w:b w:val="0"/>
                <w:color w:val="5B9BD5" w:themeColor="accent1"/>
                <w:highlight w:val="yellow"/>
              </w:rPr>
              <w:t>PSI - impacts spécifiques au programme</w:t>
            </w:r>
          </w:p>
        </w:tc>
      </w:tr>
      <w:tr w:rsidR="00860A11" w:rsidRPr="004F4478" w:rsidTr="00FC0A30">
        <w:tc>
          <w:tcPr>
            <w:tcW w:w="1711" w:type="dxa"/>
            <w:shd w:val="clear" w:color="auto" w:fill="auto"/>
          </w:tcPr>
          <w:p w:rsidR="00860A11" w:rsidRPr="004F4478" w:rsidRDefault="00860A11" w:rsidP="00FC0A30">
            <w:pPr>
              <w:pStyle w:val="Htableleft"/>
              <w:rPr>
                <w:color w:val="576C88" w:themeColor="text2" w:themeTint="D9"/>
                <w:highlight w:val="yellow"/>
              </w:rPr>
            </w:pPr>
            <w:r w:rsidRPr="004F4478">
              <w:rPr>
                <w:color w:val="576C88" w:themeColor="text2" w:themeTint="D9"/>
                <w:highlight w:val="yellow"/>
              </w:rPr>
              <w:t>Objectifs opérationnels (niveau d’activité et de réalisation)</w:t>
            </w:r>
          </w:p>
        </w:tc>
        <w:tc>
          <w:tcPr>
            <w:tcW w:w="2562" w:type="dxa"/>
            <w:shd w:val="clear" w:color="auto" w:fill="auto"/>
          </w:tcPr>
          <w:p w:rsidR="00860A11" w:rsidRPr="004F4478" w:rsidRDefault="00860A11" w:rsidP="00FC0A30">
            <w:pPr>
              <w:pStyle w:val="Htableleft"/>
              <w:rPr>
                <w:color w:val="576C88" w:themeColor="text2" w:themeTint="D9"/>
                <w:highlight w:val="yellow"/>
              </w:rPr>
            </w:pPr>
            <w:r w:rsidRPr="004F4478">
              <w:rPr>
                <w:color w:val="576C88" w:themeColor="text2" w:themeTint="D9"/>
                <w:highlight w:val="yellow"/>
              </w:rPr>
              <w:t>PSO: Faciliter les échanges thématiques et analytiques entre les acteurs du développement rural</w:t>
            </w:r>
          </w:p>
          <w:p w:rsidR="00860A11" w:rsidRPr="004F4478" w:rsidRDefault="00860A11" w:rsidP="00FC0A30">
            <w:pPr>
              <w:pStyle w:val="Htableleft"/>
              <w:rPr>
                <w:color w:val="576C88" w:themeColor="text2" w:themeTint="D9"/>
                <w:highlight w:val="yellow"/>
              </w:rPr>
            </w:pPr>
            <w:r w:rsidRPr="004F4478">
              <w:rPr>
                <w:color w:val="576C88" w:themeColor="text2" w:themeTint="D9"/>
                <w:highlight w:val="yellow"/>
              </w:rPr>
              <w:t>PSO: Proposer des activités de réseautage aux conseillers et aux services de soutien à l'innovation</w:t>
            </w:r>
          </w:p>
          <w:p w:rsidR="00860A11" w:rsidRPr="004F4478" w:rsidRDefault="00860A11" w:rsidP="00FC0A30">
            <w:pPr>
              <w:pStyle w:val="Htableleft"/>
              <w:rPr>
                <w:color w:val="576C88" w:themeColor="text2" w:themeTint="D9"/>
                <w:highlight w:val="yellow"/>
              </w:rPr>
            </w:pPr>
            <w:r w:rsidRPr="004F4478">
              <w:rPr>
                <w:color w:val="576C88" w:themeColor="text2" w:themeTint="D9"/>
                <w:highlight w:val="yellow"/>
              </w:rPr>
              <w:t>PSO: Offrir des  formations et des activités de réseautage aux GAL</w:t>
            </w:r>
          </w:p>
          <w:p w:rsidR="00860A11" w:rsidRPr="004F4478" w:rsidRDefault="00860A11" w:rsidP="00FC0A30">
            <w:pPr>
              <w:pStyle w:val="Htableleft"/>
              <w:rPr>
                <w:color w:val="576C88" w:themeColor="text2" w:themeTint="D9"/>
                <w:highlight w:val="yellow"/>
              </w:rPr>
            </w:pPr>
            <w:r w:rsidRPr="004F4478">
              <w:rPr>
                <w:color w:val="576C88" w:themeColor="text2" w:themeTint="D9"/>
                <w:highlight w:val="yellow"/>
              </w:rPr>
              <w:t>PSO: Recueillir des exemples de projets</w:t>
            </w:r>
          </w:p>
        </w:tc>
        <w:tc>
          <w:tcPr>
            <w:tcW w:w="2454" w:type="dxa"/>
            <w:shd w:val="clear" w:color="auto" w:fill="auto"/>
          </w:tcPr>
          <w:p w:rsidR="00860A11" w:rsidRPr="004F4478" w:rsidRDefault="00860A11" w:rsidP="00FC0A30">
            <w:pPr>
              <w:pStyle w:val="Htableleft"/>
              <w:rPr>
                <w:color w:val="576C88" w:themeColor="text2" w:themeTint="D9"/>
                <w:highlight w:val="yellow"/>
              </w:rPr>
            </w:pPr>
            <w:r w:rsidRPr="004F4478">
              <w:rPr>
                <w:color w:val="576C88" w:themeColor="text2" w:themeTint="D9"/>
                <w:highlight w:val="yellow"/>
              </w:rPr>
              <w:t>PSEQ: Combien d’échanges thématiques, de bases de données de projets innovants à la disposition du public et des programmes de formations sur l'innovation résultent des activités du RRN?</w:t>
            </w:r>
          </w:p>
        </w:tc>
        <w:tc>
          <w:tcPr>
            <w:tcW w:w="2289" w:type="dxa"/>
            <w:shd w:val="clear" w:color="auto" w:fill="auto"/>
          </w:tcPr>
          <w:p w:rsidR="00860A11" w:rsidRPr="004F4478" w:rsidRDefault="00860A11" w:rsidP="00FC0A30">
            <w:pPr>
              <w:pStyle w:val="Htableleft"/>
              <w:rPr>
                <w:color w:val="576C88" w:themeColor="text2" w:themeTint="D9"/>
                <w:highlight w:val="yellow"/>
              </w:rPr>
            </w:pPr>
            <w:r w:rsidRPr="004F4478">
              <w:rPr>
                <w:color w:val="576C88" w:themeColor="text2" w:themeTint="D9"/>
                <w:highlight w:val="yellow"/>
              </w:rPr>
              <w:t>(CO) Nombre d’échanges thématiques et analytiques mis en place avec le soutien du RRN</w:t>
            </w:r>
          </w:p>
          <w:p w:rsidR="00860A11" w:rsidRPr="004F4478" w:rsidRDefault="00860A11" w:rsidP="00FC0A30">
            <w:pPr>
              <w:pStyle w:val="Htableleft"/>
              <w:rPr>
                <w:color w:val="576C88" w:themeColor="text2" w:themeTint="D9"/>
                <w:highlight w:val="yellow"/>
              </w:rPr>
            </w:pPr>
            <w:r w:rsidRPr="004F4478">
              <w:rPr>
                <w:color w:val="576C88" w:themeColor="text2" w:themeTint="D9"/>
                <w:highlight w:val="yellow"/>
              </w:rPr>
              <w:t>(CO) Nombre d'outils de communication en particulier pour les bases de données de projets innovants, accessibles au public</w:t>
            </w:r>
          </w:p>
        </w:tc>
      </w:tr>
      <w:tr w:rsidR="00860A11" w:rsidRPr="004F4478" w:rsidTr="00FC0A30">
        <w:tc>
          <w:tcPr>
            <w:tcW w:w="1711" w:type="dxa"/>
            <w:shd w:val="clear" w:color="auto" w:fill="auto"/>
          </w:tcPr>
          <w:p w:rsidR="00860A11" w:rsidRPr="004F4478" w:rsidRDefault="00860A11" w:rsidP="00FC0A30">
            <w:pPr>
              <w:pStyle w:val="Htableleft"/>
              <w:rPr>
                <w:color w:val="576C88" w:themeColor="text2" w:themeTint="D9"/>
                <w:highlight w:val="yellow"/>
              </w:rPr>
            </w:pPr>
            <w:r>
              <w:rPr>
                <w:color w:val="576C88" w:themeColor="text2" w:themeTint="D9"/>
                <w:highlight w:val="yellow"/>
              </w:rPr>
              <w:t>O</w:t>
            </w:r>
            <w:r w:rsidRPr="004F4478">
              <w:rPr>
                <w:color w:val="576C88" w:themeColor="text2" w:themeTint="D9"/>
                <w:highlight w:val="yellow"/>
              </w:rPr>
              <w:t>bjectifs spécifiques (niveau de résultat)</w:t>
            </w:r>
          </w:p>
        </w:tc>
        <w:tc>
          <w:tcPr>
            <w:tcW w:w="2562" w:type="dxa"/>
            <w:shd w:val="clear" w:color="auto" w:fill="auto"/>
          </w:tcPr>
          <w:p w:rsidR="00860A11" w:rsidRPr="004F4478" w:rsidRDefault="00860A11" w:rsidP="00FC0A30">
            <w:pPr>
              <w:pStyle w:val="Htableleft"/>
              <w:rPr>
                <w:color w:val="576C88" w:themeColor="text2" w:themeTint="D9"/>
                <w:highlight w:val="yellow"/>
              </w:rPr>
            </w:pPr>
            <w:r w:rsidRPr="004F4478">
              <w:rPr>
                <w:color w:val="576C88" w:themeColor="text2" w:themeTint="D9"/>
                <w:highlight w:val="yellow"/>
              </w:rPr>
              <w:t xml:space="preserve"> (PSO) Renforcer la collaboration, l'échange et la mise en réseau entre les partenaires du projet d'innovation dans les zones rurales grâce au RRN</w:t>
            </w:r>
          </w:p>
          <w:p w:rsidR="00860A11" w:rsidRPr="004F4478" w:rsidRDefault="00860A11" w:rsidP="00FC0A30">
            <w:pPr>
              <w:pStyle w:val="Htableleft"/>
              <w:rPr>
                <w:color w:val="576C88" w:themeColor="text2" w:themeTint="D9"/>
                <w:highlight w:val="yellow"/>
              </w:rPr>
            </w:pPr>
            <w:r w:rsidRPr="004F4478">
              <w:rPr>
                <w:color w:val="576C88" w:themeColor="text2" w:themeTint="D9"/>
                <w:highlight w:val="yellow"/>
              </w:rPr>
              <w:t>(PSO) Renforcer l'émergence de produits et de marchés innovants, de nouveaux processus et de nouvelles formes d'organisation</w:t>
            </w:r>
          </w:p>
          <w:p w:rsidR="00860A11" w:rsidRPr="004F4478" w:rsidRDefault="00860A11" w:rsidP="00FC0A30">
            <w:pPr>
              <w:pStyle w:val="Htableleft"/>
              <w:rPr>
                <w:color w:val="576C88" w:themeColor="text2" w:themeTint="D9"/>
                <w:highlight w:val="yellow"/>
              </w:rPr>
            </w:pPr>
          </w:p>
        </w:tc>
        <w:tc>
          <w:tcPr>
            <w:tcW w:w="2454" w:type="dxa"/>
            <w:shd w:val="clear" w:color="auto" w:fill="auto"/>
          </w:tcPr>
          <w:p w:rsidR="00860A11" w:rsidRPr="004F4478" w:rsidRDefault="00860A11" w:rsidP="00FC0A30">
            <w:pPr>
              <w:pStyle w:val="Htableleft"/>
              <w:rPr>
                <w:color w:val="576C88" w:themeColor="text2" w:themeTint="D9"/>
                <w:highlight w:val="yellow"/>
              </w:rPr>
            </w:pPr>
            <w:r w:rsidRPr="004F4478">
              <w:rPr>
                <w:color w:val="576C88" w:themeColor="text2" w:themeTint="D9"/>
                <w:highlight w:val="yellow"/>
              </w:rPr>
              <w:t>PSEQ: Dans quelle mesure les activités du RRN contribuent-elles à renforcer la coopération, les échanges et le réseautage entre les partenaires du projet d'innovation?</w:t>
            </w:r>
          </w:p>
          <w:p w:rsidR="00860A11" w:rsidRPr="004F4478" w:rsidRDefault="00860A11" w:rsidP="00FC0A30">
            <w:pPr>
              <w:pStyle w:val="Htableleft"/>
              <w:rPr>
                <w:color w:val="576C88" w:themeColor="text2" w:themeTint="D9"/>
                <w:highlight w:val="yellow"/>
              </w:rPr>
            </w:pPr>
            <w:r w:rsidRPr="004F4478">
              <w:rPr>
                <w:color w:val="576C88" w:themeColor="text2" w:themeTint="D9"/>
                <w:highlight w:val="yellow"/>
              </w:rPr>
              <w:t>PSEQ: Dans quelle mesure des projets innovants ont-ils pu être développés par les bénéficiaires du RRN?</w:t>
            </w:r>
          </w:p>
        </w:tc>
        <w:tc>
          <w:tcPr>
            <w:tcW w:w="2289" w:type="dxa"/>
            <w:shd w:val="clear" w:color="auto" w:fill="auto"/>
          </w:tcPr>
          <w:p w:rsidR="00860A11" w:rsidRPr="004F4478" w:rsidRDefault="00860A11" w:rsidP="00FC0A30">
            <w:pPr>
              <w:pStyle w:val="Htableleft"/>
              <w:rPr>
                <w:color w:val="576C88" w:themeColor="text2" w:themeTint="D9"/>
                <w:highlight w:val="yellow"/>
              </w:rPr>
            </w:pPr>
            <w:r w:rsidRPr="004F4478">
              <w:rPr>
                <w:color w:val="576C88" w:themeColor="text2" w:themeTint="D9"/>
                <w:highlight w:val="yellow"/>
              </w:rPr>
              <w:t>(PSR) Nombre de  nouveaux réseaux, de partenariats, de groupes de coopération  entre les partenaires de projets d'innovation issus du RRN</w:t>
            </w:r>
          </w:p>
          <w:p w:rsidR="00860A11" w:rsidRPr="004F4478" w:rsidRDefault="00860A11" w:rsidP="00FC0A30">
            <w:pPr>
              <w:pStyle w:val="Htableleft"/>
              <w:rPr>
                <w:color w:val="576C88" w:themeColor="text2" w:themeTint="D9"/>
                <w:highlight w:val="yellow"/>
              </w:rPr>
            </w:pPr>
            <w:r w:rsidRPr="004F4478">
              <w:rPr>
                <w:color w:val="576C88" w:themeColor="text2" w:themeTint="D9"/>
                <w:highlight w:val="yellow"/>
              </w:rPr>
              <w:t xml:space="preserve">(PSR) Nombre de produits et marchés innovants, de processus et de formes d'organisation développés par les bénéficiaires du RRN </w:t>
            </w:r>
          </w:p>
        </w:tc>
      </w:tr>
      <w:tr w:rsidR="00860A11" w:rsidRPr="004F4478" w:rsidTr="00FC0A30">
        <w:tc>
          <w:tcPr>
            <w:tcW w:w="1711" w:type="dxa"/>
            <w:shd w:val="clear" w:color="auto" w:fill="auto"/>
          </w:tcPr>
          <w:p w:rsidR="00860A11" w:rsidRPr="004F4478" w:rsidRDefault="00860A11" w:rsidP="00FC0A30">
            <w:pPr>
              <w:pStyle w:val="Htableleft"/>
              <w:rPr>
                <w:color w:val="576C88" w:themeColor="text2" w:themeTint="D9"/>
                <w:highlight w:val="yellow"/>
              </w:rPr>
            </w:pPr>
            <w:r w:rsidRPr="004F4478">
              <w:rPr>
                <w:color w:val="576C88" w:themeColor="text2" w:themeTint="D9"/>
                <w:highlight w:val="yellow"/>
              </w:rPr>
              <w:t>Objectifs généraux (niveau d'impact)</w:t>
            </w:r>
          </w:p>
        </w:tc>
        <w:tc>
          <w:tcPr>
            <w:tcW w:w="2562" w:type="dxa"/>
            <w:shd w:val="clear" w:color="auto" w:fill="auto"/>
          </w:tcPr>
          <w:p w:rsidR="00860A11" w:rsidRPr="004F4478" w:rsidRDefault="00860A11" w:rsidP="00CF12A8">
            <w:pPr>
              <w:pStyle w:val="Htableleft"/>
              <w:rPr>
                <w:color w:val="576C88" w:themeColor="text2" w:themeTint="D9"/>
                <w:highlight w:val="yellow"/>
              </w:rPr>
            </w:pPr>
            <w:r w:rsidRPr="004F4478">
              <w:rPr>
                <w:color w:val="576C88" w:themeColor="text2" w:themeTint="D9"/>
                <w:highlight w:val="yellow"/>
              </w:rPr>
              <w:t>(CO) Favoriser l'innovation dans le secteur de l'agriculture, de la production alimentaire, des activités forestières et dans les zones rurales.</w:t>
            </w:r>
          </w:p>
        </w:tc>
        <w:tc>
          <w:tcPr>
            <w:tcW w:w="2454" w:type="dxa"/>
            <w:shd w:val="clear" w:color="auto" w:fill="auto"/>
          </w:tcPr>
          <w:p w:rsidR="00860A11" w:rsidRPr="004F4478" w:rsidRDefault="00860A11" w:rsidP="00FC0A30">
            <w:pPr>
              <w:pStyle w:val="Htableleft"/>
              <w:rPr>
                <w:color w:val="576C88" w:themeColor="text2" w:themeTint="D9"/>
                <w:highlight w:val="yellow"/>
              </w:rPr>
            </w:pPr>
            <w:r w:rsidRPr="004F4478">
              <w:rPr>
                <w:color w:val="576C88" w:themeColor="text2" w:themeTint="D9"/>
                <w:highlight w:val="yellow"/>
              </w:rPr>
              <w:t xml:space="preserve">CEQ: Dans quelle mesure le RRN a-t-il contribué (objectif de la politique européenne) à favoriser l'innovation dans l'agriculture, la production alimentaire, l’exploitation  forestière et les zones rurales? </w:t>
            </w:r>
          </w:p>
        </w:tc>
        <w:tc>
          <w:tcPr>
            <w:tcW w:w="2289" w:type="dxa"/>
            <w:shd w:val="clear" w:color="auto" w:fill="auto"/>
          </w:tcPr>
          <w:p w:rsidR="00860A11" w:rsidRPr="004F4478" w:rsidRDefault="00860A11" w:rsidP="00FC0A30">
            <w:pPr>
              <w:pStyle w:val="Htableleft"/>
              <w:rPr>
                <w:color w:val="576C88" w:themeColor="text2" w:themeTint="D9"/>
                <w:highlight w:val="yellow"/>
              </w:rPr>
            </w:pPr>
            <w:r w:rsidRPr="004F4478">
              <w:rPr>
                <w:color w:val="576C88" w:themeColor="text2" w:themeTint="D9"/>
                <w:highlight w:val="yellow"/>
              </w:rPr>
              <w:t>(PSI) Pourcentage de produits et marchés innovants, de nouveaux  processus et formes d'organisation présents dans la chaîne de valeur et dans les zones rurales, qui ont été développés, transférés et lancés dans les zones rurales grâce aux activités du RRN</w:t>
            </w:r>
          </w:p>
          <w:p w:rsidR="00860A11" w:rsidRPr="004F4478" w:rsidRDefault="00860A11" w:rsidP="00FC0A30">
            <w:pPr>
              <w:pStyle w:val="Htableleft"/>
              <w:rPr>
                <w:color w:val="576C88" w:themeColor="text2" w:themeTint="D9"/>
                <w:highlight w:val="yellow"/>
              </w:rPr>
            </w:pPr>
            <w:r w:rsidRPr="004F4478">
              <w:rPr>
                <w:color w:val="576C88" w:themeColor="text2" w:themeTint="D9"/>
                <w:highlight w:val="yellow"/>
              </w:rPr>
              <w:t xml:space="preserve">(PSI) Nombre de brevets, prototypes qui ont </w:t>
            </w:r>
            <w:r>
              <w:rPr>
                <w:color w:val="576C88" w:themeColor="text2" w:themeTint="D9"/>
                <w:highlight w:val="yellow"/>
              </w:rPr>
              <w:t xml:space="preserve">été </w:t>
            </w:r>
            <w:r w:rsidRPr="004F4478">
              <w:rPr>
                <w:color w:val="576C88" w:themeColor="text2" w:themeTint="D9"/>
                <w:highlight w:val="yellow"/>
              </w:rPr>
              <w:t>conçus et/ou mis en œuvre dans l'agriculture et la sylviculture grâce au RRN</w:t>
            </w:r>
          </w:p>
        </w:tc>
      </w:tr>
    </w:tbl>
    <w:p w:rsidR="00860A11" w:rsidRPr="004F4478" w:rsidRDefault="00860A11" w:rsidP="00FC0A30">
      <w:pPr>
        <w:pStyle w:val="HSource"/>
        <w:rPr>
          <w:highlight w:val="yellow"/>
        </w:rPr>
      </w:pPr>
      <w:r w:rsidRPr="004F4478">
        <w:rPr>
          <w:highlight w:val="yellow"/>
        </w:rPr>
        <w:t>Source: Helpdesk du Réseau européen d'évaluation du développement rural, 2016</w:t>
      </w:r>
    </w:p>
    <w:p w:rsidR="00860A11" w:rsidRPr="004F4478" w:rsidRDefault="00860A11" w:rsidP="00FC0A30">
      <w:pPr>
        <w:pStyle w:val="HStandard"/>
        <w:rPr>
          <w:highlight w:val="yellow"/>
        </w:rPr>
      </w:pPr>
      <w:r w:rsidRPr="004F4478">
        <w:rPr>
          <w:highlight w:val="yellow"/>
        </w:rPr>
        <w:t xml:space="preserve">Les indicateurs spécifiques du programme de RRN doivent être élaborés conformément aux objectifs politiques du RRN et aux questions et critères  d'évaluation. Les critères RACER devraient être utilisés dans l'élaboration des indicateurs spécifiques du programme de RRN </w:t>
      </w:r>
      <w:r w:rsidRPr="004F4478">
        <w:rPr>
          <w:rFonts w:ascii="ZWAdobeF" w:hAnsi="ZWAdobeF"/>
          <w:color w:val="auto"/>
          <w:sz w:val="2"/>
          <w:highlight w:val="yellow"/>
        </w:rPr>
        <w:t xml:space="preserve">79F </w:t>
      </w:r>
      <w:r w:rsidRPr="004F4478">
        <w:rPr>
          <w:rStyle w:val="FootnoteReference"/>
          <w:highlight w:val="yellow"/>
        </w:rPr>
        <w:footnoteReference w:id="80"/>
      </w:r>
      <w:r w:rsidRPr="004F4478">
        <w:rPr>
          <w:highlight w:val="yellow"/>
        </w:rPr>
        <w:t xml:space="preserve"> , à savoir:</w:t>
      </w:r>
    </w:p>
    <w:p w:rsidR="00860A11" w:rsidRPr="004F4478" w:rsidRDefault="00860A11">
      <w:pPr>
        <w:spacing w:after="0" w:line="240" w:lineRule="auto"/>
        <w:rPr>
          <w:rFonts w:cs="Arial"/>
          <w:color w:val="576C88" w:themeColor="text2" w:themeTint="D9"/>
          <w:sz w:val="20"/>
          <w:szCs w:val="20"/>
          <w:highlight w:val="yellow"/>
        </w:rPr>
      </w:pPr>
      <w:r w:rsidRPr="004F4478">
        <w:br w:type="page"/>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467"/>
        <w:gridCol w:w="7549"/>
      </w:tblGrid>
      <w:tr w:rsidR="00860A11" w:rsidRPr="004F4478" w:rsidTr="00D322AA">
        <w:trPr>
          <w:trHeight w:val="780"/>
        </w:trPr>
        <w:tc>
          <w:tcPr>
            <w:tcW w:w="1467" w:type="dxa"/>
            <w:shd w:val="clear" w:color="auto" w:fill="E7E6E6" w:themeFill="background2"/>
          </w:tcPr>
          <w:p w:rsidR="00860A11" w:rsidRPr="004F4478" w:rsidRDefault="00860A11" w:rsidP="00A80588">
            <w:pPr>
              <w:pStyle w:val="Default"/>
              <w:jc w:val="center"/>
              <w:rPr>
                <w:rFonts w:ascii="Arial" w:hAnsi="Arial" w:cs="Arial"/>
                <w:b/>
                <w:color w:val="5B9BD5" w:themeColor="accent1"/>
                <w:sz w:val="18"/>
                <w:szCs w:val="18"/>
                <w:highlight w:val="yellow"/>
              </w:rPr>
            </w:pPr>
            <w:r w:rsidRPr="004F4478">
              <w:rPr>
                <w:rFonts w:ascii="Arial" w:hAnsi="Arial"/>
                <w:b/>
                <w:color w:val="5B9BD5" w:themeColor="accent1"/>
                <w:sz w:val="18"/>
                <w:highlight w:val="yellow"/>
              </w:rPr>
              <w:lastRenderedPageBreak/>
              <w:t>Pertinent</w:t>
            </w:r>
          </w:p>
        </w:tc>
        <w:tc>
          <w:tcPr>
            <w:tcW w:w="7549" w:type="dxa"/>
          </w:tcPr>
          <w:p w:rsidR="00860A11" w:rsidRPr="004F4478" w:rsidRDefault="00860A11" w:rsidP="00FC0A30">
            <w:pPr>
              <w:pStyle w:val="Default"/>
              <w:rPr>
                <w:rFonts w:ascii="Arial" w:hAnsi="Arial" w:cs="Arial"/>
                <w:color w:val="576C88" w:themeColor="text2" w:themeTint="D9"/>
                <w:sz w:val="18"/>
                <w:szCs w:val="18"/>
                <w:highlight w:val="yellow"/>
              </w:rPr>
            </w:pPr>
            <w:r w:rsidRPr="004F4478">
              <w:rPr>
                <w:rFonts w:ascii="Arial" w:hAnsi="Arial"/>
                <w:color w:val="576C88" w:themeColor="text2" w:themeTint="D9"/>
                <w:sz w:val="18"/>
                <w:highlight w:val="yellow"/>
              </w:rPr>
              <w:t xml:space="preserve">Les indicateurs sont-ils étroitement liés aux objectifs à atteindre? Sont-ils établis au bon niveau - les indicateurs d'impacts sont-ils vraiment des indicateurs d'impacts et les indicateurs de résultats font-ils réellement référence aux résultats? </w:t>
            </w:r>
          </w:p>
        </w:tc>
      </w:tr>
      <w:tr w:rsidR="00860A11" w:rsidRPr="004F4478" w:rsidTr="001249DA">
        <w:trPr>
          <w:trHeight w:val="376"/>
        </w:trPr>
        <w:tc>
          <w:tcPr>
            <w:tcW w:w="1467" w:type="dxa"/>
            <w:shd w:val="clear" w:color="auto" w:fill="E7E6E6" w:themeFill="background2"/>
          </w:tcPr>
          <w:p w:rsidR="00860A11" w:rsidRPr="004F4478" w:rsidRDefault="00860A11" w:rsidP="00A80588">
            <w:pPr>
              <w:pStyle w:val="Default"/>
              <w:jc w:val="center"/>
              <w:rPr>
                <w:rFonts w:ascii="Arial" w:hAnsi="Arial" w:cs="Arial"/>
                <w:b/>
                <w:color w:val="5B9BD5" w:themeColor="accent1"/>
                <w:sz w:val="18"/>
                <w:szCs w:val="18"/>
                <w:highlight w:val="yellow"/>
              </w:rPr>
            </w:pPr>
            <w:r w:rsidRPr="004F4478">
              <w:rPr>
                <w:rFonts w:ascii="Arial" w:hAnsi="Arial"/>
                <w:b/>
                <w:color w:val="5B9BD5" w:themeColor="accent1"/>
                <w:sz w:val="18"/>
                <w:highlight w:val="yellow"/>
              </w:rPr>
              <w:t>Accepté</w:t>
            </w:r>
          </w:p>
        </w:tc>
        <w:tc>
          <w:tcPr>
            <w:tcW w:w="7549" w:type="dxa"/>
          </w:tcPr>
          <w:p w:rsidR="00860A11" w:rsidRPr="004F4478" w:rsidRDefault="00860A11" w:rsidP="00FC0A30">
            <w:pPr>
              <w:pStyle w:val="Default"/>
              <w:rPr>
                <w:rFonts w:ascii="Arial" w:hAnsi="Arial" w:cs="Arial"/>
                <w:color w:val="576C88" w:themeColor="text2" w:themeTint="D9"/>
                <w:sz w:val="18"/>
                <w:szCs w:val="18"/>
                <w:highlight w:val="yellow"/>
              </w:rPr>
            </w:pPr>
            <w:r w:rsidRPr="004F4478">
              <w:rPr>
                <w:rFonts w:ascii="Arial" w:hAnsi="Arial"/>
                <w:color w:val="576C88" w:themeColor="text2" w:themeTint="D9"/>
                <w:sz w:val="18"/>
                <w:highlight w:val="yellow"/>
              </w:rPr>
              <w:t>Sont-ils acceptés par les parties prenantes?</w:t>
            </w:r>
          </w:p>
        </w:tc>
      </w:tr>
      <w:tr w:rsidR="00860A11" w:rsidRPr="004F4478" w:rsidTr="001249DA">
        <w:trPr>
          <w:trHeight w:val="523"/>
        </w:trPr>
        <w:tc>
          <w:tcPr>
            <w:tcW w:w="1467" w:type="dxa"/>
            <w:shd w:val="clear" w:color="auto" w:fill="E7E6E6" w:themeFill="background2"/>
          </w:tcPr>
          <w:p w:rsidR="00860A11" w:rsidRPr="004F4478" w:rsidRDefault="00860A11" w:rsidP="00A80588">
            <w:pPr>
              <w:pStyle w:val="Default"/>
              <w:jc w:val="center"/>
              <w:rPr>
                <w:rFonts w:ascii="Arial" w:hAnsi="Arial" w:cs="Arial"/>
                <w:b/>
                <w:color w:val="5B9BD5" w:themeColor="accent1"/>
                <w:sz w:val="18"/>
                <w:szCs w:val="18"/>
                <w:highlight w:val="yellow"/>
              </w:rPr>
            </w:pPr>
            <w:r w:rsidRPr="004F4478">
              <w:rPr>
                <w:rFonts w:ascii="Arial" w:hAnsi="Arial"/>
                <w:b/>
                <w:color w:val="5B9BD5" w:themeColor="accent1"/>
                <w:sz w:val="18"/>
                <w:highlight w:val="yellow"/>
              </w:rPr>
              <w:t>Crédible</w:t>
            </w:r>
          </w:p>
        </w:tc>
        <w:tc>
          <w:tcPr>
            <w:tcW w:w="7549" w:type="dxa"/>
          </w:tcPr>
          <w:p w:rsidR="00860A11" w:rsidRPr="004F4478" w:rsidRDefault="00860A11" w:rsidP="00FC0A30">
            <w:pPr>
              <w:pStyle w:val="Default"/>
              <w:rPr>
                <w:rFonts w:ascii="Arial" w:hAnsi="Arial" w:cs="Arial"/>
                <w:color w:val="576C88" w:themeColor="text2" w:themeTint="D9"/>
                <w:sz w:val="18"/>
                <w:szCs w:val="18"/>
                <w:highlight w:val="yellow"/>
              </w:rPr>
            </w:pPr>
            <w:r w:rsidRPr="004F4478">
              <w:rPr>
                <w:rFonts w:ascii="Arial" w:hAnsi="Arial"/>
                <w:color w:val="576C88" w:themeColor="text2" w:themeTint="D9"/>
                <w:sz w:val="18"/>
                <w:highlight w:val="yellow"/>
              </w:rPr>
              <w:t>Sont-ils acceptés à l'extérieur, tout en étant clairs et faciles à interpréter pour les non-experts?</w:t>
            </w:r>
          </w:p>
        </w:tc>
      </w:tr>
      <w:tr w:rsidR="00860A11" w:rsidRPr="004F4478" w:rsidTr="00D322AA">
        <w:trPr>
          <w:trHeight w:val="525"/>
        </w:trPr>
        <w:tc>
          <w:tcPr>
            <w:tcW w:w="1467" w:type="dxa"/>
            <w:shd w:val="clear" w:color="auto" w:fill="E7E6E6" w:themeFill="background2"/>
          </w:tcPr>
          <w:p w:rsidR="00860A11" w:rsidRPr="004F4478" w:rsidRDefault="00860A11" w:rsidP="00D322AA">
            <w:pPr>
              <w:pStyle w:val="Default"/>
              <w:jc w:val="center"/>
              <w:rPr>
                <w:rFonts w:ascii="Arial" w:hAnsi="Arial" w:cs="Arial"/>
                <w:b/>
                <w:color w:val="5B9BD5" w:themeColor="accent1"/>
                <w:sz w:val="18"/>
                <w:szCs w:val="18"/>
                <w:highlight w:val="yellow"/>
              </w:rPr>
            </w:pPr>
            <w:r w:rsidRPr="004F4478">
              <w:rPr>
                <w:rFonts w:ascii="Arial" w:hAnsi="Arial"/>
                <w:b/>
                <w:color w:val="5B9BD5" w:themeColor="accent1"/>
                <w:sz w:val="18"/>
                <w:highlight w:val="yellow"/>
              </w:rPr>
              <w:t>Facile</w:t>
            </w:r>
          </w:p>
        </w:tc>
        <w:tc>
          <w:tcPr>
            <w:tcW w:w="7549" w:type="dxa"/>
          </w:tcPr>
          <w:p w:rsidR="00860A11" w:rsidRPr="004F4478" w:rsidRDefault="00860A11" w:rsidP="00FC0A30">
            <w:pPr>
              <w:pStyle w:val="Default"/>
              <w:rPr>
                <w:rFonts w:ascii="Arial" w:hAnsi="Arial" w:cs="Arial"/>
                <w:color w:val="576C88" w:themeColor="text2" w:themeTint="D9"/>
                <w:sz w:val="18"/>
                <w:szCs w:val="18"/>
                <w:highlight w:val="yellow"/>
              </w:rPr>
            </w:pPr>
            <w:r w:rsidRPr="004F4478">
              <w:rPr>
                <w:rFonts w:ascii="Arial" w:hAnsi="Arial"/>
                <w:color w:val="576C88" w:themeColor="text2" w:themeTint="D9"/>
                <w:sz w:val="18"/>
                <w:highlight w:val="yellow"/>
              </w:rPr>
              <w:t>Sont-ils faciles à suivre?</w:t>
            </w:r>
          </w:p>
        </w:tc>
      </w:tr>
      <w:tr w:rsidR="00860A11" w:rsidRPr="004F4478" w:rsidTr="001249DA">
        <w:trPr>
          <w:trHeight w:val="389"/>
        </w:trPr>
        <w:tc>
          <w:tcPr>
            <w:tcW w:w="1467" w:type="dxa"/>
            <w:shd w:val="clear" w:color="auto" w:fill="E7E6E6" w:themeFill="background2"/>
          </w:tcPr>
          <w:p w:rsidR="00860A11" w:rsidRPr="004F4478" w:rsidRDefault="00860A11" w:rsidP="00D322AA">
            <w:pPr>
              <w:pStyle w:val="Default"/>
              <w:jc w:val="center"/>
              <w:rPr>
                <w:rFonts w:ascii="Arial" w:hAnsi="Arial" w:cs="Arial"/>
                <w:b/>
                <w:color w:val="5B9BD5" w:themeColor="accent1"/>
                <w:sz w:val="18"/>
                <w:szCs w:val="18"/>
                <w:highlight w:val="yellow"/>
              </w:rPr>
            </w:pPr>
            <w:r w:rsidRPr="004F4478">
              <w:rPr>
                <w:rFonts w:ascii="Arial" w:hAnsi="Arial"/>
                <w:b/>
                <w:color w:val="5B9BD5" w:themeColor="accent1"/>
                <w:sz w:val="18"/>
                <w:highlight w:val="yellow"/>
              </w:rPr>
              <w:t>Solide</w:t>
            </w:r>
          </w:p>
        </w:tc>
        <w:tc>
          <w:tcPr>
            <w:tcW w:w="7549" w:type="dxa"/>
          </w:tcPr>
          <w:p w:rsidR="00860A11" w:rsidRPr="004F4478" w:rsidRDefault="00860A11" w:rsidP="00FC0A30">
            <w:pPr>
              <w:pStyle w:val="Default"/>
              <w:rPr>
                <w:rFonts w:ascii="Arial" w:hAnsi="Arial" w:cs="Arial"/>
                <w:color w:val="576C88" w:themeColor="text2" w:themeTint="D9"/>
                <w:sz w:val="18"/>
                <w:szCs w:val="18"/>
                <w:highlight w:val="yellow"/>
              </w:rPr>
            </w:pPr>
            <w:r w:rsidRPr="004F4478">
              <w:rPr>
                <w:rFonts w:ascii="Arial" w:hAnsi="Arial"/>
                <w:color w:val="576C88" w:themeColor="text2" w:themeTint="D9"/>
                <w:sz w:val="18"/>
                <w:highlight w:val="yellow"/>
              </w:rPr>
              <w:t>Vont-ils continuer à être utilisables et sont-ils conçus de telle sorte qu’on ne puisse pas les modifier facilement?</w:t>
            </w:r>
          </w:p>
        </w:tc>
      </w:tr>
    </w:tbl>
    <w:p w:rsidR="00860A11" w:rsidRPr="004F4478" w:rsidRDefault="00860A11" w:rsidP="00FC0A30">
      <w:pPr>
        <w:pStyle w:val="HStandard"/>
        <w:rPr>
          <w:highlight w:val="yellow"/>
        </w:rPr>
      </w:pPr>
      <w:r w:rsidRPr="004F4478">
        <w:rPr>
          <w:highlight w:val="yellow"/>
        </w:rPr>
        <w:t xml:space="preserve">L’examen de l'indicateur du point de vue de la collecte de données (critère facile) est lié à la rentabilité </w:t>
      </w:r>
      <w:r w:rsidRPr="004F4478">
        <w:noBreakHyphen/>
      </w:r>
      <w:r w:rsidRPr="004F4478">
        <w:rPr>
          <w:highlight w:val="yellow"/>
        </w:rPr>
        <w:t xml:space="preserve"> de l'évaluation. La collecte de données représente la plus grande partie du budget de l’évaluation. Par conséquent, les indicateurs doivent respecter un</w:t>
      </w:r>
      <w:r>
        <w:rPr>
          <w:highlight w:val="yellow"/>
        </w:rPr>
        <w:t>e</w:t>
      </w:r>
      <w:r w:rsidRPr="004F4478">
        <w:rPr>
          <w:highlight w:val="yellow"/>
        </w:rPr>
        <w:t xml:space="preserve"> certaine proportion</w:t>
      </w:r>
      <w:r>
        <w:rPr>
          <w:highlight w:val="yellow"/>
        </w:rPr>
        <w:t>nalité</w:t>
      </w:r>
      <w:r w:rsidRPr="004F4478">
        <w:rPr>
          <w:highlight w:val="yellow"/>
        </w:rPr>
        <w:t xml:space="preserve"> lorsqu’ils sont conçus. Si le budget du RRN est relativement faible, il n’est probablement pas réaliste d'utiliser des indicateurs nécessitant une collecte de données étendue et coûteuse.</w:t>
      </w:r>
    </w:p>
    <w:p w:rsidR="00860A11" w:rsidRPr="004F4478" w:rsidRDefault="00860A11" w:rsidP="00FC0A30">
      <w:pPr>
        <w:pStyle w:val="HStandard"/>
        <w:rPr>
          <w:highlight w:val="yellow"/>
        </w:rPr>
      </w:pPr>
      <w:r w:rsidRPr="004F4478">
        <w:rPr>
          <w:highlight w:val="yellow"/>
        </w:rPr>
        <w:t xml:space="preserve">Pour </w:t>
      </w:r>
      <w:r>
        <w:rPr>
          <w:highlight w:val="yellow"/>
        </w:rPr>
        <w:t>résumer,</w:t>
      </w:r>
      <w:r w:rsidRPr="004F4478">
        <w:rPr>
          <w:highlight w:val="yellow"/>
        </w:rPr>
        <w:t xml:space="preserve"> tous les éléments importants de l’évaluation du RRN (objectifs, questionnaires d'évaluation, critères et indicateurs d’évaluation) il est pratique d’utiliser un format en tableau (voir exemple </w:t>
      </w:r>
      <w:r w:rsidRPr="004F4478">
        <w:rPr>
          <w:highlight w:val="yellow"/>
        </w:rPr>
        <w:fldChar w:fldCharType="begin" w:fldLock="1"/>
      </w:r>
      <w:r w:rsidRPr="004F4478">
        <w:rPr>
          <w:highlight w:val="yellow"/>
        </w:rPr>
        <w:instrText xml:space="preserve"> REF _Ref451784980 \r \h  \* MERGEFORMAT </w:instrText>
      </w:r>
      <w:r w:rsidRPr="004F4478">
        <w:rPr>
          <w:highlight w:val="yellow"/>
        </w:rPr>
      </w:r>
      <w:r w:rsidRPr="004F4478">
        <w:rPr>
          <w:highlight w:val="yellow"/>
        </w:rPr>
        <w:fldChar w:fldCharType="separate"/>
      </w:r>
      <w:r>
        <w:rPr>
          <w:highlight w:val="yellow"/>
        </w:rPr>
        <w:t>t</w:t>
      </w:r>
      <w:r w:rsidRPr="004F4478">
        <w:rPr>
          <w:highlight w:val="yellow"/>
        </w:rPr>
        <w:t>able</w:t>
      </w:r>
      <w:r>
        <w:rPr>
          <w:highlight w:val="yellow"/>
        </w:rPr>
        <w:t>au</w:t>
      </w:r>
      <w:r w:rsidRPr="004F4478">
        <w:rPr>
          <w:highlight w:val="yellow"/>
        </w:rPr>
        <w:t xml:space="preserve"> 8</w:t>
      </w:r>
      <w:r w:rsidRPr="004F4478">
        <w:rPr>
          <w:highlight w:val="yellow"/>
        </w:rPr>
        <w:fldChar w:fldCharType="end"/>
      </w:r>
      <w:r w:rsidRPr="004F4478">
        <w:rPr>
          <w:highlight w:val="yellow"/>
        </w:rPr>
        <w:t xml:space="preserve"> ). Quand on réunit les informations dans un tableau, il est facile de voir les failles, et aussi de s’assurer qu’il existe bien une relation entre l'objectif, le questionnaire d’évaluation (EQ) et la mesure proposée. </w:t>
      </w:r>
      <w:bookmarkStart w:id="136" w:name="_Toc436383150"/>
    </w:p>
    <w:p w:rsidR="00860A11" w:rsidRPr="004F4478" w:rsidRDefault="00860A11" w:rsidP="003B7C17">
      <w:pPr>
        <w:pStyle w:val="HHeadingtables"/>
        <w:rPr>
          <w:highlight w:val="yellow"/>
        </w:rPr>
      </w:pPr>
      <w:bookmarkStart w:id="137" w:name="_Toc451781912"/>
      <w:bookmarkStart w:id="138" w:name="_Ref451784980"/>
      <w:bookmarkStart w:id="139" w:name="_Toc463945786"/>
      <w:r w:rsidRPr="004F4478">
        <w:rPr>
          <w:highlight w:val="yellow"/>
        </w:rPr>
        <w:t>Exemple d'éléments d'évaluation du RRN</w:t>
      </w:r>
      <w:bookmarkEnd w:id="137"/>
      <w:bookmarkEnd w:id="138"/>
      <w:bookmarkEnd w:id="139"/>
    </w:p>
    <w:tbl>
      <w:tblPr>
        <w:tblStyle w:val="TableGrid"/>
        <w:tblW w:w="831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DDDDDD"/>
        <w:tblLayout w:type="fixed"/>
        <w:tblLook w:val="04A0" w:firstRow="1" w:lastRow="0" w:firstColumn="1" w:lastColumn="0" w:noHBand="0" w:noVBand="1"/>
      </w:tblPr>
      <w:tblGrid>
        <w:gridCol w:w="1454"/>
        <w:gridCol w:w="2043"/>
        <w:gridCol w:w="1605"/>
        <w:gridCol w:w="1605"/>
        <w:gridCol w:w="1605"/>
      </w:tblGrid>
      <w:tr w:rsidR="00860A11" w:rsidRPr="004F4478" w:rsidTr="00387681">
        <w:trPr>
          <w:jc w:val="center"/>
        </w:trPr>
        <w:tc>
          <w:tcPr>
            <w:tcW w:w="1454" w:type="dxa"/>
            <w:shd w:val="clear" w:color="auto" w:fill="E7E6E6" w:themeFill="background2"/>
          </w:tcPr>
          <w:p w:rsidR="00860A11" w:rsidRPr="004F4478" w:rsidRDefault="00860A11" w:rsidP="00FC0A30">
            <w:pPr>
              <w:pStyle w:val="Htableleftbolt"/>
              <w:rPr>
                <w:color w:val="5B9BD5" w:themeColor="accent1"/>
                <w:highlight w:val="yellow"/>
              </w:rPr>
            </w:pPr>
            <w:r w:rsidRPr="004F4478">
              <w:rPr>
                <w:color w:val="5B9BD5" w:themeColor="accent1"/>
                <w:highlight w:val="yellow"/>
              </w:rPr>
              <w:t>Objectif du RRN (commun)</w:t>
            </w:r>
          </w:p>
        </w:tc>
        <w:tc>
          <w:tcPr>
            <w:tcW w:w="2043" w:type="dxa"/>
            <w:shd w:val="clear" w:color="auto" w:fill="E7E6E6" w:themeFill="background2"/>
          </w:tcPr>
          <w:p w:rsidR="00860A11" w:rsidRPr="004F4478" w:rsidRDefault="00860A11" w:rsidP="00FC0A30">
            <w:pPr>
              <w:pStyle w:val="Htableleftbolt"/>
              <w:rPr>
                <w:color w:val="5B9BD5" w:themeColor="accent1"/>
                <w:highlight w:val="yellow"/>
              </w:rPr>
            </w:pPr>
            <w:r w:rsidRPr="004F4478">
              <w:rPr>
                <w:color w:val="5B9BD5" w:themeColor="accent1"/>
                <w:highlight w:val="yellow"/>
              </w:rPr>
              <w:t xml:space="preserve">Questionnaire d’évaluation propre au programme </w:t>
            </w:r>
          </w:p>
        </w:tc>
        <w:tc>
          <w:tcPr>
            <w:tcW w:w="1605" w:type="dxa"/>
            <w:shd w:val="clear" w:color="auto" w:fill="E7E6E6" w:themeFill="background2"/>
          </w:tcPr>
          <w:p w:rsidR="00860A11" w:rsidRPr="004F4478" w:rsidRDefault="00860A11" w:rsidP="00FC0A30">
            <w:pPr>
              <w:pStyle w:val="Htableleftbolt"/>
              <w:rPr>
                <w:color w:val="5B9BD5" w:themeColor="accent1"/>
                <w:highlight w:val="yellow"/>
              </w:rPr>
            </w:pPr>
            <w:r w:rsidRPr="004F4478">
              <w:rPr>
                <w:color w:val="5B9BD5" w:themeColor="accent1"/>
                <w:highlight w:val="yellow"/>
              </w:rPr>
              <w:t>Critères d’évaluation</w:t>
            </w:r>
          </w:p>
        </w:tc>
        <w:tc>
          <w:tcPr>
            <w:tcW w:w="1605" w:type="dxa"/>
            <w:shd w:val="clear" w:color="auto" w:fill="E7E6E6" w:themeFill="background2"/>
          </w:tcPr>
          <w:p w:rsidR="00860A11" w:rsidRPr="004F4478" w:rsidRDefault="00860A11" w:rsidP="00FC0A30">
            <w:pPr>
              <w:pStyle w:val="Htableleftbolt"/>
              <w:rPr>
                <w:color w:val="5B9BD5" w:themeColor="accent1"/>
                <w:highlight w:val="yellow"/>
              </w:rPr>
            </w:pPr>
            <w:r w:rsidRPr="004F4478">
              <w:rPr>
                <w:color w:val="5B9BD5" w:themeColor="accent1"/>
                <w:highlight w:val="yellow"/>
              </w:rPr>
              <w:t>Indicateurs spécifiques des programmes de RRN</w:t>
            </w:r>
          </w:p>
        </w:tc>
        <w:tc>
          <w:tcPr>
            <w:tcW w:w="1605" w:type="dxa"/>
            <w:shd w:val="clear" w:color="auto" w:fill="E7E6E6" w:themeFill="background2"/>
          </w:tcPr>
          <w:p w:rsidR="00860A11" w:rsidRPr="004F4478" w:rsidRDefault="00860A11" w:rsidP="00FC0A30">
            <w:pPr>
              <w:pStyle w:val="Htableleftbolt"/>
              <w:rPr>
                <w:color w:val="5B9BD5" w:themeColor="accent1"/>
                <w:highlight w:val="yellow"/>
              </w:rPr>
            </w:pPr>
            <w:r w:rsidRPr="004F4478">
              <w:rPr>
                <w:color w:val="5B9BD5" w:themeColor="accent1"/>
                <w:highlight w:val="yellow"/>
              </w:rPr>
              <w:t>Source de données</w:t>
            </w:r>
          </w:p>
        </w:tc>
      </w:tr>
      <w:tr w:rsidR="00860A11" w:rsidRPr="004F4478" w:rsidTr="00387681">
        <w:trPr>
          <w:trHeight w:val="2383"/>
          <w:jc w:val="center"/>
        </w:trPr>
        <w:tc>
          <w:tcPr>
            <w:tcW w:w="1454" w:type="dxa"/>
            <w:tcBorders>
              <w:bottom w:val="single" w:sz="4" w:space="0" w:color="auto"/>
            </w:tcBorders>
            <w:shd w:val="clear" w:color="auto" w:fill="auto"/>
          </w:tcPr>
          <w:p w:rsidR="00860A11" w:rsidRPr="004F4478" w:rsidRDefault="00860A11" w:rsidP="00FC0A30">
            <w:pPr>
              <w:pStyle w:val="Htableleft"/>
              <w:rPr>
                <w:color w:val="576C88" w:themeColor="text2" w:themeTint="D9"/>
                <w:highlight w:val="yellow"/>
              </w:rPr>
            </w:pPr>
            <w:r w:rsidRPr="004F4478">
              <w:rPr>
                <w:color w:val="576C88" w:themeColor="text2" w:themeTint="D9"/>
                <w:highlight w:val="yellow"/>
              </w:rPr>
              <w:t>Améliorer le déploiement du PDR</w:t>
            </w:r>
          </w:p>
          <w:p w:rsidR="00860A11" w:rsidRPr="004F4478" w:rsidRDefault="00860A11" w:rsidP="00FC0A30">
            <w:pPr>
              <w:pStyle w:val="Htableleft"/>
              <w:rPr>
                <w:color w:val="576C88" w:themeColor="text2" w:themeTint="D9"/>
                <w:highlight w:val="yellow"/>
              </w:rPr>
            </w:pPr>
          </w:p>
          <w:p w:rsidR="00860A11" w:rsidRPr="004F4478" w:rsidRDefault="00860A11" w:rsidP="00FC0A30">
            <w:pPr>
              <w:pStyle w:val="Htableleft"/>
              <w:rPr>
                <w:color w:val="576C88" w:themeColor="text2" w:themeTint="D9"/>
                <w:highlight w:val="yellow"/>
              </w:rPr>
            </w:pPr>
          </w:p>
          <w:p w:rsidR="00860A11" w:rsidRPr="004F4478" w:rsidRDefault="00860A11" w:rsidP="00FC0A30">
            <w:pPr>
              <w:pStyle w:val="Htableleft"/>
              <w:rPr>
                <w:color w:val="576C88" w:themeColor="text2" w:themeTint="D9"/>
                <w:highlight w:val="yellow"/>
              </w:rPr>
            </w:pPr>
          </w:p>
          <w:p w:rsidR="00860A11" w:rsidRPr="004F4478" w:rsidRDefault="00860A11" w:rsidP="00FC0A30">
            <w:pPr>
              <w:pStyle w:val="Htableleft"/>
              <w:rPr>
                <w:color w:val="576C88" w:themeColor="text2" w:themeTint="D9"/>
                <w:highlight w:val="yellow"/>
              </w:rPr>
            </w:pPr>
          </w:p>
          <w:p w:rsidR="00860A11" w:rsidRPr="004F4478" w:rsidRDefault="00860A11" w:rsidP="00FC0A30">
            <w:pPr>
              <w:pStyle w:val="Htableleft"/>
              <w:rPr>
                <w:color w:val="576C88" w:themeColor="text2" w:themeTint="D9"/>
                <w:highlight w:val="yellow"/>
              </w:rPr>
            </w:pPr>
          </w:p>
        </w:tc>
        <w:tc>
          <w:tcPr>
            <w:tcW w:w="2043" w:type="dxa"/>
            <w:tcBorders>
              <w:bottom w:val="single" w:sz="4" w:space="0" w:color="auto"/>
            </w:tcBorders>
            <w:shd w:val="clear" w:color="auto" w:fill="auto"/>
          </w:tcPr>
          <w:p w:rsidR="00860A11" w:rsidRPr="004F4478" w:rsidRDefault="00860A11" w:rsidP="00FC0A30">
            <w:pPr>
              <w:pStyle w:val="Htableleft"/>
              <w:rPr>
                <w:color w:val="576C88" w:themeColor="text2" w:themeTint="D9"/>
                <w:highlight w:val="yellow"/>
              </w:rPr>
            </w:pPr>
            <w:r w:rsidRPr="004F4478">
              <w:rPr>
                <w:color w:val="576C88" w:themeColor="text2" w:themeTint="D9"/>
                <w:highlight w:val="yellow"/>
              </w:rPr>
              <w:t xml:space="preserve">Dans quelle mesure les actions du RRN contribuent-elles à un meilleur déploiement du PDR? </w:t>
            </w:r>
          </w:p>
        </w:tc>
        <w:tc>
          <w:tcPr>
            <w:tcW w:w="1605" w:type="dxa"/>
            <w:tcBorders>
              <w:bottom w:val="single" w:sz="4" w:space="0" w:color="auto"/>
            </w:tcBorders>
            <w:shd w:val="clear" w:color="auto" w:fill="auto"/>
          </w:tcPr>
          <w:p w:rsidR="00860A11" w:rsidRPr="004F4478" w:rsidRDefault="00860A11" w:rsidP="00FC0A30">
            <w:pPr>
              <w:pStyle w:val="Htableleft"/>
              <w:rPr>
                <w:color w:val="576C88" w:themeColor="text2" w:themeTint="D9"/>
                <w:highlight w:val="yellow"/>
              </w:rPr>
            </w:pPr>
            <w:r w:rsidRPr="004F4478">
              <w:rPr>
                <w:color w:val="576C88" w:themeColor="text2" w:themeTint="D9"/>
                <w:highlight w:val="yellow"/>
              </w:rPr>
              <w:t xml:space="preserve">Le déploiement du PDR a été amélioré grâce aux activités du RRN, notamment grâce aux capacités renforcées des bénéficiaires du PDR </w:t>
            </w:r>
          </w:p>
        </w:tc>
        <w:tc>
          <w:tcPr>
            <w:tcW w:w="1605" w:type="dxa"/>
            <w:tcBorders>
              <w:bottom w:val="single" w:sz="4" w:space="0" w:color="auto"/>
            </w:tcBorders>
            <w:shd w:val="clear" w:color="auto" w:fill="auto"/>
          </w:tcPr>
          <w:p w:rsidR="00860A11" w:rsidRPr="004F4478" w:rsidRDefault="00860A11" w:rsidP="00893456">
            <w:pPr>
              <w:pStyle w:val="Htableleft"/>
              <w:rPr>
                <w:color w:val="576C88" w:themeColor="text2" w:themeTint="D9"/>
                <w:highlight w:val="yellow"/>
              </w:rPr>
            </w:pPr>
            <w:r w:rsidRPr="004F4478">
              <w:rPr>
                <w:color w:val="576C88" w:themeColor="text2" w:themeTint="D9"/>
                <w:highlight w:val="yellow"/>
              </w:rPr>
              <w:t xml:space="preserve">Nombre de projets de PDR de grande qualité mis en œuvre, qui ont été favorisés par les activités du RRN </w:t>
            </w:r>
          </w:p>
        </w:tc>
        <w:tc>
          <w:tcPr>
            <w:tcW w:w="1605" w:type="dxa"/>
            <w:tcBorders>
              <w:bottom w:val="single" w:sz="4" w:space="0" w:color="auto"/>
            </w:tcBorders>
            <w:shd w:val="clear" w:color="auto" w:fill="auto"/>
          </w:tcPr>
          <w:p w:rsidR="00860A11" w:rsidRPr="004F4478" w:rsidRDefault="00860A11" w:rsidP="00FC0A30">
            <w:pPr>
              <w:pStyle w:val="Htableleft"/>
              <w:rPr>
                <w:color w:val="576C88" w:themeColor="text2" w:themeTint="D9"/>
                <w:highlight w:val="yellow"/>
              </w:rPr>
            </w:pPr>
            <w:r w:rsidRPr="004F4478">
              <w:rPr>
                <w:color w:val="576C88" w:themeColor="text2" w:themeTint="D9"/>
                <w:highlight w:val="yellow"/>
              </w:rPr>
              <w:t xml:space="preserve">Base de données </w:t>
            </w:r>
            <w:r>
              <w:rPr>
                <w:color w:val="576C88" w:themeColor="text2" w:themeTint="D9"/>
                <w:highlight w:val="yellow"/>
              </w:rPr>
              <w:t>A</w:t>
            </w:r>
            <w:r w:rsidRPr="004F4478">
              <w:rPr>
                <w:color w:val="576C88" w:themeColor="text2" w:themeTint="D9"/>
                <w:highlight w:val="yellow"/>
              </w:rPr>
              <w:t>P</w:t>
            </w:r>
          </w:p>
          <w:p w:rsidR="00860A11" w:rsidRPr="004F4478" w:rsidRDefault="00860A11" w:rsidP="00FC0A30">
            <w:pPr>
              <w:pStyle w:val="Htableleft"/>
              <w:rPr>
                <w:color w:val="576C88" w:themeColor="text2" w:themeTint="D9"/>
                <w:highlight w:val="yellow"/>
              </w:rPr>
            </w:pPr>
            <w:r w:rsidRPr="004F4478">
              <w:rPr>
                <w:color w:val="576C88" w:themeColor="text2" w:themeTint="D9"/>
                <w:highlight w:val="yellow"/>
              </w:rPr>
              <w:t>Questionnaire ou enquête</w:t>
            </w:r>
          </w:p>
          <w:p w:rsidR="00860A11" w:rsidRPr="004F4478" w:rsidRDefault="00860A11" w:rsidP="00FC0A30">
            <w:pPr>
              <w:pStyle w:val="Htableleft"/>
              <w:rPr>
                <w:color w:val="576C88" w:themeColor="text2" w:themeTint="D9"/>
                <w:highlight w:val="yellow"/>
              </w:rPr>
            </w:pPr>
            <w:r w:rsidRPr="004F4478">
              <w:rPr>
                <w:color w:val="576C88" w:themeColor="text2" w:themeTint="D9"/>
                <w:highlight w:val="yellow"/>
              </w:rPr>
              <w:t>Base de données de la NSU</w:t>
            </w:r>
          </w:p>
          <w:p w:rsidR="00860A11" w:rsidRPr="004F4478" w:rsidRDefault="00860A11" w:rsidP="00FC0A30">
            <w:pPr>
              <w:pStyle w:val="Htableleft"/>
              <w:rPr>
                <w:color w:val="576C88" w:themeColor="text2" w:themeTint="D9"/>
                <w:highlight w:val="yellow"/>
              </w:rPr>
            </w:pPr>
          </w:p>
        </w:tc>
      </w:tr>
    </w:tbl>
    <w:p w:rsidR="00860A11" w:rsidRPr="004F4478" w:rsidRDefault="00860A11" w:rsidP="00FC0A30">
      <w:pPr>
        <w:pStyle w:val="HSource"/>
        <w:rPr>
          <w:highlight w:val="yellow"/>
        </w:rPr>
      </w:pPr>
      <w:r w:rsidRPr="004F4478">
        <w:rPr>
          <w:highlight w:val="yellow"/>
        </w:rPr>
        <w:t>Source: Helpdesk du Réseau européen d'évaluation du développement rural 2016</w:t>
      </w:r>
    </w:p>
    <w:bookmarkEnd w:id="136"/>
    <w:p w:rsidR="00860A11" w:rsidRPr="004F4478" w:rsidRDefault="00860A11" w:rsidP="00FC0A30">
      <w:pPr>
        <w:pStyle w:val="HStandard"/>
        <w:rPr>
          <w:highlight w:val="yellow"/>
        </w:rPr>
      </w:pPr>
      <w:r w:rsidRPr="004F4478">
        <w:rPr>
          <w:highlight w:val="yellow"/>
        </w:rPr>
        <w:t>Plus tard dans le déroulement de l'évaluation, dans sa phase de structuration, les évaluateurs peuvent suggérer d'autres questions et indicateurs d'évaluation ou ils peuvent décomposer les questions d'évaluation existantes en sous-questions afin d'obtenir des informations plus spécifiques correspondant aux critères d’évaluation.</w:t>
      </w:r>
    </w:p>
    <w:p w:rsidR="00860A11" w:rsidRPr="004F4478" w:rsidRDefault="00860A11" w:rsidP="00D322AA">
      <w:pPr>
        <w:pStyle w:val="Heading6"/>
        <w:rPr>
          <w:highlight w:val="yellow"/>
        </w:rPr>
      </w:pPr>
      <w:r w:rsidRPr="004F4478">
        <w:rPr>
          <w:highlight w:val="yellow"/>
        </w:rPr>
        <w:t>Vérifier la cohérence entre les éléments d'évaluation du RRN et la logique d'intervention du RRN</w:t>
      </w:r>
    </w:p>
    <w:p w:rsidR="00860A11" w:rsidRPr="004F4478" w:rsidRDefault="00860A11" w:rsidP="00FC0A30">
      <w:pPr>
        <w:pStyle w:val="HStandard"/>
        <w:rPr>
          <w:highlight w:val="yellow"/>
        </w:rPr>
      </w:pPr>
      <w:r w:rsidRPr="004F4478">
        <w:rPr>
          <w:highlight w:val="yellow"/>
        </w:rPr>
        <w:t>Après avoir défini tous les éléments d'évaluation, il s’agit de vérifier leur cohérence avec la logique d'intervention du RRN. Il faut se demander si:</w:t>
      </w:r>
    </w:p>
    <w:p w:rsidR="00860A11" w:rsidRPr="004F4478" w:rsidRDefault="00860A11" w:rsidP="00D322AA">
      <w:pPr>
        <w:pStyle w:val="Hlistbullet"/>
        <w:rPr>
          <w:highlight w:val="yellow"/>
        </w:rPr>
      </w:pPr>
      <w:r w:rsidRPr="004F4478">
        <w:rPr>
          <w:highlight w:val="yellow"/>
        </w:rPr>
        <w:t>Les questions d'évaluation suffisent à évaluer la réalisation des objectifs</w:t>
      </w:r>
    </w:p>
    <w:p w:rsidR="00860A11" w:rsidRPr="004F4478" w:rsidRDefault="00860A11" w:rsidP="00D322AA">
      <w:pPr>
        <w:pStyle w:val="Hlistbullet"/>
        <w:rPr>
          <w:highlight w:val="yellow"/>
        </w:rPr>
      </w:pPr>
      <w:r w:rsidRPr="004F4478">
        <w:rPr>
          <w:highlight w:val="yellow"/>
        </w:rPr>
        <w:t xml:space="preserve">Les résultats et les impacts attendus peuvent être mesurés au moyen d’indicateurs proposés de résultats et d'impacts </w:t>
      </w:r>
    </w:p>
    <w:p w:rsidR="00860A11" w:rsidRPr="004F4478" w:rsidRDefault="00860A11" w:rsidP="00D322AA">
      <w:pPr>
        <w:pStyle w:val="Hlistbullet"/>
        <w:rPr>
          <w:highlight w:val="yellow"/>
        </w:rPr>
      </w:pPr>
      <w:r w:rsidRPr="004F4478">
        <w:rPr>
          <w:highlight w:val="yellow"/>
        </w:rPr>
        <w:t>Les indicateurs de résultats et d'impacts sont conformes aux critères RACER et peuvent fournir des preuves suffisantes pour répondre aux questions d'évaluation.</w:t>
      </w:r>
    </w:p>
    <w:p w:rsidR="00860A11" w:rsidRPr="004F4478" w:rsidRDefault="00860A11" w:rsidP="00FC0A30">
      <w:pPr>
        <w:pStyle w:val="HStandard"/>
        <w:rPr>
          <w:highlight w:val="yellow"/>
        </w:rPr>
      </w:pPr>
      <w:r w:rsidRPr="004F4478">
        <w:rPr>
          <w:highlight w:val="yellow"/>
        </w:rPr>
        <w:lastRenderedPageBreak/>
        <w:t xml:space="preserve">La cohérence entre la logique  d'intervention du RRN et les éléments d’évaluation peut être illustrée par la </w:t>
      </w:r>
      <w:r w:rsidRPr="004F4478">
        <w:rPr>
          <w:highlight w:val="yellow"/>
        </w:rPr>
        <w:fldChar w:fldCharType="begin" w:fldLock="1"/>
      </w:r>
      <w:r w:rsidRPr="004F4478">
        <w:rPr>
          <w:highlight w:val="yellow"/>
        </w:rPr>
        <w:instrText xml:space="preserve"> REF _Ref451784635 \r \h  \* MERGEFORMAT </w:instrText>
      </w:r>
      <w:r w:rsidRPr="004F4478">
        <w:rPr>
          <w:highlight w:val="yellow"/>
        </w:rPr>
      </w:r>
      <w:r w:rsidRPr="004F4478">
        <w:rPr>
          <w:highlight w:val="yellow"/>
        </w:rPr>
        <w:fldChar w:fldCharType="separate"/>
      </w:r>
      <w:r>
        <w:rPr>
          <w:highlight w:val="yellow"/>
        </w:rPr>
        <w:t>f</w:t>
      </w:r>
      <w:r w:rsidRPr="004F4478">
        <w:rPr>
          <w:highlight w:val="yellow"/>
        </w:rPr>
        <w:t>igure 14</w:t>
      </w:r>
      <w:r w:rsidRPr="004F4478">
        <w:rPr>
          <w:highlight w:val="yellow"/>
        </w:rPr>
        <w:fldChar w:fldCharType="end"/>
      </w:r>
      <w:r w:rsidRPr="004F4478">
        <w:rPr>
          <w:highlight w:val="yellow"/>
        </w:rPr>
        <w:t xml:space="preserve"> ci-dessous. </w:t>
      </w:r>
    </w:p>
    <w:p w:rsidR="00860A11" w:rsidRPr="004F4478" w:rsidRDefault="00860A11" w:rsidP="00FC0A30">
      <w:pPr>
        <w:pStyle w:val="HStandard"/>
        <w:rPr>
          <w:highlight w:val="yellow"/>
        </w:rPr>
      </w:pPr>
    </w:p>
    <w:p w:rsidR="00860A11" w:rsidRPr="004F4478" w:rsidRDefault="00860A11" w:rsidP="00922CBE">
      <w:pPr>
        <w:pStyle w:val="HHeadingfigures"/>
        <w:rPr>
          <w:highlight w:val="yellow"/>
        </w:rPr>
      </w:pPr>
      <w:bookmarkStart w:id="140" w:name="_Toc445465130"/>
      <w:bookmarkStart w:id="141" w:name="_Toc451781933"/>
      <w:bookmarkStart w:id="142" w:name="_Ref451784635"/>
      <w:bookmarkStart w:id="143" w:name="_Toc463945761"/>
      <w:r w:rsidRPr="004F4478">
        <w:rPr>
          <w:highlight w:val="yellow"/>
        </w:rPr>
        <w:t>La cohérence entre la logique d'intervention du RRN et les éléments d'évaluation</w:t>
      </w:r>
      <w:bookmarkEnd w:id="140"/>
      <w:bookmarkEnd w:id="141"/>
      <w:bookmarkEnd w:id="142"/>
      <w:bookmarkEnd w:id="143"/>
    </w:p>
    <w:p w:rsidR="00860A11" w:rsidRPr="004F4478" w:rsidRDefault="00860A11" w:rsidP="00FC0A30">
      <w:pPr>
        <w:jc w:val="center"/>
        <w:rPr>
          <w:highlight w:val="yellow"/>
        </w:rPr>
      </w:pPr>
      <w:r>
        <w:rPr>
          <w:noProof/>
          <w:lang w:eastAsia="en-GB"/>
        </w:rPr>
        <w:drawing>
          <wp:inline distT="0" distB="0" distL="0" distR="0" wp14:anchorId="6828BBED" wp14:editId="7DBE6D61">
            <wp:extent cx="5457825" cy="320040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457825" cy="3200400"/>
                    </a:xfrm>
                    <a:prstGeom prst="rect">
                      <a:avLst/>
                    </a:prstGeom>
                  </pic:spPr>
                </pic:pic>
              </a:graphicData>
            </a:graphic>
          </wp:inline>
        </w:drawing>
      </w:r>
    </w:p>
    <w:p w:rsidR="00860A11" w:rsidRPr="004F4478" w:rsidRDefault="00860A11" w:rsidP="00FC0A30">
      <w:pPr>
        <w:pStyle w:val="HSource"/>
        <w:rPr>
          <w:highlight w:val="yellow"/>
        </w:rPr>
      </w:pPr>
      <w:r w:rsidRPr="004F4478">
        <w:rPr>
          <w:highlight w:val="yellow"/>
        </w:rPr>
        <w:t>Source: Helpdesk européen d'évaluation du développement rural 2016</w:t>
      </w:r>
    </w:p>
    <w:p w:rsidR="00860A11" w:rsidRPr="004F4478" w:rsidRDefault="00860A11" w:rsidP="00FC0A30">
      <w:pPr>
        <w:pStyle w:val="HHeading5"/>
        <w:rPr>
          <w:highlight w:val="yellow"/>
        </w:rPr>
      </w:pPr>
      <w:r w:rsidRPr="004F4478">
        <w:rPr>
          <w:highlight w:val="yellow"/>
        </w:rPr>
        <w:t>Étape 3 - Sélection de la meilleure méthode d'évaluation</w:t>
      </w:r>
    </w:p>
    <w:p w:rsidR="00860A11" w:rsidRPr="004F4478" w:rsidRDefault="00860A11" w:rsidP="00FC0A30">
      <w:pPr>
        <w:pStyle w:val="HStandard"/>
        <w:rPr>
          <w:highlight w:val="yellow"/>
        </w:rPr>
      </w:pPr>
      <w:r w:rsidRPr="004F4478">
        <w:rPr>
          <w:highlight w:val="yellow"/>
        </w:rPr>
        <w:t xml:space="preserve">Après avoir élaboré le questionnaire d'évaluation, les critères et les indicateurs d’évaluation, il est important que les autorités responsables de l'évaluation du RRN (MA, NSU, etc.) décident du type d’'informations attendues dans les réponses aux questions d’évaluation (EQ). Ceci est lié au choix de la méthode d'évaluation (qualitative, quantitative ou mixte).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860A11" w:rsidRPr="004F4478" w:rsidTr="00D322AA">
        <w:tc>
          <w:tcPr>
            <w:tcW w:w="9016" w:type="dxa"/>
            <w:shd w:val="clear" w:color="auto" w:fill="F5F4F4" w:themeFill="background2" w:themeFillTint="66"/>
          </w:tcPr>
          <w:p w:rsidR="00860A11" w:rsidRPr="004F4478" w:rsidRDefault="00860A11" w:rsidP="00FC0A30">
            <w:pPr>
              <w:pStyle w:val="HStandard"/>
              <w:rPr>
                <w:highlight w:val="yellow"/>
              </w:rPr>
            </w:pPr>
            <w:r w:rsidRPr="004F4478">
              <w:rPr>
                <w:highlight w:val="yellow"/>
              </w:rPr>
              <w:t>Les questions suivantes peuvent contribuer au choix d’une logique d'évaluation:</w:t>
            </w:r>
          </w:p>
          <w:p w:rsidR="00860A11" w:rsidRPr="004F4478" w:rsidRDefault="00860A11" w:rsidP="00860A11">
            <w:pPr>
              <w:pStyle w:val="Hlistbullet"/>
              <w:tabs>
                <w:tab w:val="left" w:pos="567"/>
              </w:tabs>
              <w:rPr>
                <w:highlight w:val="yellow"/>
              </w:rPr>
            </w:pPr>
            <w:r w:rsidRPr="004F4478">
              <w:rPr>
                <w:highlight w:val="yellow"/>
              </w:rPr>
              <w:t>Quelle approche correspondra le mieux aux objectifs de l'évaluation?</w:t>
            </w:r>
          </w:p>
          <w:p w:rsidR="00860A11" w:rsidRPr="004F4478" w:rsidRDefault="00860A11" w:rsidP="00860A11">
            <w:pPr>
              <w:pStyle w:val="Hlistbullet2"/>
              <w:tabs>
                <w:tab w:val="left" w:pos="567"/>
              </w:tabs>
              <w:rPr>
                <w:highlight w:val="yellow"/>
              </w:rPr>
            </w:pPr>
            <w:r w:rsidRPr="004F4478">
              <w:rPr>
                <w:highlight w:val="yellow"/>
              </w:rPr>
              <w:t>Quelle approche donnera les résultats les plus fiables, compte tenu de l'information disponible?</w:t>
            </w:r>
          </w:p>
        </w:tc>
      </w:tr>
    </w:tbl>
    <w:p w:rsidR="00860A11" w:rsidRPr="004F4478" w:rsidRDefault="00860A11" w:rsidP="00FC0A30">
      <w:pPr>
        <w:pStyle w:val="HStandard"/>
        <w:rPr>
          <w:highlight w:val="yellow"/>
        </w:rPr>
      </w:pPr>
      <w:r w:rsidRPr="004F4478">
        <w:t xml:space="preserve">Le </w:t>
      </w:r>
      <w:r w:rsidRPr="004F4478">
        <w:rPr>
          <w:b/>
          <w:highlight w:val="yellow"/>
        </w:rPr>
        <w:t>résultat attendu</w:t>
      </w:r>
      <w:r w:rsidRPr="004F4478">
        <w:t xml:space="preserve"> </w:t>
      </w:r>
      <w:r w:rsidRPr="004F4478">
        <w:rPr>
          <w:highlight w:val="yellow"/>
        </w:rPr>
        <w:t>de cette étape est le choix de la méthode d'évaluation</w:t>
      </w:r>
      <w:r>
        <w:t xml:space="preserve"> et</w:t>
      </w:r>
      <w:r w:rsidRPr="004F4478">
        <w:t xml:space="preserve">, </w:t>
      </w:r>
      <w:r w:rsidRPr="004F4478">
        <w:rPr>
          <w:highlight w:val="yellow"/>
        </w:rPr>
        <w:t>si possible</w:t>
      </w:r>
      <w:r w:rsidRPr="004F4478">
        <w:t xml:space="preserve">, des </w:t>
      </w:r>
      <w:r w:rsidRPr="004F4478">
        <w:rPr>
          <w:highlight w:val="yellow"/>
        </w:rPr>
        <w:t>méthodes à utiliser pour répondre</w:t>
      </w:r>
      <w:r w:rsidRPr="004F4478">
        <w:t xml:space="preserve"> aux </w:t>
      </w:r>
      <w:r w:rsidRPr="004F4478">
        <w:rPr>
          <w:highlight w:val="yellow"/>
        </w:rPr>
        <w:t xml:space="preserve">questions d'évaluation. </w:t>
      </w:r>
    </w:p>
    <w:p w:rsidR="00860A11" w:rsidRPr="004F4478" w:rsidRDefault="00860A11" w:rsidP="00FC0A30">
      <w:pPr>
        <w:pStyle w:val="HStandard"/>
        <w:rPr>
          <w:highlight w:val="yellow"/>
        </w:rPr>
      </w:pPr>
      <w:r w:rsidRPr="004F4478">
        <w:rPr>
          <w:highlight w:val="yellow"/>
        </w:rPr>
        <w:t xml:space="preserve">La méthode d'évaluation sera confirmée et si nécessaire, révisée par les évaluateurs après accord avec les autorités responsables (MA, NSU, etc.) au cours de la phase de structuration de l'évaluation. Dans la phase de structuration, l'évaluateur proposera également, en accord avec les autorités du programme les méthodes </w:t>
      </w:r>
      <w:r w:rsidRPr="004F4478">
        <w:rPr>
          <w:rFonts w:ascii="ZWAdobeF" w:hAnsi="ZWAdobeF"/>
          <w:color w:val="auto"/>
          <w:sz w:val="2"/>
          <w:highlight w:val="yellow"/>
        </w:rPr>
        <w:t xml:space="preserve">80F </w:t>
      </w:r>
      <w:r w:rsidRPr="004F4478">
        <w:rPr>
          <w:rStyle w:val="FootnoteReference"/>
          <w:highlight w:val="yellow"/>
        </w:rPr>
        <w:footnoteReference w:id="81"/>
      </w:r>
      <w:r w:rsidRPr="004F4478">
        <w:rPr>
          <w:highlight w:val="yellow"/>
        </w:rPr>
        <w:t xml:space="preserve"> à utiliser pour l’analyse  des données et informations recueillies, pour faire en sorte que les points de vue et donc les réponses au questionnaire d’évaluation (EQ) soient développés. La </w:t>
      </w:r>
      <w:r w:rsidRPr="004F4478">
        <w:rPr>
          <w:b/>
          <w:color w:val="E7E6E6" w:themeColor="background2"/>
          <w:highlight w:val="yellow"/>
        </w:rPr>
        <w:t>PARTIE II</w:t>
      </w:r>
      <w:r w:rsidRPr="004F4478">
        <w:rPr>
          <w:highlight w:val="yellow"/>
        </w:rPr>
        <w:t xml:space="preserve">  des lignes directrices explique en détail comment choisir une démarche et des méthodes d'évaluation appropriées.</w:t>
      </w:r>
    </w:p>
    <w:p w:rsidR="00860A11" w:rsidRPr="004F4478" w:rsidRDefault="00860A11" w:rsidP="00FC0A30">
      <w:pPr>
        <w:pStyle w:val="HStandard"/>
        <w:rPr>
          <w:highlight w:val="yellow"/>
        </w:rPr>
      </w:pPr>
      <w:r w:rsidRPr="004F4478">
        <w:rPr>
          <w:highlight w:val="yellow"/>
        </w:rPr>
        <w:lastRenderedPageBreak/>
        <w:t xml:space="preserve">Toutefois, les responsables du déploiement n'ont pas besoin de prendre une décision sur la méthode d'évaluation à ce stade, car l'évaluateur proposera des méthodes dans son offre. Il est plus important que les responsables du déploiement et les autres parties prenantes du RRN connaissent les différentes méthodes d'évaluation et qu’ils soient conscients de leur fiabilité en termes de réponses aux questions d'évaluation par rapport aux besoins de l'évaluation. En effet, ils pourront ainsi vérifier la qualité des résultats de l'évaluation. </w:t>
      </w:r>
    </w:p>
    <w:p w:rsidR="00860A11" w:rsidRPr="004F4478" w:rsidRDefault="00860A11" w:rsidP="00FC0A30">
      <w:pPr>
        <w:pStyle w:val="HHeading5"/>
        <w:rPr>
          <w:highlight w:val="yellow"/>
        </w:rPr>
      </w:pPr>
      <w:r w:rsidRPr="004F4478">
        <w:rPr>
          <w:highlight w:val="yellow"/>
        </w:rPr>
        <w:t xml:space="preserve">Étape 4 - Analyse des besoins d’informations et de données avec leurs sources potentielles </w:t>
      </w:r>
    </w:p>
    <w:p w:rsidR="00860A11" w:rsidRPr="004F4478" w:rsidRDefault="00860A11" w:rsidP="00FC0A30">
      <w:pPr>
        <w:pStyle w:val="HStandard"/>
        <w:rPr>
          <w:highlight w:val="yellow"/>
        </w:rPr>
      </w:pPr>
      <w:r w:rsidRPr="004F4478">
        <w:rPr>
          <w:highlight w:val="yellow"/>
        </w:rPr>
        <w:t xml:space="preserve">Pour procéder à une évaluation de RRN sérieuse, il est important de s’assurer d’une quantité suffisante de données et d'informations pour le calcul les indicateurs de RRN. La quantité de données nécessaires sera également </w:t>
      </w:r>
      <w:r>
        <w:rPr>
          <w:highlight w:val="yellow"/>
        </w:rPr>
        <w:t>déterminée</w:t>
      </w:r>
      <w:r w:rsidRPr="004F4478">
        <w:rPr>
          <w:highlight w:val="yellow"/>
        </w:rPr>
        <w:t xml:space="preserve"> par l'approche et les méthodes d'évaluation choisies.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860A11" w:rsidRPr="004F4478" w:rsidTr="00D322AA">
        <w:tc>
          <w:tcPr>
            <w:tcW w:w="9016" w:type="dxa"/>
            <w:shd w:val="clear" w:color="auto" w:fill="F5F4F4" w:themeFill="background2" w:themeFillTint="66"/>
          </w:tcPr>
          <w:p w:rsidR="00860A11" w:rsidRPr="004F4478" w:rsidRDefault="00860A11" w:rsidP="00FC0A30">
            <w:pPr>
              <w:pStyle w:val="HStandard"/>
              <w:rPr>
                <w:highlight w:val="yellow"/>
              </w:rPr>
            </w:pPr>
            <w:r w:rsidRPr="004F4478">
              <w:rPr>
                <w:highlight w:val="yellow"/>
              </w:rPr>
              <w:t xml:space="preserve">Les questions qui guident cette étape sont les suivantes: </w:t>
            </w:r>
          </w:p>
          <w:p w:rsidR="00860A11" w:rsidRPr="004F4478" w:rsidRDefault="00860A11" w:rsidP="00860A11">
            <w:pPr>
              <w:pStyle w:val="Hlistbullet"/>
              <w:tabs>
                <w:tab w:val="left" w:pos="567"/>
              </w:tabs>
              <w:rPr>
                <w:highlight w:val="yellow"/>
              </w:rPr>
            </w:pPr>
            <w:r w:rsidRPr="004F4478">
              <w:rPr>
                <w:highlight w:val="yellow"/>
              </w:rPr>
              <w:t>Quels types d'informations et de données sont nécessaire</w:t>
            </w:r>
            <w:r>
              <w:rPr>
                <w:highlight w:val="yellow"/>
              </w:rPr>
              <w:t>s</w:t>
            </w:r>
            <w:r w:rsidRPr="004F4478">
              <w:rPr>
                <w:highlight w:val="yellow"/>
              </w:rPr>
              <w:t xml:space="preserve"> pour répondre aux questions d'évaluation? </w:t>
            </w:r>
          </w:p>
          <w:p w:rsidR="00860A11" w:rsidRPr="004F4478" w:rsidRDefault="00860A11" w:rsidP="00860A11">
            <w:pPr>
              <w:pStyle w:val="Hlistbullet"/>
              <w:tabs>
                <w:tab w:val="left" w:pos="567"/>
              </w:tabs>
              <w:rPr>
                <w:highlight w:val="yellow"/>
              </w:rPr>
            </w:pPr>
            <w:r w:rsidRPr="004F4478">
              <w:rPr>
                <w:highlight w:val="yellow"/>
              </w:rPr>
              <w:t>Est-ce qu'elles existent déjà, ou faut-il les recueillir?</w:t>
            </w:r>
          </w:p>
          <w:p w:rsidR="00860A11" w:rsidRPr="004F4478" w:rsidRDefault="00860A11" w:rsidP="00860A11">
            <w:pPr>
              <w:pStyle w:val="Hlistbullet"/>
              <w:tabs>
                <w:tab w:val="left" w:pos="567"/>
              </w:tabs>
              <w:rPr>
                <w:highlight w:val="yellow"/>
              </w:rPr>
            </w:pPr>
            <w:r w:rsidRPr="004F4478">
              <w:rPr>
                <w:highlight w:val="yellow"/>
              </w:rPr>
              <w:t xml:space="preserve">Où trouver ces informations? </w:t>
            </w:r>
          </w:p>
          <w:p w:rsidR="00860A11" w:rsidRPr="004F4478" w:rsidRDefault="00860A11" w:rsidP="00860A11">
            <w:pPr>
              <w:pStyle w:val="Hlistbullet"/>
              <w:tabs>
                <w:tab w:val="left" w:pos="567"/>
              </w:tabs>
              <w:rPr>
                <w:highlight w:val="yellow"/>
              </w:rPr>
            </w:pPr>
            <w:r w:rsidRPr="004F4478">
              <w:rPr>
                <w:highlight w:val="yellow"/>
              </w:rPr>
              <w:t>Comment les obtenir?</w:t>
            </w:r>
          </w:p>
          <w:p w:rsidR="00860A11" w:rsidRPr="004F4478" w:rsidRDefault="00860A11" w:rsidP="00860A11">
            <w:pPr>
              <w:pStyle w:val="Hlistbullet"/>
              <w:tabs>
                <w:tab w:val="left" w:pos="567"/>
              </w:tabs>
              <w:rPr>
                <w:highlight w:val="yellow"/>
              </w:rPr>
            </w:pPr>
            <w:r w:rsidRPr="004F4478">
              <w:rPr>
                <w:highlight w:val="yellow"/>
              </w:rPr>
              <w:t xml:space="preserve">Y a-t-il des limites à leur utilisation: qui peut les utiliser et comment? </w:t>
            </w:r>
          </w:p>
          <w:p w:rsidR="00860A11" w:rsidRPr="004F4478" w:rsidRDefault="00860A11" w:rsidP="00860A11">
            <w:pPr>
              <w:pStyle w:val="Hlistbullet"/>
              <w:tabs>
                <w:tab w:val="left" w:pos="567"/>
              </w:tabs>
              <w:rPr>
                <w:highlight w:val="yellow"/>
              </w:rPr>
            </w:pPr>
            <w:r w:rsidRPr="004F4478">
              <w:rPr>
                <w:highlight w:val="yellow"/>
              </w:rPr>
              <w:t xml:space="preserve">Quels types de problèmes peut-on rencontrer avec les informations et données? </w:t>
            </w:r>
          </w:p>
          <w:p w:rsidR="00860A11" w:rsidRPr="004F4478" w:rsidRDefault="00860A11" w:rsidP="00860A11">
            <w:pPr>
              <w:pStyle w:val="Hlistbullet2"/>
              <w:tabs>
                <w:tab w:val="left" w:pos="567"/>
              </w:tabs>
              <w:rPr>
                <w:highlight w:val="yellow"/>
              </w:rPr>
            </w:pPr>
            <w:r w:rsidRPr="004F4478">
              <w:rPr>
                <w:highlight w:val="yellow"/>
              </w:rPr>
              <w:t>Quelles sont les conséquences de ce qui précède pour la préparation du cahier des charges en vue de l'évaluation des RRN?</w:t>
            </w:r>
          </w:p>
        </w:tc>
      </w:tr>
    </w:tbl>
    <w:p w:rsidR="00860A11" w:rsidRPr="004F4478" w:rsidRDefault="00860A11" w:rsidP="00FC0A30">
      <w:pPr>
        <w:pStyle w:val="HStandard"/>
        <w:rPr>
          <w:highlight w:val="yellow"/>
        </w:rPr>
      </w:pPr>
      <w:r w:rsidRPr="004F4478">
        <w:rPr>
          <w:highlight w:val="yellow"/>
        </w:rPr>
        <w:t xml:space="preserve">Cette étape doit se dérouler dans </w:t>
      </w:r>
      <w:r w:rsidRPr="004F4478">
        <w:rPr>
          <w:b/>
          <w:highlight w:val="yellow"/>
        </w:rPr>
        <w:t>l'ordre suivant:</w:t>
      </w:r>
      <w:r w:rsidRPr="004F4478">
        <w:rPr>
          <w:highlight w:val="yellow"/>
        </w:rPr>
        <w:t xml:space="preserve">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860A11" w:rsidRPr="004F4478" w:rsidTr="00BE6F49">
        <w:tc>
          <w:tcPr>
            <w:tcW w:w="988" w:type="dxa"/>
            <w:shd w:val="clear" w:color="auto" w:fill="E7E6E6" w:themeFill="background2"/>
          </w:tcPr>
          <w:p w:rsidR="00860A11" w:rsidRPr="004F4478" w:rsidRDefault="00860A11" w:rsidP="00BE6F49">
            <w:pPr>
              <w:pStyle w:val="HStandard"/>
              <w:jc w:val="center"/>
              <w:rPr>
                <w:b/>
                <w:color w:val="FFFFFF"/>
                <w:sz w:val="18"/>
                <w:szCs w:val="18"/>
                <w:highlight w:val="yellow"/>
              </w:rPr>
            </w:pPr>
            <w:r w:rsidRPr="004F4478">
              <w:rPr>
                <w:b/>
                <w:color w:val="FFFFFF"/>
                <w:sz w:val="18"/>
                <w:highlight w:val="yellow"/>
              </w:rPr>
              <w:t>a.</w:t>
            </w:r>
          </w:p>
        </w:tc>
        <w:tc>
          <w:tcPr>
            <w:tcW w:w="8028" w:type="dxa"/>
          </w:tcPr>
          <w:p w:rsidR="00860A11" w:rsidRPr="004F4478" w:rsidRDefault="00860A11" w:rsidP="00BE6F49">
            <w:pPr>
              <w:pStyle w:val="Hlistbullet"/>
              <w:numPr>
                <w:ilvl w:val="0"/>
                <w:numId w:val="0"/>
              </w:numPr>
              <w:spacing w:before="0" w:line="280" w:lineRule="atLeast"/>
              <w:jc w:val="left"/>
              <w:rPr>
                <w:sz w:val="18"/>
                <w:szCs w:val="18"/>
                <w:highlight w:val="yellow"/>
              </w:rPr>
            </w:pPr>
            <w:r w:rsidRPr="004F4478">
              <w:rPr>
                <w:sz w:val="18"/>
                <w:highlight w:val="yellow"/>
              </w:rPr>
              <w:t>Passer en revue les besoins en données et informations conformément aux indicateurs de RRN (réalisations, résultats et impacts) et conformément à l'approche et aux méthodes d'évaluation sélectionnées.</w:t>
            </w:r>
          </w:p>
        </w:tc>
      </w:tr>
      <w:tr w:rsidR="00860A11" w:rsidRPr="004F4478" w:rsidTr="00BE6F49">
        <w:tc>
          <w:tcPr>
            <w:tcW w:w="988" w:type="dxa"/>
            <w:shd w:val="clear" w:color="auto" w:fill="E7E6E6" w:themeFill="background2"/>
          </w:tcPr>
          <w:p w:rsidR="00860A11" w:rsidRPr="004F4478" w:rsidRDefault="00860A11" w:rsidP="00BE6F49">
            <w:pPr>
              <w:pStyle w:val="HStandard"/>
              <w:jc w:val="center"/>
              <w:rPr>
                <w:b/>
                <w:color w:val="FFFFFF"/>
                <w:sz w:val="18"/>
                <w:szCs w:val="18"/>
                <w:highlight w:val="yellow"/>
              </w:rPr>
            </w:pPr>
            <w:r w:rsidRPr="004F4478">
              <w:rPr>
                <w:b/>
                <w:color w:val="FFFFFF"/>
                <w:sz w:val="18"/>
                <w:highlight w:val="yellow"/>
              </w:rPr>
              <w:t>b.</w:t>
            </w:r>
          </w:p>
        </w:tc>
        <w:tc>
          <w:tcPr>
            <w:tcW w:w="8028" w:type="dxa"/>
          </w:tcPr>
          <w:p w:rsidR="00860A11" w:rsidRPr="004F4478" w:rsidRDefault="00860A11" w:rsidP="00BE6F49">
            <w:pPr>
              <w:pStyle w:val="HStandard"/>
              <w:rPr>
                <w:sz w:val="18"/>
                <w:szCs w:val="18"/>
                <w:highlight w:val="yellow"/>
              </w:rPr>
            </w:pPr>
            <w:r w:rsidRPr="004F4478">
              <w:rPr>
                <w:sz w:val="18"/>
                <w:highlight w:val="yellow"/>
              </w:rPr>
              <w:t>Identifier les sources de données et d'information et prendre les dispositions pour s’assurer qu’elles sont accessibles.</w:t>
            </w:r>
          </w:p>
        </w:tc>
      </w:tr>
      <w:tr w:rsidR="00860A11" w:rsidRPr="004F4478" w:rsidTr="00BE6F49">
        <w:tc>
          <w:tcPr>
            <w:tcW w:w="988" w:type="dxa"/>
            <w:shd w:val="clear" w:color="auto" w:fill="E7E6E6" w:themeFill="background2"/>
          </w:tcPr>
          <w:p w:rsidR="00860A11" w:rsidRPr="004F4478" w:rsidRDefault="00860A11" w:rsidP="00BE6F49">
            <w:pPr>
              <w:pStyle w:val="HStandard"/>
              <w:jc w:val="center"/>
              <w:rPr>
                <w:b/>
                <w:color w:val="FFFFFF"/>
                <w:sz w:val="18"/>
                <w:szCs w:val="18"/>
                <w:highlight w:val="yellow"/>
              </w:rPr>
            </w:pPr>
            <w:r w:rsidRPr="004F4478">
              <w:rPr>
                <w:b/>
                <w:color w:val="FFFFFF"/>
                <w:sz w:val="18"/>
                <w:highlight w:val="yellow"/>
              </w:rPr>
              <w:t>c.</w:t>
            </w:r>
          </w:p>
        </w:tc>
        <w:tc>
          <w:tcPr>
            <w:tcW w:w="8028" w:type="dxa"/>
          </w:tcPr>
          <w:p w:rsidR="00860A11" w:rsidRPr="004F4478" w:rsidRDefault="00860A11" w:rsidP="00BE6F49">
            <w:pPr>
              <w:pStyle w:val="Hlistbullet"/>
              <w:numPr>
                <w:ilvl w:val="0"/>
                <w:numId w:val="0"/>
              </w:numPr>
              <w:spacing w:before="0" w:line="280" w:lineRule="atLeast"/>
              <w:jc w:val="left"/>
              <w:rPr>
                <w:sz w:val="18"/>
                <w:szCs w:val="18"/>
                <w:highlight w:val="yellow"/>
              </w:rPr>
            </w:pPr>
            <w:r w:rsidRPr="004F4478">
              <w:rPr>
                <w:sz w:val="18"/>
                <w:highlight w:val="yellow"/>
              </w:rPr>
              <w:t>Identifier les lacunes dans les données et décider de la manière d’y remédier (y compris par des instructions aux évaluateurs dans les futurs cahiers des charges).</w:t>
            </w:r>
          </w:p>
        </w:tc>
      </w:tr>
      <w:tr w:rsidR="00860A11" w:rsidRPr="004F4478" w:rsidTr="00BE6F49">
        <w:tc>
          <w:tcPr>
            <w:tcW w:w="9016" w:type="dxa"/>
            <w:gridSpan w:val="2"/>
            <w:shd w:val="clear" w:color="auto" w:fill="auto"/>
          </w:tcPr>
          <w:p w:rsidR="00860A11" w:rsidRPr="004F4478" w:rsidRDefault="00860A11" w:rsidP="00BE6F49">
            <w:pPr>
              <w:pStyle w:val="HStandard"/>
              <w:jc w:val="left"/>
              <w:rPr>
                <w:sz w:val="18"/>
                <w:szCs w:val="18"/>
                <w:highlight w:val="yellow"/>
              </w:rPr>
            </w:pPr>
            <w:r w:rsidRPr="004F4478">
              <w:rPr>
                <w:b/>
                <w:sz w:val="18"/>
                <w:highlight w:val="yellow"/>
              </w:rPr>
              <w:t>Effets escomptés:</w:t>
            </w:r>
            <w:r w:rsidRPr="004F4478">
              <w:rPr>
                <w:sz w:val="18"/>
                <w:highlight w:val="yellow"/>
              </w:rPr>
              <w:t xml:space="preserve"> Sources de données accessibles, identification des lacunes dans les données et  décider de la manière de les combler.</w:t>
            </w:r>
          </w:p>
        </w:tc>
      </w:tr>
    </w:tbl>
    <w:p w:rsidR="00860A11" w:rsidRPr="004F4478" w:rsidRDefault="00860A11" w:rsidP="00FC0A30">
      <w:pPr>
        <w:pStyle w:val="HStandard"/>
        <w:rPr>
          <w:highlight w:val="yellow"/>
        </w:rPr>
      </w:pPr>
      <w:r w:rsidRPr="004F4478">
        <w:rPr>
          <w:highlight w:val="yellow"/>
        </w:rPr>
        <w:t xml:space="preserve">Dans la préparation de l'évaluation du RRN, il est important d'examiner le type de données et d'informations nécessaires pour correspondre aux indicateurs et répondre aux questions de l’évaluation. Dans la pratique, il y a toujours des données et des informations qui existent déjà et peuvent être recueillies soit par </w:t>
      </w:r>
      <w:r>
        <w:rPr>
          <w:highlight w:val="yellow"/>
        </w:rPr>
        <w:t>l'intermédiaire du suivi</w:t>
      </w:r>
      <w:r w:rsidRPr="004F4478">
        <w:rPr>
          <w:highlight w:val="yellow"/>
        </w:rPr>
        <w:t xml:space="preserve"> du PDR ou par d'autres moyens comme:</w:t>
      </w:r>
    </w:p>
    <w:p w:rsidR="00860A11" w:rsidRPr="004F4478" w:rsidRDefault="00860A11" w:rsidP="00D322AA">
      <w:pPr>
        <w:pStyle w:val="Hlistbullet"/>
        <w:rPr>
          <w:highlight w:val="yellow"/>
        </w:rPr>
      </w:pPr>
      <w:r>
        <w:rPr>
          <w:highlight w:val="yellow"/>
        </w:rPr>
        <w:t>Les d</w:t>
      </w:r>
      <w:r w:rsidRPr="004F4478">
        <w:rPr>
          <w:highlight w:val="yellow"/>
        </w:rPr>
        <w:t xml:space="preserve">onnées de suivi (base de données opérationnelles) sur les entrées et sorties du RRN; </w:t>
      </w:r>
    </w:p>
    <w:p w:rsidR="00860A11" w:rsidRPr="004F4478" w:rsidRDefault="00860A11" w:rsidP="00D322AA">
      <w:pPr>
        <w:pStyle w:val="Hlistbullet"/>
        <w:rPr>
          <w:highlight w:val="yellow"/>
        </w:rPr>
      </w:pPr>
      <w:r w:rsidRPr="004F4478">
        <w:rPr>
          <w:highlight w:val="yellow"/>
        </w:rPr>
        <w:t>Les statistiques internes de la NSU et le suivi des performances (rapports annuels, retours sur les événements et les formations, informations relatives aux membres du RRN, etc.);</w:t>
      </w:r>
    </w:p>
    <w:p w:rsidR="00860A11" w:rsidRPr="004F4478" w:rsidRDefault="00860A11" w:rsidP="00D322AA">
      <w:pPr>
        <w:pStyle w:val="Hlistbullet"/>
        <w:rPr>
          <w:highlight w:val="yellow"/>
        </w:rPr>
      </w:pPr>
      <w:r>
        <w:rPr>
          <w:highlight w:val="yellow"/>
        </w:rPr>
        <w:t>Les i</w:t>
      </w:r>
      <w:r w:rsidRPr="004F4478">
        <w:rPr>
          <w:highlight w:val="yellow"/>
        </w:rPr>
        <w:t xml:space="preserve">nformations provenant d'auto-évaluations et d’évaluations antérieures du RRN. </w:t>
      </w:r>
    </w:p>
    <w:p w:rsidR="00860A11" w:rsidRPr="004F4478" w:rsidRDefault="00860A11" w:rsidP="00FC0A30">
      <w:pPr>
        <w:pStyle w:val="HStandard"/>
        <w:rPr>
          <w:highlight w:val="yellow"/>
        </w:rPr>
      </w:pPr>
      <w:r w:rsidRPr="004F4478">
        <w:rPr>
          <w:highlight w:val="yellow"/>
        </w:rPr>
        <w:t>L</w:t>
      </w:r>
      <w:r>
        <w:rPr>
          <w:highlight w:val="yellow"/>
        </w:rPr>
        <w:t>'examen</w:t>
      </w:r>
      <w:r w:rsidRPr="004F4478">
        <w:rPr>
          <w:highlight w:val="yellow"/>
        </w:rPr>
        <w:t xml:space="preserve"> des sources de données et d'information et de leur accessibilité est une étape importante pour apporter des preuves à l'évaluation des RRN. Parfois, il est nécessaire de prendre des dispositions particulières pour accéder aux données et aux informations existantes. Cela devrait être pris en charge par les responsables du programme ou de la NSU, en particulier dans les cas où il est nécessaire d'examiner les aspects juridiques liés aux questions de protection des données individuelles (par </w:t>
      </w:r>
      <w:r w:rsidRPr="004F4478">
        <w:rPr>
          <w:highlight w:val="yellow"/>
        </w:rPr>
        <w:lastRenderedPageBreak/>
        <w:t>exemple les données sur les bénéficiaires individuels ou des informations obtenues suite aux entretiens individuels).</w:t>
      </w:r>
    </w:p>
    <w:p w:rsidR="00860A11" w:rsidRPr="004F4478" w:rsidRDefault="00860A11" w:rsidP="00FC0A30">
      <w:pPr>
        <w:pStyle w:val="HStandard"/>
        <w:rPr>
          <w:highlight w:val="yellow"/>
        </w:rPr>
      </w:pPr>
      <w:r w:rsidRPr="004F4478">
        <w:rPr>
          <w:highlight w:val="yellow"/>
        </w:rPr>
        <w:t>L</w:t>
      </w:r>
      <w:r>
        <w:rPr>
          <w:highlight w:val="yellow"/>
        </w:rPr>
        <w:t>'</w:t>
      </w:r>
      <w:r w:rsidRPr="004F4478">
        <w:rPr>
          <w:highlight w:val="yellow"/>
        </w:rPr>
        <w:t>a</w:t>
      </w:r>
      <w:r>
        <w:rPr>
          <w:highlight w:val="yellow"/>
        </w:rPr>
        <w:t>nalyse</w:t>
      </w:r>
      <w:r w:rsidRPr="004F4478">
        <w:rPr>
          <w:highlight w:val="yellow"/>
        </w:rPr>
        <w:t xml:space="preserve"> des données existantes peut être répétée lors des étapes ultérieures de la mise en œuvre du plan d'action du RRN par des évaluateurs (voir </w:t>
      </w:r>
      <w:r w:rsidRPr="004F4478">
        <w:rPr>
          <w:b/>
          <w:color w:val="E7E6E6" w:themeColor="background2"/>
          <w:highlight w:val="yellow"/>
        </w:rPr>
        <w:t>PARTIE I,</w:t>
      </w:r>
      <w:r w:rsidRPr="004F4478">
        <w:rPr>
          <w:highlight w:val="yellow"/>
        </w:rPr>
        <w:t xml:space="preserve"> chapitre 2.2.2 «Préparation de l'évaluation du RRN»). À cet égard, il est important que toutes les données disponibles soient accessibles aux évaluateurs, une fois l'évaluation commencée. La NSU ou la MA a la responsabilité de fournir toutes les données disponibles à l'évaluateur lors de la mise en œuvre de l'évaluation.</w:t>
      </w:r>
    </w:p>
    <w:p w:rsidR="00860A11" w:rsidRPr="004F4478" w:rsidRDefault="00860A11" w:rsidP="00FC0A30">
      <w:pPr>
        <w:pStyle w:val="HStandard"/>
        <w:rPr>
          <w:highlight w:val="yellow"/>
        </w:rPr>
      </w:pPr>
      <w:r w:rsidRPr="004F4478">
        <w:rPr>
          <w:highlight w:val="yellow"/>
        </w:rPr>
        <w:t xml:space="preserve">Une attention particulière devrait être accordée aux données et informations manquantes pour pouvoir les compléter. Les autorités responsables du </w:t>
      </w:r>
      <w:r>
        <w:rPr>
          <w:highlight w:val="yellow"/>
        </w:rPr>
        <w:t>démarrage</w:t>
      </w:r>
      <w:r w:rsidRPr="004F4478">
        <w:rPr>
          <w:highlight w:val="yellow"/>
        </w:rPr>
        <w:t xml:space="preserve"> (MA, NSU) doivent décider du type de données et d’informations qu‘il est possible d’obtenir à partir de sources existantes, par exemple dans le cadre d’accords spéciaux, ainsi que </w:t>
      </w:r>
      <w:r>
        <w:rPr>
          <w:highlight w:val="yellow"/>
        </w:rPr>
        <w:t>d</w:t>
      </w:r>
      <w:r w:rsidRPr="004F4478">
        <w:rPr>
          <w:highlight w:val="yellow"/>
        </w:rPr>
        <w:t xml:space="preserve">es données et informations manquantes devant être recueillies par les évaluateurs. Les connaissances des responsables du </w:t>
      </w:r>
      <w:r>
        <w:rPr>
          <w:highlight w:val="yellow"/>
        </w:rPr>
        <w:t>démarrage</w:t>
      </w:r>
      <w:r w:rsidRPr="004F4478">
        <w:rPr>
          <w:highlight w:val="yellow"/>
        </w:rPr>
        <w:t>, MA et NSU,  sur les données et les informations disponibles</w:t>
      </w:r>
      <w:r>
        <w:rPr>
          <w:highlight w:val="yellow"/>
        </w:rPr>
        <w:t>,</w:t>
      </w:r>
      <w:r w:rsidRPr="004F4478">
        <w:rPr>
          <w:highlight w:val="yellow"/>
        </w:rPr>
        <w:t xml:space="preserve"> sur leurs qualités et leurs failles, a une influence sur le budget de l'évaluation et sur le cahier des charges. En outre, ce processus peut alerter l</w:t>
      </w:r>
      <w:r>
        <w:rPr>
          <w:highlight w:val="yellow"/>
        </w:rPr>
        <w:t>a</w:t>
      </w:r>
      <w:r w:rsidRPr="004F4478">
        <w:rPr>
          <w:highlight w:val="yellow"/>
        </w:rPr>
        <w:t xml:space="preserve"> MA suffisamment tôt pour éviter que ne surviennent des problèmes de données au cours de la mise en œuvre du plan d'action du RRN. </w:t>
      </w:r>
    </w:p>
    <w:p w:rsidR="00860A11" w:rsidRPr="004F4478" w:rsidRDefault="00860A11" w:rsidP="00FC0A30">
      <w:pPr>
        <w:pStyle w:val="HHeading5"/>
        <w:rPr>
          <w:highlight w:val="yellow"/>
        </w:rPr>
      </w:pPr>
      <w:r w:rsidRPr="004F4478">
        <w:rPr>
          <w:highlight w:val="yellow"/>
        </w:rPr>
        <w:t xml:space="preserve">Étape 5 - Appels d'offres et sélection d’un évaluateur externe </w:t>
      </w:r>
    </w:p>
    <w:p w:rsidR="00860A11" w:rsidRPr="004F4478" w:rsidRDefault="00860A11" w:rsidP="00FC0A30">
      <w:pPr>
        <w:pStyle w:val="HStandard"/>
        <w:rPr>
          <w:highlight w:val="yellow"/>
        </w:rPr>
      </w:pPr>
      <w:r w:rsidRPr="004F4478">
        <w:t xml:space="preserve">La </w:t>
      </w:r>
      <w:r w:rsidRPr="004F4478">
        <w:rPr>
          <w:b/>
          <w:highlight w:val="yellow"/>
        </w:rPr>
        <w:t>rédaction du cahier des</w:t>
      </w:r>
      <w:r w:rsidRPr="004F4478">
        <w:t xml:space="preserve"> </w:t>
      </w:r>
      <w:r w:rsidRPr="00D12232">
        <w:rPr>
          <w:b/>
        </w:rPr>
        <w:t>charges</w:t>
      </w:r>
      <w:r w:rsidRPr="004F4478">
        <w:t xml:space="preserve"> </w:t>
      </w:r>
      <w:r w:rsidRPr="004F4478">
        <w:rPr>
          <w:b/>
          <w:highlight w:val="yellow"/>
        </w:rPr>
        <w:t>et</w:t>
      </w:r>
      <w:r w:rsidRPr="004F4478">
        <w:t xml:space="preserve"> </w:t>
      </w:r>
      <w:r w:rsidRPr="00D12232">
        <w:rPr>
          <w:b/>
        </w:rPr>
        <w:t>de la</w:t>
      </w:r>
      <w:r w:rsidRPr="004F4478">
        <w:t xml:space="preserve"> </w:t>
      </w:r>
      <w:r w:rsidRPr="004F4478">
        <w:rPr>
          <w:b/>
          <w:highlight w:val="yellow"/>
        </w:rPr>
        <w:t>procédure</w:t>
      </w:r>
      <w:r w:rsidRPr="004F4478">
        <w:t xml:space="preserve"> </w:t>
      </w:r>
      <w:r w:rsidRPr="00D12232">
        <w:rPr>
          <w:b/>
        </w:rPr>
        <w:t>d'</w:t>
      </w:r>
      <w:r w:rsidRPr="004F4478">
        <w:rPr>
          <w:b/>
          <w:highlight w:val="yellow"/>
        </w:rPr>
        <w:t>appel</w:t>
      </w:r>
      <w:r w:rsidRPr="004F4478">
        <w:t xml:space="preserve"> </w:t>
      </w:r>
      <w:r w:rsidRPr="00D12232">
        <w:rPr>
          <w:b/>
        </w:rPr>
        <w:t>d'</w:t>
      </w:r>
      <w:r w:rsidRPr="004F4478">
        <w:rPr>
          <w:b/>
          <w:highlight w:val="yellow"/>
        </w:rPr>
        <w:t>offres</w:t>
      </w:r>
      <w:r w:rsidRPr="004F4478">
        <w:t xml:space="preserve"> est une </w:t>
      </w:r>
      <w:r w:rsidRPr="004F4478">
        <w:rPr>
          <w:highlight w:val="yellow"/>
        </w:rPr>
        <w:t xml:space="preserve">procédure clé dans le choix de l'évaluateur externe et la signature du contrat avec celui-ci. Les étapes précédentes concernant la planification et la préparation de l'évaluation, décrites ci-dessus, forment la base de ce qui devra être préparé par les responsables du RRN et de ce qui sera attribué aux évaluateurs et inclus dans le cahier des charges.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860A11" w:rsidRPr="004F4478" w:rsidTr="002730A3">
        <w:tc>
          <w:tcPr>
            <w:tcW w:w="9016" w:type="dxa"/>
            <w:shd w:val="clear" w:color="auto" w:fill="F5F4F4" w:themeFill="background2" w:themeFillTint="66"/>
          </w:tcPr>
          <w:p w:rsidR="00860A11" w:rsidRPr="004F4478" w:rsidRDefault="00860A11" w:rsidP="00FC0A30">
            <w:pPr>
              <w:pStyle w:val="HStandard"/>
              <w:rPr>
                <w:highlight w:val="yellow"/>
              </w:rPr>
            </w:pPr>
            <w:r w:rsidRPr="004F4478">
              <w:rPr>
                <w:highlight w:val="yellow"/>
              </w:rPr>
              <w:t xml:space="preserve">Les questions clés de cette étape sont: </w:t>
            </w:r>
          </w:p>
          <w:p w:rsidR="00860A11" w:rsidRPr="004F4478" w:rsidRDefault="00860A11" w:rsidP="00860A11">
            <w:pPr>
              <w:pStyle w:val="Hlistbullet"/>
              <w:tabs>
                <w:tab w:val="left" w:pos="567"/>
              </w:tabs>
              <w:rPr>
                <w:highlight w:val="yellow"/>
              </w:rPr>
            </w:pPr>
            <w:r w:rsidRPr="004F4478">
              <w:rPr>
                <w:highlight w:val="yellow"/>
              </w:rPr>
              <w:t>Quel est le contexte de l'évaluation?</w:t>
            </w:r>
          </w:p>
          <w:p w:rsidR="00860A11" w:rsidRPr="004F4478" w:rsidRDefault="00860A11" w:rsidP="00860A11">
            <w:pPr>
              <w:pStyle w:val="Hlistbullet"/>
              <w:tabs>
                <w:tab w:val="left" w:pos="567"/>
              </w:tabs>
              <w:rPr>
                <w:highlight w:val="yellow"/>
              </w:rPr>
            </w:pPr>
            <w:r w:rsidRPr="004F4478">
              <w:rPr>
                <w:highlight w:val="yellow"/>
              </w:rPr>
              <w:t>Que va-t-on évaluer?</w:t>
            </w:r>
          </w:p>
          <w:p w:rsidR="00860A11" w:rsidRPr="004F4478" w:rsidRDefault="00860A11" w:rsidP="00860A11">
            <w:pPr>
              <w:pStyle w:val="Hlistbullet"/>
              <w:tabs>
                <w:tab w:val="left" w:pos="567"/>
              </w:tabs>
              <w:rPr>
                <w:highlight w:val="yellow"/>
              </w:rPr>
            </w:pPr>
            <w:r w:rsidRPr="004F4478">
              <w:rPr>
                <w:highlight w:val="yellow"/>
              </w:rPr>
              <w:t>Pourquoi cette évaluation?</w:t>
            </w:r>
          </w:p>
          <w:p w:rsidR="00860A11" w:rsidRPr="004F4478" w:rsidRDefault="00860A11" w:rsidP="00860A11">
            <w:pPr>
              <w:pStyle w:val="Hlistbullet"/>
              <w:tabs>
                <w:tab w:val="left" w:pos="567"/>
              </w:tabs>
              <w:rPr>
                <w:highlight w:val="yellow"/>
              </w:rPr>
            </w:pPr>
            <w:r w:rsidRPr="004F4478">
              <w:rPr>
                <w:highlight w:val="yellow"/>
              </w:rPr>
              <w:t>Quelles sont les questions à poser?</w:t>
            </w:r>
          </w:p>
          <w:p w:rsidR="00860A11" w:rsidRPr="004F4478" w:rsidRDefault="00860A11" w:rsidP="00860A11">
            <w:pPr>
              <w:pStyle w:val="Hlistbullet"/>
              <w:tabs>
                <w:tab w:val="left" w:pos="567"/>
              </w:tabs>
              <w:rPr>
                <w:highlight w:val="yellow"/>
              </w:rPr>
            </w:pPr>
            <w:r w:rsidRPr="004F4478">
              <w:rPr>
                <w:highlight w:val="yellow"/>
              </w:rPr>
              <w:t>Que doit faire l'évaluateur dans la pratique?</w:t>
            </w:r>
          </w:p>
          <w:p w:rsidR="00860A11" w:rsidRPr="004F4478" w:rsidRDefault="00860A11" w:rsidP="00860A11">
            <w:pPr>
              <w:pStyle w:val="Hlistbullet"/>
              <w:tabs>
                <w:tab w:val="left" w:pos="567"/>
              </w:tabs>
              <w:rPr>
                <w:highlight w:val="yellow"/>
              </w:rPr>
            </w:pPr>
            <w:r w:rsidRPr="004F4478">
              <w:rPr>
                <w:highlight w:val="yellow"/>
              </w:rPr>
              <w:t>Quel genre de documents / rapports, l'évaluateur devrait-il produire et quand?</w:t>
            </w:r>
          </w:p>
          <w:p w:rsidR="00860A11" w:rsidRPr="004F4478" w:rsidRDefault="00860A11" w:rsidP="00860A11">
            <w:pPr>
              <w:pStyle w:val="Hlistbullet"/>
              <w:tabs>
                <w:tab w:val="left" w:pos="567"/>
              </w:tabs>
              <w:rPr>
                <w:highlight w:val="yellow"/>
              </w:rPr>
            </w:pPr>
            <w:r w:rsidRPr="004F4478">
              <w:rPr>
                <w:highlight w:val="yellow"/>
              </w:rPr>
              <w:t xml:space="preserve">Comment l'évaluation devrait-elle être effectuée? </w:t>
            </w:r>
          </w:p>
          <w:p w:rsidR="00860A11" w:rsidRPr="004F4478" w:rsidRDefault="00860A11" w:rsidP="00860A11">
            <w:pPr>
              <w:pStyle w:val="Hlistbullet"/>
              <w:tabs>
                <w:tab w:val="left" w:pos="567"/>
              </w:tabs>
              <w:rPr>
                <w:highlight w:val="yellow"/>
              </w:rPr>
            </w:pPr>
            <w:r w:rsidRPr="004F4478">
              <w:rPr>
                <w:highlight w:val="yellow"/>
              </w:rPr>
              <w:t>Quels sont les types de données et d’information existants?</w:t>
            </w:r>
          </w:p>
          <w:p w:rsidR="00860A11" w:rsidRPr="004F4478" w:rsidRDefault="00860A11" w:rsidP="00860A11">
            <w:pPr>
              <w:pStyle w:val="Hlistbullet"/>
              <w:tabs>
                <w:tab w:val="left" w:pos="567"/>
              </w:tabs>
              <w:rPr>
                <w:highlight w:val="yellow"/>
              </w:rPr>
            </w:pPr>
            <w:r w:rsidRPr="004F4478">
              <w:rPr>
                <w:highlight w:val="yellow"/>
              </w:rPr>
              <w:t xml:space="preserve">Quelles données et informations supplémentaires doivent être recueillies? </w:t>
            </w:r>
          </w:p>
          <w:p w:rsidR="00860A11" w:rsidRPr="004F4478" w:rsidRDefault="00860A11" w:rsidP="00860A11">
            <w:pPr>
              <w:pStyle w:val="Hlistbullet"/>
              <w:tabs>
                <w:tab w:val="left" w:pos="567"/>
              </w:tabs>
              <w:rPr>
                <w:highlight w:val="yellow"/>
              </w:rPr>
            </w:pPr>
            <w:r w:rsidRPr="004F4478">
              <w:rPr>
                <w:highlight w:val="yellow"/>
              </w:rPr>
              <w:t>Qu’attend-on de l'évaluateur?</w:t>
            </w:r>
          </w:p>
          <w:p w:rsidR="00860A11" w:rsidRPr="004F4478" w:rsidRDefault="00860A11" w:rsidP="00860A11">
            <w:pPr>
              <w:pStyle w:val="Hlistbullet2"/>
              <w:tabs>
                <w:tab w:val="left" w:pos="567"/>
              </w:tabs>
              <w:rPr>
                <w:highlight w:val="yellow"/>
              </w:rPr>
            </w:pPr>
            <w:r w:rsidRPr="004F4478">
              <w:rPr>
                <w:highlight w:val="yellow"/>
              </w:rPr>
              <w:t>Comment l'évaluateur est-il choisi?</w:t>
            </w:r>
          </w:p>
          <w:p w:rsidR="00860A11" w:rsidRPr="004F4478" w:rsidRDefault="00860A11" w:rsidP="00860A11">
            <w:pPr>
              <w:pStyle w:val="Hlistbullet"/>
              <w:tabs>
                <w:tab w:val="left" w:pos="567"/>
              </w:tabs>
              <w:rPr>
                <w:highlight w:val="yellow"/>
              </w:rPr>
            </w:pPr>
            <w:r w:rsidRPr="004F4478">
              <w:rPr>
                <w:highlight w:val="yellow"/>
              </w:rPr>
              <w:t>Les ressources financières et humaines sont-elles suffisantes pour réaliser l'évaluation souhaitée?</w:t>
            </w:r>
          </w:p>
          <w:p w:rsidR="00860A11" w:rsidRPr="004F4478" w:rsidRDefault="00860A11" w:rsidP="00860A11">
            <w:pPr>
              <w:pStyle w:val="Hlistbullet"/>
              <w:tabs>
                <w:tab w:val="left" w:pos="567"/>
              </w:tabs>
              <w:rPr>
                <w:highlight w:val="yellow"/>
              </w:rPr>
            </w:pPr>
            <w:r w:rsidRPr="004F4478">
              <w:rPr>
                <w:highlight w:val="yellow"/>
              </w:rPr>
              <w:t xml:space="preserve">Est-ce que les délais sont raisonnables? Est-ce qu’il y a assez de temps pour chaque étape? Y a-t-il du temps alloué </w:t>
            </w:r>
            <w:r>
              <w:rPr>
                <w:highlight w:val="yellow"/>
              </w:rPr>
              <w:t>en cas</w:t>
            </w:r>
            <w:r w:rsidRPr="004F4478">
              <w:rPr>
                <w:highlight w:val="yellow"/>
              </w:rPr>
              <w:t xml:space="preserve"> </w:t>
            </w:r>
            <w:r>
              <w:rPr>
                <w:highlight w:val="yellow"/>
              </w:rPr>
              <w:t>d'</w:t>
            </w:r>
            <w:r w:rsidRPr="004F4478">
              <w:rPr>
                <w:highlight w:val="yellow"/>
              </w:rPr>
              <w:t xml:space="preserve">imprévus et </w:t>
            </w:r>
            <w:r>
              <w:rPr>
                <w:highlight w:val="yellow"/>
              </w:rPr>
              <w:t>de</w:t>
            </w:r>
            <w:r w:rsidRPr="004F4478">
              <w:rPr>
                <w:highlight w:val="yellow"/>
              </w:rPr>
              <w:t xml:space="preserve"> problèmes?</w:t>
            </w:r>
          </w:p>
          <w:p w:rsidR="00860A11" w:rsidRPr="004F4478" w:rsidRDefault="00860A11" w:rsidP="00860A11">
            <w:pPr>
              <w:pStyle w:val="Hlistbullet2"/>
              <w:tabs>
                <w:tab w:val="left" w:pos="567"/>
              </w:tabs>
              <w:rPr>
                <w:highlight w:val="yellow"/>
              </w:rPr>
            </w:pPr>
            <w:r w:rsidRPr="004F4478">
              <w:rPr>
                <w:highlight w:val="yellow"/>
              </w:rPr>
              <w:t>Quelle est la meilleure procédure d'appel d'offres pour l'évaluation du RRN en question?</w:t>
            </w:r>
          </w:p>
        </w:tc>
      </w:tr>
    </w:tbl>
    <w:p w:rsidR="00860A11" w:rsidRPr="004F4478" w:rsidRDefault="00860A11" w:rsidP="00FC0A30">
      <w:pPr>
        <w:pStyle w:val="HStandard"/>
        <w:rPr>
          <w:highlight w:val="yellow"/>
        </w:rPr>
      </w:pPr>
      <w:r w:rsidRPr="004F4478">
        <w:rPr>
          <w:highlight w:val="yellow"/>
        </w:rPr>
        <w:t xml:space="preserve">Cette étape doit se dérouler dans </w:t>
      </w:r>
      <w:r w:rsidRPr="004F4478">
        <w:rPr>
          <w:b/>
          <w:highlight w:val="yellow"/>
        </w:rPr>
        <w:t>l'ordre suivant:</w:t>
      </w:r>
      <w:r w:rsidRPr="004F4478">
        <w:rPr>
          <w:highlight w:val="yellow"/>
        </w:rPr>
        <w:t xml:space="preserve">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860A11" w:rsidRPr="004F4478" w:rsidTr="00BE6F49">
        <w:tc>
          <w:tcPr>
            <w:tcW w:w="988" w:type="dxa"/>
            <w:shd w:val="clear" w:color="auto" w:fill="E7E6E6" w:themeFill="background2"/>
          </w:tcPr>
          <w:p w:rsidR="00860A11" w:rsidRPr="004F4478" w:rsidRDefault="00860A11" w:rsidP="00BE6F49">
            <w:pPr>
              <w:pStyle w:val="HStandard"/>
              <w:jc w:val="center"/>
              <w:rPr>
                <w:b/>
                <w:color w:val="FFFFFF"/>
                <w:sz w:val="18"/>
                <w:szCs w:val="18"/>
                <w:highlight w:val="yellow"/>
              </w:rPr>
            </w:pPr>
            <w:r w:rsidRPr="004F4478">
              <w:rPr>
                <w:b/>
                <w:color w:val="FFFFFF"/>
                <w:sz w:val="18"/>
                <w:highlight w:val="yellow"/>
              </w:rPr>
              <w:t>a.</w:t>
            </w:r>
          </w:p>
        </w:tc>
        <w:tc>
          <w:tcPr>
            <w:tcW w:w="8028" w:type="dxa"/>
          </w:tcPr>
          <w:p w:rsidR="00860A11" w:rsidRPr="004F4478" w:rsidRDefault="00860A11" w:rsidP="00BE6F49">
            <w:pPr>
              <w:pStyle w:val="Hlistbullet"/>
              <w:numPr>
                <w:ilvl w:val="0"/>
                <w:numId w:val="0"/>
              </w:numPr>
              <w:spacing w:before="0" w:line="280" w:lineRule="atLeast"/>
              <w:jc w:val="left"/>
              <w:rPr>
                <w:sz w:val="18"/>
                <w:szCs w:val="18"/>
                <w:highlight w:val="yellow"/>
              </w:rPr>
            </w:pPr>
            <w:r w:rsidRPr="004F4478">
              <w:rPr>
                <w:sz w:val="18"/>
                <w:highlight w:val="yellow"/>
              </w:rPr>
              <w:t>Rédaction du cahier des charges pour l'évaluation externe.</w:t>
            </w:r>
          </w:p>
        </w:tc>
      </w:tr>
      <w:tr w:rsidR="00860A11" w:rsidRPr="004F4478" w:rsidTr="00BE6F49">
        <w:tc>
          <w:tcPr>
            <w:tcW w:w="988" w:type="dxa"/>
            <w:shd w:val="clear" w:color="auto" w:fill="E7E6E6" w:themeFill="background2"/>
          </w:tcPr>
          <w:p w:rsidR="00860A11" w:rsidRPr="004F4478" w:rsidRDefault="00860A11" w:rsidP="00BE6F49">
            <w:pPr>
              <w:pStyle w:val="HStandard"/>
              <w:jc w:val="center"/>
              <w:rPr>
                <w:b/>
                <w:color w:val="FFFFFF"/>
                <w:sz w:val="18"/>
                <w:szCs w:val="18"/>
                <w:highlight w:val="yellow"/>
              </w:rPr>
            </w:pPr>
            <w:r w:rsidRPr="004F4478">
              <w:rPr>
                <w:b/>
                <w:color w:val="FFFFFF"/>
                <w:sz w:val="18"/>
                <w:highlight w:val="yellow"/>
              </w:rPr>
              <w:t>b.</w:t>
            </w:r>
          </w:p>
        </w:tc>
        <w:tc>
          <w:tcPr>
            <w:tcW w:w="8028" w:type="dxa"/>
          </w:tcPr>
          <w:p w:rsidR="00860A11" w:rsidRPr="004F4478" w:rsidRDefault="00860A11" w:rsidP="00BE6F49">
            <w:pPr>
              <w:pStyle w:val="HStandard"/>
              <w:rPr>
                <w:sz w:val="18"/>
                <w:szCs w:val="18"/>
                <w:highlight w:val="yellow"/>
              </w:rPr>
            </w:pPr>
            <w:r w:rsidRPr="004F4478">
              <w:rPr>
                <w:sz w:val="18"/>
                <w:highlight w:val="yellow"/>
              </w:rPr>
              <w:t>L’allocation des ressources pour l'évaluation externe sert de base à la planification et la préparation de l'évaluation.</w:t>
            </w:r>
          </w:p>
        </w:tc>
      </w:tr>
      <w:tr w:rsidR="00860A11" w:rsidRPr="004F4478" w:rsidTr="00BE6F49">
        <w:tc>
          <w:tcPr>
            <w:tcW w:w="988" w:type="dxa"/>
            <w:shd w:val="clear" w:color="auto" w:fill="E7E6E6" w:themeFill="background2"/>
          </w:tcPr>
          <w:p w:rsidR="00860A11" w:rsidRPr="004F4478" w:rsidRDefault="00860A11" w:rsidP="00BE6F49">
            <w:pPr>
              <w:pStyle w:val="HStandard"/>
              <w:jc w:val="center"/>
              <w:rPr>
                <w:b/>
                <w:color w:val="FFFFFF"/>
                <w:sz w:val="18"/>
                <w:szCs w:val="18"/>
                <w:highlight w:val="yellow"/>
              </w:rPr>
            </w:pPr>
            <w:r w:rsidRPr="004F4478">
              <w:rPr>
                <w:b/>
                <w:color w:val="FFFFFF"/>
                <w:sz w:val="18"/>
                <w:highlight w:val="yellow"/>
              </w:rPr>
              <w:lastRenderedPageBreak/>
              <w:t>c.</w:t>
            </w:r>
          </w:p>
        </w:tc>
        <w:tc>
          <w:tcPr>
            <w:tcW w:w="8028" w:type="dxa"/>
          </w:tcPr>
          <w:p w:rsidR="00860A11" w:rsidRPr="004F4478" w:rsidRDefault="00860A11" w:rsidP="00BE6F49">
            <w:pPr>
              <w:pStyle w:val="Hlistbullet"/>
              <w:numPr>
                <w:ilvl w:val="0"/>
                <w:numId w:val="0"/>
              </w:numPr>
              <w:spacing w:before="0" w:line="280" w:lineRule="atLeast"/>
              <w:jc w:val="left"/>
              <w:rPr>
                <w:sz w:val="18"/>
                <w:szCs w:val="18"/>
                <w:highlight w:val="yellow"/>
              </w:rPr>
            </w:pPr>
            <w:r w:rsidRPr="004F4478">
              <w:rPr>
                <w:sz w:val="18"/>
                <w:highlight w:val="yellow"/>
              </w:rPr>
              <w:t>La préparation et la conduite de la procédure d'appel d'offres.</w:t>
            </w:r>
          </w:p>
        </w:tc>
      </w:tr>
      <w:tr w:rsidR="00860A11" w:rsidRPr="004F4478" w:rsidTr="00BE6F49">
        <w:tc>
          <w:tcPr>
            <w:tcW w:w="9016" w:type="dxa"/>
            <w:gridSpan w:val="2"/>
            <w:shd w:val="clear" w:color="auto" w:fill="auto"/>
          </w:tcPr>
          <w:p w:rsidR="00860A11" w:rsidRPr="004F4478" w:rsidRDefault="00860A11" w:rsidP="00BE6F49">
            <w:pPr>
              <w:pStyle w:val="HStandard"/>
              <w:jc w:val="left"/>
              <w:rPr>
                <w:sz w:val="18"/>
                <w:szCs w:val="18"/>
                <w:highlight w:val="yellow"/>
              </w:rPr>
            </w:pPr>
            <w:r>
              <w:rPr>
                <w:b/>
                <w:sz w:val="18"/>
                <w:highlight w:val="yellow"/>
              </w:rPr>
              <w:t>Résultat</w:t>
            </w:r>
            <w:r w:rsidRPr="004F4478">
              <w:rPr>
                <w:b/>
                <w:sz w:val="18"/>
                <w:highlight w:val="yellow"/>
              </w:rPr>
              <w:t xml:space="preserve"> escompté:</w:t>
            </w:r>
            <w:r w:rsidRPr="004F4478">
              <w:rPr>
                <w:sz w:val="18"/>
                <w:highlight w:val="yellow"/>
              </w:rPr>
              <w:t xml:space="preserve"> sélection d'un évaluateur externe.</w:t>
            </w:r>
          </w:p>
        </w:tc>
      </w:tr>
    </w:tbl>
    <w:p w:rsidR="00860A11" w:rsidRPr="004F4478" w:rsidRDefault="00860A11" w:rsidP="00FC0A30">
      <w:pPr>
        <w:pStyle w:val="HStandard"/>
        <w:rPr>
          <w:highlight w:val="yellow"/>
        </w:rPr>
      </w:pPr>
      <w:r w:rsidRPr="004F4478">
        <w:rPr>
          <w:highlight w:val="yellow"/>
        </w:rPr>
        <w:t xml:space="preserve">L’autorité de </w:t>
      </w:r>
      <w:r>
        <w:rPr>
          <w:highlight w:val="yellow"/>
        </w:rPr>
        <w:t>démarrage</w:t>
      </w:r>
      <w:r w:rsidRPr="004F4478">
        <w:rPr>
          <w:highlight w:val="yellow"/>
        </w:rPr>
        <w:t xml:space="preserve"> (MA, NSU) est responsable de la rédaction du cahier des charges et doit veiller à ce qu'il reflète le RRN en question. Le groupe de pilotage de l'évaluation peut assister l‘autorité de </w:t>
      </w:r>
      <w:r>
        <w:rPr>
          <w:highlight w:val="yellow"/>
        </w:rPr>
        <w:t>démarrage</w:t>
      </w:r>
      <w:r w:rsidRPr="004F4478">
        <w:rPr>
          <w:highlight w:val="yellow"/>
        </w:rPr>
        <w:t xml:space="preserve"> dans la définition et la rédaction du cahier des charges, si la MA donne au groupe de pilotage un mandat d'évaluation.</w:t>
      </w:r>
    </w:p>
    <w:p w:rsidR="00860A11" w:rsidRPr="004F4478" w:rsidRDefault="00860A11" w:rsidP="00FC0A30">
      <w:pPr>
        <w:pStyle w:val="HHeadingboxes"/>
        <w:rPr>
          <w:highlight w:val="yellow"/>
        </w:rPr>
      </w:pPr>
      <w:bookmarkStart w:id="144" w:name="_Toc390439635"/>
      <w:bookmarkStart w:id="145" w:name="_Toc451781952"/>
      <w:bookmarkStart w:id="146" w:name="_Toc463945900"/>
      <w:r w:rsidRPr="004F4478">
        <w:rPr>
          <w:highlight w:val="yellow"/>
        </w:rPr>
        <w:t>Mandat d'évaluation</w:t>
      </w:r>
      <w:bookmarkEnd w:id="144"/>
      <w:bookmarkEnd w:id="145"/>
      <w:bookmarkEnd w:id="146"/>
    </w:p>
    <w:p w:rsidR="00860A11" w:rsidRPr="004F4478" w:rsidRDefault="00860A11" w:rsidP="001413F0">
      <w:pPr>
        <w:pStyle w:val="HBox"/>
        <w:pBdr>
          <w:top w:val="single" w:sz="4" w:space="4" w:color="E7E6E6" w:themeColor="background2"/>
          <w:left w:val="single" w:sz="4" w:space="4" w:color="E7E6E6" w:themeColor="background2"/>
          <w:bottom w:val="single" w:sz="4" w:space="4" w:color="E7E6E6" w:themeColor="background2"/>
          <w:right w:val="single" w:sz="4" w:space="4" w:color="E7E6E6" w:themeColor="background2"/>
        </w:pBdr>
        <w:shd w:val="clear" w:color="auto" w:fill="F5F4F4" w:themeFill="background2" w:themeFillTint="66"/>
        <w:rPr>
          <w:highlight w:val="yellow"/>
        </w:rPr>
      </w:pPr>
      <w:r w:rsidRPr="004F4478">
        <w:rPr>
          <w:highlight w:val="yellow"/>
        </w:rPr>
        <w:t>Si la MA décide d'utiliser un groupe de pilotage de l'évaluation, il est souhaitable de rédiger un mandat d'évaluation avant de rédiger le cahier des charges. Le mandat d'évaluation est un document qui fournit une description brève et générale de l'évaluation à effectuer. Il convient de préciser la portée (ce qui va être évalué), le contexte et les motifs (description de l’environnement et des raisons de l’évaluation), les responsabilités et le calendrier (comment le travail sera</w:t>
      </w:r>
      <w:r>
        <w:rPr>
          <w:highlight w:val="yellow"/>
        </w:rPr>
        <w:t>-t-il</w:t>
      </w:r>
      <w:r w:rsidRPr="004F4478">
        <w:rPr>
          <w:highlight w:val="yellow"/>
        </w:rPr>
        <w:t xml:space="preserve"> organisé et quel sera le calendrier) et les objectifs (utilisation prévue de l'évaluation). Le mandat d'évaluation guide la rédaction du cahier des charges, ainsi que le programme de travail du groupe de pilotage de l’évaluation. </w:t>
      </w:r>
    </w:p>
    <w:p w:rsidR="00860A11" w:rsidRPr="004F4478" w:rsidRDefault="00860A11" w:rsidP="001413F0">
      <w:pPr>
        <w:pStyle w:val="HBox"/>
        <w:pBdr>
          <w:top w:val="single" w:sz="4" w:space="4" w:color="E7E6E6" w:themeColor="background2"/>
          <w:left w:val="single" w:sz="4" w:space="4" w:color="E7E6E6" w:themeColor="background2"/>
          <w:bottom w:val="single" w:sz="4" w:space="4" w:color="E7E6E6" w:themeColor="background2"/>
          <w:right w:val="single" w:sz="4" w:space="4" w:color="E7E6E6" w:themeColor="background2"/>
        </w:pBdr>
        <w:shd w:val="clear" w:color="auto" w:fill="F5F4F4" w:themeFill="background2" w:themeFillTint="66"/>
        <w:rPr>
          <w:highlight w:val="yellow"/>
        </w:rPr>
      </w:pPr>
      <w:r w:rsidRPr="004F4478">
        <w:rPr>
          <w:highlight w:val="yellow"/>
        </w:rPr>
        <w:t>Le mandat d'évaluation est généralement demandé et approuvé par la MA, et le groupe de pilotage de l'évaluation assiste la MA dans la rédaction.</w:t>
      </w:r>
    </w:p>
    <w:p w:rsidR="00860A11" w:rsidRPr="004F4478" w:rsidRDefault="00860A11" w:rsidP="00FC0A30">
      <w:pPr>
        <w:pStyle w:val="HStandard"/>
        <w:rPr>
          <w:highlight w:val="yellow"/>
        </w:rPr>
      </w:pPr>
      <w:r w:rsidRPr="004F4478">
        <w:rPr>
          <w:highlight w:val="yellow"/>
        </w:rPr>
        <w:t xml:space="preserve">Le cahier des charges devrait expliquer l'importance de la mise en œuvre du RRN et prendre en compte le budget de l'évaluation du RRN. Il devrait également contenir une description de l'origine, de la portée et des objectifs de l'évaluation, ainsi qu'une répartition claire des rôles et responsabilités. Dans les cahiers des charges figurent également les questions d'évaluation auxquelles il faut répondre et </w:t>
      </w:r>
      <w:r>
        <w:rPr>
          <w:highlight w:val="yellow"/>
        </w:rPr>
        <w:t xml:space="preserve">ils </w:t>
      </w:r>
      <w:r w:rsidRPr="004F4478">
        <w:rPr>
          <w:highlight w:val="yellow"/>
        </w:rPr>
        <w:t>décri</w:t>
      </w:r>
      <w:r>
        <w:rPr>
          <w:highlight w:val="yellow"/>
        </w:rPr>
        <w:t>v</w:t>
      </w:r>
      <w:r w:rsidRPr="004F4478">
        <w:rPr>
          <w:highlight w:val="yellow"/>
        </w:rPr>
        <w:t>e</w:t>
      </w:r>
      <w:r>
        <w:rPr>
          <w:highlight w:val="yellow"/>
        </w:rPr>
        <w:t>nt</w:t>
      </w:r>
      <w:r w:rsidRPr="004F4478">
        <w:rPr>
          <w:highlight w:val="yellow"/>
        </w:rPr>
        <w:t xml:space="preserve"> les tâches et les activités à accomplir par les évaluateurs externes. En outre, le cahier des charges devrait indiquer les sources d'information déjà disponibles. Dans un cahier des charges sérieux on devrait également trouver les critères de choix de l'évaluateur, ainsi que les critères d'évaluation de la qualité pour le rapport final. </w:t>
      </w:r>
    </w:p>
    <w:p w:rsidR="00860A11" w:rsidRPr="004F4478" w:rsidRDefault="00860A11" w:rsidP="00FC0A30">
      <w:pPr>
        <w:pStyle w:val="HStandard"/>
        <w:rPr>
          <w:highlight w:val="yellow"/>
        </w:rPr>
      </w:pPr>
      <w:r w:rsidRPr="004F4478">
        <w:rPr>
          <w:highlight w:val="yellow"/>
        </w:rPr>
        <w:t xml:space="preserve">Il n'y a pas d'exigences légales pour le contenu du cahier des charges. Voici les principaux éléments recommandés qui </w:t>
      </w:r>
      <w:r>
        <w:rPr>
          <w:highlight w:val="yellow"/>
        </w:rPr>
        <w:t>correspondent aux</w:t>
      </w:r>
      <w:r w:rsidRPr="004F4478">
        <w:rPr>
          <w:highlight w:val="yellow"/>
        </w:rPr>
        <w:t xml:space="preserve"> bonnes pratiques</w:t>
      </w:r>
      <w:r>
        <w:rPr>
          <w:highlight w:val="yellow"/>
        </w:rPr>
        <w:t xml:space="preserve"> habituelles</w:t>
      </w:r>
      <w:r w:rsidRPr="004F4478">
        <w:rPr>
          <w:rFonts w:ascii="ZWAdobeF" w:hAnsi="ZWAdobeF"/>
          <w:color w:val="auto"/>
          <w:sz w:val="2"/>
          <w:highlight w:val="yellow"/>
        </w:rPr>
        <w:t xml:space="preserve">81F </w:t>
      </w:r>
      <w:r w:rsidRPr="004F4478">
        <w:rPr>
          <w:rStyle w:val="FootnoteReference"/>
          <w:highlight w:val="yellow"/>
        </w:rPr>
        <w:footnoteReference w:id="82"/>
      </w:r>
      <w:r w:rsidRPr="004F4478">
        <w:rPr>
          <w:highlight w:val="yellow"/>
        </w:rPr>
        <w:t xml:space="preserve"> . </w:t>
      </w:r>
    </w:p>
    <w:p w:rsidR="00860A11" w:rsidRPr="004F4478" w:rsidRDefault="00860A11" w:rsidP="001413F0">
      <w:pPr>
        <w:pStyle w:val="Hlistbullet"/>
        <w:rPr>
          <w:highlight w:val="yellow"/>
        </w:rPr>
      </w:pPr>
      <w:r w:rsidRPr="004F4478">
        <w:rPr>
          <w:highlight w:val="yellow"/>
        </w:rPr>
        <w:t>Contexte (objet, objectifs et justification de l'évaluation);</w:t>
      </w:r>
    </w:p>
    <w:p w:rsidR="00860A11" w:rsidRPr="004F4478" w:rsidRDefault="00860A11" w:rsidP="001413F0">
      <w:pPr>
        <w:pStyle w:val="Hlistbullet"/>
        <w:rPr>
          <w:highlight w:val="yellow"/>
        </w:rPr>
      </w:pPr>
      <w:r w:rsidRPr="004F4478">
        <w:rPr>
          <w:highlight w:val="yellow"/>
        </w:rPr>
        <w:t>Étendue de l’évaluation;</w:t>
      </w:r>
    </w:p>
    <w:p w:rsidR="00860A11" w:rsidRPr="004F4478" w:rsidRDefault="00860A11" w:rsidP="001413F0">
      <w:pPr>
        <w:pStyle w:val="Hlistbullet"/>
        <w:rPr>
          <w:highlight w:val="yellow"/>
        </w:rPr>
      </w:pPr>
      <w:r w:rsidRPr="004F4478">
        <w:rPr>
          <w:highlight w:val="yellow"/>
        </w:rPr>
        <w:t>Objectifs de l’évaluation;</w:t>
      </w:r>
    </w:p>
    <w:p w:rsidR="00860A11" w:rsidRPr="004F4478" w:rsidRDefault="00860A11" w:rsidP="001413F0">
      <w:pPr>
        <w:pStyle w:val="Hlistbullet"/>
        <w:rPr>
          <w:highlight w:val="yellow"/>
        </w:rPr>
      </w:pPr>
      <w:r w:rsidRPr="004F4478">
        <w:rPr>
          <w:highlight w:val="yellow"/>
        </w:rPr>
        <w:t>Questions d'évaluation;</w:t>
      </w:r>
    </w:p>
    <w:p w:rsidR="00860A11" w:rsidRPr="004F4478" w:rsidRDefault="00860A11" w:rsidP="001413F0">
      <w:pPr>
        <w:pStyle w:val="Hlistbullet"/>
        <w:rPr>
          <w:highlight w:val="yellow"/>
        </w:rPr>
      </w:pPr>
      <w:r w:rsidRPr="004F4478">
        <w:rPr>
          <w:highlight w:val="yellow"/>
        </w:rPr>
        <w:t>Tâches à effectuer;</w:t>
      </w:r>
    </w:p>
    <w:p w:rsidR="00860A11" w:rsidRPr="004F4478" w:rsidRDefault="00860A11" w:rsidP="001413F0">
      <w:pPr>
        <w:pStyle w:val="Hlistbullet"/>
        <w:rPr>
          <w:highlight w:val="yellow"/>
        </w:rPr>
      </w:pPr>
      <w:r w:rsidRPr="004F4478">
        <w:rPr>
          <w:highlight w:val="yellow"/>
        </w:rPr>
        <w:t>Calendrier et contenu des livrables;</w:t>
      </w:r>
    </w:p>
    <w:p w:rsidR="00860A11" w:rsidRPr="004F4478" w:rsidRDefault="00860A11" w:rsidP="001413F0">
      <w:pPr>
        <w:pStyle w:val="Hlistbullet"/>
        <w:rPr>
          <w:highlight w:val="yellow"/>
        </w:rPr>
      </w:pPr>
      <w:r w:rsidRPr="004F4478">
        <w:rPr>
          <w:highlight w:val="yellow"/>
        </w:rPr>
        <w:t>Organisation du travail;</w:t>
      </w:r>
    </w:p>
    <w:p w:rsidR="00860A11" w:rsidRPr="004F4478" w:rsidRDefault="00860A11" w:rsidP="001413F0">
      <w:pPr>
        <w:pStyle w:val="Hlistbullet"/>
        <w:rPr>
          <w:highlight w:val="yellow"/>
        </w:rPr>
      </w:pPr>
      <w:r w:rsidRPr="004F4478">
        <w:rPr>
          <w:highlight w:val="yellow"/>
        </w:rPr>
        <w:t>Sources et documentation;</w:t>
      </w:r>
    </w:p>
    <w:p w:rsidR="00860A11" w:rsidRPr="004F4478" w:rsidRDefault="00860A11" w:rsidP="001413F0">
      <w:pPr>
        <w:pStyle w:val="Hlistbullet"/>
        <w:rPr>
          <w:highlight w:val="yellow"/>
        </w:rPr>
      </w:pPr>
      <w:r w:rsidRPr="004F4478">
        <w:rPr>
          <w:highlight w:val="yellow"/>
        </w:rPr>
        <w:t xml:space="preserve">Procédures d’appel d’offres et clauses contractuelles. Cela implique les critères de sélection de l'évaluateur, comme: </w:t>
      </w:r>
    </w:p>
    <w:p w:rsidR="00860A11" w:rsidRPr="004F4478" w:rsidRDefault="00860A11" w:rsidP="00892664">
      <w:pPr>
        <w:pStyle w:val="Hlistbullet2"/>
        <w:numPr>
          <w:ilvl w:val="1"/>
          <w:numId w:val="16"/>
        </w:numPr>
        <w:tabs>
          <w:tab w:val="left" w:pos="567"/>
        </w:tabs>
        <w:rPr>
          <w:highlight w:val="yellow"/>
        </w:rPr>
      </w:pPr>
      <w:r w:rsidRPr="004F4478">
        <w:rPr>
          <w:highlight w:val="yellow"/>
        </w:rPr>
        <w:t>le profil requis des évaluateurs, y compris le niveau d’</w:t>
      </w:r>
      <w:r>
        <w:rPr>
          <w:highlight w:val="yellow"/>
        </w:rPr>
        <w:t>enseignement</w:t>
      </w:r>
      <w:r w:rsidRPr="004F4478">
        <w:rPr>
          <w:highlight w:val="yellow"/>
        </w:rPr>
        <w:t xml:space="preserve">, l’expérience dans le domaine des évaluations (pluriannuelle) avec des </w:t>
      </w:r>
      <w:r>
        <w:rPr>
          <w:highlight w:val="yellow"/>
        </w:rPr>
        <w:t>références</w:t>
      </w:r>
      <w:r w:rsidRPr="004F4478">
        <w:rPr>
          <w:highlight w:val="yellow"/>
        </w:rPr>
        <w:t xml:space="preserve"> et accès à des rapports réalisés, </w:t>
      </w:r>
    </w:p>
    <w:p w:rsidR="00860A11" w:rsidRPr="004F4478" w:rsidRDefault="00860A11" w:rsidP="00892664">
      <w:pPr>
        <w:pStyle w:val="Hlistbullet2"/>
        <w:numPr>
          <w:ilvl w:val="1"/>
          <w:numId w:val="16"/>
        </w:numPr>
        <w:tabs>
          <w:tab w:val="left" w:pos="567"/>
        </w:tabs>
        <w:rPr>
          <w:highlight w:val="yellow"/>
        </w:rPr>
      </w:pPr>
      <w:r w:rsidRPr="004F4478">
        <w:rPr>
          <w:highlight w:val="yellow"/>
        </w:rPr>
        <w:t xml:space="preserve">approche et méthodes d’évaluation proposées, </w:t>
      </w:r>
    </w:p>
    <w:p w:rsidR="00860A11" w:rsidRPr="004F4478" w:rsidRDefault="00860A11" w:rsidP="00892664">
      <w:pPr>
        <w:pStyle w:val="Hlistbullet2"/>
        <w:numPr>
          <w:ilvl w:val="1"/>
          <w:numId w:val="16"/>
        </w:numPr>
        <w:tabs>
          <w:tab w:val="left" w:pos="567"/>
        </w:tabs>
        <w:rPr>
          <w:highlight w:val="yellow"/>
        </w:rPr>
      </w:pPr>
      <w:r w:rsidRPr="004F4478">
        <w:rPr>
          <w:highlight w:val="yellow"/>
        </w:rPr>
        <w:t xml:space="preserve">exigences en matière de données et </w:t>
      </w:r>
      <w:r>
        <w:rPr>
          <w:highlight w:val="yellow"/>
        </w:rPr>
        <w:t>d'</w:t>
      </w:r>
      <w:r w:rsidRPr="004F4478">
        <w:rPr>
          <w:highlight w:val="yellow"/>
        </w:rPr>
        <w:t>informations et une indication des données à recueillir par l'évaluateur,</w:t>
      </w:r>
    </w:p>
    <w:p w:rsidR="00860A11" w:rsidRPr="004F4478" w:rsidRDefault="00860A11" w:rsidP="00892664">
      <w:pPr>
        <w:pStyle w:val="Hlistbullet2"/>
        <w:numPr>
          <w:ilvl w:val="1"/>
          <w:numId w:val="16"/>
        </w:numPr>
        <w:tabs>
          <w:tab w:val="left" w:pos="567"/>
        </w:tabs>
        <w:rPr>
          <w:highlight w:val="yellow"/>
        </w:rPr>
      </w:pPr>
      <w:r w:rsidRPr="004F4478">
        <w:rPr>
          <w:highlight w:val="yellow"/>
        </w:rPr>
        <w:lastRenderedPageBreak/>
        <w:t>projet de budget de l'évaluation,</w:t>
      </w:r>
    </w:p>
    <w:p w:rsidR="00860A11" w:rsidRPr="004F4478" w:rsidRDefault="00860A11" w:rsidP="00892664">
      <w:pPr>
        <w:pStyle w:val="Hlistbullet2"/>
        <w:numPr>
          <w:ilvl w:val="1"/>
          <w:numId w:val="16"/>
        </w:numPr>
        <w:tabs>
          <w:tab w:val="left" w:pos="567"/>
        </w:tabs>
        <w:rPr>
          <w:highlight w:val="yellow"/>
        </w:rPr>
      </w:pPr>
      <w:r w:rsidRPr="004F4478">
        <w:rPr>
          <w:highlight w:val="yellow"/>
        </w:rPr>
        <w:t>critères d'évaluation de la qualité pour le rapport final,</w:t>
      </w:r>
    </w:p>
    <w:p w:rsidR="00860A11" w:rsidRPr="004F4478" w:rsidRDefault="00860A11" w:rsidP="00892664">
      <w:pPr>
        <w:pStyle w:val="Hlistbullet2"/>
        <w:numPr>
          <w:ilvl w:val="1"/>
          <w:numId w:val="16"/>
        </w:numPr>
        <w:tabs>
          <w:tab w:val="left" w:pos="567"/>
        </w:tabs>
        <w:rPr>
          <w:highlight w:val="yellow"/>
        </w:rPr>
      </w:pPr>
      <w:r>
        <w:rPr>
          <w:highlight w:val="yellow"/>
        </w:rPr>
        <w:t>e</w:t>
      </w:r>
      <w:r w:rsidRPr="004F4478">
        <w:rPr>
          <w:highlight w:val="yellow"/>
        </w:rPr>
        <w:t>tc.</w:t>
      </w:r>
    </w:p>
    <w:p w:rsidR="00860A11" w:rsidRPr="004F4478" w:rsidRDefault="00860A11" w:rsidP="00FC0A30">
      <w:pPr>
        <w:pStyle w:val="HStandard"/>
        <w:rPr>
          <w:highlight w:val="yellow"/>
        </w:rPr>
      </w:pPr>
      <w:r w:rsidRPr="004F4478">
        <w:rPr>
          <w:highlight w:val="yellow"/>
        </w:rPr>
        <w:t>Le cahier des charges doit réserver un espace aux évaluateurs afin qu’ils puissent suggérer une approche ou une conception et des méthodes d’évaluation, y compris les données et les informations nécessaires. La rédaction du cahier des charges est le point de départ de la structuration de l'évaluation, que l'évaluateur choisi continuera ensuite.</w:t>
      </w:r>
    </w:p>
    <w:p w:rsidR="00860A11" w:rsidRPr="004F4478" w:rsidRDefault="00860A11" w:rsidP="00FC0A30">
      <w:pPr>
        <w:pStyle w:val="HStandard"/>
        <w:rPr>
          <w:highlight w:val="yellow"/>
        </w:rPr>
      </w:pPr>
      <w:r w:rsidRPr="004F4478">
        <w:rPr>
          <w:highlight w:val="yellow"/>
        </w:rPr>
        <w:t xml:space="preserve">Il est important que l’autorité </w:t>
      </w:r>
      <w:r>
        <w:rPr>
          <w:highlight w:val="yellow"/>
        </w:rPr>
        <w:t>de démarrage</w:t>
      </w:r>
      <w:r w:rsidRPr="004F4478">
        <w:rPr>
          <w:highlight w:val="yellow"/>
        </w:rPr>
        <w:t xml:space="preserve"> (MA ou NSU) </w:t>
      </w:r>
      <w:r w:rsidRPr="004F4478">
        <w:rPr>
          <w:b/>
          <w:highlight w:val="yellow"/>
        </w:rPr>
        <w:t>réserve et garantisse</w:t>
      </w:r>
      <w:r w:rsidRPr="004F4478">
        <w:rPr>
          <w:highlight w:val="yellow"/>
        </w:rPr>
        <w:t xml:space="preserve"> des </w:t>
      </w:r>
      <w:r w:rsidRPr="004F4478">
        <w:rPr>
          <w:b/>
          <w:highlight w:val="yellow"/>
        </w:rPr>
        <w:t>ressources financières et humaines suffisantes et adéquates</w:t>
      </w:r>
      <w:r w:rsidRPr="004F4478">
        <w:rPr>
          <w:highlight w:val="yellow"/>
        </w:rPr>
        <w:t xml:space="preserve"> (en termes de capacités et de compétences du personnel et des évaluateurs de la MA, de données et d</w:t>
      </w:r>
      <w:r>
        <w:rPr>
          <w:highlight w:val="yellow"/>
        </w:rPr>
        <w:t>'</w:t>
      </w:r>
      <w:r w:rsidRPr="004F4478">
        <w:rPr>
          <w:highlight w:val="yellow"/>
        </w:rPr>
        <w:t xml:space="preserve">informations disponibles, etc.) pour procéder à l'évaluation. Il est important qu’elle attribue suffisamment de temps au processus d'évaluation et à ses différentes phases. Avant de lancer l'appel d'offres, il est également important d'établir des règles et des procédures claires pour que l'évaluateur et les organes de gestion puissent </w:t>
      </w:r>
      <w:r>
        <w:rPr>
          <w:highlight w:val="yellow"/>
        </w:rPr>
        <w:t>interagir</w:t>
      </w:r>
      <w:r w:rsidRPr="004F4478">
        <w:rPr>
          <w:highlight w:val="yellow"/>
        </w:rPr>
        <w:t xml:space="preserve">. </w:t>
      </w:r>
    </w:p>
    <w:p w:rsidR="00860A11" w:rsidRPr="004F4478" w:rsidRDefault="00860A11" w:rsidP="001413F0">
      <w:pPr>
        <w:pStyle w:val="HStandard"/>
        <w:rPr>
          <w:highlight w:val="yellow"/>
        </w:rPr>
      </w:pPr>
      <w:r w:rsidRPr="004F4478">
        <w:rPr>
          <w:highlight w:val="yellow"/>
        </w:rPr>
        <w:t xml:space="preserve">Enfin, l’autorité de </w:t>
      </w:r>
      <w:r>
        <w:rPr>
          <w:highlight w:val="yellow"/>
        </w:rPr>
        <w:t>démarrage</w:t>
      </w:r>
      <w:r w:rsidRPr="004F4478">
        <w:rPr>
          <w:highlight w:val="yellow"/>
        </w:rPr>
        <w:t xml:space="preserve"> (MA ou NSU) doit choisir </w:t>
      </w:r>
      <w:r w:rsidRPr="004F4478">
        <w:rPr>
          <w:b/>
          <w:highlight w:val="yellow"/>
        </w:rPr>
        <w:t>la procédure d'appel d'offres.</w:t>
      </w:r>
      <w:r w:rsidRPr="004F4478">
        <w:rPr>
          <w:highlight w:val="yellow"/>
        </w:rPr>
        <w:t xml:space="preserve"> Cela dépend de l'approche spécifique choisie pour engager un évaluateur (appel d’offres unique, mise en place d'un </w:t>
      </w:r>
      <w:r>
        <w:rPr>
          <w:highlight w:val="yellow"/>
        </w:rPr>
        <w:t xml:space="preserve">comité </w:t>
      </w:r>
      <w:r w:rsidRPr="004F4478">
        <w:rPr>
          <w:highlight w:val="yellow"/>
        </w:rPr>
        <w:t>cadre, contrats passés directement). Dans chaque cas, il est essentiel de respecter les procédures d'appel d'offres applicables. Avant l'appel d'offres, il est important de veiller à ce que tous les aspects juridiques liés à l'adjudication soient respectés. Si la MA a un contrat d'évaluation à long terme avec un évaluateur, l'évaluation du RRN doit être mentionnée dans l'offre initiale</w:t>
      </w:r>
      <w:r>
        <w:rPr>
          <w:highlight w:val="yellow"/>
        </w:rPr>
        <w:t xml:space="preserve"> et le contrat</w:t>
      </w:r>
      <w:r w:rsidRPr="004F4478">
        <w:rPr>
          <w:highlight w:val="yellow"/>
        </w:rPr>
        <w:t xml:space="preserve"> et cet évaluateur peut procéder à une évaluation sans un appel d'offres supplémentaire. Autrement, les procédures applicables aux marchés publics doivent être respectées.</w:t>
      </w:r>
    </w:p>
    <w:p w:rsidR="00860A11" w:rsidRPr="004F4478" w:rsidRDefault="00860A11" w:rsidP="00922CBE">
      <w:pPr>
        <w:pStyle w:val="HHeadingfigures"/>
        <w:rPr>
          <w:highlight w:val="yellow"/>
        </w:rPr>
      </w:pPr>
      <w:bookmarkStart w:id="147" w:name="_Toc445465131"/>
      <w:bookmarkStart w:id="148" w:name="_Toc451781934"/>
      <w:bookmarkStart w:id="149" w:name="_Toc463945762"/>
      <w:r w:rsidRPr="004F4478">
        <w:rPr>
          <w:highlight w:val="yellow"/>
        </w:rPr>
        <w:t>Responsabilités des parties prenantes dans la préparation de l’évaluation du RRN</w:t>
      </w:r>
      <w:bookmarkEnd w:id="147"/>
      <w:bookmarkEnd w:id="148"/>
      <w:bookmarkEnd w:id="149"/>
    </w:p>
    <w:tbl>
      <w:tblPr>
        <w:tblStyle w:val="TableGrid"/>
        <w:tblW w:w="906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746"/>
        <w:gridCol w:w="1742"/>
        <w:gridCol w:w="1555"/>
        <w:gridCol w:w="1484"/>
        <w:gridCol w:w="2036"/>
        <w:gridCol w:w="1499"/>
      </w:tblGrid>
      <w:tr w:rsidR="00860A11" w:rsidRPr="004F4478" w:rsidTr="001413F0">
        <w:trPr>
          <w:trHeight w:val="497"/>
        </w:trPr>
        <w:tc>
          <w:tcPr>
            <w:tcW w:w="746" w:type="dxa"/>
            <w:tcBorders>
              <w:top w:val="nil"/>
              <w:left w:val="nil"/>
              <w:bottom w:val="single" w:sz="4" w:space="0" w:color="000000" w:themeColor="text1"/>
            </w:tcBorders>
          </w:tcPr>
          <w:p w:rsidR="00860A11" w:rsidRPr="004F4478" w:rsidRDefault="00860A11" w:rsidP="001413F0">
            <w:pPr>
              <w:jc w:val="center"/>
              <w:rPr>
                <w:rFonts w:cs="Arial"/>
                <w:b/>
                <w:szCs w:val="18"/>
                <w:highlight w:val="yellow"/>
              </w:rPr>
            </w:pPr>
          </w:p>
        </w:tc>
        <w:tc>
          <w:tcPr>
            <w:tcW w:w="1742" w:type="dxa"/>
            <w:shd w:val="clear" w:color="auto" w:fill="E7E6E6" w:themeFill="background2"/>
          </w:tcPr>
          <w:p w:rsidR="00860A11" w:rsidRPr="004F4478" w:rsidRDefault="00860A11" w:rsidP="001413F0">
            <w:pPr>
              <w:jc w:val="center"/>
              <w:rPr>
                <w:rFonts w:cs="Arial"/>
                <w:b/>
                <w:color w:val="5B9BD5" w:themeColor="accent1"/>
                <w:szCs w:val="18"/>
                <w:highlight w:val="yellow"/>
              </w:rPr>
            </w:pPr>
            <w:r w:rsidRPr="004F4478">
              <w:rPr>
                <w:b/>
                <w:color w:val="5B9BD5" w:themeColor="accent1"/>
                <w:highlight w:val="yellow"/>
              </w:rPr>
              <w:t>Actions</w:t>
            </w:r>
          </w:p>
        </w:tc>
        <w:tc>
          <w:tcPr>
            <w:tcW w:w="6574" w:type="dxa"/>
            <w:gridSpan w:val="4"/>
            <w:shd w:val="clear" w:color="auto" w:fill="E7E6E6" w:themeFill="background2"/>
          </w:tcPr>
          <w:p w:rsidR="00860A11" w:rsidRPr="004F4478" w:rsidRDefault="00860A11" w:rsidP="001413F0">
            <w:pPr>
              <w:jc w:val="center"/>
              <w:rPr>
                <w:rFonts w:cs="Arial"/>
                <w:b/>
                <w:i/>
                <w:color w:val="5B9BD5" w:themeColor="accent1"/>
                <w:szCs w:val="18"/>
                <w:highlight w:val="yellow"/>
              </w:rPr>
            </w:pPr>
            <w:r w:rsidRPr="004F4478">
              <w:rPr>
                <w:b/>
                <w:color w:val="5B9BD5" w:themeColor="accent1"/>
                <w:highlight w:val="yellow"/>
              </w:rPr>
              <w:t>Acteurs</w:t>
            </w:r>
          </w:p>
        </w:tc>
      </w:tr>
      <w:tr w:rsidR="00860A11" w:rsidRPr="004F4478" w:rsidTr="001413F0">
        <w:trPr>
          <w:cantSplit/>
          <w:trHeight w:val="1134"/>
        </w:trPr>
        <w:tc>
          <w:tcPr>
            <w:tcW w:w="746" w:type="dxa"/>
            <w:shd w:val="clear" w:color="auto" w:fill="E7E6E6" w:themeFill="background2"/>
            <w:textDirection w:val="tbRl"/>
          </w:tcPr>
          <w:p w:rsidR="00860A11" w:rsidRPr="004F4478" w:rsidRDefault="00860A11" w:rsidP="001413F0">
            <w:pPr>
              <w:jc w:val="center"/>
              <w:rPr>
                <w:rFonts w:cs="Arial"/>
                <w:b/>
                <w:color w:val="5B9BD5" w:themeColor="accent1"/>
                <w:szCs w:val="18"/>
                <w:highlight w:val="yellow"/>
              </w:rPr>
            </w:pPr>
            <w:r w:rsidRPr="004F4478">
              <w:rPr>
                <w:b/>
                <w:color w:val="5B9BD5" w:themeColor="accent1"/>
                <w:highlight w:val="yellow"/>
              </w:rPr>
              <w:t>Phase</w:t>
            </w:r>
          </w:p>
        </w:tc>
        <w:tc>
          <w:tcPr>
            <w:tcW w:w="1742" w:type="dxa"/>
          </w:tcPr>
          <w:p w:rsidR="00860A11" w:rsidRPr="004F4478" w:rsidRDefault="00860A11" w:rsidP="001413F0">
            <w:pPr>
              <w:rPr>
                <w:rFonts w:cs="Arial"/>
                <w:b/>
                <w:color w:val="E7E6E6" w:themeColor="background2"/>
                <w:szCs w:val="18"/>
                <w:highlight w:val="yellow"/>
              </w:rPr>
            </w:pPr>
            <w:r w:rsidRPr="004F4478">
              <w:rPr>
                <w:b/>
                <w:color w:val="E7E6E6" w:themeColor="background2"/>
                <w:highlight w:val="yellow"/>
              </w:rPr>
              <w:t>Étape</w:t>
            </w:r>
          </w:p>
        </w:tc>
        <w:tc>
          <w:tcPr>
            <w:tcW w:w="1555" w:type="dxa"/>
          </w:tcPr>
          <w:p w:rsidR="00860A11" w:rsidRPr="004F4478" w:rsidRDefault="00860A11" w:rsidP="001413F0">
            <w:pPr>
              <w:rPr>
                <w:rFonts w:cs="Arial"/>
                <w:i/>
                <w:szCs w:val="18"/>
                <w:highlight w:val="yellow"/>
              </w:rPr>
            </w:pPr>
            <w:r w:rsidRPr="004F4478">
              <w:rPr>
                <w:i/>
                <w:highlight w:val="yellow"/>
              </w:rPr>
              <w:t>MA</w:t>
            </w:r>
          </w:p>
        </w:tc>
        <w:tc>
          <w:tcPr>
            <w:tcW w:w="1484" w:type="dxa"/>
          </w:tcPr>
          <w:p w:rsidR="00860A11" w:rsidRPr="004F4478" w:rsidRDefault="00860A11" w:rsidP="001413F0">
            <w:pPr>
              <w:rPr>
                <w:rFonts w:cs="Arial"/>
                <w:i/>
                <w:szCs w:val="18"/>
                <w:highlight w:val="yellow"/>
              </w:rPr>
            </w:pPr>
            <w:r w:rsidRPr="004F4478">
              <w:rPr>
                <w:i/>
                <w:highlight w:val="yellow"/>
              </w:rPr>
              <w:t>autres unités MA</w:t>
            </w:r>
          </w:p>
        </w:tc>
        <w:tc>
          <w:tcPr>
            <w:tcW w:w="2036" w:type="dxa"/>
          </w:tcPr>
          <w:p w:rsidR="00860A11" w:rsidRPr="004F4478" w:rsidRDefault="00860A11" w:rsidP="001413F0">
            <w:pPr>
              <w:rPr>
                <w:rFonts w:cs="Arial"/>
                <w:i/>
                <w:szCs w:val="18"/>
                <w:highlight w:val="yellow"/>
              </w:rPr>
            </w:pPr>
            <w:r w:rsidRPr="004F4478">
              <w:rPr>
                <w:i/>
                <w:highlight w:val="yellow"/>
              </w:rPr>
              <w:t>NSU</w:t>
            </w:r>
          </w:p>
        </w:tc>
        <w:tc>
          <w:tcPr>
            <w:tcW w:w="1499" w:type="dxa"/>
          </w:tcPr>
          <w:p w:rsidR="00860A11" w:rsidRPr="004F4478" w:rsidRDefault="00860A11" w:rsidP="001413F0">
            <w:pPr>
              <w:rPr>
                <w:rFonts w:cs="Arial"/>
                <w:i/>
                <w:szCs w:val="18"/>
                <w:highlight w:val="yellow"/>
              </w:rPr>
            </w:pPr>
            <w:r w:rsidRPr="004F4478">
              <w:rPr>
                <w:i/>
                <w:highlight w:val="yellow"/>
              </w:rPr>
              <w:t>Autres</w:t>
            </w:r>
          </w:p>
        </w:tc>
      </w:tr>
      <w:tr w:rsidR="00860A11" w:rsidRPr="004F4478" w:rsidTr="001413F0">
        <w:tc>
          <w:tcPr>
            <w:tcW w:w="746" w:type="dxa"/>
            <w:vMerge w:val="restart"/>
            <w:shd w:val="clear" w:color="auto" w:fill="E7E6E6" w:themeFill="background2"/>
            <w:textDirection w:val="tbRl"/>
          </w:tcPr>
          <w:p w:rsidR="00860A11" w:rsidRPr="004F4478" w:rsidRDefault="00860A11" w:rsidP="001413F0">
            <w:pPr>
              <w:jc w:val="center"/>
              <w:rPr>
                <w:rFonts w:cs="Arial"/>
                <w:b/>
                <w:color w:val="5B9BD5" w:themeColor="accent1"/>
                <w:szCs w:val="18"/>
                <w:highlight w:val="yellow"/>
              </w:rPr>
            </w:pPr>
            <w:r w:rsidRPr="004F4478">
              <w:rPr>
                <w:b/>
                <w:color w:val="5B9BD5" w:themeColor="accent1"/>
                <w:highlight w:val="yellow"/>
              </w:rPr>
              <w:t>Préparation</w:t>
            </w:r>
          </w:p>
        </w:tc>
        <w:tc>
          <w:tcPr>
            <w:tcW w:w="1742" w:type="dxa"/>
          </w:tcPr>
          <w:p w:rsidR="00860A11" w:rsidRPr="004F4478" w:rsidRDefault="00860A11" w:rsidP="001413F0">
            <w:pPr>
              <w:rPr>
                <w:rFonts w:cs="Arial"/>
                <w:b/>
                <w:color w:val="E7E6E6" w:themeColor="background2"/>
                <w:szCs w:val="18"/>
                <w:highlight w:val="yellow"/>
              </w:rPr>
            </w:pPr>
            <w:r w:rsidRPr="004F4478">
              <w:rPr>
                <w:b/>
                <w:color w:val="E7E6E6" w:themeColor="background2"/>
                <w:highlight w:val="yellow"/>
              </w:rPr>
              <w:t>Construction IL</w:t>
            </w:r>
          </w:p>
        </w:tc>
        <w:tc>
          <w:tcPr>
            <w:tcW w:w="1555" w:type="dxa"/>
          </w:tcPr>
          <w:p w:rsidR="00860A11" w:rsidRPr="004F4478" w:rsidRDefault="00860A11" w:rsidP="001413F0">
            <w:pPr>
              <w:rPr>
                <w:rFonts w:cs="Arial"/>
                <w:szCs w:val="18"/>
                <w:highlight w:val="yellow"/>
              </w:rPr>
            </w:pPr>
            <w:r w:rsidRPr="004F4478">
              <w:rPr>
                <w:highlight w:val="yellow"/>
              </w:rPr>
              <w:t>Responsable / participe</w:t>
            </w:r>
          </w:p>
        </w:tc>
        <w:tc>
          <w:tcPr>
            <w:tcW w:w="1484" w:type="dxa"/>
          </w:tcPr>
          <w:p w:rsidR="00860A11" w:rsidRPr="004F4478" w:rsidRDefault="00860A11" w:rsidP="001413F0">
            <w:pPr>
              <w:rPr>
                <w:rFonts w:cs="Arial"/>
                <w:szCs w:val="18"/>
                <w:highlight w:val="yellow"/>
              </w:rPr>
            </w:pPr>
            <w:r w:rsidRPr="004F4478">
              <w:rPr>
                <w:highlight w:val="yellow"/>
              </w:rPr>
              <w:t>Si unité d'évaluation, peut participer</w:t>
            </w:r>
          </w:p>
        </w:tc>
        <w:tc>
          <w:tcPr>
            <w:tcW w:w="2036" w:type="dxa"/>
          </w:tcPr>
          <w:p w:rsidR="00860A11" w:rsidRPr="004F4478" w:rsidRDefault="00860A11" w:rsidP="001413F0">
            <w:pPr>
              <w:rPr>
                <w:rFonts w:cs="Arial"/>
                <w:szCs w:val="18"/>
                <w:highlight w:val="yellow"/>
              </w:rPr>
            </w:pPr>
            <w:r w:rsidRPr="004F4478">
              <w:rPr>
                <w:highlight w:val="yellow"/>
              </w:rPr>
              <w:t>Participe / responsable</w:t>
            </w:r>
          </w:p>
        </w:tc>
        <w:tc>
          <w:tcPr>
            <w:tcW w:w="1499" w:type="dxa"/>
          </w:tcPr>
          <w:p w:rsidR="00860A11" w:rsidRPr="004F4478" w:rsidRDefault="00860A11" w:rsidP="001413F0">
            <w:pPr>
              <w:rPr>
                <w:rFonts w:cs="Arial"/>
                <w:szCs w:val="18"/>
                <w:highlight w:val="yellow"/>
              </w:rPr>
            </w:pPr>
          </w:p>
        </w:tc>
      </w:tr>
      <w:tr w:rsidR="00860A11" w:rsidRPr="004F4478" w:rsidTr="001413F0">
        <w:tc>
          <w:tcPr>
            <w:tcW w:w="746" w:type="dxa"/>
            <w:vMerge/>
            <w:shd w:val="clear" w:color="auto" w:fill="E7E6E6" w:themeFill="background2"/>
            <w:textDirection w:val="tbRl"/>
          </w:tcPr>
          <w:p w:rsidR="00860A11" w:rsidRPr="004F4478" w:rsidRDefault="00860A11" w:rsidP="00FC0A30">
            <w:pPr>
              <w:rPr>
                <w:rFonts w:cs="Arial"/>
                <w:b/>
                <w:szCs w:val="18"/>
                <w:highlight w:val="yellow"/>
              </w:rPr>
            </w:pPr>
          </w:p>
        </w:tc>
        <w:tc>
          <w:tcPr>
            <w:tcW w:w="1742" w:type="dxa"/>
          </w:tcPr>
          <w:p w:rsidR="00860A11" w:rsidRPr="004F4478" w:rsidRDefault="00860A11" w:rsidP="001413F0">
            <w:pPr>
              <w:rPr>
                <w:rFonts w:cs="Arial"/>
                <w:b/>
                <w:color w:val="E7E6E6" w:themeColor="background2"/>
                <w:szCs w:val="18"/>
                <w:highlight w:val="yellow"/>
              </w:rPr>
            </w:pPr>
            <w:r w:rsidRPr="004F4478">
              <w:rPr>
                <w:b/>
                <w:color w:val="E7E6E6" w:themeColor="background2"/>
                <w:highlight w:val="yellow"/>
              </w:rPr>
              <w:t xml:space="preserve"> Questionnaires d’évaluation (EQ) et indicateurs</w:t>
            </w:r>
          </w:p>
        </w:tc>
        <w:tc>
          <w:tcPr>
            <w:tcW w:w="1555" w:type="dxa"/>
          </w:tcPr>
          <w:p w:rsidR="00860A11" w:rsidRPr="004F4478" w:rsidRDefault="00860A11" w:rsidP="001413F0">
            <w:pPr>
              <w:rPr>
                <w:rFonts w:cs="Arial"/>
                <w:szCs w:val="18"/>
                <w:highlight w:val="yellow"/>
              </w:rPr>
            </w:pPr>
            <w:r w:rsidRPr="004F4478">
              <w:rPr>
                <w:highlight w:val="yellow"/>
              </w:rPr>
              <w:t>Responsable / participe</w:t>
            </w:r>
          </w:p>
        </w:tc>
        <w:tc>
          <w:tcPr>
            <w:tcW w:w="1484" w:type="dxa"/>
          </w:tcPr>
          <w:p w:rsidR="00860A11" w:rsidRPr="004F4478" w:rsidRDefault="00860A11" w:rsidP="001413F0">
            <w:pPr>
              <w:rPr>
                <w:rFonts w:cs="Arial"/>
                <w:szCs w:val="18"/>
                <w:highlight w:val="yellow"/>
              </w:rPr>
            </w:pPr>
            <w:r w:rsidRPr="004F4478">
              <w:rPr>
                <w:highlight w:val="yellow"/>
              </w:rPr>
              <w:t>Si unité d'évaluation, peut participer</w:t>
            </w:r>
          </w:p>
        </w:tc>
        <w:tc>
          <w:tcPr>
            <w:tcW w:w="2036" w:type="dxa"/>
          </w:tcPr>
          <w:p w:rsidR="00860A11" w:rsidRPr="004F4478" w:rsidRDefault="00860A11" w:rsidP="001413F0">
            <w:pPr>
              <w:rPr>
                <w:rFonts w:cs="Arial"/>
                <w:szCs w:val="18"/>
                <w:highlight w:val="yellow"/>
              </w:rPr>
            </w:pPr>
            <w:r w:rsidRPr="004F4478">
              <w:rPr>
                <w:highlight w:val="yellow"/>
              </w:rPr>
              <w:t>Participe / responsable</w:t>
            </w:r>
          </w:p>
        </w:tc>
        <w:tc>
          <w:tcPr>
            <w:tcW w:w="1499" w:type="dxa"/>
          </w:tcPr>
          <w:p w:rsidR="00860A11" w:rsidRPr="004F4478" w:rsidRDefault="00860A11" w:rsidP="001413F0">
            <w:pPr>
              <w:rPr>
                <w:rFonts w:cs="Arial"/>
                <w:szCs w:val="18"/>
                <w:highlight w:val="yellow"/>
              </w:rPr>
            </w:pPr>
            <w:r w:rsidRPr="004F4478">
              <w:rPr>
                <w:highlight w:val="yellow"/>
              </w:rPr>
              <w:t xml:space="preserve">SG </w:t>
            </w:r>
            <w:r>
              <w:rPr>
                <w:highlight w:val="yellow"/>
              </w:rPr>
              <w:t>p</w:t>
            </w:r>
            <w:r w:rsidRPr="004F4478">
              <w:rPr>
                <w:highlight w:val="yellow"/>
              </w:rPr>
              <w:t>ossible participe</w:t>
            </w:r>
          </w:p>
        </w:tc>
      </w:tr>
      <w:tr w:rsidR="00860A11" w:rsidRPr="004F4478" w:rsidTr="001413F0">
        <w:tc>
          <w:tcPr>
            <w:tcW w:w="746" w:type="dxa"/>
            <w:vMerge/>
            <w:shd w:val="clear" w:color="auto" w:fill="E7E6E6" w:themeFill="background2"/>
            <w:textDirection w:val="tbRl"/>
          </w:tcPr>
          <w:p w:rsidR="00860A11" w:rsidRPr="004F4478" w:rsidRDefault="00860A11" w:rsidP="00FC0A30">
            <w:pPr>
              <w:rPr>
                <w:rFonts w:cs="Arial"/>
                <w:b/>
                <w:szCs w:val="18"/>
                <w:highlight w:val="yellow"/>
              </w:rPr>
            </w:pPr>
          </w:p>
        </w:tc>
        <w:tc>
          <w:tcPr>
            <w:tcW w:w="1742" w:type="dxa"/>
          </w:tcPr>
          <w:p w:rsidR="00860A11" w:rsidRPr="004F4478" w:rsidRDefault="00860A11" w:rsidP="001413F0">
            <w:pPr>
              <w:rPr>
                <w:rFonts w:cs="Arial"/>
                <w:b/>
                <w:color w:val="E7E6E6" w:themeColor="background2"/>
                <w:szCs w:val="18"/>
                <w:highlight w:val="yellow"/>
              </w:rPr>
            </w:pPr>
            <w:r w:rsidRPr="004F4478">
              <w:rPr>
                <w:b/>
                <w:color w:val="E7E6E6" w:themeColor="background2"/>
                <w:highlight w:val="yellow"/>
              </w:rPr>
              <w:t>Démarche de l'évaluation</w:t>
            </w:r>
          </w:p>
        </w:tc>
        <w:tc>
          <w:tcPr>
            <w:tcW w:w="1555" w:type="dxa"/>
          </w:tcPr>
          <w:p w:rsidR="00860A11" w:rsidRPr="004F4478" w:rsidRDefault="00860A11" w:rsidP="001413F0">
            <w:pPr>
              <w:rPr>
                <w:rFonts w:cs="Arial"/>
                <w:szCs w:val="18"/>
                <w:highlight w:val="yellow"/>
              </w:rPr>
            </w:pPr>
            <w:r w:rsidRPr="004F4478">
              <w:rPr>
                <w:highlight w:val="yellow"/>
              </w:rPr>
              <w:t>Responsable / participe</w:t>
            </w:r>
          </w:p>
        </w:tc>
        <w:tc>
          <w:tcPr>
            <w:tcW w:w="1484" w:type="dxa"/>
          </w:tcPr>
          <w:p w:rsidR="00860A11" w:rsidRPr="004F4478" w:rsidRDefault="00860A11" w:rsidP="001413F0">
            <w:pPr>
              <w:rPr>
                <w:rFonts w:cs="Arial"/>
                <w:szCs w:val="18"/>
                <w:highlight w:val="yellow"/>
              </w:rPr>
            </w:pPr>
            <w:r w:rsidRPr="004F4478">
              <w:rPr>
                <w:highlight w:val="yellow"/>
              </w:rPr>
              <w:t>Si unité d'évaluation, peut participer</w:t>
            </w:r>
          </w:p>
        </w:tc>
        <w:tc>
          <w:tcPr>
            <w:tcW w:w="2036" w:type="dxa"/>
          </w:tcPr>
          <w:p w:rsidR="00860A11" w:rsidRPr="004F4478" w:rsidRDefault="00860A11" w:rsidP="001413F0">
            <w:pPr>
              <w:rPr>
                <w:rFonts w:cs="Arial"/>
                <w:szCs w:val="18"/>
                <w:highlight w:val="yellow"/>
              </w:rPr>
            </w:pPr>
            <w:r w:rsidRPr="004F4478">
              <w:rPr>
                <w:highlight w:val="yellow"/>
              </w:rPr>
              <w:t>Participe / responsable</w:t>
            </w:r>
          </w:p>
        </w:tc>
        <w:tc>
          <w:tcPr>
            <w:tcW w:w="1499" w:type="dxa"/>
          </w:tcPr>
          <w:p w:rsidR="00860A11" w:rsidRPr="004F4478" w:rsidRDefault="00860A11" w:rsidP="001413F0">
            <w:pPr>
              <w:rPr>
                <w:rFonts w:cs="Arial"/>
                <w:szCs w:val="18"/>
                <w:highlight w:val="yellow"/>
              </w:rPr>
            </w:pPr>
            <w:r w:rsidRPr="004F4478">
              <w:rPr>
                <w:highlight w:val="yellow"/>
              </w:rPr>
              <w:t xml:space="preserve">SG </w:t>
            </w:r>
            <w:r>
              <w:rPr>
                <w:highlight w:val="yellow"/>
              </w:rPr>
              <w:t>p</w:t>
            </w:r>
            <w:r w:rsidRPr="004F4478">
              <w:rPr>
                <w:highlight w:val="yellow"/>
              </w:rPr>
              <w:t>ossible participe</w:t>
            </w:r>
          </w:p>
        </w:tc>
      </w:tr>
      <w:tr w:rsidR="00860A11" w:rsidRPr="004F4478" w:rsidTr="001413F0">
        <w:tc>
          <w:tcPr>
            <w:tcW w:w="746" w:type="dxa"/>
            <w:vMerge/>
            <w:shd w:val="clear" w:color="auto" w:fill="E7E6E6" w:themeFill="background2"/>
            <w:textDirection w:val="tbRl"/>
          </w:tcPr>
          <w:p w:rsidR="00860A11" w:rsidRPr="004F4478" w:rsidRDefault="00860A11" w:rsidP="00FC0A30">
            <w:pPr>
              <w:rPr>
                <w:rFonts w:cs="Arial"/>
                <w:b/>
                <w:szCs w:val="18"/>
                <w:highlight w:val="yellow"/>
              </w:rPr>
            </w:pPr>
          </w:p>
        </w:tc>
        <w:tc>
          <w:tcPr>
            <w:tcW w:w="1742" w:type="dxa"/>
          </w:tcPr>
          <w:p w:rsidR="00860A11" w:rsidRPr="004F4478" w:rsidRDefault="00860A11" w:rsidP="001413F0">
            <w:pPr>
              <w:rPr>
                <w:rFonts w:cs="Arial"/>
                <w:b/>
                <w:color w:val="E7E6E6" w:themeColor="background2"/>
                <w:szCs w:val="18"/>
                <w:highlight w:val="yellow"/>
              </w:rPr>
            </w:pPr>
            <w:r w:rsidRPr="004F4478">
              <w:rPr>
                <w:b/>
                <w:color w:val="E7E6E6" w:themeColor="background2"/>
                <w:highlight w:val="yellow"/>
              </w:rPr>
              <w:t>Sélection des sources d’infos &amp; de données</w:t>
            </w:r>
          </w:p>
        </w:tc>
        <w:tc>
          <w:tcPr>
            <w:tcW w:w="1555" w:type="dxa"/>
          </w:tcPr>
          <w:p w:rsidR="00860A11" w:rsidRPr="004F4478" w:rsidRDefault="00860A11" w:rsidP="001413F0">
            <w:pPr>
              <w:rPr>
                <w:rFonts w:cs="Arial"/>
                <w:szCs w:val="18"/>
                <w:highlight w:val="yellow"/>
              </w:rPr>
            </w:pPr>
            <w:r w:rsidRPr="004F4478">
              <w:rPr>
                <w:highlight w:val="yellow"/>
              </w:rPr>
              <w:t>Responsable / participe</w:t>
            </w:r>
          </w:p>
        </w:tc>
        <w:tc>
          <w:tcPr>
            <w:tcW w:w="1484" w:type="dxa"/>
          </w:tcPr>
          <w:p w:rsidR="00860A11" w:rsidRPr="004F4478" w:rsidRDefault="00860A11" w:rsidP="001413F0">
            <w:pPr>
              <w:rPr>
                <w:rFonts w:cs="Arial"/>
                <w:szCs w:val="18"/>
                <w:highlight w:val="yellow"/>
              </w:rPr>
            </w:pPr>
            <w:r w:rsidRPr="004F4478">
              <w:rPr>
                <w:highlight w:val="yellow"/>
              </w:rPr>
              <w:t>Si unité d'évaluation, peut participer</w:t>
            </w:r>
          </w:p>
        </w:tc>
        <w:tc>
          <w:tcPr>
            <w:tcW w:w="2036" w:type="dxa"/>
          </w:tcPr>
          <w:p w:rsidR="00860A11" w:rsidRPr="004F4478" w:rsidRDefault="00860A11" w:rsidP="00B9155E">
            <w:pPr>
              <w:rPr>
                <w:rFonts w:cs="Arial"/>
                <w:szCs w:val="18"/>
                <w:highlight w:val="yellow"/>
              </w:rPr>
            </w:pPr>
            <w:r w:rsidRPr="004F4478">
              <w:rPr>
                <w:highlight w:val="yellow"/>
              </w:rPr>
              <w:t xml:space="preserve">Participe / responsable, </w:t>
            </w:r>
            <w:r>
              <w:rPr>
                <w:highlight w:val="yellow"/>
              </w:rPr>
              <w:t>analyse</w:t>
            </w:r>
            <w:r w:rsidRPr="004F4478">
              <w:rPr>
                <w:highlight w:val="yellow"/>
              </w:rPr>
              <w:t xml:space="preserve"> les données et  infos de la NSU</w:t>
            </w:r>
          </w:p>
        </w:tc>
        <w:tc>
          <w:tcPr>
            <w:tcW w:w="1499" w:type="dxa"/>
          </w:tcPr>
          <w:p w:rsidR="00860A11" w:rsidRPr="004F4478" w:rsidRDefault="00860A11" w:rsidP="001413F0">
            <w:pPr>
              <w:rPr>
                <w:rFonts w:cs="Arial"/>
                <w:szCs w:val="18"/>
                <w:highlight w:val="yellow"/>
              </w:rPr>
            </w:pPr>
            <w:r w:rsidRPr="004F4478">
              <w:rPr>
                <w:highlight w:val="yellow"/>
              </w:rPr>
              <w:t>L</w:t>
            </w:r>
            <w:r>
              <w:rPr>
                <w:highlight w:val="yellow"/>
              </w:rPr>
              <w:t>'</w:t>
            </w:r>
            <w:r w:rsidRPr="004F4478">
              <w:rPr>
                <w:highlight w:val="yellow"/>
              </w:rPr>
              <w:t>A</w:t>
            </w:r>
            <w:r>
              <w:rPr>
                <w:highlight w:val="yellow"/>
              </w:rPr>
              <w:t>P</w:t>
            </w:r>
            <w:r w:rsidRPr="004F4478">
              <w:rPr>
                <w:highlight w:val="yellow"/>
              </w:rPr>
              <w:t xml:space="preserve"> fournit les données</w:t>
            </w:r>
          </w:p>
        </w:tc>
      </w:tr>
      <w:tr w:rsidR="00860A11" w:rsidRPr="004F4478" w:rsidTr="001413F0">
        <w:tc>
          <w:tcPr>
            <w:tcW w:w="746" w:type="dxa"/>
            <w:vMerge/>
            <w:shd w:val="clear" w:color="auto" w:fill="E7E6E6" w:themeFill="background2"/>
            <w:textDirection w:val="tbRl"/>
          </w:tcPr>
          <w:p w:rsidR="00860A11" w:rsidRPr="004F4478" w:rsidRDefault="00860A11" w:rsidP="00FC0A30">
            <w:pPr>
              <w:rPr>
                <w:rFonts w:cs="Arial"/>
                <w:b/>
                <w:szCs w:val="18"/>
                <w:highlight w:val="yellow"/>
              </w:rPr>
            </w:pPr>
          </w:p>
        </w:tc>
        <w:tc>
          <w:tcPr>
            <w:tcW w:w="1742" w:type="dxa"/>
          </w:tcPr>
          <w:p w:rsidR="00860A11" w:rsidRPr="004F4478" w:rsidRDefault="00860A11" w:rsidP="001413F0">
            <w:pPr>
              <w:rPr>
                <w:rFonts w:cs="Arial"/>
                <w:b/>
                <w:color w:val="E7E6E6" w:themeColor="background2"/>
                <w:szCs w:val="18"/>
                <w:highlight w:val="yellow"/>
              </w:rPr>
            </w:pPr>
            <w:r w:rsidRPr="004F4478">
              <w:rPr>
                <w:b/>
                <w:color w:val="E7E6E6" w:themeColor="background2"/>
                <w:highlight w:val="yellow"/>
              </w:rPr>
              <w:t>Appels d'offres et choix de l’évaluateur</w:t>
            </w:r>
          </w:p>
        </w:tc>
        <w:tc>
          <w:tcPr>
            <w:tcW w:w="1555" w:type="dxa"/>
          </w:tcPr>
          <w:p w:rsidR="00860A11" w:rsidRPr="004F4478" w:rsidRDefault="00860A11" w:rsidP="001413F0">
            <w:pPr>
              <w:rPr>
                <w:rFonts w:cs="Arial"/>
                <w:szCs w:val="18"/>
                <w:highlight w:val="yellow"/>
              </w:rPr>
            </w:pPr>
            <w:r w:rsidRPr="004F4478">
              <w:rPr>
                <w:highlight w:val="yellow"/>
              </w:rPr>
              <w:t>Responsable / participe</w:t>
            </w:r>
          </w:p>
        </w:tc>
        <w:tc>
          <w:tcPr>
            <w:tcW w:w="1484" w:type="dxa"/>
          </w:tcPr>
          <w:p w:rsidR="00860A11" w:rsidRPr="004F4478" w:rsidRDefault="00860A11" w:rsidP="001413F0">
            <w:pPr>
              <w:rPr>
                <w:rFonts w:cs="Arial"/>
                <w:szCs w:val="18"/>
                <w:highlight w:val="yellow"/>
              </w:rPr>
            </w:pPr>
            <w:r w:rsidRPr="004F4478">
              <w:rPr>
                <w:highlight w:val="yellow"/>
              </w:rPr>
              <w:t>Si unité d'évaluation, peut participer</w:t>
            </w:r>
          </w:p>
        </w:tc>
        <w:tc>
          <w:tcPr>
            <w:tcW w:w="2036" w:type="dxa"/>
          </w:tcPr>
          <w:p w:rsidR="00860A11" w:rsidRPr="004F4478" w:rsidRDefault="00860A11" w:rsidP="001413F0">
            <w:pPr>
              <w:rPr>
                <w:rFonts w:cs="Arial"/>
                <w:szCs w:val="18"/>
                <w:highlight w:val="yellow"/>
              </w:rPr>
            </w:pPr>
            <w:r w:rsidRPr="004F4478">
              <w:rPr>
                <w:highlight w:val="yellow"/>
              </w:rPr>
              <w:t>Participe / responsable</w:t>
            </w:r>
          </w:p>
        </w:tc>
        <w:tc>
          <w:tcPr>
            <w:tcW w:w="1499" w:type="dxa"/>
          </w:tcPr>
          <w:p w:rsidR="00860A11" w:rsidRPr="004F4478" w:rsidRDefault="00860A11" w:rsidP="001413F0">
            <w:pPr>
              <w:rPr>
                <w:rFonts w:cs="Arial"/>
                <w:szCs w:val="18"/>
                <w:highlight w:val="yellow"/>
              </w:rPr>
            </w:pPr>
            <w:r w:rsidRPr="004F4478">
              <w:rPr>
                <w:highlight w:val="yellow"/>
              </w:rPr>
              <w:t>Soutien possible du SG</w:t>
            </w:r>
          </w:p>
        </w:tc>
      </w:tr>
    </w:tbl>
    <w:p w:rsidR="00860A11" w:rsidRPr="004F4478" w:rsidRDefault="00860A11" w:rsidP="001B4E97">
      <w:pPr>
        <w:pStyle w:val="HHeading3"/>
        <w:rPr>
          <w:highlight w:val="yellow"/>
        </w:rPr>
      </w:pPr>
      <w:r w:rsidRPr="004F4478">
        <w:rPr>
          <w:highlight w:val="yellow"/>
        </w:rPr>
        <w:lastRenderedPageBreak/>
        <w:t xml:space="preserve"> </w:t>
      </w:r>
      <w:bookmarkStart w:id="150" w:name="_Toc453079761"/>
      <w:bookmarkStart w:id="151" w:name="_Toc463945868"/>
      <w:r w:rsidRPr="004F4478">
        <w:rPr>
          <w:highlight w:val="yellow"/>
        </w:rPr>
        <w:t>Mise en œuvre de l’évaluation</w:t>
      </w:r>
      <w:bookmarkEnd w:id="150"/>
      <w:bookmarkEnd w:id="151"/>
    </w:p>
    <w:p w:rsidR="00860A11" w:rsidRPr="004F4478" w:rsidRDefault="00860A11" w:rsidP="006D3475">
      <w:pPr>
        <w:pStyle w:val="HHeading5"/>
        <w:rPr>
          <w:highlight w:val="yellow"/>
        </w:rPr>
      </w:pPr>
      <w:r w:rsidRPr="004F4478">
        <w:rPr>
          <w:highlight w:val="yellow"/>
        </w:rPr>
        <w:t>Étape 1 - Conduite de l'évaluation</w:t>
      </w:r>
    </w:p>
    <w:p w:rsidR="00860A11" w:rsidRPr="004F4478" w:rsidRDefault="00860A11" w:rsidP="001B4E97">
      <w:pPr>
        <w:pStyle w:val="HStandard"/>
        <w:rPr>
          <w:highlight w:val="yellow"/>
        </w:rPr>
      </w:pPr>
      <w:r w:rsidRPr="004F4478">
        <w:rPr>
          <w:highlight w:val="yellow"/>
        </w:rPr>
        <w:t xml:space="preserve">Après </w:t>
      </w:r>
      <w:r>
        <w:rPr>
          <w:highlight w:val="yellow"/>
        </w:rPr>
        <w:t>la procédure</w:t>
      </w:r>
      <w:r w:rsidRPr="004F4478">
        <w:rPr>
          <w:highlight w:val="yellow"/>
        </w:rPr>
        <w:t xml:space="preserve"> d'appel d'offres, le contrat d'évaluation est attribué et l'évaluateur peut commencer à travailler. Même si c’est l'évaluateur qui fait la plupart du travail à ce stade, l’autorité de </w:t>
      </w:r>
      <w:r>
        <w:rPr>
          <w:highlight w:val="yellow"/>
        </w:rPr>
        <w:t>démarrage</w:t>
      </w:r>
      <w:r w:rsidRPr="004F4478">
        <w:rPr>
          <w:highlight w:val="yellow"/>
        </w:rPr>
        <w:t xml:space="preserve"> (MA ou NSU) et le groupe de pilotage de l'évaluation - s’il a été mis en place - devraient aider l'évaluateur (par exemple en lui facilitant l'accès à toutes les données et informations existantes, en informant les parties prenantes de la nomination d’un évaluateur, en invitant l'évaluateur aux réunions importantes) afin d'assurer une évaluation de grande qualité dans toutes ses phases, et ce par le maintien d’une communication ouverte et régulière, en commentant les rapports, et en facilitant l'accès aux données et aux personnes interrogées. </w:t>
      </w:r>
    </w:p>
    <w:p w:rsidR="00860A11" w:rsidRPr="004F4478" w:rsidRDefault="00860A11" w:rsidP="001B4E97">
      <w:pPr>
        <w:pStyle w:val="HStandard"/>
        <w:rPr>
          <w:highlight w:val="yellow"/>
        </w:rPr>
      </w:pPr>
      <w:r w:rsidRPr="004F4478">
        <w:rPr>
          <w:highlight w:val="yellow"/>
        </w:rPr>
        <w:t>Les MA, A</w:t>
      </w:r>
      <w:r>
        <w:rPr>
          <w:highlight w:val="yellow"/>
        </w:rPr>
        <w:t>P</w:t>
      </w:r>
      <w:r w:rsidRPr="004F4478">
        <w:rPr>
          <w:highlight w:val="yellow"/>
        </w:rPr>
        <w:t xml:space="preserve"> et instances intermédiaires, les GAL et les autres membres et bénéficiaires du réseau jouent un rôle important dans la phase d'observation, car ils permettent à l’évaluateur d’accéder aux informations et aux données. À cet égard, il est important de vous assurer que les formulaires de demande des bénéficiaires contiennent les déclarations d'autorisation correctes concernant l’utilisation de leurs données pour la recherche et à des fins d'analyse. En effet les données doivent être disponibles pour l'évaluation. Cela doit être prévu dès le début de la période de mise en œuvre du programme </w:t>
      </w:r>
      <w:r w:rsidRPr="004F4478">
        <w:rPr>
          <w:rFonts w:ascii="ZWAdobeF" w:hAnsi="ZWAdobeF"/>
          <w:color w:val="auto"/>
          <w:sz w:val="2"/>
          <w:highlight w:val="yellow"/>
        </w:rPr>
        <w:t xml:space="preserve">82F </w:t>
      </w:r>
      <w:r w:rsidRPr="004F4478">
        <w:rPr>
          <w:rStyle w:val="FootnoteReference"/>
          <w:highlight w:val="yellow"/>
        </w:rPr>
        <w:footnoteReference w:id="83"/>
      </w:r>
      <w:r w:rsidRPr="004F4478">
        <w:rPr>
          <w:highlight w:val="yellow"/>
        </w:rPr>
        <w:t xml:space="preserve"> . </w:t>
      </w:r>
    </w:p>
    <w:p w:rsidR="00860A11" w:rsidRPr="004F4478" w:rsidRDefault="00860A11" w:rsidP="001B4E97">
      <w:pPr>
        <w:pStyle w:val="HStandard"/>
        <w:rPr>
          <w:highlight w:val="yellow"/>
        </w:rPr>
      </w:pPr>
      <w:r w:rsidRPr="004F4478">
        <w:rPr>
          <w:highlight w:val="yellow"/>
        </w:rPr>
        <w:t xml:space="preserve">L'évaluation se déroule habituellement en quatre phases: la structuration, l’observation, l’analyse et le jugement. </w:t>
      </w:r>
    </w:p>
    <w:p w:rsidR="00860A11" w:rsidRPr="004F4478" w:rsidRDefault="00860A11" w:rsidP="001B4E97">
      <w:pPr>
        <w:pStyle w:val="HStandard"/>
        <w:rPr>
          <w:highlight w:val="yellow"/>
        </w:rPr>
      </w:pPr>
      <w:r w:rsidRPr="004F4478">
        <w:rPr>
          <w:highlight w:val="yellow"/>
        </w:rPr>
        <w:t xml:space="preserve">Dans la </w:t>
      </w:r>
      <w:r w:rsidRPr="004F4478">
        <w:rPr>
          <w:b/>
          <w:highlight w:val="yellow"/>
        </w:rPr>
        <w:t>phase de structuration,</w:t>
      </w:r>
      <w:r w:rsidRPr="004F4478">
        <w:rPr>
          <w:highlight w:val="yellow"/>
        </w:rPr>
        <w:t xml:space="preserve"> l'évaluateur examine les documents et clarifie la tâche à accomplir. À la fin de cette phase, l'évaluateur devrait avoir une vision claire du RRN en question, de sa logique d'intervention, des membres et des activités, ainsi que des questionnaires d’évaluation, des indicateurs et des tâches d'évaluation. La première tâche de l'évaluateur au cours de la phase de structuration consiste à examiner la logique d'intervention et à décider de la cohérence des questions d'évaluation par rapport aux objectifs et aux indicateurs. Il peut d’ailleurs en suggérer d’autres qui soient justifiées. Les méthodes et les outils utilisés dans l'évaluation sont également mis en place dans cette phase et toutes les sources de données et d'information existantes doivent être connues et accessibles à l'évaluateur. En outre, l'évaluateur devrait savoir quelles données et informations supplémentaires, il doit recueillir. Il est recommandé de produire un «rapport initial» à ce moment-là, précisant le plan de travail, l'évaluation des risques, y compris si possible les outils de travail sur le terrain.</w:t>
      </w:r>
    </w:p>
    <w:p w:rsidR="00860A11" w:rsidRPr="004F4478" w:rsidRDefault="00860A11" w:rsidP="001B4E97">
      <w:pPr>
        <w:pStyle w:val="HStandard"/>
        <w:rPr>
          <w:highlight w:val="yellow"/>
        </w:rPr>
      </w:pPr>
      <w:r w:rsidRPr="004F4478">
        <w:rPr>
          <w:highlight w:val="yellow"/>
        </w:rPr>
        <w:t xml:space="preserve">La </w:t>
      </w:r>
      <w:r w:rsidRPr="004F4478">
        <w:rPr>
          <w:b/>
          <w:highlight w:val="yellow"/>
        </w:rPr>
        <w:t>phase</w:t>
      </w:r>
      <w:r w:rsidRPr="004F4478">
        <w:rPr>
          <w:highlight w:val="yellow"/>
        </w:rPr>
        <w:t xml:space="preserve"> d'</w:t>
      </w:r>
      <w:r w:rsidRPr="004F4478">
        <w:rPr>
          <w:b/>
          <w:highlight w:val="yellow"/>
        </w:rPr>
        <w:t>observation</w:t>
      </w:r>
      <w:r w:rsidRPr="004F4478">
        <w:rPr>
          <w:highlight w:val="yellow"/>
        </w:rPr>
        <w:t xml:space="preserve"> couvre la collecte d'informations et de données. Toutes les informations et les données pertinentes sont recueillies à partir de diverses sources, telles</w:t>
      </w:r>
      <w:r>
        <w:rPr>
          <w:highlight w:val="yellow"/>
        </w:rPr>
        <w:t xml:space="preserve"> que</w:t>
      </w:r>
      <w:r w:rsidRPr="004F4478">
        <w:rPr>
          <w:highlight w:val="yellow"/>
        </w:rPr>
        <w:t xml:space="preserve"> le suivi du RRN et les outils et techniques de l’évaluateur (questionnaires, enquêtes, interviews, groupes de discussion, études de cas, etc.). En raison de la prévalence des méthodes qualitatives dans les évaluations de RRN, cette phase nécessitera des ressources importantes.</w:t>
      </w:r>
    </w:p>
    <w:p w:rsidR="00860A11" w:rsidRPr="004F4478" w:rsidRDefault="00860A11" w:rsidP="001B4E97">
      <w:pPr>
        <w:pStyle w:val="HStandard"/>
        <w:rPr>
          <w:highlight w:val="yellow"/>
        </w:rPr>
      </w:pPr>
      <w:r w:rsidRPr="004F4478">
        <w:rPr>
          <w:highlight w:val="yellow"/>
        </w:rPr>
        <w:t xml:space="preserve">Dans la </w:t>
      </w:r>
      <w:r w:rsidRPr="004F4478">
        <w:rPr>
          <w:b/>
          <w:highlight w:val="yellow"/>
        </w:rPr>
        <w:t>phase d'analyse,</w:t>
      </w:r>
      <w:r w:rsidRPr="004F4478">
        <w:rPr>
          <w:highlight w:val="yellow"/>
        </w:rPr>
        <w:t xml:space="preserve"> toutes les informations disponibles sont systématiquement traitées et résumées conformément à la méthode d'évaluation choisie. Le but est d'utiliser différents types de techniques d'évaluation pour </w:t>
      </w:r>
      <w:r>
        <w:rPr>
          <w:highlight w:val="yellow"/>
        </w:rPr>
        <w:t>comparer</w:t>
      </w:r>
      <w:r w:rsidRPr="004F4478">
        <w:rPr>
          <w:highlight w:val="yellow"/>
        </w:rPr>
        <w:t xml:space="preserve"> les résultats des évaluations.</w:t>
      </w:r>
    </w:p>
    <w:p w:rsidR="00860A11" w:rsidRPr="004F4478" w:rsidRDefault="00860A11" w:rsidP="001B4E97">
      <w:pPr>
        <w:pStyle w:val="HStandard"/>
        <w:rPr>
          <w:highlight w:val="yellow"/>
        </w:rPr>
      </w:pPr>
      <w:r w:rsidRPr="004F4478">
        <w:rPr>
          <w:highlight w:val="yellow"/>
        </w:rPr>
        <w:lastRenderedPageBreak/>
        <w:t xml:space="preserve">Dans la dernière étape de l'évaluation, la </w:t>
      </w:r>
      <w:r w:rsidRPr="004F4478">
        <w:rPr>
          <w:b/>
          <w:highlight w:val="yellow"/>
        </w:rPr>
        <w:t>phase</w:t>
      </w:r>
      <w:r w:rsidRPr="004F4478">
        <w:rPr>
          <w:highlight w:val="yellow"/>
        </w:rPr>
        <w:t xml:space="preserve"> de </w:t>
      </w:r>
      <w:r w:rsidRPr="004F4478">
        <w:rPr>
          <w:b/>
          <w:highlight w:val="yellow"/>
        </w:rPr>
        <w:t>jugement,</w:t>
      </w:r>
      <w:r w:rsidRPr="004F4478">
        <w:rPr>
          <w:highlight w:val="yellow"/>
        </w:rPr>
        <w:t xml:space="preserve"> l'évaluateur prépare des réponses aux questions de l’évaluation et tire des conclusions et des recommandations fondées sur des données probantes </w:t>
      </w:r>
      <w:r w:rsidRPr="004F4478">
        <w:rPr>
          <w:rFonts w:ascii="ZWAdobeF" w:hAnsi="ZWAdobeF"/>
          <w:color w:val="auto"/>
          <w:sz w:val="2"/>
          <w:highlight w:val="yellow"/>
        </w:rPr>
        <w:t xml:space="preserve">83F </w:t>
      </w:r>
      <w:r w:rsidRPr="004F4478">
        <w:rPr>
          <w:rStyle w:val="FootnoteReference"/>
          <w:highlight w:val="yellow"/>
        </w:rPr>
        <w:footnoteReference w:id="84"/>
      </w:r>
      <w:r w:rsidRPr="004F4478">
        <w:rPr>
          <w:highlight w:val="yellow"/>
        </w:rPr>
        <w:t xml:space="preserve"> . </w:t>
      </w:r>
    </w:p>
    <w:p w:rsidR="00860A11" w:rsidRPr="004F4478" w:rsidRDefault="00860A11" w:rsidP="001B4E97">
      <w:pPr>
        <w:pStyle w:val="HStandard"/>
        <w:rPr>
          <w:highlight w:val="yellow"/>
        </w:rPr>
      </w:pPr>
      <w:r w:rsidRPr="004F4478">
        <w:t xml:space="preserve">La </w:t>
      </w:r>
      <w:r w:rsidRPr="004F4478">
        <w:rPr>
          <w:b/>
          <w:color w:val="E7E6E6" w:themeColor="background2"/>
          <w:highlight w:val="yellow"/>
        </w:rPr>
        <w:t>PARTIE II</w:t>
      </w:r>
      <w:r w:rsidRPr="004F4478">
        <w:t xml:space="preserve"> </w:t>
      </w:r>
      <w:r w:rsidRPr="004F4478">
        <w:rPr>
          <w:highlight w:val="yellow"/>
        </w:rPr>
        <w:t>des</w:t>
      </w:r>
      <w:r>
        <w:rPr>
          <w:highlight w:val="yellow"/>
        </w:rPr>
        <w:t xml:space="preserve"> présentes</w:t>
      </w:r>
      <w:r w:rsidRPr="004F4478">
        <w:rPr>
          <w:highlight w:val="yellow"/>
        </w:rPr>
        <w:t xml:space="preserve"> lignes directrices présente en détail les phases et</w:t>
      </w:r>
      <w:r w:rsidRPr="004F4478">
        <w:t xml:space="preserve"> les </w:t>
      </w:r>
      <w:r w:rsidRPr="004F4478">
        <w:rPr>
          <w:highlight w:val="yellow"/>
        </w:rPr>
        <w:t>étapes de</w:t>
      </w:r>
      <w:r w:rsidRPr="004F4478">
        <w:t xml:space="preserve"> la conduite de </w:t>
      </w:r>
      <w:r w:rsidRPr="004F4478">
        <w:rPr>
          <w:highlight w:val="yellow"/>
        </w:rPr>
        <w:t>l'évaluation.</w:t>
      </w:r>
    </w:p>
    <w:p w:rsidR="00860A11" w:rsidRPr="004F4478" w:rsidRDefault="00860A11" w:rsidP="006D3475">
      <w:pPr>
        <w:pStyle w:val="HHeading5"/>
        <w:rPr>
          <w:highlight w:val="yellow"/>
        </w:rPr>
      </w:pPr>
      <w:r w:rsidRPr="004F4478">
        <w:rPr>
          <w:highlight w:val="yellow"/>
        </w:rPr>
        <w:t xml:space="preserve">Étape 2 - Garantie de la qualité et </w:t>
      </w:r>
      <w:r>
        <w:rPr>
          <w:highlight w:val="yellow"/>
        </w:rPr>
        <w:t>progression</w:t>
      </w:r>
      <w:r w:rsidRPr="004F4478">
        <w:rPr>
          <w:highlight w:val="yellow"/>
        </w:rPr>
        <w:t xml:space="preserve"> de l'évaluation</w:t>
      </w:r>
    </w:p>
    <w:p w:rsidR="00860A11" w:rsidRPr="004F4478" w:rsidRDefault="00860A11" w:rsidP="001B4E97">
      <w:pPr>
        <w:pStyle w:val="HStandard"/>
        <w:rPr>
          <w:highlight w:val="yellow"/>
        </w:rPr>
      </w:pPr>
      <w:r w:rsidRPr="004F4478">
        <w:rPr>
          <w:highlight w:val="yellow"/>
        </w:rPr>
        <w:t xml:space="preserve">Plus il y a d’évaluations, plus il est important pour l’autorité de </w:t>
      </w:r>
      <w:r>
        <w:rPr>
          <w:highlight w:val="yellow"/>
        </w:rPr>
        <w:t>démarrage</w:t>
      </w:r>
      <w:r w:rsidRPr="004F4478">
        <w:rPr>
          <w:highlight w:val="yellow"/>
        </w:rPr>
        <w:t xml:space="preserve"> (MA ou NSU) de mettre en place un système d'assurance qualité et de contrôle qualité. Si l'assurance qualité vise le processus pour faire en sorte que les choses soient bien faites, le contrôle de la qualité vise les produits.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860A11" w:rsidRPr="004F4478" w:rsidTr="001413F0">
        <w:tc>
          <w:tcPr>
            <w:tcW w:w="9016" w:type="dxa"/>
            <w:shd w:val="clear" w:color="auto" w:fill="F5F4F4" w:themeFill="background2" w:themeFillTint="66"/>
          </w:tcPr>
          <w:p w:rsidR="00860A11" w:rsidRPr="004F4478" w:rsidRDefault="00860A11" w:rsidP="006A3E94">
            <w:pPr>
              <w:pStyle w:val="HStandard"/>
              <w:rPr>
                <w:highlight w:val="yellow"/>
              </w:rPr>
            </w:pPr>
            <w:r w:rsidRPr="004F4478">
              <w:rPr>
                <w:highlight w:val="yellow"/>
              </w:rPr>
              <w:t>Les principales questions liées à l'assurance qualité et aux progrès de l'évaluation sont les suivantes:</w:t>
            </w:r>
          </w:p>
          <w:p w:rsidR="00860A11" w:rsidRPr="004F4478" w:rsidRDefault="00860A11" w:rsidP="00860A11">
            <w:pPr>
              <w:pStyle w:val="Hlistbullet"/>
              <w:rPr>
                <w:highlight w:val="yellow"/>
              </w:rPr>
            </w:pPr>
            <w:r w:rsidRPr="004F4478">
              <w:rPr>
                <w:highlight w:val="yellow"/>
              </w:rPr>
              <w:t>Quelles sont les normes de qualité pour gérer l'évaluation et travailler avec l'évaluateur?</w:t>
            </w:r>
          </w:p>
          <w:p w:rsidR="00860A11" w:rsidRPr="004F4478" w:rsidRDefault="00860A11" w:rsidP="00860A11">
            <w:pPr>
              <w:pStyle w:val="Hlistbullet"/>
              <w:rPr>
                <w:highlight w:val="yellow"/>
              </w:rPr>
            </w:pPr>
            <w:r w:rsidRPr="004F4478">
              <w:rPr>
                <w:highlight w:val="yellow"/>
              </w:rPr>
              <w:t>Est-ce que les livrables convenus sont soumis à temps?</w:t>
            </w:r>
          </w:p>
          <w:p w:rsidR="00860A11" w:rsidRPr="004F4478" w:rsidRDefault="00860A11" w:rsidP="00860A11">
            <w:pPr>
              <w:pStyle w:val="Hlistbullet"/>
              <w:rPr>
                <w:highlight w:val="yellow"/>
              </w:rPr>
            </w:pPr>
            <w:r w:rsidRPr="004F4478">
              <w:rPr>
                <w:highlight w:val="yellow"/>
              </w:rPr>
              <w:t xml:space="preserve">Les résultats sont-ils de bonne qualité? Quelles sont les normes de qualité pour l'évaluation? </w:t>
            </w:r>
          </w:p>
          <w:p w:rsidR="00860A11" w:rsidRPr="004F4478" w:rsidRDefault="00860A11" w:rsidP="00860A11">
            <w:pPr>
              <w:pStyle w:val="Hlistbullet"/>
              <w:rPr>
                <w:highlight w:val="yellow"/>
              </w:rPr>
            </w:pPr>
            <w:r w:rsidRPr="004F4478">
              <w:rPr>
                <w:highlight w:val="yellow"/>
              </w:rPr>
              <w:t>Que peut-on faire pour améliorer les résultats attendus?</w:t>
            </w:r>
          </w:p>
          <w:p w:rsidR="00860A11" w:rsidRPr="004F4478" w:rsidRDefault="00860A11" w:rsidP="00860A11">
            <w:pPr>
              <w:pStyle w:val="Hlistbullet2"/>
              <w:rPr>
                <w:highlight w:val="yellow"/>
              </w:rPr>
            </w:pPr>
            <w:r w:rsidRPr="004F4478">
              <w:rPr>
                <w:highlight w:val="yellow"/>
              </w:rPr>
              <w:t>Est-ce que l'évaluateur prend en compte les commentaires?</w:t>
            </w:r>
          </w:p>
        </w:tc>
      </w:tr>
    </w:tbl>
    <w:p w:rsidR="00860A11" w:rsidRPr="004F4478" w:rsidRDefault="00860A11" w:rsidP="00352793">
      <w:pPr>
        <w:pStyle w:val="HStandard"/>
        <w:rPr>
          <w:highlight w:val="yellow"/>
        </w:rPr>
      </w:pPr>
      <w:r w:rsidRPr="004F4478">
        <w:rPr>
          <w:highlight w:val="yellow"/>
        </w:rPr>
        <w:t xml:space="preserve">Le groupe de pilotage de l'évaluation - s’il en existe un - suit la progression de l'évaluation. S'il n'y a pas de groupe de pilotage, cela fait partie des tâches de l’autorité de </w:t>
      </w:r>
      <w:r>
        <w:rPr>
          <w:highlight w:val="yellow"/>
        </w:rPr>
        <w:t>démarrage</w:t>
      </w:r>
      <w:r w:rsidRPr="004F4478">
        <w:rPr>
          <w:highlight w:val="yellow"/>
        </w:rPr>
        <w:t xml:space="preserve">. Les différents rapports, tels que le rapport initial, le(s) rapport(s) intermédiaire(s), le projet de rapport final, et le rapport final précisés dans le cahier des charges doivent être fournis par l'évaluateur lors des étapes clés du processus d'évaluation. Ces rapports devraient être analysés par le groupe de pilotage de l'évaluation et par l’autorité de </w:t>
      </w:r>
      <w:r>
        <w:rPr>
          <w:highlight w:val="yellow"/>
        </w:rPr>
        <w:t>démarrage</w:t>
      </w:r>
      <w:r w:rsidRPr="004F4478">
        <w:rPr>
          <w:highlight w:val="yellow"/>
        </w:rPr>
        <w:t xml:space="preserve">, de préférence </w:t>
      </w:r>
      <w:r>
        <w:rPr>
          <w:highlight w:val="yellow"/>
        </w:rPr>
        <w:t>au moyen</w:t>
      </w:r>
      <w:r w:rsidRPr="004F4478">
        <w:rPr>
          <w:highlight w:val="yellow"/>
        </w:rPr>
        <w:t xml:space="preserve"> de grilles de contrôle de qualité / listes de contrôle spécifiques. Les outils d'assurance qualité habituellement utilisés dans le processus d'évaluation sont des listes de contrôle, des listes de contenu, et des cartes générales et détaillées des processus ainsi que différents types de plans </w:t>
      </w:r>
      <w:r w:rsidRPr="004F4478">
        <w:rPr>
          <w:rFonts w:ascii="ZWAdobeF" w:hAnsi="ZWAdobeF"/>
          <w:color w:val="auto"/>
          <w:sz w:val="2"/>
          <w:highlight w:val="yellow"/>
        </w:rPr>
        <w:t xml:space="preserve">84F </w:t>
      </w:r>
      <w:r w:rsidRPr="004F4478">
        <w:rPr>
          <w:rStyle w:val="FootnoteReference"/>
          <w:highlight w:val="yellow"/>
        </w:rPr>
        <w:footnoteReference w:id="85"/>
      </w:r>
      <w:r w:rsidRPr="004F4478">
        <w:rPr>
          <w:highlight w:val="yellow"/>
        </w:rPr>
        <w:t xml:space="preserve"> . Le contrôle de la qualité, d'autre part, est généralement effectué avec une grille de contrôle de la qualité ou une liste de contrôle.</w:t>
      </w:r>
    </w:p>
    <w:p w:rsidR="00860A11" w:rsidRPr="004F4478" w:rsidRDefault="00860A11" w:rsidP="001B4E97">
      <w:pPr>
        <w:pStyle w:val="HStandard"/>
        <w:rPr>
          <w:highlight w:val="yellow"/>
        </w:rPr>
      </w:pPr>
      <w:r w:rsidRPr="004F4478">
        <w:rPr>
          <w:highlight w:val="yellow"/>
        </w:rPr>
        <w:t xml:space="preserve">Un retour d’expérience utile devrait être fait </w:t>
      </w:r>
      <w:r>
        <w:rPr>
          <w:highlight w:val="yellow"/>
        </w:rPr>
        <w:t>en</w:t>
      </w:r>
      <w:r w:rsidRPr="004F4478">
        <w:rPr>
          <w:highlight w:val="yellow"/>
        </w:rPr>
        <w:t xml:space="preserve"> temps</w:t>
      </w:r>
      <w:r>
        <w:rPr>
          <w:highlight w:val="yellow"/>
        </w:rPr>
        <w:t xml:space="preserve"> voulu</w:t>
      </w:r>
      <w:r w:rsidRPr="004F4478">
        <w:rPr>
          <w:highlight w:val="yellow"/>
        </w:rPr>
        <w:t xml:space="preserve"> à l'évaluateur. Ainsi, la qualité de l'évaluation peut être suivie et améliorée. En outre, l’état d’avancement de l'évaluation peut être contrôlé fréquemment par rapport à la feuille de route. L'évaluateur est chargé de soumettre les rapports prévus en tenant compte des retours.</w:t>
      </w:r>
    </w:p>
    <w:p w:rsidR="00860A11" w:rsidRPr="004F4478" w:rsidRDefault="00860A11" w:rsidP="006D3475">
      <w:pPr>
        <w:pStyle w:val="HHeading5"/>
        <w:rPr>
          <w:highlight w:val="yellow"/>
        </w:rPr>
      </w:pPr>
      <w:r w:rsidRPr="004F4478">
        <w:rPr>
          <w:highlight w:val="yellow"/>
        </w:rPr>
        <w:t xml:space="preserve">Étape 3 - Évaluation de la qualité du rapport final </w:t>
      </w:r>
    </w:p>
    <w:p w:rsidR="00860A11" w:rsidRPr="004F4478" w:rsidRDefault="00860A11" w:rsidP="001B4E97">
      <w:pPr>
        <w:pStyle w:val="HStandard"/>
        <w:rPr>
          <w:highlight w:val="yellow"/>
        </w:rPr>
      </w:pPr>
      <w:r w:rsidRPr="004F4478">
        <w:rPr>
          <w:highlight w:val="yellow"/>
        </w:rPr>
        <w:t xml:space="preserve">Lorsque l'évaluateur a soumis le rapport final à la date convenue dans le cahier des charges, il doit se prêter à une évaluation approfondie de la qualité menée par l’autorité de </w:t>
      </w:r>
      <w:r>
        <w:rPr>
          <w:highlight w:val="yellow"/>
        </w:rPr>
        <w:t>démarrage</w:t>
      </w:r>
      <w:r w:rsidRPr="004F4478">
        <w:rPr>
          <w:highlight w:val="yellow"/>
        </w:rPr>
        <w:t xml:space="preserve"> (MA ou NSU) et - s’il en existe - le groupe de pilotage de l'évaluation. À cet effet, il est recommandé d'élaborer des normes de qualité pour les rapports d'évaluation et une grille d'évaluation de la qualité. Il n'y a pas de critères obligatoires pour l’évaluation de la qualité des rapports d'évaluation du RRN.</w:t>
      </w:r>
    </w:p>
    <w:p w:rsidR="00860A11" w:rsidRPr="004F4478" w:rsidRDefault="00860A11" w:rsidP="001B4E97">
      <w:pPr>
        <w:pStyle w:val="HStandard"/>
        <w:rPr>
          <w:highlight w:val="yellow"/>
        </w:rPr>
      </w:pPr>
      <w:r w:rsidRPr="004F4478">
        <w:rPr>
          <w:highlight w:val="yellow"/>
        </w:rPr>
        <w:t xml:space="preserve">Pour être satisfaisants, les critères de qualité de l’évaluation doivent tenir compte du processus d’évaluation (pertinence, respect des échéances et exhaustivité), des questions normatives (avec l’accent mis sur l’indépendance et l’impartialité de l’évaluateur), ainsi que des critères techniques (pertinence de l’évaluation, portée, conception appropriée, fiabilité des données, solidité de l’analyse, </w:t>
      </w:r>
      <w:r w:rsidRPr="004F4478">
        <w:rPr>
          <w:highlight w:val="yellow"/>
        </w:rPr>
        <w:lastRenderedPageBreak/>
        <w:t>crédibilité des résultats, réponses factuelles aux questions d’évaluation, validité des conclusions, utilité des recommandations et clarté du rapport</w:t>
      </w:r>
      <w:r w:rsidRPr="004F4478">
        <w:rPr>
          <w:rStyle w:val="FootnoteReference"/>
          <w:highlight w:val="yellow"/>
        </w:rPr>
        <w:footnoteReference w:id="86"/>
      </w:r>
      <w:r w:rsidRPr="004F4478">
        <w:rPr>
          <w:highlight w:val="yellow"/>
        </w:rPr>
        <w:t xml:space="preserve">). </w:t>
      </w:r>
    </w:p>
    <w:p w:rsidR="00860A11" w:rsidRPr="004F4478" w:rsidRDefault="00860A11" w:rsidP="00922CBE">
      <w:pPr>
        <w:pStyle w:val="HHeadingfigures"/>
        <w:rPr>
          <w:highlight w:val="yellow"/>
        </w:rPr>
      </w:pPr>
      <w:bookmarkStart w:id="152" w:name="_Toc445465132"/>
      <w:bookmarkStart w:id="153" w:name="_Toc451781935"/>
      <w:bookmarkStart w:id="154" w:name="_Toc463945763"/>
      <w:r w:rsidRPr="004F4478">
        <w:rPr>
          <w:highlight w:val="yellow"/>
        </w:rPr>
        <w:t>Responsabilités des parties prenantes dans la mise en œuvre de l'évaluation du RRN</w:t>
      </w:r>
      <w:bookmarkEnd w:id="152"/>
      <w:bookmarkEnd w:id="153"/>
      <w:bookmarkEnd w:id="154"/>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459"/>
        <w:gridCol w:w="1204"/>
        <w:gridCol w:w="1860"/>
        <w:gridCol w:w="1001"/>
        <w:gridCol w:w="1928"/>
        <w:gridCol w:w="2569"/>
      </w:tblGrid>
      <w:tr w:rsidR="00860A11" w:rsidRPr="004F4478" w:rsidTr="001413F0">
        <w:tc>
          <w:tcPr>
            <w:tcW w:w="0" w:type="auto"/>
            <w:tcBorders>
              <w:top w:val="nil"/>
              <w:left w:val="nil"/>
              <w:bottom w:val="single" w:sz="4" w:space="0" w:color="000000" w:themeColor="text1"/>
            </w:tcBorders>
          </w:tcPr>
          <w:p w:rsidR="00860A11" w:rsidRPr="004F4478" w:rsidRDefault="00860A11" w:rsidP="008B1515">
            <w:pPr>
              <w:jc w:val="right"/>
              <w:rPr>
                <w:b/>
                <w:szCs w:val="18"/>
                <w:highlight w:val="yellow"/>
              </w:rPr>
            </w:pPr>
          </w:p>
        </w:tc>
        <w:tc>
          <w:tcPr>
            <w:tcW w:w="0" w:type="auto"/>
            <w:shd w:val="clear" w:color="auto" w:fill="E7E6E6" w:themeFill="background2"/>
          </w:tcPr>
          <w:p w:rsidR="00860A11" w:rsidRPr="004F4478" w:rsidRDefault="00860A11" w:rsidP="001413F0">
            <w:pPr>
              <w:jc w:val="center"/>
              <w:rPr>
                <w:b/>
                <w:color w:val="5B9BD5" w:themeColor="accent1"/>
                <w:szCs w:val="18"/>
                <w:highlight w:val="yellow"/>
              </w:rPr>
            </w:pPr>
            <w:r w:rsidRPr="004F4478">
              <w:rPr>
                <w:b/>
                <w:color w:val="5B9BD5" w:themeColor="accent1"/>
                <w:highlight w:val="yellow"/>
              </w:rPr>
              <w:t>Actions</w:t>
            </w:r>
          </w:p>
        </w:tc>
        <w:tc>
          <w:tcPr>
            <w:tcW w:w="0" w:type="auto"/>
            <w:gridSpan w:val="4"/>
            <w:shd w:val="clear" w:color="auto" w:fill="E7E6E6" w:themeFill="background2"/>
          </w:tcPr>
          <w:p w:rsidR="00860A11" w:rsidRPr="004F4478" w:rsidRDefault="00860A11" w:rsidP="001413F0">
            <w:pPr>
              <w:jc w:val="center"/>
              <w:rPr>
                <w:b/>
                <w:color w:val="5B9BD5" w:themeColor="accent1"/>
                <w:szCs w:val="18"/>
                <w:highlight w:val="yellow"/>
              </w:rPr>
            </w:pPr>
            <w:r w:rsidRPr="004F4478">
              <w:rPr>
                <w:b/>
                <w:color w:val="5B9BD5" w:themeColor="accent1"/>
                <w:highlight w:val="yellow"/>
              </w:rPr>
              <w:t>Acteurs</w:t>
            </w:r>
          </w:p>
        </w:tc>
      </w:tr>
      <w:tr w:rsidR="00860A11" w:rsidRPr="004F4478" w:rsidTr="001413F0">
        <w:trPr>
          <w:cantSplit/>
          <w:trHeight w:val="1134"/>
        </w:trPr>
        <w:tc>
          <w:tcPr>
            <w:tcW w:w="0" w:type="auto"/>
            <w:shd w:val="clear" w:color="auto" w:fill="E7E6E6" w:themeFill="background2"/>
            <w:textDirection w:val="tbRl"/>
          </w:tcPr>
          <w:p w:rsidR="00860A11" w:rsidRPr="004F4478" w:rsidRDefault="00860A11" w:rsidP="001413F0">
            <w:pPr>
              <w:ind w:left="113" w:right="113"/>
              <w:jc w:val="center"/>
              <w:rPr>
                <w:b/>
                <w:color w:val="5B9BD5" w:themeColor="accent1"/>
                <w:szCs w:val="18"/>
                <w:highlight w:val="yellow"/>
              </w:rPr>
            </w:pPr>
            <w:r w:rsidRPr="004F4478">
              <w:rPr>
                <w:b/>
                <w:color w:val="5B9BD5" w:themeColor="accent1"/>
                <w:highlight w:val="yellow"/>
              </w:rPr>
              <w:t>Phase</w:t>
            </w:r>
          </w:p>
        </w:tc>
        <w:tc>
          <w:tcPr>
            <w:tcW w:w="0" w:type="auto"/>
          </w:tcPr>
          <w:p w:rsidR="00860A11" w:rsidRPr="004F4478" w:rsidRDefault="00860A11" w:rsidP="008B1515">
            <w:pPr>
              <w:rPr>
                <w:b/>
                <w:color w:val="E7E6E6" w:themeColor="background2"/>
                <w:szCs w:val="18"/>
                <w:highlight w:val="yellow"/>
              </w:rPr>
            </w:pPr>
            <w:r w:rsidRPr="004F4478">
              <w:rPr>
                <w:b/>
                <w:color w:val="E7E6E6" w:themeColor="background2"/>
                <w:highlight w:val="yellow"/>
              </w:rPr>
              <w:t>Étape</w:t>
            </w:r>
          </w:p>
        </w:tc>
        <w:tc>
          <w:tcPr>
            <w:tcW w:w="0" w:type="auto"/>
          </w:tcPr>
          <w:p w:rsidR="00860A11" w:rsidRPr="004F4478" w:rsidRDefault="00860A11" w:rsidP="008B1515">
            <w:pPr>
              <w:rPr>
                <w:i/>
                <w:szCs w:val="18"/>
                <w:highlight w:val="yellow"/>
              </w:rPr>
            </w:pPr>
            <w:r w:rsidRPr="004F4478">
              <w:rPr>
                <w:i/>
                <w:highlight w:val="yellow"/>
              </w:rPr>
              <w:t>MA</w:t>
            </w:r>
          </w:p>
        </w:tc>
        <w:tc>
          <w:tcPr>
            <w:tcW w:w="0" w:type="auto"/>
          </w:tcPr>
          <w:p w:rsidR="00860A11" w:rsidRPr="004F4478" w:rsidRDefault="00860A11" w:rsidP="008B1515">
            <w:pPr>
              <w:rPr>
                <w:i/>
                <w:szCs w:val="18"/>
                <w:highlight w:val="yellow"/>
              </w:rPr>
            </w:pPr>
            <w:r w:rsidRPr="004F4478">
              <w:rPr>
                <w:i/>
                <w:highlight w:val="yellow"/>
              </w:rPr>
              <w:t>autres unités MA</w:t>
            </w:r>
          </w:p>
        </w:tc>
        <w:tc>
          <w:tcPr>
            <w:tcW w:w="0" w:type="auto"/>
          </w:tcPr>
          <w:p w:rsidR="00860A11" w:rsidRPr="004F4478" w:rsidRDefault="00860A11" w:rsidP="008B1515">
            <w:pPr>
              <w:rPr>
                <w:i/>
                <w:szCs w:val="18"/>
                <w:highlight w:val="yellow"/>
              </w:rPr>
            </w:pPr>
            <w:r w:rsidRPr="004F4478">
              <w:rPr>
                <w:i/>
                <w:highlight w:val="yellow"/>
              </w:rPr>
              <w:t>NSU</w:t>
            </w:r>
          </w:p>
        </w:tc>
        <w:tc>
          <w:tcPr>
            <w:tcW w:w="0" w:type="auto"/>
          </w:tcPr>
          <w:p w:rsidR="00860A11" w:rsidRPr="004F4478" w:rsidRDefault="00860A11" w:rsidP="008B1515">
            <w:pPr>
              <w:rPr>
                <w:i/>
                <w:szCs w:val="18"/>
                <w:highlight w:val="yellow"/>
              </w:rPr>
            </w:pPr>
            <w:r w:rsidRPr="004F4478">
              <w:rPr>
                <w:i/>
                <w:highlight w:val="yellow"/>
              </w:rPr>
              <w:t>Autres</w:t>
            </w:r>
          </w:p>
        </w:tc>
      </w:tr>
      <w:tr w:rsidR="00860A11" w:rsidRPr="004F4478" w:rsidTr="001413F0">
        <w:trPr>
          <w:cantSplit/>
          <w:trHeight w:val="1493"/>
        </w:trPr>
        <w:tc>
          <w:tcPr>
            <w:tcW w:w="0" w:type="auto"/>
            <w:vMerge w:val="restart"/>
            <w:shd w:val="clear" w:color="auto" w:fill="E7E6E6" w:themeFill="background2"/>
            <w:textDirection w:val="tbRl"/>
          </w:tcPr>
          <w:p w:rsidR="00860A11" w:rsidRPr="004F4478" w:rsidRDefault="00860A11" w:rsidP="001413F0">
            <w:pPr>
              <w:ind w:left="113" w:right="113"/>
              <w:jc w:val="center"/>
              <w:rPr>
                <w:b/>
                <w:color w:val="5B9BD5" w:themeColor="accent1"/>
                <w:szCs w:val="18"/>
                <w:highlight w:val="yellow"/>
              </w:rPr>
            </w:pPr>
            <w:r w:rsidRPr="004F4478">
              <w:rPr>
                <w:b/>
                <w:color w:val="5B9BD5" w:themeColor="accent1"/>
                <w:highlight w:val="yellow"/>
              </w:rPr>
              <w:t>Modalités</w:t>
            </w:r>
          </w:p>
        </w:tc>
        <w:tc>
          <w:tcPr>
            <w:tcW w:w="0" w:type="auto"/>
          </w:tcPr>
          <w:p w:rsidR="00860A11" w:rsidRPr="004F4478" w:rsidRDefault="00860A11" w:rsidP="008B1515">
            <w:pPr>
              <w:rPr>
                <w:b/>
                <w:color w:val="E7E6E6" w:themeColor="background2"/>
                <w:szCs w:val="18"/>
                <w:highlight w:val="yellow"/>
              </w:rPr>
            </w:pPr>
            <w:r w:rsidRPr="004F4478">
              <w:rPr>
                <w:b/>
                <w:color w:val="E7E6E6" w:themeColor="background2"/>
                <w:highlight w:val="yellow"/>
              </w:rPr>
              <w:t>Conduite</w:t>
            </w:r>
          </w:p>
        </w:tc>
        <w:tc>
          <w:tcPr>
            <w:tcW w:w="0" w:type="auto"/>
          </w:tcPr>
          <w:p w:rsidR="00860A11" w:rsidRPr="004F4478" w:rsidRDefault="00860A11" w:rsidP="008B1515">
            <w:pPr>
              <w:rPr>
                <w:szCs w:val="18"/>
                <w:highlight w:val="yellow"/>
              </w:rPr>
            </w:pPr>
            <w:r w:rsidRPr="004F4478">
              <w:rPr>
                <w:highlight w:val="yellow"/>
              </w:rPr>
              <w:t>Assiste l'évaluateur, assure la qualité</w:t>
            </w:r>
          </w:p>
        </w:tc>
        <w:tc>
          <w:tcPr>
            <w:tcW w:w="0" w:type="auto"/>
          </w:tcPr>
          <w:p w:rsidR="00860A11" w:rsidRPr="004F4478" w:rsidRDefault="00860A11" w:rsidP="008B1515">
            <w:pPr>
              <w:rPr>
                <w:szCs w:val="18"/>
                <w:highlight w:val="yellow"/>
              </w:rPr>
            </w:pPr>
          </w:p>
        </w:tc>
        <w:tc>
          <w:tcPr>
            <w:tcW w:w="0" w:type="auto"/>
          </w:tcPr>
          <w:p w:rsidR="00860A11" w:rsidRPr="004F4478" w:rsidRDefault="00860A11" w:rsidP="008B1515">
            <w:pPr>
              <w:rPr>
                <w:szCs w:val="18"/>
                <w:highlight w:val="yellow"/>
              </w:rPr>
            </w:pPr>
            <w:r w:rsidRPr="004F4478">
              <w:rPr>
                <w:highlight w:val="yellow"/>
              </w:rPr>
              <w:t>Assiste l'évaluateur, fournit des données</w:t>
            </w:r>
          </w:p>
        </w:tc>
        <w:tc>
          <w:tcPr>
            <w:tcW w:w="0" w:type="auto"/>
          </w:tcPr>
          <w:p w:rsidR="00860A11" w:rsidRPr="004F4478" w:rsidRDefault="00860A11" w:rsidP="008B1515">
            <w:pPr>
              <w:rPr>
                <w:szCs w:val="18"/>
                <w:highlight w:val="yellow"/>
              </w:rPr>
            </w:pPr>
            <w:r w:rsidRPr="004F4478">
              <w:rPr>
                <w:highlight w:val="yellow"/>
              </w:rPr>
              <w:t>L’autorité publique (A</w:t>
            </w:r>
            <w:r>
              <w:rPr>
                <w:highlight w:val="yellow"/>
              </w:rPr>
              <w:t>P</w:t>
            </w:r>
            <w:r w:rsidRPr="004F4478">
              <w:rPr>
                <w:highlight w:val="yellow"/>
              </w:rPr>
              <w:t>) fournit les données</w:t>
            </w:r>
          </w:p>
          <w:p w:rsidR="00860A11" w:rsidRPr="004F4478" w:rsidRDefault="00860A11" w:rsidP="008B1515">
            <w:pPr>
              <w:rPr>
                <w:szCs w:val="18"/>
                <w:highlight w:val="yellow"/>
              </w:rPr>
            </w:pPr>
            <w:r w:rsidRPr="004F4478">
              <w:rPr>
                <w:highlight w:val="yellow"/>
              </w:rPr>
              <w:t>Les GAL fournissent des données et des informateurs</w:t>
            </w:r>
          </w:p>
          <w:p w:rsidR="00860A11" w:rsidRPr="004F4478" w:rsidRDefault="00860A11" w:rsidP="008B1515">
            <w:pPr>
              <w:rPr>
                <w:szCs w:val="18"/>
                <w:highlight w:val="yellow"/>
              </w:rPr>
            </w:pPr>
            <w:r w:rsidRPr="004F4478">
              <w:rPr>
                <w:highlight w:val="yellow"/>
              </w:rPr>
              <w:t>Les MA régionales fournissent des données et des informateurs</w:t>
            </w:r>
          </w:p>
          <w:p w:rsidR="00860A11" w:rsidRPr="004F4478" w:rsidRDefault="00860A11" w:rsidP="008B1515">
            <w:pPr>
              <w:rPr>
                <w:szCs w:val="18"/>
                <w:highlight w:val="yellow"/>
              </w:rPr>
            </w:pPr>
            <w:r w:rsidRPr="004F4478">
              <w:rPr>
                <w:highlight w:val="yellow"/>
              </w:rPr>
              <w:t>L’évaluateur conduit l'évaluation</w:t>
            </w:r>
          </w:p>
        </w:tc>
      </w:tr>
      <w:tr w:rsidR="00860A11" w:rsidRPr="004F4478" w:rsidTr="001413F0">
        <w:trPr>
          <w:cantSplit/>
          <w:trHeight w:val="1134"/>
        </w:trPr>
        <w:tc>
          <w:tcPr>
            <w:tcW w:w="0" w:type="auto"/>
            <w:vMerge/>
            <w:shd w:val="clear" w:color="auto" w:fill="E7E6E6" w:themeFill="background2"/>
            <w:textDirection w:val="tbRl"/>
          </w:tcPr>
          <w:p w:rsidR="00860A11" w:rsidRPr="004F4478" w:rsidRDefault="00860A11" w:rsidP="008B1515">
            <w:pPr>
              <w:ind w:left="113" w:right="113"/>
              <w:rPr>
                <w:szCs w:val="18"/>
                <w:highlight w:val="yellow"/>
              </w:rPr>
            </w:pPr>
          </w:p>
        </w:tc>
        <w:tc>
          <w:tcPr>
            <w:tcW w:w="0" w:type="auto"/>
          </w:tcPr>
          <w:p w:rsidR="00860A11" w:rsidRPr="004F4478" w:rsidRDefault="00860A11" w:rsidP="008B1515">
            <w:pPr>
              <w:rPr>
                <w:b/>
                <w:color w:val="E7E6E6" w:themeColor="background2"/>
                <w:szCs w:val="18"/>
                <w:highlight w:val="yellow"/>
              </w:rPr>
            </w:pPr>
            <w:r w:rsidRPr="004F4478">
              <w:rPr>
                <w:b/>
                <w:color w:val="E7E6E6" w:themeColor="background2"/>
                <w:highlight w:val="yellow"/>
              </w:rPr>
              <w:t>Contrôle qualité</w:t>
            </w:r>
          </w:p>
        </w:tc>
        <w:tc>
          <w:tcPr>
            <w:tcW w:w="0" w:type="auto"/>
          </w:tcPr>
          <w:p w:rsidR="00860A11" w:rsidRPr="004F4478" w:rsidRDefault="00860A11" w:rsidP="008B1515">
            <w:pPr>
              <w:rPr>
                <w:szCs w:val="18"/>
                <w:highlight w:val="yellow"/>
              </w:rPr>
            </w:pPr>
            <w:r w:rsidRPr="004F4478">
              <w:rPr>
                <w:highlight w:val="yellow"/>
              </w:rPr>
              <w:t>Responsable / participe</w:t>
            </w:r>
          </w:p>
        </w:tc>
        <w:tc>
          <w:tcPr>
            <w:tcW w:w="0" w:type="auto"/>
          </w:tcPr>
          <w:p w:rsidR="00860A11" w:rsidRPr="004F4478" w:rsidRDefault="00860A11" w:rsidP="008B1515">
            <w:pPr>
              <w:rPr>
                <w:szCs w:val="18"/>
                <w:highlight w:val="yellow"/>
              </w:rPr>
            </w:pPr>
          </w:p>
        </w:tc>
        <w:tc>
          <w:tcPr>
            <w:tcW w:w="0" w:type="auto"/>
          </w:tcPr>
          <w:p w:rsidR="00860A11" w:rsidRPr="004F4478" w:rsidRDefault="00860A11" w:rsidP="008B1515">
            <w:pPr>
              <w:rPr>
                <w:szCs w:val="18"/>
                <w:highlight w:val="yellow"/>
              </w:rPr>
            </w:pPr>
            <w:r w:rsidRPr="004F4478">
              <w:rPr>
                <w:highlight w:val="yellow"/>
              </w:rPr>
              <w:t>Participe / responsable</w:t>
            </w:r>
          </w:p>
        </w:tc>
        <w:tc>
          <w:tcPr>
            <w:tcW w:w="0" w:type="auto"/>
          </w:tcPr>
          <w:p w:rsidR="00860A11" w:rsidRPr="004F4478" w:rsidRDefault="00860A11" w:rsidP="00D76339">
            <w:pPr>
              <w:rPr>
                <w:szCs w:val="18"/>
                <w:highlight w:val="yellow"/>
              </w:rPr>
            </w:pPr>
            <w:r w:rsidRPr="004F4478">
              <w:rPr>
                <w:highlight w:val="yellow"/>
              </w:rPr>
              <w:t xml:space="preserve">Participation possible du groupe de pilotage </w:t>
            </w:r>
          </w:p>
        </w:tc>
      </w:tr>
    </w:tbl>
    <w:p w:rsidR="00860A11" w:rsidRPr="004F4478" w:rsidRDefault="00860A11" w:rsidP="001B4E97">
      <w:pPr>
        <w:pStyle w:val="HHeading3"/>
        <w:rPr>
          <w:highlight w:val="yellow"/>
        </w:rPr>
      </w:pPr>
      <w:bookmarkStart w:id="155" w:name="_Toc453079762"/>
      <w:bookmarkStart w:id="156" w:name="_Toc463945869"/>
      <w:r w:rsidRPr="004F4478">
        <w:rPr>
          <w:highlight w:val="yellow"/>
        </w:rPr>
        <w:t>Communiquer et diffuser les résultats de l'évaluation</w:t>
      </w:r>
      <w:bookmarkEnd w:id="155"/>
      <w:bookmarkEnd w:id="156"/>
      <w:r w:rsidRPr="004F4478">
        <w:rPr>
          <w:highlight w:val="yellow"/>
        </w:rPr>
        <w:t xml:space="preserve"> </w:t>
      </w:r>
    </w:p>
    <w:p w:rsidR="00860A11" w:rsidRPr="004F4478" w:rsidRDefault="00860A11" w:rsidP="006D3475">
      <w:pPr>
        <w:pStyle w:val="HHeading5"/>
        <w:rPr>
          <w:highlight w:val="yellow"/>
        </w:rPr>
      </w:pPr>
      <w:r w:rsidRPr="004F4478">
        <w:rPr>
          <w:highlight w:val="yellow"/>
        </w:rPr>
        <w:t>Communiquer les résultats de l'évaluation</w:t>
      </w:r>
    </w:p>
    <w:p w:rsidR="00860A11" w:rsidRPr="004F4478" w:rsidRDefault="00860A11" w:rsidP="001B4E97">
      <w:pPr>
        <w:pStyle w:val="HStandard"/>
        <w:rPr>
          <w:highlight w:val="yellow"/>
        </w:rPr>
      </w:pPr>
      <w:r w:rsidRPr="004F4478">
        <w:rPr>
          <w:highlight w:val="yellow"/>
        </w:rPr>
        <w:t xml:space="preserve">La communication se fait tout au long du processus d'évaluation, mais le principal effort de communication </w:t>
      </w:r>
      <w:r>
        <w:rPr>
          <w:highlight w:val="yellow"/>
        </w:rPr>
        <w:t>inter</w:t>
      </w:r>
      <w:r w:rsidRPr="004F4478">
        <w:rPr>
          <w:highlight w:val="yellow"/>
        </w:rPr>
        <w:t>vient à la fin, lorsque les résultats et les recommandations ont été finalisés. Les actions de communication devraient suivre le plan de communication mis au point au début du processus d'évaluation.</w:t>
      </w:r>
    </w:p>
    <w:p w:rsidR="00860A11" w:rsidRPr="004F4478" w:rsidRDefault="00860A11" w:rsidP="006D3475">
      <w:pPr>
        <w:pStyle w:val="HHeading5"/>
        <w:rPr>
          <w:highlight w:val="yellow"/>
        </w:rPr>
      </w:pPr>
      <w:r w:rsidRPr="004F4478">
        <w:rPr>
          <w:highlight w:val="yellow"/>
        </w:rPr>
        <w:t>Diffusion</w:t>
      </w:r>
    </w:p>
    <w:p w:rsidR="00860A11" w:rsidRPr="004F4478" w:rsidRDefault="00860A11" w:rsidP="001B4E97">
      <w:pPr>
        <w:pStyle w:val="HStandard"/>
        <w:rPr>
          <w:highlight w:val="yellow"/>
        </w:rPr>
      </w:pPr>
      <w:r w:rsidRPr="004F4478">
        <w:rPr>
          <w:highlight w:val="yellow"/>
        </w:rPr>
        <w:t xml:space="preserve">Le rapport d'évaluation devrait être rendu public. Il devrait être présenté sur le site Internet de la MA / NSU. En outre, pour une meilleure transparence, le rapport d'évaluation devrait être diffusé aux participants au processus d'évaluation et à toutes les parties prenantes du (P)RRN concernées. Pour suivre les bonnes pratiques, il est recommandé de rédiger un résumé des principales conclusions de l'évaluation à l’intention des citoyens. L'évaluation devrait également être présentée et discutée dans </w:t>
      </w:r>
      <w:r>
        <w:rPr>
          <w:highlight w:val="yellow"/>
        </w:rPr>
        <w:t>d</w:t>
      </w:r>
      <w:r w:rsidRPr="004F4478">
        <w:rPr>
          <w:highlight w:val="yellow"/>
        </w:rPr>
        <w:t>es ateliers et autres événements (tels que les réunions du comité de suivi). Il est important de se mettre d'accord assez tôt sur qui fait quoi (MA et NSU) pour la diffusion.</w:t>
      </w:r>
    </w:p>
    <w:p w:rsidR="00860A11" w:rsidRPr="004F4478" w:rsidRDefault="00860A11" w:rsidP="006D3475">
      <w:pPr>
        <w:pStyle w:val="HHeading5"/>
        <w:rPr>
          <w:highlight w:val="yellow"/>
        </w:rPr>
      </w:pPr>
      <w:r w:rsidRPr="004F4478">
        <w:rPr>
          <w:highlight w:val="yellow"/>
        </w:rPr>
        <w:t xml:space="preserve">Suivi des conclusions de l'évaluation </w:t>
      </w:r>
    </w:p>
    <w:p w:rsidR="00860A11" w:rsidRPr="004F4478" w:rsidRDefault="00860A11" w:rsidP="001B4E97">
      <w:pPr>
        <w:pStyle w:val="HStandard"/>
        <w:rPr>
          <w:highlight w:val="yellow"/>
        </w:rPr>
      </w:pPr>
      <w:r w:rsidRPr="004F4478">
        <w:rPr>
          <w:highlight w:val="yellow"/>
        </w:rPr>
        <w:t xml:space="preserve">Pour que l'évaluation (et l'auto-évaluation) soient utiles au RRN lui-même, il existe une procédure de suivi et d’application des conclusions et recommandations. </w:t>
      </w:r>
    </w:p>
    <w:p w:rsidR="00860A11" w:rsidRPr="004F4478" w:rsidRDefault="00860A11" w:rsidP="001B4E97">
      <w:pPr>
        <w:pStyle w:val="HStandard"/>
        <w:rPr>
          <w:highlight w:val="yellow"/>
        </w:rPr>
      </w:pPr>
      <w:r w:rsidRPr="004F4478">
        <w:rPr>
          <w:highlight w:val="yellow"/>
        </w:rPr>
        <w:t xml:space="preserve">L'utilisation des résultats de l'évaluation pourrait être remise régulièrement à l'ordre du jour de l’organisme de coordination ou dans le plan de travail du réseau ou de l’acteur </w:t>
      </w:r>
      <w:r>
        <w:rPr>
          <w:highlight w:val="yellow"/>
        </w:rPr>
        <w:t>visé par</w:t>
      </w:r>
      <w:r w:rsidRPr="004F4478">
        <w:rPr>
          <w:highlight w:val="yellow"/>
        </w:rPr>
        <w:t xml:space="preserve"> la recommandation. On pourrait y ajouter un calendrier pour la réalisation. Pour le RRN, le plan d'action est un excellent contexte car il est un document annuel. Le plan d'action du RRN pourrait également inclure des dispositions sur la façon d'utiliser les résultats de l'évaluation et de l’auto-évaluation pour </w:t>
      </w:r>
      <w:r w:rsidRPr="004F4478">
        <w:rPr>
          <w:highlight w:val="yellow"/>
        </w:rPr>
        <w:lastRenderedPageBreak/>
        <w:t xml:space="preserve">améliorer les activités du réseau. Les progrès dans la mise en œuvre des recommandations pourraient </w:t>
      </w:r>
      <w:r>
        <w:rPr>
          <w:highlight w:val="yellow"/>
        </w:rPr>
        <w:t>figurer</w:t>
      </w:r>
      <w:r w:rsidRPr="004F4478">
        <w:rPr>
          <w:highlight w:val="yellow"/>
        </w:rPr>
        <w:t xml:space="preserve"> dans le rapport annuel. Ainsi, les résultats de l'évaluation pourraient aussi alimenter l’élaboration de la politique future. L'autorité de gestion et de l'organe de coordination devraient élaborer et mettre en œuvre une stratégie et un processus de suivi des recommandations de l’évaluation. Ce suivi peut être effectué par le propriétaire de l'évaluation sous la forme d'une matrice de suivi, telle que présentée </w:t>
      </w:r>
      <w:r>
        <w:rPr>
          <w:highlight w:val="yellow"/>
        </w:rPr>
        <w:t>au</w:t>
      </w:r>
      <w:r w:rsidRPr="004F4478">
        <w:rPr>
          <w:highlight w:val="yellow"/>
        </w:rPr>
        <w:t xml:space="preserve"> </w:t>
      </w:r>
      <w:r w:rsidRPr="004F4478">
        <w:rPr>
          <w:highlight w:val="yellow"/>
        </w:rPr>
        <w:fldChar w:fldCharType="begin" w:fldLock="1"/>
      </w:r>
      <w:r w:rsidRPr="004F4478">
        <w:rPr>
          <w:highlight w:val="yellow"/>
        </w:rPr>
        <w:instrText xml:space="preserve"> REF _Ref451785007 \r \h  \* MERGEFORMAT </w:instrText>
      </w:r>
      <w:r w:rsidRPr="004F4478">
        <w:rPr>
          <w:highlight w:val="yellow"/>
        </w:rPr>
      </w:r>
      <w:r w:rsidRPr="004F4478">
        <w:rPr>
          <w:highlight w:val="yellow"/>
        </w:rPr>
        <w:fldChar w:fldCharType="separate"/>
      </w:r>
      <w:r>
        <w:rPr>
          <w:highlight w:val="yellow"/>
        </w:rPr>
        <w:t>t</w:t>
      </w:r>
      <w:r w:rsidRPr="004F4478">
        <w:rPr>
          <w:highlight w:val="yellow"/>
        </w:rPr>
        <w:t>able</w:t>
      </w:r>
      <w:r>
        <w:rPr>
          <w:highlight w:val="yellow"/>
        </w:rPr>
        <w:t>au</w:t>
      </w:r>
      <w:r w:rsidRPr="004F4478">
        <w:rPr>
          <w:highlight w:val="yellow"/>
        </w:rPr>
        <w:t xml:space="preserve"> 9</w:t>
      </w:r>
      <w:r w:rsidRPr="004F4478">
        <w:rPr>
          <w:highlight w:val="yellow"/>
        </w:rPr>
        <w:fldChar w:fldCharType="end"/>
      </w:r>
      <w:r w:rsidRPr="004F4478">
        <w:rPr>
          <w:highlight w:val="yellow"/>
        </w:rPr>
        <w:t xml:space="preserve"> . </w:t>
      </w:r>
    </w:p>
    <w:p w:rsidR="00860A11" w:rsidRPr="004F4478" w:rsidRDefault="00860A11" w:rsidP="001249DA">
      <w:pPr>
        <w:pStyle w:val="HHeadingtables"/>
        <w:rPr>
          <w:highlight w:val="yellow"/>
        </w:rPr>
      </w:pPr>
      <w:bookmarkStart w:id="157" w:name="_Toc436383151"/>
      <w:bookmarkStart w:id="158" w:name="_Toc451781913"/>
      <w:bookmarkStart w:id="159" w:name="_Ref451785007"/>
      <w:bookmarkStart w:id="160" w:name="_Toc463945787"/>
      <w:r w:rsidRPr="004F4478">
        <w:rPr>
          <w:highlight w:val="yellow"/>
        </w:rPr>
        <w:t>Matrice de suivi de l’évaluation</w:t>
      </w:r>
      <w:bookmarkEnd w:id="157"/>
      <w:bookmarkEnd w:id="158"/>
      <w:bookmarkEnd w:id="159"/>
      <w:bookmarkEnd w:id="160"/>
    </w:p>
    <w:tbl>
      <w:tblPr>
        <w:tblStyle w:val="TableGrid2"/>
        <w:tblW w:w="9085"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DDDDDD"/>
        <w:tblLayout w:type="fixed"/>
        <w:tblLook w:val="04A0" w:firstRow="1" w:lastRow="0" w:firstColumn="1" w:lastColumn="0" w:noHBand="0" w:noVBand="1"/>
      </w:tblPr>
      <w:tblGrid>
        <w:gridCol w:w="2965"/>
        <w:gridCol w:w="1530"/>
        <w:gridCol w:w="1530"/>
        <w:gridCol w:w="1620"/>
        <w:gridCol w:w="1440"/>
      </w:tblGrid>
      <w:tr w:rsidR="00860A11" w:rsidRPr="004F4478" w:rsidTr="00D90A43">
        <w:trPr>
          <w:tblHeader/>
          <w:jc w:val="center"/>
        </w:trPr>
        <w:tc>
          <w:tcPr>
            <w:tcW w:w="2965" w:type="dxa"/>
            <w:shd w:val="clear" w:color="auto" w:fill="E7E6E6" w:themeFill="background2"/>
          </w:tcPr>
          <w:p w:rsidR="00860A11" w:rsidRPr="004F4478" w:rsidRDefault="00860A11" w:rsidP="001249DA">
            <w:pPr>
              <w:pStyle w:val="Htableleftbolt"/>
              <w:jc w:val="center"/>
              <w:rPr>
                <w:rFonts w:cs="Arial"/>
                <w:color w:val="5B9BD5" w:themeColor="accent1"/>
                <w:sz w:val="18"/>
                <w:szCs w:val="18"/>
                <w:highlight w:val="yellow"/>
              </w:rPr>
            </w:pPr>
            <w:r w:rsidRPr="004F4478">
              <w:rPr>
                <w:color w:val="5B9BD5" w:themeColor="accent1"/>
                <w:sz w:val="18"/>
                <w:highlight w:val="yellow"/>
              </w:rPr>
              <w:t>QUOI?</w:t>
            </w:r>
          </w:p>
        </w:tc>
        <w:tc>
          <w:tcPr>
            <w:tcW w:w="1530" w:type="dxa"/>
            <w:shd w:val="clear" w:color="auto" w:fill="E7E6E6" w:themeFill="background2"/>
          </w:tcPr>
          <w:p w:rsidR="00860A11" w:rsidRPr="004F4478" w:rsidRDefault="00860A11" w:rsidP="001249DA">
            <w:pPr>
              <w:pStyle w:val="Htableleftbolt"/>
              <w:jc w:val="center"/>
              <w:rPr>
                <w:rFonts w:cs="Arial"/>
                <w:color w:val="5B9BD5" w:themeColor="accent1"/>
                <w:sz w:val="18"/>
                <w:szCs w:val="18"/>
                <w:highlight w:val="yellow"/>
              </w:rPr>
            </w:pPr>
            <w:r w:rsidRPr="004F4478">
              <w:rPr>
                <w:color w:val="5B9BD5" w:themeColor="accent1"/>
                <w:sz w:val="18"/>
                <w:highlight w:val="yellow"/>
              </w:rPr>
              <w:t>QUAND?</w:t>
            </w:r>
          </w:p>
        </w:tc>
        <w:tc>
          <w:tcPr>
            <w:tcW w:w="1530" w:type="dxa"/>
            <w:shd w:val="clear" w:color="auto" w:fill="E7E6E6" w:themeFill="background2"/>
          </w:tcPr>
          <w:p w:rsidR="00860A11" w:rsidRPr="004F4478" w:rsidRDefault="00860A11" w:rsidP="001249DA">
            <w:pPr>
              <w:pStyle w:val="Htableleftbolt"/>
              <w:jc w:val="center"/>
              <w:rPr>
                <w:rFonts w:cs="Arial"/>
                <w:color w:val="5B9BD5" w:themeColor="accent1"/>
                <w:sz w:val="18"/>
                <w:szCs w:val="18"/>
                <w:highlight w:val="yellow"/>
              </w:rPr>
            </w:pPr>
            <w:r w:rsidRPr="004F4478">
              <w:rPr>
                <w:color w:val="5B9BD5" w:themeColor="accent1"/>
                <w:sz w:val="18"/>
                <w:highlight w:val="yellow"/>
              </w:rPr>
              <w:t>QUI?</w:t>
            </w:r>
          </w:p>
        </w:tc>
        <w:tc>
          <w:tcPr>
            <w:tcW w:w="1620" w:type="dxa"/>
            <w:shd w:val="clear" w:color="auto" w:fill="E7E6E6" w:themeFill="background2"/>
          </w:tcPr>
          <w:p w:rsidR="00860A11" w:rsidRPr="004F4478" w:rsidRDefault="00860A11" w:rsidP="001249DA">
            <w:pPr>
              <w:pStyle w:val="Htableleftbolt"/>
              <w:jc w:val="center"/>
              <w:rPr>
                <w:rFonts w:cs="Arial"/>
                <w:color w:val="5B9BD5" w:themeColor="accent1"/>
                <w:sz w:val="18"/>
                <w:szCs w:val="18"/>
                <w:highlight w:val="yellow"/>
              </w:rPr>
            </w:pPr>
            <w:r w:rsidRPr="004F4478">
              <w:rPr>
                <w:color w:val="5B9BD5" w:themeColor="accent1"/>
                <w:sz w:val="18"/>
                <w:highlight w:val="yellow"/>
              </w:rPr>
              <w:t>COMMENT?</w:t>
            </w:r>
          </w:p>
        </w:tc>
        <w:tc>
          <w:tcPr>
            <w:tcW w:w="1440" w:type="dxa"/>
            <w:shd w:val="clear" w:color="auto" w:fill="E7E6E6" w:themeFill="background2"/>
          </w:tcPr>
          <w:p w:rsidR="00860A11" w:rsidRPr="004F4478" w:rsidRDefault="00860A11" w:rsidP="001249DA">
            <w:pPr>
              <w:pStyle w:val="Htableleftbolt"/>
              <w:jc w:val="center"/>
              <w:rPr>
                <w:rFonts w:cs="Arial"/>
                <w:color w:val="5B9BD5" w:themeColor="accent1"/>
                <w:sz w:val="18"/>
                <w:szCs w:val="18"/>
                <w:highlight w:val="yellow"/>
              </w:rPr>
            </w:pPr>
            <w:r w:rsidRPr="004F4478">
              <w:rPr>
                <w:color w:val="5B9BD5" w:themeColor="accent1"/>
                <w:sz w:val="18"/>
                <w:highlight w:val="yellow"/>
              </w:rPr>
              <w:t>CE QUI A DÉJÀ ÉTÉ FAIT</w:t>
            </w:r>
          </w:p>
        </w:tc>
      </w:tr>
      <w:tr w:rsidR="00860A11" w:rsidRPr="004F4478" w:rsidTr="00D90A43">
        <w:trPr>
          <w:jc w:val="center"/>
        </w:trPr>
        <w:tc>
          <w:tcPr>
            <w:tcW w:w="2965" w:type="dxa"/>
            <w:shd w:val="clear" w:color="auto" w:fill="auto"/>
          </w:tcPr>
          <w:p w:rsidR="00860A11" w:rsidRPr="004F4478" w:rsidRDefault="00860A11" w:rsidP="001B4E97">
            <w:pPr>
              <w:pStyle w:val="Htableleft"/>
              <w:rPr>
                <w:rFonts w:cs="Arial"/>
                <w:color w:val="576C88" w:themeColor="text2" w:themeTint="D9"/>
                <w:szCs w:val="18"/>
                <w:highlight w:val="yellow"/>
              </w:rPr>
            </w:pPr>
            <w:r w:rsidRPr="004F4478">
              <w:rPr>
                <w:color w:val="576C88" w:themeColor="text2" w:themeTint="D9"/>
                <w:highlight w:val="yellow"/>
              </w:rPr>
              <w:t xml:space="preserve">Quels sont les principaux résultats de l'évaluation? Qu’est-ce qui a été conclu / recommandé? </w:t>
            </w:r>
          </w:p>
          <w:p w:rsidR="00860A11" w:rsidRPr="004F4478" w:rsidRDefault="00860A11" w:rsidP="001B4E97">
            <w:pPr>
              <w:pStyle w:val="Htableleft"/>
              <w:rPr>
                <w:rFonts w:cs="Arial"/>
                <w:color w:val="576C88" w:themeColor="text2" w:themeTint="D9"/>
                <w:szCs w:val="18"/>
                <w:highlight w:val="yellow"/>
              </w:rPr>
            </w:pPr>
            <w:r w:rsidRPr="004F4478">
              <w:rPr>
                <w:color w:val="576C88" w:themeColor="text2" w:themeTint="D9"/>
                <w:highlight w:val="yellow"/>
              </w:rPr>
              <w:t xml:space="preserve">Quel est le changement </w:t>
            </w:r>
            <w:r>
              <w:rPr>
                <w:color w:val="576C88" w:themeColor="text2" w:themeTint="D9"/>
                <w:highlight w:val="yellow"/>
              </w:rPr>
              <w:t>escompté</w:t>
            </w:r>
            <w:r w:rsidRPr="004F4478">
              <w:rPr>
                <w:color w:val="576C88" w:themeColor="text2" w:themeTint="D9"/>
                <w:highlight w:val="yellow"/>
              </w:rPr>
              <w:t>?</w:t>
            </w:r>
          </w:p>
          <w:p w:rsidR="00860A11" w:rsidRPr="004F4478" w:rsidRDefault="00860A11" w:rsidP="001B4E97">
            <w:pPr>
              <w:pStyle w:val="Htableleft"/>
              <w:rPr>
                <w:rFonts w:cs="Arial"/>
                <w:color w:val="576C88" w:themeColor="text2" w:themeTint="D9"/>
                <w:szCs w:val="18"/>
                <w:highlight w:val="yellow"/>
              </w:rPr>
            </w:pPr>
            <w:r w:rsidRPr="004F4478">
              <w:rPr>
                <w:color w:val="576C88" w:themeColor="text2" w:themeTint="D9"/>
                <w:highlight w:val="yellow"/>
              </w:rPr>
              <w:t>Comment la MA / NSU voit-elles les choses?</w:t>
            </w:r>
          </w:p>
          <w:p w:rsidR="00860A11" w:rsidRPr="004F4478" w:rsidRDefault="00860A11" w:rsidP="001B4E97">
            <w:pPr>
              <w:pStyle w:val="Htableleft"/>
              <w:rPr>
                <w:rFonts w:cs="Arial"/>
                <w:color w:val="576C88" w:themeColor="text2" w:themeTint="D9"/>
                <w:szCs w:val="18"/>
                <w:highlight w:val="yellow"/>
              </w:rPr>
            </w:pPr>
            <w:r w:rsidRPr="004F4478">
              <w:rPr>
                <w:color w:val="576C88" w:themeColor="text2" w:themeTint="D9"/>
                <w:highlight w:val="yellow"/>
              </w:rPr>
              <w:t>Que faut-il faire?</w:t>
            </w:r>
          </w:p>
        </w:tc>
        <w:tc>
          <w:tcPr>
            <w:tcW w:w="1530" w:type="dxa"/>
            <w:shd w:val="clear" w:color="auto" w:fill="auto"/>
          </w:tcPr>
          <w:p w:rsidR="00860A11" w:rsidRPr="004F4478" w:rsidRDefault="00860A11" w:rsidP="001B4E97">
            <w:pPr>
              <w:pStyle w:val="Htableleft"/>
              <w:rPr>
                <w:rFonts w:cs="Arial"/>
                <w:color w:val="576C88" w:themeColor="text2" w:themeTint="D9"/>
                <w:szCs w:val="18"/>
                <w:highlight w:val="yellow"/>
              </w:rPr>
            </w:pPr>
            <w:r w:rsidRPr="004F4478">
              <w:rPr>
                <w:color w:val="576C88" w:themeColor="text2" w:themeTint="D9"/>
                <w:highlight w:val="yellow"/>
              </w:rPr>
              <w:t>Échéancier pour le suivi, la date finale de suivi</w:t>
            </w:r>
          </w:p>
        </w:tc>
        <w:tc>
          <w:tcPr>
            <w:tcW w:w="1530" w:type="dxa"/>
            <w:shd w:val="clear" w:color="auto" w:fill="auto"/>
          </w:tcPr>
          <w:p w:rsidR="00860A11" w:rsidRPr="004F4478" w:rsidRDefault="00860A11" w:rsidP="001B4E97">
            <w:pPr>
              <w:pStyle w:val="Htableleft"/>
              <w:rPr>
                <w:rFonts w:cs="Arial"/>
                <w:color w:val="576C88" w:themeColor="text2" w:themeTint="D9"/>
                <w:szCs w:val="18"/>
                <w:highlight w:val="yellow"/>
              </w:rPr>
            </w:pPr>
            <w:r w:rsidRPr="004F4478">
              <w:rPr>
                <w:color w:val="576C88" w:themeColor="text2" w:themeTint="D9"/>
                <w:highlight w:val="yellow"/>
              </w:rPr>
              <w:t>La responsabilité du suivi</w:t>
            </w:r>
          </w:p>
          <w:p w:rsidR="00860A11" w:rsidRPr="004F4478" w:rsidRDefault="00860A11" w:rsidP="007C4336">
            <w:pPr>
              <w:pStyle w:val="Htableleft"/>
              <w:rPr>
                <w:rFonts w:cs="Arial"/>
                <w:color w:val="576C88" w:themeColor="text2" w:themeTint="D9"/>
                <w:szCs w:val="18"/>
                <w:highlight w:val="yellow"/>
              </w:rPr>
            </w:pPr>
            <w:r w:rsidRPr="004F4478">
              <w:rPr>
                <w:color w:val="576C88" w:themeColor="text2" w:themeTint="D9"/>
                <w:highlight w:val="yellow"/>
              </w:rPr>
              <w:t xml:space="preserve">autres personnes </w:t>
            </w:r>
            <w:r>
              <w:rPr>
                <w:color w:val="576C88" w:themeColor="text2" w:themeTint="D9"/>
                <w:highlight w:val="yellow"/>
              </w:rPr>
              <w:t>concernées</w:t>
            </w:r>
            <w:r w:rsidRPr="004F4478">
              <w:rPr>
                <w:color w:val="576C88" w:themeColor="text2" w:themeTint="D9"/>
                <w:highlight w:val="yellow"/>
              </w:rPr>
              <w:t xml:space="preserve"> </w:t>
            </w:r>
          </w:p>
        </w:tc>
        <w:tc>
          <w:tcPr>
            <w:tcW w:w="1620" w:type="dxa"/>
            <w:shd w:val="clear" w:color="auto" w:fill="auto"/>
          </w:tcPr>
          <w:p w:rsidR="00860A11" w:rsidRPr="004F4478" w:rsidRDefault="00860A11" w:rsidP="001B4E97">
            <w:pPr>
              <w:pStyle w:val="Htableleft"/>
              <w:rPr>
                <w:rFonts w:cs="Arial"/>
                <w:color w:val="576C88" w:themeColor="text2" w:themeTint="D9"/>
                <w:szCs w:val="18"/>
                <w:highlight w:val="yellow"/>
              </w:rPr>
            </w:pPr>
            <w:r w:rsidRPr="004F4478">
              <w:rPr>
                <w:color w:val="576C88" w:themeColor="text2" w:themeTint="D9"/>
                <w:highlight w:val="yellow"/>
              </w:rPr>
              <w:t xml:space="preserve">Format de suivi </w:t>
            </w:r>
          </w:p>
        </w:tc>
        <w:tc>
          <w:tcPr>
            <w:tcW w:w="1440" w:type="dxa"/>
            <w:shd w:val="clear" w:color="auto" w:fill="auto"/>
          </w:tcPr>
          <w:p w:rsidR="00860A11" w:rsidRPr="004F4478" w:rsidRDefault="00860A11" w:rsidP="001B4E97">
            <w:pPr>
              <w:pStyle w:val="Htableleft"/>
              <w:rPr>
                <w:rFonts w:cs="Arial"/>
                <w:color w:val="576C88" w:themeColor="text2" w:themeTint="D9"/>
                <w:szCs w:val="18"/>
                <w:highlight w:val="yellow"/>
              </w:rPr>
            </w:pPr>
            <w:r w:rsidRPr="004F4478">
              <w:rPr>
                <w:color w:val="576C88" w:themeColor="text2" w:themeTint="D9"/>
                <w:highlight w:val="yellow"/>
              </w:rPr>
              <w:t>Statut du suivi, date</w:t>
            </w:r>
          </w:p>
        </w:tc>
      </w:tr>
      <w:tr w:rsidR="00860A11" w:rsidRPr="004F4478" w:rsidTr="00D90A43">
        <w:trPr>
          <w:jc w:val="center"/>
        </w:trPr>
        <w:tc>
          <w:tcPr>
            <w:tcW w:w="2965" w:type="dxa"/>
            <w:shd w:val="clear" w:color="auto" w:fill="auto"/>
          </w:tcPr>
          <w:p w:rsidR="00860A11" w:rsidRPr="004F4478" w:rsidRDefault="00860A11" w:rsidP="001B4E97">
            <w:pPr>
              <w:pStyle w:val="Htableleft"/>
              <w:rPr>
                <w:rFonts w:cs="Arial"/>
                <w:color w:val="576C88" w:themeColor="text2" w:themeTint="D9"/>
                <w:szCs w:val="18"/>
                <w:highlight w:val="yellow"/>
              </w:rPr>
            </w:pPr>
            <w:r w:rsidRPr="004F4478">
              <w:rPr>
                <w:color w:val="576C88" w:themeColor="text2" w:themeTint="D9"/>
                <w:highlight w:val="yellow"/>
              </w:rPr>
              <w:t>Résultat - conclusion</w:t>
            </w:r>
          </w:p>
          <w:p w:rsidR="00860A11" w:rsidRPr="004F4478" w:rsidRDefault="00860A11" w:rsidP="001B4E97">
            <w:pPr>
              <w:pStyle w:val="Htableleft"/>
              <w:rPr>
                <w:rFonts w:cs="Arial"/>
                <w:color w:val="576C88" w:themeColor="text2" w:themeTint="D9"/>
                <w:szCs w:val="18"/>
                <w:highlight w:val="yellow"/>
              </w:rPr>
            </w:pPr>
            <w:r w:rsidRPr="004F4478">
              <w:rPr>
                <w:color w:val="576C88" w:themeColor="text2" w:themeTint="D9"/>
                <w:highlight w:val="yellow"/>
              </w:rPr>
              <w:t>Recommandation 1:</w:t>
            </w:r>
          </w:p>
          <w:p w:rsidR="00860A11" w:rsidRPr="004F4478" w:rsidRDefault="00860A11" w:rsidP="001B4E97">
            <w:pPr>
              <w:pStyle w:val="Htableleft"/>
              <w:rPr>
                <w:rFonts w:cs="Arial"/>
                <w:color w:val="576C88" w:themeColor="text2" w:themeTint="D9"/>
                <w:szCs w:val="18"/>
                <w:highlight w:val="yellow"/>
              </w:rPr>
            </w:pPr>
            <w:r w:rsidRPr="004F4478">
              <w:rPr>
                <w:color w:val="576C88" w:themeColor="text2" w:themeTint="D9"/>
                <w:highlight w:val="yellow"/>
              </w:rPr>
              <w:t>solidement fondée sur des preuves et  l'analyse, clairement formulée, pragmatique</w:t>
            </w:r>
          </w:p>
          <w:p w:rsidR="00860A11" w:rsidRPr="004F4478" w:rsidRDefault="00860A11" w:rsidP="001B4E97">
            <w:pPr>
              <w:pStyle w:val="Htableleft"/>
              <w:rPr>
                <w:rFonts w:cs="Arial"/>
                <w:color w:val="576C88" w:themeColor="text2" w:themeTint="D9"/>
                <w:szCs w:val="18"/>
                <w:highlight w:val="yellow"/>
              </w:rPr>
            </w:pPr>
            <w:r w:rsidRPr="004F4478">
              <w:rPr>
                <w:color w:val="576C88" w:themeColor="text2" w:themeTint="D9"/>
                <w:highlight w:val="yellow"/>
              </w:rPr>
              <w:t>Changement escompté:</w:t>
            </w:r>
          </w:p>
          <w:p w:rsidR="00860A11" w:rsidRPr="004F4478" w:rsidRDefault="00860A11" w:rsidP="001B4E97">
            <w:pPr>
              <w:pStyle w:val="Htableleft"/>
              <w:rPr>
                <w:rFonts w:cs="Arial"/>
                <w:color w:val="576C88" w:themeColor="text2" w:themeTint="D9"/>
                <w:szCs w:val="18"/>
                <w:highlight w:val="yellow"/>
              </w:rPr>
            </w:pPr>
            <w:r w:rsidRPr="004F4478">
              <w:rPr>
                <w:color w:val="576C88" w:themeColor="text2" w:themeTint="D9"/>
                <w:highlight w:val="yellow"/>
              </w:rPr>
              <w:t>selon le rapport d'évaluation</w:t>
            </w:r>
          </w:p>
          <w:p w:rsidR="00860A11" w:rsidRPr="004F4478" w:rsidRDefault="00860A11" w:rsidP="001B4E97">
            <w:pPr>
              <w:pStyle w:val="Htableleft"/>
              <w:rPr>
                <w:rFonts w:cs="Arial"/>
                <w:color w:val="576C88" w:themeColor="text2" w:themeTint="D9"/>
                <w:szCs w:val="18"/>
                <w:highlight w:val="yellow"/>
              </w:rPr>
            </w:pPr>
            <w:r w:rsidRPr="004F4478">
              <w:rPr>
                <w:color w:val="576C88" w:themeColor="text2" w:themeTint="D9"/>
                <w:highlight w:val="yellow"/>
              </w:rPr>
              <w:t>réponse MA / NSU:</w:t>
            </w:r>
          </w:p>
          <w:p w:rsidR="00860A11" w:rsidRPr="004F4478" w:rsidRDefault="00860A11" w:rsidP="001B4E97">
            <w:pPr>
              <w:pStyle w:val="Htableleft"/>
              <w:rPr>
                <w:rFonts w:cs="Arial"/>
                <w:color w:val="576C88" w:themeColor="text2" w:themeTint="D9"/>
                <w:szCs w:val="18"/>
                <w:highlight w:val="yellow"/>
              </w:rPr>
            </w:pPr>
            <w:r w:rsidRPr="004F4478">
              <w:rPr>
                <w:color w:val="576C88" w:themeColor="text2" w:themeTint="D9"/>
                <w:highlight w:val="yellow"/>
              </w:rPr>
              <w:t>acceptée, partiellement acceptée, rejetée - donner les raisons</w:t>
            </w:r>
          </w:p>
          <w:p w:rsidR="00860A11" w:rsidRPr="004F4478" w:rsidRDefault="00860A11" w:rsidP="001B4E97">
            <w:pPr>
              <w:pStyle w:val="Htableleft"/>
              <w:rPr>
                <w:rFonts w:cs="Arial"/>
                <w:color w:val="576C88" w:themeColor="text2" w:themeTint="D9"/>
                <w:szCs w:val="18"/>
                <w:highlight w:val="yellow"/>
              </w:rPr>
            </w:pPr>
            <w:r w:rsidRPr="004F4478">
              <w:rPr>
                <w:color w:val="576C88" w:themeColor="text2" w:themeTint="D9"/>
                <w:highlight w:val="yellow"/>
              </w:rPr>
              <w:t>Actions essentielles:</w:t>
            </w:r>
          </w:p>
          <w:p w:rsidR="00860A11" w:rsidRPr="004F4478" w:rsidRDefault="00860A11" w:rsidP="001B4E97">
            <w:pPr>
              <w:pStyle w:val="Htablebullet"/>
              <w:rPr>
                <w:color w:val="576C88" w:themeColor="text2" w:themeTint="D9"/>
                <w:szCs w:val="18"/>
                <w:highlight w:val="yellow"/>
              </w:rPr>
            </w:pPr>
            <w:r w:rsidRPr="004F4478">
              <w:rPr>
                <w:color w:val="576C88" w:themeColor="text2" w:themeTint="D9"/>
                <w:highlight w:val="yellow"/>
              </w:rPr>
              <w:t>...</w:t>
            </w:r>
          </w:p>
          <w:p w:rsidR="00860A11" w:rsidRPr="004F4478" w:rsidRDefault="00860A11" w:rsidP="001B4E97">
            <w:pPr>
              <w:pStyle w:val="Htablebullet"/>
              <w:rPr>
                <w:color w:val="576C88" w:themeColor="text2" w:themeTint="D9"/>
                <w:szCs w:val="18"/>
                <w:highlight w:val="yellow"/>
              </w:rPr>
            </w:pPr>
            <w:r w:rsidRPr="004F4478">
              <w:rPr>
                <w:color w:val="576C88" w:themeColor="text2" w:themeTint="D9"/>
                <w:highlight w:val="yellow"/>
              </w:rPr>
              <w:t>...</w:t>
            </w:r>
          </w:p>
        </w:tc>
        <w:tc>
          <w:tcPr>
            <w:tcW w:w="1530" w:type="dxa"/>
            <w:shd w:val="clear" w:color="auto" w:fill="auto"/>
          </w:tcPr>
          <w:p w:rsidR="00860A11" w:rsidRPr="004F4478" w:rsidRDefault="00860A11" w:rsidP="001B4E97">
            <w:pPr>
              <w:pStyle w:val="Htableleft"/>
              <w:rPr>
                <w:rFonts w:cs="Arial"/>
                <w:color w:val="576C88" w:themeColor="text2" w:themeTint="D9"/>
                <w:szCs w:val="18"/>
                <w:highlight w:val="yellow"/>
              </w:rPr>
            </w:pPr>
            <w:r w:rsidRPr="004F4478">
              <w:rPr>
                <w:color w:val="576C88" w:themeColor="text2" w:themeTint="D9"/>
                <w:highlight w:val="yellow"/>
              </w:rPr>
              <w:t>trimestrielle, annuelle, bisannuelle, etc.</w:t>
            </w:r>
          </w:p>
        </w:tc>
        <w:tc>
          <w:tcPr>
            <w:tcW w:w="1530" w:type="dxa"/>
            <w:shd w:val="clear" w:color="auto" w:fill="auto"/>
          </w:tcPr>
          <w:p w:rsidR="00860A11" w:rsidRPr="004F4478" w:rsidRDefault="00860A11" w:rsidP="001B4E97">
            <w:pPr>
              <w:pStyle w:val="Htableleft"/>
              <w:rPr>
                <w:rFonts w:cs="Arial"/>
                <w:color w:val="576C88" w:themeColor="text2" w:themeTint="D9"/>
                <w:szCs w:val="18"/>
                <w:highlight w:val="yellow"/>
              </w:rPr>
            </w:pPr>
            <w:r w:rsidRPr="004F4478">
              <w:rPr>
                <w:color w:val="576C88" w:themeColor="text2" w:themeTint="D9"/>
                <w:highlight w:val="yellow"/>
              </w:rPr>
              <w:t>organisation, unité, personne</w:t>
            </w:r>
          </w:p>
        </w:tc>
        <w:tc>
          <w:tcPr>
            <w:tcW w:w="1620" w:type="dxa"/>
            <w:shd w:val="clear" w:color="auto" w:fill="auto"/>
          </w:tcPr>
          <w:p w:rsidR="00860A11" w:rsidRPr="004F4478" w:rsidRDefault="00860A11" w:rsidP="001B4E97">
            <w:pPr>
              <w:pStyle w:val="Htableleft"/>
              <w:rPr>
                <w:rFonts w:cs="Arial"/>
                <w:color w:val="576C88" w:themeColor="text2" w:themeTint="D9"/>
                <w:szCs w:val="18"/>
                <w:highlight w:val="yellow"/>
              </w:rPr>
            </w:pPr>
            <w:r w:rsidRPr="004F4478">
              <w:rPr>
                <w:color w:val="576C88" w:themeColor="text2" w:themeTint="D9"/>
                <w:highlight w:val="yellow"/>
              </w:rPr>
              <w:t xml:space="preserve">planification annuelle du travail sur les RRN, </w:t>
            </w:r>
          </w:p>
          <w:p w:rsidR="00860A11" w:rsidRPr="004F4478" w:rsidRDefault="00860A11" w:rsidP="001B4E97">
            <w:pPr>
              <w:pStyle w:val="Htableleft"/>
              <w:rPr>
                <w:rFonts w:cs="Arial"/>
                <w:color w:val="576C88" w:themeColor="text2" w:themeTint="D9"/>
                <w:szCs w:val="18"/>
                <w:highlight w:val="yellow"/>
              </w:rPr>
            </w:pPr>
            <w:r w:rsidRPr="004F4478">
              <w:rPr>
                <w:color w:val="576C88" w:themeColor="text2" w:themeTint="D9"/>
                <w:highlight w:val="yellow"/>
              </w:rPr>
              <w:t xml:space="preserve">AIR - Rapport  annuel de mise en œuvre </w:t>
            </w:r>
          </w:p>
          <w:p w:rsidR="00860A11" w:rsidRPr="004F4478" w:rsidRDefault="00860A11" w:rsidP="001B4E97">
            <w:pPr>
              <w:pStyle w:val="Htableleft"/>
              <w:rPr>
                <w:rFonts w:cs="Arial"/>
                <w:color w:val="576C88" w:themeColor="text2" w:themeTint="D9"/>
                <w:szCs w:val="18"/>
                <w:highlight w:val="yellow"/>
              </w:rPr>
            </w:pPr>
            <w:r w:rsidRPr="004F4478">
              <w:rPr>
                <w:color w:val="576C88" w:themeColor="text2" w:themeTint="D9"/>
                <w:highlight w:val="yellow"/>
              </w:rPr>
              <w:t xml:space="preserve">Comité de suivi </w:t>
            </w:r>
          </w:p>
          <w:p w:rsidR="00860A11" w:rsidRPr="004F4478" w:rsidRDefault="00860A11" w:rsidP="001B4E97">
            <w:pPr>
              <w:pStyle w:val="Htableleft"/>
              <w:rPr>
                <w:rFonts w:cs="Arial"/>
                <w:color w:val="576C88" w:themeColor="text2" w:themeTint="D9"/>
                <w:szCs w:val="18"/>
                <w:highlight w:val="yellow"/>
              </w:rPr>
            </w:pPr>
            <w:r w:rsidRPr="004F4478">
              <w:rPr>
                <w:color w:val="576C88" w:themeColor="text2" w:themeTint="D9"/>
                <w:highlight w:val="yellow"/>
              </w:rPr>
              <w:t>Groupe de pilotage</w:t>
            </w:r>
            <w:r>
              <w:rPr>
                <w:color w:val="576C88" w:themeColor="text2" w:themeTint="D9"/>
                <w:highlight w:val="yellow"/>
              </w:rPr>
              <w:t>, etc.</w:t>
            </w:r>
          </w:p>
        </w:tc>
        <w:tc>
          <w:tcPr>
            <w:tcW w:w="1440" w:type="dxa"/>
            <w:shd w:val="clear" w:color="auto" w:fill="auto"/>
          </w:tcPr>
          <w:p w:rsidR="00860A11" w:rsidRPr="004F4478" w:rsidRDefault="00860A11" w:rsidP="001B4E97">
            <w:pPr>
              <w:pStyle w:val="Htableleft"/>
              <w:rPr>
                <w:rFonts w:cs="Arial"/>
                <w:color w:val="576C88" w:themeColor="text2" w:themeTint="D9"/>
                <w:szCs w:val="18"/>
                <w:highlight w:val="yellow"/>
              </w:rPr>
            </w:pPr>
            <w:r w:rsidRPr="004F4478">
              <w:rPr>
                <w:color w:val="576C88" w:themeColor="text2" w:themeTint="D9"/>
                <w:highlight w:val="yellow"/>
              </w:rPr>
              <w:t>Codes sur l’avancement:</w:t>
            </w:r>
          </w:p>
          <w:p w:rsidR="00860A11" w:rsidRPr="004F4478" w:rsidRDefault="00860A11" w:rsidP="001B4E97">
            <w:pPr>
              <w:pStyle w:val="Htableleft"/>
              <w:rPr>
                <w:rFonts w:cs="Arial"/>
                <w:color w:val="576C88" w:themeColor="text2" w:themeTint="D9"/>
                <w:szCs w:val="18"/>
                <w:highlight w:val="yellow"/>
              </w:rPr>
            </w:pPr>
            <w:r w:rsidRPr="004F4478">
              <w:rPr>
                <w:color w:val="576C88" w:themeColor="text2" w:themeTint="D9"/>
                <w:highlight w:val="yellow"/>
              </w:rPr>
              <w:t>pas encore commencé</w:t>
            </w:r>
          </w:p>
          <w:p w:rsidR="00860A11" w:rsidRPr="004F4478" w:rsidRDefault="00860A11" w:rsidP="001B4E97">
            <w:pPr>
              <w:pStyle w:val="Htableleft"/>
              <w:rPr>
                <w:rFonts w:cs="Arial"/>
                <w:color w:val="576C88" w:themeColor="text2" w:themeTint="D9"/>
                <w:szCs w:val="18"/>
                <w:highlight w:val="yellow"/>
              </w:rPr>
            </w:pPr>
            <w:r w:rsidRPr="004F4478">
              <w:rPr>
                <w:color w:val="576C88" w:themeColor="text2" w:themeTint="D9"/>
                <w:highlight w:val="yellow"/>
              </w:rPr>
              <w:t>en cours</w:t>
            </w:r>
          </w:p>
          <w:p w:rsidR="00860A11" w:rsidRPr="004F4478" w:rsidRDefault="00860A11" w:rsidP="001B4E97">
            <w:pPr>
              <w:pStyle w:val="Htableleft"/>
              <w:rPr>
                <w:rFonts w:cs="Arial"/>
                <w:color w:val="576C88" w:themeColor="text2" w:themeTint="D9"/>
                <w:szCs w:val="18"/>
                <w:highlight w:val="yellow"/>
              </w:rPr>
            </w:pPr>
            <w:r w:rsidRPr="004F4478">
              <w:rPr>
                <w:color w:val="576C88" w:themeColor="text2" w:themeTint="D9"/>
                <w:highlight w:val="yellow"/>
              </w:rPr>
              <w:t>finalisé</w:t>
            </w:r>
          </w:p>
        </w:tc>
      </w:tr>
      <w:tr w:rsidR="00860A11" w:rsidRPr="004F4478" w:rsidTr="00D90A43">
        <w:trPr>
          <w:jc w:val="center"/>
        </w:trPr>
        <w:tc>
          <w:tcPr>
            <w:tcW w:w="2965" w:type="dxa"/>
            <w:shd w:val="clear" w:color="auto" w:fill="auto"/>
          </w:tcPr>
          <w:p w:rsidR="00860A11" w:rsidRPr="004F4478" w:rsidRDefault="00860A11" w:rsidP="001B4E97">
            <w:pPr>
              <w:pStyle w:val="Htableleft"/>
              <w:rPr>
                <w:rFonts w:cs="Arial"/>
                <w:color w:val="576C88" w:themeColor="text2" w:themeTint="D9"/>
                <w:szCs w:val="18"/>
                <w:highlight w:val="yellow"/>
              </w:rPr>
            </w:pPr>
            <w:r w:rsidRPr="004F4478">
              <w:rPr>
                <w:color w:val="576C88" w:themeColor="text2" w:themeTint="D9"/>
                <w:highlight w:val="yellow"/>
              </w:rPr>
              <w:t>Résultats - conclusions - Recommandation 2:</w:t>
            </w:r>
          </w:p>
          <w:p w:rsidR="00860A11" w:rsidRPr="004F4478" w:rsidRDefault="00860A11" w:rsidP="001B4E97">
            <w:pPr>
              <w:pStyle w:val="Htableleft"/>
              <w:rPr>
                <w:rFonts w:cs="Arial"/>
                <w:color w:val="576C88" w:themeColor="text2" w:themeTint="D9"/>
                <w:szCs w:val="18"/>
                <w:highlight w:val="yellow"/>
              </w:rPr>
            </w:pPr>
            <w:r w:rsidRPr="004F4478">
              <w:rPr>
                <w:color w:val="576C88" w:themeColor="text2" w:themeTint="D9"/>
                <w:highlight w:val="yellow"/>
              </w:rPr>
              <w:t>Changement escompté:</w:t>
            </w:r>
          </w:p>
          <w:p w:rsidR="00860A11" w:rsidRPr="004F4478" w:rsidRDefault="00860A11" w:rsidP="001B4E97">
            <w:pPr>
              <w:pStyle w:val="Htableleft"/>
              <w:rPr>
                <w:rFonts w:cs="Arial"/>
                <w:color w:val="576C88" w:themeColor="text2" w:themeTint="D9"/>
                <w:szCs w:val="18"/>
                <w:highlight w:val="yellow"/>
              </w:rPr>
            </w:pPr>
            <w:r w:rsidRPr="004F4478">
              <w:rPr>
                <w:color w:val="576C88" w:themeColor="text2" w:themeTint="D9"/>
                <w:highlight w:val="yellow"/>
              </w:rPr>
              <w:t>Réponse MA / NSU:</w:t>
            </w:r>
          </w:p>
          <w:p w:rsidR="00860A11" w:rsidRPr="004F4478" w:rsidRDefault="00860A11" w:rsidP="001B4E97">
            <w:pPr>
              <w:pStyle w:val="Htableleft"/>
              <w:rPr>
                <w:rFonts w:cs="Arial"/>
                <w:color w:val="576C88" w:themeColor="text2" w:themeTint="D9"/>
                <w:szCs w:val="18"/>
                <w:highlight w:val="yellow"/>
              </w:rPr>
            </w:pPr>
            <w:r w:rsidRPr="004F4478">
              <w:rPr>
                <w:color w:val="576C88" w:themeColor="text2" w:themeTint="D9"/>
                <w:highlight w:val="yellow"/>
              </w:rPr>
              <w:t>Actions essentielles:</w:t>
            </w:r>
          </w:p>
          <w:p w:rsidR="00860A11" w:rsidRPr="004F4478" w:rsidRDefault="00860A11" w:rsidP="001B4E97">
            <w:pPr>
              <w:pStyle w:val="Htablebullet"/>
              <w:rPr>
                <w:color w:val="576C88" w:themeColor="text2" w:themeTint="D9"/>
                <w:szCs w:val="18"/>
                <w:highlight w:val="yellow"/>
              </w:rPr>
            </w:pPr>
            <w:r w:rsidRPr="004F4478">
              <w:rPr>
                <w:color w:val="576C88" w:themeColor="text2" w:themeTint="D9"/>
                <w:highlight w:val="yellow"/>
              </w:rPr>
              <w:t>...</w:t>
            </w:r>
          </w:p>
          <w:p w:rsidR="00860A11" w:rsidRPr="004F4478" w:rsidRDefault="00860A11" w:rsidP="001B4E97">
            <w:pPr>
              <w:pStyle w:val="Htablebullet"/>
              <w:rPr>
                <w:color w:val="576C88" w:themeColor="text2" w:themeTint="D9"/>
                <w:szCs w:val="18"/>
                <w:highlight w:val="yellow"/>
              </w:rPr>
            </w:pPr>
            <w:r w:rsidRPr="004F4478">
              <w:rPr>
                <w:color w:val="576C88" w:themeColor="text2" w:themeTint="D9"/>
                <w:highlight w:val="yellow"/>
              </w:rPr>
              <w:t>...</w:t>
            </w:r>
          </w:p>
        </w:tc>
        <w:tc>
          <w:tcPr>
            <w:tcW w:w="1530" w:type="dxa"/>
            <w:shd w:val="clear" w:color="auto" w:fill="auto"/>
          </w:tcPr>
          <w:p w:rsidR="00860A11" w:rsidRPr="004F4478" w:rsidRDefault="00860A11" w:rsidP="001B4E97">
            <w:pPr>
              <w:pStyle w:val="Htableleft"/>
              <w:rPr>
                <w:rFonts w:cs="Arial"/>
                <w:color w:val="576C88" w:themeColor="text2" w:themeTint="D9"/>
                <w:szCs w:val="18"/>
                <w:highlight w:val="yellow"/>
              </w:rPr>
            </w:pPr>
          </w:p>
        </w:tc>
        <w:tc>
          <w:tcPr>
            <w:tcW w:w="1530" w:type="dxa"/>
            <w:shd w:val="clear" w:color="auto" w:fill="auto"/>
          </w:tcPr>
          <w:p w:rsidR="00860A11" w:rsidRPr="004F4478" w:rsidRDefault="00860A11" w:rsidP="001B4E97">
            <w:pPr>
              <w:pStyle w:val="Htableleft"/>
              <w:rPr>
                <w:rFonts w:cs="Arial"/>
                <w:color w:val="576C88" w:themeColor="text2" w:themeTint="D9"/>
                <w:szCs w:val="18"/>
                <w:highlight w:val="yellow"/>
              </w:rPr>
            </w:pPr>
          </w:p>
        </w:tc>
        <w:tc>
          <w:tcPr>
            <w:tcW w:w="1620" w:type="dxa"/>
            <w:shd w:val="clear" w:color="auto" w:fill="auto"/>
          </w:tcPr>
          <w:p w:rsidR="00860A11" w:rsidRPr="004F4478" w:rsidRDefault="00860A11" w:rsidP="001B4E97">
            <w:pPr>
              <w:pStyle w:val="Htableleft"/>
              <w:rPr>
                <w:rFonts w:cs="Arial"/>
                <w:color w:val="576C88" w:themeColor="text2" w:themeTint="D9"/>
                <w:szCs w:val="18"/>
                <w:highlight w:val="yellow"/>
              </w:rPr>
            </w:pPr>
          </w:p>
        </w:tc>
        <w:tc>
          <w:tcPr>
            <w:tcW w:w="1440" w:type="dxa"/>
            <w:shd w:val="clear" w:color="auto" w:fill="auto"/>
          </w:tcPr>
          <w:p w:rsidR="00860A11" w:rsidRPr="004F4478" w:rsidRDefault="00860A11" w:rsidP="001B4E97">
            <w:pPr>
              <w:pStyle w:val="Htableleft"/>
              <w:rPr>
                <w:rFonts w:cs="Arial"/>
                <w:color w:val="576C88" w:themeColor="text2" w:themeTint="D9"/>
                <w:szCs w:val="18"/>
                <w:highlight w:val="yellow"/>
              </w:rPr>
            </w:pPr>
          </w:p>
        </w:tc>
      </w:tr>
    </w:tbl>
    <w:p w:rsidR="00860A11" w:rsidRPr="004F4478" w:rsidRDefault="00860A11" w:rsidP="009E75C6">
      <w:pPr>
        <w:pStyle w:val="HHeadingtables"/>
        <w:numPr>
          <w:ilvl w:val="0"/>
          <w:numId w:val="0"/>
        </w:numPr>
        <w:rPr>
          <w:highlight w:val="yellow"/>
        </w:rPr>
      </w:pPr>
    </w:p>
    <w:p w:rsidR="00860A11" w:rsidRPr="004F4478" w:rsidRDefault="00860A11">
      <w:pPr>
        <w:spacing w:after="0" w:line="240" w:lineRule="auto"/>
        <w:rPr>
          <w:rFonts w:cs="Arial"/>
          <w:b/>
          <w:color w:val="576C88" w:themeColor="text2" w:themeTint="D9"/>
          <w:sz w:val="16"/>
          <w:szCs w:val="20"/>
          <w:highlight w:val="yellow"/>
        </w:rPr>
      </w:pPr>
      <w:r w:rsidRPr="004F4478">
        <w:br w:type="page"/>
      </w:r>
    </w:p>
    <w:p w:rsidR="00860A11" w:rsidRPr="004F4478" w:rsidRDefault="00860A11" w:rsidP="001249DA">
      <w:pPr>
        <w:pStyle w:val="HHeadingtables"/>
        <w:rPr>
          <w:highlight w:val="yellow"/>
        </w:rPr>
      </w:pPr>
      <w:bookmarkStart w:id="161" w:name="_Toc451781914"/>
      <w:bookmarkStart w:id="162" w:name="_Toc463945788"/>
      <w:r w:rsidRPr="004F4478">
        <w:rPr>
          <w:highlight w:val="yellow"/>
        </w:rPr>
        <w:lastRenderedPageBreak/>
        <w:t>Responsabilités des parties prenantes dans la communication et le suivi des résultats de l'évaluation des RRN</w:t>
      </w:r>
      <w:bookmarkEnd w:id="161"/>
      <w:bookmarkEnd w:id="162"/>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459"/>
        <w:gridCol w:w="1594"/>
        <w:gridCol w:w="1312"/>
        <w:gridCol w:w="1797"/>
        <w:gridCol w:w="1247"/>
        <w:gridCol w:w="2612"/>
      </w:tblGrid>
      <w:tr w:rsidR="00860A11" w:rsidRPr="004F4478" w:rsidTr="001413F0">
        <w:tc>
          <w:tcPr>
            <w:tcW w:w="0" w:type="auto"/>
            <w:tcBorders>
              <w:top w:val="nil"/>
              <w:left w:val="nil"/>
              <w:bottom w:val="single" w:sz="4" w:space="0" w:color="000000" w:themeColor="text1"/>
            </w:tcBorders>
          </w:tcPr>
          <w:p w:rsidR="00860A11" w:rsidRPr="004F4478" w:rsidRDefault="00860A11" w:rsidP="008B1515">
            <w:pPr>
              <w:jc w:val="right"/>
              <w:rPr>
                <w:b/>
                <w:szCs w:val="18"/>
                <w:highlight w:val="yellow"/>
              </w:rPr>
            </w:pPr>
          </w:p>
        </w:tc>
        <w:tc>
          <w:tcPr>
            <w:tcW w:w="0" w:type="auto"/>
            <w:shd w:val="clear" w:color="auto" w:fill="E7E6E6" w:themeFill="background2"/>
          </w:tcPr>
          <w:p w:rsidR="00860A11" w:rsidRPr="004F4478" w:rsidRDefault="00860A11" w:rsidP="001413F0">
            <w:pPr>
              <w:jc w:val="center"/>
              <w:rPr>
                <w:b/>
                <w:color w:val="5B9BD5" w:themeColor="accent1"/>
                <w:szCs w:val="18"/>
                <w:highlight w:val="yellow"/>
              </w:rPr>
            </w:pPr>
            <w:r w:rsidRPr="004F4478">
              <w:rPr>
                <w:b/>
                <w:color w:val="5B9BD5" w:themeColor="accent1"/>
                <w:highlight w:val="yellow"/>
              </w:rPr>
              <w:t>Actions</w:t>
            </w:r>
          </w:p>
        </w:tc>
        <w:tc>
          <w:tcPr>
            <w:tcW w:w="0" w:type="auto"/>
            <w:gridSpan w:val="4"/>
            <w:shd w:val="clear" w:color="auto" w:fill="E7E6E6" w:themeFill="background2"/>
          </w:tcPr>
          <w:p w:rsidR="00860A11" w:rsidRPr="004F4478" w:rsidRDefault="00860A11" w:rsidP="001413F0">
            <w:pPr>
              <w:jc w:val="center"/>
              <w:rPr>
                <w:b/>
                <w:color w:val="5B9BD5" w:themeColor="accent1"/>
                <w:szCs w:val="18"/>
                <w:highlight w:val="yellow"/>
              </w:rPr>
            </w:pPr>
            <w:r w:rsidRPr="004F4478">
              <w:rPr>
                <w:b/>
                <w:color w:val="5B9BD5" w:themeColor="accent1"/>
                <w:highlight w:val="yellow"/>
              </w:rPr>
              <w:t>Acteurs</w:t>
            </w:r>
          </w:p>
        </w:tc>
      </w:tr>
      <w:tr w:rsidR="00860A11" w:rsidRPr="004F4478" w:rsidTr="001413F0">
        <w:trPr>
          <w:cantSplit/>
          <w:trHeight w:val="1134"/>
        </w:trPr>
        <w:tc>
          <w:tcPr>
            <w:tcW w:w="0" w:type="auto"/>
            <w:shd w:val="clear" w:color="auto" w:fill="E7E6E6" w:themeFill="background2"/>
            <w:textDirection w:val="tbRl"/>
          </w:tcPr>
          <w:p w:rsidR="00860A11" w:rsidRPr="004F4478" w:rsidRDefault="00860A11" w:rsidP="001413F0">
            <w:pPr>
              <w:ind w:left="113" w:right="113"/>
              <w:jc w:val="center"/>
              <w:rPr>
                <w:b/>
                <w:color w:val="5B9BD5" w:themeColor="accent1"/>
                <w:szCs w:val="18"/>
                <w:highlight w:val="yellow"/>
              </w:rPr>
            </w:pPr>
            <w:r w:rsidRPr="004F4478">
              <w:rPr>
                <w:b/>
                <w:color w:val="5B9BD5" w:themeColor="accent1"/>
                <w:highlight w:val="yellow"/>
              </w:rPr>
              <w:t>Phase</w:t>
            </w:r>
          </w:p>
        </w:tc>
        <w:tc>
          <w:tcPr>
            <w:tcW w:w="0" w:type="auto"/>
          </w:tcPr>
          <w:p w:rsidR="00860A11" w:rsidRPr="004F4478" w:rsidRDefault="00860A11" w:rsidP="008B1515">
            <w:pPr>
              <w:rPr>
                <w:b/>
                <w:color w:val="E7E6E6" w:themeColor="background2"/>
                <w:szCs w:val="18"/>
                <w:highlight w:val="yellow"/>
              </w:rPr>
            </w:pPr>
            <w:r w:rsidRPr="004F4478">
              <w:rPr>
                <w:b/>
                <w:color w:val="E7E6E6" w:themeColor="background2"/>
                <w:highlight w:val="yellow"/>
              </w:rPr>
              <w:t>Étape</w:t>
            </w:r>
          </w:p>
        </w:tc>
        <w:tc>
          <w:tcPr>
            <w:tcW w:w="0" w:type="auto"/>
          </w:tcPr>
          <w:p w:rsidR="00860A11" w:rsidRPr="004F4478" w:rsidRDefault="00860A11" w:rsidP="008B1515">
            <w:pPr>
              <w:rPr>
                <w:i/>
                <w:szCs w:val="18"/>
                <w:highlight w:val="yellow"/>
              </w:rPr>
            </w:pPr>
            <w:r w:rsidRPr="004F4478">
              <w:rPr>
                <w:i/>
                <w:highlight w:val="yellow"/>
              </w:rPr>
              <w:t>MA</w:t>
            </w:r>
          </w:p>
        </w:tc>
        <w:tc>
          <w:tcPr>
            <w:tcW w:w="0" w:type="auto"/>
          </w:tcPr>
          <w:p w:rsidR="00860A11" w:rsidRPr="004F4478" w:rsidRDefault="00860A11" w:rsidP="008B1515">
            <w:pPr>
              <w:rPr>
                <w:i/>
                <w:szCs w:val="18"/>
                <w:highlight w:val="yellow"/>
              </w:rPr>
            </w:pPr>
            <w:r w:rsidRPr="004F4478">
              <w:rPr>
                <w:i/>
                <w:highlight w:val="yellow"/>
              </w:rPr>
              <w:t>autres unités MA</w:t>
            </w:r>
          </w:p>
        </w:tc>
        <w:tc>
          <w:tcPr>
            <w:tcW w:w="0" w:type="auto"/>
          </w:tcPr>
          <w:p w:rsidR="00860A11" w:rsidRPr="004F4478" w:rsidRDefault="00860A11" w:rsidP="008B1515">
            <w:pPr>
              <w:rPr>
                <w:i/>
                <w:szCs w:val="18"/>
                <w:highlight w:val="yellow"/>
              </w:rPr>
            </w:pPr>
            <w:r w:rsidRPr="004F4478">
              <w:rPr>
                <w:i/>
                <w:highlight w:val="yellow"/>
              </w:rPr>
              <w:t>NSU</w:t>
            </w:r>
          </w:p>
        </w:tc>
        <w:tc>
          <w:tcPr>
            <w:tcW w:w="0" w:type="auto"/>
          </w:tcPr>
          <w:p w:rsidR="00860A11" w:rsidRPr="004F4478" w:rsidRDefault="00860A11" w:rsidP="008B1515">
            <w:pPr>
              <w:rPr>
                <w:i/>
                <w:szCs w:val="18"/>
                <w:highlight w:val="yellow"/>
              </w:rPr>
            </w:pPr>
            <w:r w:rsidRPr="004F4478">
              <w:rPr>
                <w:i/>
                <w:highlight w:val="yellow"/>
              </w:rPr>
              <w:t>Autres</w:t>
            </w:r>
          </w:p>
        </w:tc>
      </w:tr>
      <w:tr w:rsidR="00860A11" w:rsidRPr="004F4478" w:rsidTr="001413F0">
        <w:tc>
          <w:tcPr>
            <w:tcW w:w="0" w:type="auto"/>
            <w:vMerge w:val="restart"/>
            <w:shd w:val="clear" w:color="auto" w:fill="E7E6E6" w:themeFill="background2"/>
            <w:textDirection w:val="tbRl"/>
          </w:tcPr>
          <w:p w:rsidR="00860A11" w:rsidRPr="004F4478" w:rsidRDefault="00860A11" w:rsidP="001413F0">
            <w:pPr>
              <w:ind w:left="113" w:right="113"/>
              <w:jc w:val="center"/>
              <w:rPr>
                <w:b/>
                <w:color w:val="5B9BD5" w:themeColor="accent1"/>
                <w:szCs w:val="18"/>
                <w:highlight w:val="yellow"/>
              </w:rPr>
            </w:pPr>
            <w:r w:rsidRPr="004F4478">
              <w:rPr>
                <w:b/>
                <w:color w:val="5B9BD5" w:themeColor="accent1"/>
                <w:highlight w:val="yellow"/>
              </w:rPr>
              <w:t>Communication et diffusion</w:t>
            </w:r>
          </w:p>
        </w:tc>
        <w:tc>
          <w:tcPr>
            <w:tcW w:w="0" w:type="auto"/>
          </w:tcPr>
          <w:p w:rsidR="00860A11" w:rsidRPr="004F4478" w:rsidRDefault="00860A11" w:rsidP="008B1515">
            <w:pPr>
              <w:rPr>
                <w:b/>
                <w:color w:val="E7E6E6" w:themeColor="background2"/>
                <w:szCs w:val="18"/>
                <w:highlight w:val="yellow"/>
              </w:rPr>
            </w:pPr>
            <w:r w:rsidRPr="004F4478">
              <w:rPr>
                <w:b/>
                <w:color w:val="E7E6E6" w:themeColor="background2"/>
                <w:highlight w:val="yellow"/>
              </w:rPr>
              <w:t>Communication</w:t>
            </w:r>
          </w:p>
        </w:tc>
        <w:tc>
          <w:tcPr>
            <w:tcW w:w="0" w:type="auto"/>
          </w:tcPr>
          <w:p w:rsidR="00860A11" w:rsidRPr="004F4478" w:rsidRDefault="00860A11" w:rsidP="008B1515">
            <w:pPr>
              <w:rPr>
                <w:szCs w:val="18"/>
                <w:highlight w:val="yellow"/>
              </w:rPr>
            </w:pPr>
            <w:r w:rsidRPr="004F4478">
              <w:rPr>
                <w:highlight w:val="yellow"/>
              </w:rPr>
              <w:t>Responsable / participe</w:t>
            </w:r>
          </w:p>
        </w:tc>
        <w:tc>
          <w:tcPr>
            <w:tcW w:w="0" w:type="auto"/>
          </w:tcPr>
          <w:p w:rsidR="00860A11" w:rsidRPr="004F4478" w:rsidRDefault="00860A11" w:rsidP="008B1515">
            <w:pPr>
              <w:rPr>
                <w:szCs w:val="18"/>
                <w:highlight w:val="yellow"/>
              </w:rPr>
            </w:pPr>
            <w:r w:rsidRPr="004F4478">
              <w:rPr>
                <w:highlight w:val="yellow"/>
              </w:rPr>
              <w:t>S’il y a une unité de communication, peut participer</w:t>
            </w:r>
          </w:p>
        </w:tc>
        <w:tc>
          <w:tcPr>
            <w:tcW w:w="0" w:type="auto"/>
          </w:tcPr>
          <w:p w:rsidR="00860A11" w:rsidRPr="004F4478" w:rsidRDefault="00860A11" w:rsidP="008B1515">
            <w:pPr>
              <w:rPr>
                <w:szCs w:val="18"/>
                <w:highlight w:val="yellow"/>
              </w:rPr>
            </w:pPr>
            <w:r w:rsidRPr="004F4478">
              <w:rPr>
                <w:highlight w:val="yellow"/>
              </w:rPr>
              <w:t>Participe / responsable</w:t>
            </w:r>
          </w:p>
        </w:tc>
        <w:tc>
          <w:tcPr>
            <w:tcW w:w="0" w:type="auto"/>
          </w:tcPr>
          <w:p w:rsidR="00860A11" w:rsidRPr="004F4478" w:rsidRDefault="00860A11" w:rsidP="008B1515">
            <w:pPr>
              <w:rPr>
                <w:szCs w:val="18"/>
                <w:highlight w:val="yellow"/>
              </w:rPr>
            </w:pPr>
          </w:p>
        </w:tc>
      </w:tr>
      <w:tr w:rsidR="00860A11" w:rsidRPr="004F4478" w:rsidTr="001413F0">
        <w:tc>
          <w:tcPr>
            <w:tcW w:w="0" w:type="auto"/>
            <w:vMerge/>
            <w:shd w:val="clear" w:color="auto" w:fill="E7E6E6" w:themeFill="background2"/>
          </w:tcPr>
          <w:p w:rsidR="00860A11" w:rsidRPr="004F4478" w:rsidRDefault="00860A11" w:rsidP="008B1515">
            <w:pPr>
              <w:rPr>
                <w:szCs w:val="18"/>
                <w:highlight w:val="yellow"/>
              </w:rPr>
            </w:pPr>
          </w:p>
        </w:tc>
        <w:tc>
          <w:tcPr>
            <w:tcW w:w="0" w:type="auto"/>
          </w:tcPr>
          <w:p w:rsidR="00860A11" w:rsidRPr="004F4478" w:rsidRDefault="00860A11" w:rsidP="008B1515">
            <w:pPr>
              <w:rPr>
                <w:b/>
                <w:color w:val="E7E6E6" w:themeColor="background2"/>
                <w:szCs w:val="18"/>
                <w:highlight w:val="yellow"/>
              </w:rPr>
            </w:pPr>
            <w:r w:rsidRPr="004F4478">
              <w:rPr>
                <w:b/>
                <w:color w:val="E7E6E6" w:themeColor="background2"/>
                <w:highlight w:val="yellow"/>
              </w:rPr>
              <w:t>Diffusion</w:t>
            </w:r>
          </w:p>
        </w:tc>
        <w:tc>
          <w:tcPr>
            <w:tcW w:w="0" w:type="auto"/>
          </w:tcPr>
          <w:p w:rsidR="00860A11" w:rsidRPr="004F4478" w:rsidRDefault="00860A11" w:rsidP="008B1515">
            <w:pPr>
              <w:rPr>
                <w:szCs w:val="18"/>
                <w:highlight w:val="yellow"/>
              </w:rPr>
            </w:pPr>
            <w:r w:rsidRPr="004F4478">
              <w:rPr>
                <w:highlight w:val="yellow"/>
              </w:rPr>
              <w:t>Responsable / participe</w:t>
            </w:r>
          </w:p>
        </w:tc>
        <w:tc>
          <w:tcPr>
            <w:tcW w:w="0" w:type="auto"/>
          </w:tcPr>
          <w:p w:rsidR="00860A11" w:rsidRPr="004F4478" w:rsidRDefault="00860A11" w:rsidP="008B1515">
            <w:pPr>
              <w:rPr>
                <w:szCs w:val="18"/>
                <w:highlight w:val="yellow"/>
              </w:rPr>
            </w:pPr>
            <w:r w:rsidRPr="004F4478">
              <w:rPr>
                <w:highlight w:val="yellow"/>
              </w:rPr>
              <w:t>S’il y a une unité de communication, peut participer</w:t>
            </w:r>
          </w:p>
        </w:tc>
        <w:tc>
          <w:tcPr>
            <w:tcW w:w="0" w:type="auto"/>
          </w:tcPr>
          <w:p w:rsidR="00860A11" w:rsidRPr="004F4478" w:rsidRDefault="00860A11" w:rsidP="008B1515">
            <w:pPr>
              <w:rPr>
                <w:szCs w:val="18"/>
                <w:highlight w:val="yellow"/>
              </w:rPr>
            </w:pPr>
            <w:r w:rsidRPr="004F4478">
              <w:rPr>
                <w:highlight w:val="yellow"/>
              </w:rPr>
              <w:t>Participe / responsable</w:t>
            </w:r>
          </w:p>
        </w:tc>
        <w:tc>
          <w:tcPr>
            <w:tcW w:w="0" w:type="auto"/>
          </w:tcPr>
          <w:p w:rsidR="00860A11" w:rsidRPr="004F4478" w:rsidRDefault="00860A11" w:rsidP="008B1515">
            <w:pPr>
              <w:rPr>
                <w:szCs w:val="18"/>
                <w:highlight w:val="yellow"/>
              </w:rPr>
            </w:pPr>
            <w:r w:rsidRPr="004F4478">
              <w:rPr>
                <w:highlight w:val="yellow"/>
              </w:rPr>
              <w:t>Les GAL et MA régionales peuvent diffuser de l'information</w:t>
            </w:r>
          </w:p>
          <w:p w:rsidR="00860A11" w:rsidRPr="004F4478" w:rsidRDefault="00860A11" w:rsidP="008B1515">
            <w:pPr>
              <w:rPr>
                <w:szCs w:val="18"/>
                <w:highlight w:val="yellow"/>
              </w:rPr>
            </w:pPr>
          </w:p>
        </w:tc>
      </w:tr>
      <w:tr w:rsidR="00860A11" w:rsidRPr="004F4478" w:rsidTr="001413F0">
        <w:trPr>
          <w:trHeight w:val="1885"/>
        </w:trPr>
        <w:tc>
          <w:tcPr>
            <w:tcW w:w="0" w:type="auto"/>
            <w:vMerge/>
            <w:shd w:val="clear" w:color="auto" w:fill="E7E6E6" w:themeFill="background2"/>
          </w:tcPr>
          <w:p w:rsidR="00860A11" w:rsidRPr="004F4478" w:rsidRDefault="00860A11" w:rsidP="008B1515">
            <w:pPr>
              <w:rPr>
                <w:szCs w:val="18"/>
                <w:highlight w:val="yellow"/>
              </w:rPr>
            </w:pPr>
          </w:p>
        </w:tc>
        <w:tc>
          <w:tcPr>
            <w:tcW w:w="0" w:type="auto"/>
          </w:tcPr>
          <w:p w:rsidR="00860A11" w:rsidRPr="004F4478" w:rsidRDefault="00860A11" w:rsidP="008B1515">
            <w:pPr>
              <w:rPr>
                <w:b/>
                <w:color w:val="E7E6E6" w:themeColor="background2"/>
                <w:szCs w:val="18"/>
                <w:highlight w:val="yellow"/>
              </w:rPr>
            </w:pPr>
            <w:r w:rsidRPr="004F4478">
              <w:rPr>
                <w:b/>
                <w:color w:val="E7E6E6" w:themeColor="background2"/>
                <w:highlight w:val="yellow"/>
              </w:rPr>
              <w:t>Suivi</w:t>
            </w:r>
          </w:p>
        </w:tc>
        <w:tc>
          <w:tcPr>
            <w:tcW w:w="0" w:type="auto"/>
          </w:tcPr>
          <w:p w:rsidR="00860A11" w:rsidRPr="004F4478" w:rsidRDefault="00860A11" w:rsidP="008B1515">
            <w:pPr>
              <w:rPr>
                <w:szCs w:val="18"/>
                <w:highlight w:val="yellow"/>
              </w:rPr>
            </w:pPr>
            <w:r w:rsidRPr="004F4478">
              <w:rPr>
                <w:highlight w:val="yellow"/>
              </w:rPr>
              <w:t>Responsable / participe</w:t>
            </w:r>
          </w:p>
        </w:tc>
        <w:tc>
          <w:tcPr>
            <w:tcW w:w="0" w:type="auto"/>
          </w:tcPr>
          <w:p w:rsidR="00860A11" w:rsidRPr="004F4478" w:rsidRDefault="00860A11" w:rsidP="008B1515">
            <w:pPr>
              <w:rPr>
                <w:szCs w:val="18"/>
                <w:highlight w:val="yellow"/>
              </w:rPr>
            </w:pPr>
          </w:p>
        </w:tc>
        <w:tc>
          <w:tcPr>
            <w:tcW w:w="0" w:type="auto"/>
          </w:tcPr>
          <w:p w:rsidR="00860A11" w:rsidRPr="004F4478" w:rsidRDefault="00860A11" w:rsidP="008B1515">
            <w:pPr>
              <w:rPr>
                <w:szCs w:val="18"/>
                <w:highlight w:val="yellow"/>
              </w:rPr>
            </w:pPr>
            <w:r w:rsidRPr="004F4478">
              <w:rPr>
                <w:highlight w:val="yellow"/>
              </w:rPr>
              <w:t>Participe / responsable</w:t>
            </w:r>
          </w:p>
        </w:tc>
        <w:tc>
          <w:tcPr>
            <w:tcW w:w="0" w:type="auto"/>
          </w:tcPr>
          <w:p w:rsidR="00860A11" w:rsidRPr="004F4478" w:rsidRDefault="00860A11" w:rsidP="008B1515">
            <w:pPr>
              <w:rPr>
                <w:szCs w:val="18"/>
              </w:rPr>
            </w:pPr>
            <w:r w:rsidRPr="004F4478">
              <w:rPr>
                <w:highlight w:val="yellow"/>
              </w:rPr>
              <w:t>Le groupe de pilotage éventuel de RRN peut prendre des mesures et suivre les progrès suite aux recommandations faites lors de l'évaluation</w:t>
            </w:r>
          </w:p>
        </w:tc>
      </w:tr>
    </w:tbl>
    <w:p w:rsidR="00860A11" w:rsidRPr="004F4478" w:rsidRDefault="00860A11" w:rsidP="00457F3C">
      <w:pPr>
        <w:pStyle w:val="HHeading1"/>
        <w:numPr>
          <w:ilvl w:val="0"/>
          <w:numId w:val="0"/>
        </w:numPr>
        <w:ind w:left="510"/>
      </w:pPr>
    </w:p>
    <w:p w:rsidR="00860A11" w:rsidRPr="000A700F" w:rsidRDefault="00860A11" w:rsidP="00642574">
      <w:pPr>
        <w:pStyle w:val="HHeading1"/>
        <w:rPr>
          <w:highlight w:val="yellow"/>
        </w:rPr>
      </w:pPr>
      <w:bookmarkStart w:id="163" w:name="_Toc436140051"/>
      <w:bookmarkStart w:id="164" w:name="_Toc443491677"/>
      <w:bookmarkStart w:id="165" w:name="_Toc453079763"/>
      <w:r>
        <w:rPr>
          <w:highlight w:val="yellow"/>
        </w:rPr>
        <w:lastRenderedPageBreak/>
        <w:t>PARTIE II - MANUEL MÉTHODOLOGIQUE</w:t>
      </w:r>
      <w:bookmarkEnd w:id="163"/>
      <w:bookmarkEnd w:id="164"/>
      <w:bookmarkEnd w:id="165"/>
    </w:p>
    <w:p w:rsidR="00860A11" w:rsidRPr="000A700F" w:rsidRDefault="00860A11" w:rsidP="00975D9B">
      <w:pPr>
        <w:pStyle w:val="HHeading5"/>
        <w:rPr>
          <w:highlight w:val="yellow"/>
        </w:rPr>
      </w:pPr>
      <w:r>
        <w:rPr>
          <w:highlight w:val="yellow"/>
        </w:rPr>
        <w:t>À qui la PARTIE II s’adresse-t-elle?</w:t>
      </w:r>
    </w:p>
    <w:p w:rsidR="00860A11" w:rsidRPr="000A700F" w:rsidRDefault="00860A11" w:rsidP="00320BBA">
      <w:pPr>
        <w:pStyle w:val="HStandard"/>
        <w:rPr>
          <w:highlight w:val="yellow"/>
        </w:rPr>
      </w:pPr>
      <w:r>
        <w:rPr>
          <w:highlight w:val="yellow"/>
        </w:rPr>
        <w:t xml:space="preserve">Tout d'abord, cette partie s’adresse aux évaluateurs et à tous les acteurs intéressés par les aspects méthodologiques de l'évaluation des RRN. Elle peut aussi présenter un intérêt particulier pour les fonctionnaires et les experts participant à l'élaboration du cahier des charges, et pour  ceux qui participent à la gestion du RRN. </w:t>
      </w:r>
    </w:p>
    <w:p w:rsidR="00860A11" w:rsidRPr="000A700F" w:rsidRDefault="00860A11" w:rsidP="00320BBA">
      <w:pPr>
        <w:pStyle w:val="HStandard"/>
        <w:rPr>
          <w:highlight w:val="yellow"/>
        </w:rPr>
      </w:pPr>
      <w:r>
        <w:rPr>
          <w:highlight w:val="yellow"/>
        </w:rPr>
        <w:t xml:space="preserve">Le manuel méthodologique sert de guide pendant toute la période, c’est-à-dire pour les Rapports annuels d’exécution améliorés pour 2017 et 2019 jusqu'à l'évaluation ex post, que l'évaluation couvre l’ensemble des questions d'évaluation ou, seulement une partie spécifique dans le contexte d’une évaluation thématique.  </w:t>
      </w:r>
    </w:p>
    <w:p w:rsidR="00860A11" w:rsidRPr="000A700F" w:rsidRDefault="00860A11" w:rsidP="00320BBA">
      <w:pPr>
        <w:pStyle w:val="HStandard"/>
        <w:rPr>
          <w:highlight w:val="yellow"/>
        </w:rPr>
      </w:pPr>
      <w:r>
        <w:t>La PARTIE II fournit les lignes directrices pour deux options d'évaluation du RRN:</w:t>
      </w:r>
      <w:r>
        <w:rPr>
          <w:highlight w:val="yellow"/>
        </w:rPr>
        <w:t xml:space="preserve"> </w:t>
      </w:r>
    </w:p>
    <w:p w:rsidR="00860A11" w:rsidRPr="000A700F" w:rsidRDefault="00860A11" w:rsidP="004D1A84">
      <w:pPr>
        <w:pStyle w:val="Hlistbullet2"/>
        <w:rPr>
          <w:highlight w:val="yellow"/>
        </w:rPr>
      </w:pPr>
      <w:r>
        <w:rPr>
          <w:highlight w:val="yellow"/>
        </w:rPr>
        <w:t>évaluation du RRN dans le cadre de l'assistance technique du PDR ;</w:t>
      </w:r>
    </w:p>
    <w:p w:rsidR="00860A11" w:rsidRPr="000A700F" w:rsidRDefault="00860A11" w:rsidP="004D1A84">
      <w:pPr>
        <w:pStyle w:val="Hlistbullet2"/>
        <w:rPr>
          <w:highlight w:val="yellow"/>
        </w:rPr>
      </w:pPr>
      <w:r>
        <w:rPr>
          <w:highlight w:val="yellow"/>
        </w:rPr>
        <w:t xml:space="preserve">évaluation «autonome», qui comprend l'évaluation d'un programme de RRN (ou de PSRRN) ou une évaluation autonome du RRN même s’il fait partie d'un PDR (comme sujet d'évaluation autonome). </w:t>
      </w:r>
    </w:p>
    <w:p w:rsidR="00860A11" w:rsidRPr="000A700F" w:rsidRDefault="00860A11" w:rsidP="00975D9B">
      <w:pPr>
        <w:pStyle w:val="HHeading5"/>
        <w:rPr>
          <w:highlight w:val="yellow"/>
        </w:rPr>
      </w:pPr>
      <w:r>
        <w:rPr>
          <w:highlight w:val="yellow"/>
        </w:rPr>
        <w:t>Comment la PARTIE II est-elle organisée?</w:t>
      </w:r>
    </w:p>
    <w:p w:rsidR="00860A11" w:rsidRPr="000A700F" w:rsidRDefault="00860A11" w:rsidP="00320BBA">
      <w:pPr>
        <w:pStyle w:val="HStandard"/>
        <w:rPr>
          <w:highlight w:val="yellow"/>
        </w:rPr>
      </w:pPr>
      <w:r>
        <w:t>La PARTIE II est organisée en fonction de la séquence logique suivie dans l'évaluation du PDR, ce qui vaut également pour l'évaluation du RRN :</w:t>
      </w:r>
    </w:p>
    <w:p w:rsidR="00860A11" w:rsidRPr="000A700F" w:rsidRDefault="00860A11" w:rsidP="00975D9B">
      <w:pPr>
        <w:pStyle w:val="Hlistbullet2"/>
        <w:rPr>
          <w:highlight w:val="yellow"/>
        </w:rPr>
      </w:pPr>
      <w:r>
        <w:rPr>
          <w:highlight w:val="yellow"/>
        </w:rPr>
        <w:t xml:space="preserve">Dans la </w:t>
      </w:r>
      <w:r>
        <w:rPr>
          <w:b/>
          <w:highlight w:val="yellow"/>
        </w:rPr>
        <w:t>phase de structuration</w:t>
      </w:r>
      <w:r>
        <w:rPr>
          <w:highlight w:val="yellow"/>
        </w:rPr>
        <w:t xml:space="preserve">, les évaluateurs sélectionnent l’approche d'évaluation, décident des méthodes d’évaluation et vérifient si les données et les informations nécessaires pour appliquer les méthodes choisies et mesurer les valeurs des indicateurs, sont disponibles, et quelles informations restent à recueillir. </w:t>
      </w:r>
    </w:p>
    <w:p w:rsidR="00860A11" w:rsidRPr="000A700F" w:rsidRDefault="00860A11" w:rsidP="00975D9B">
      <w:pPr>
        <w:pStyle w:val="Hlistbullet2"/>
        <w:rPr>
          <w:highlight w:val="yellow"/>
        </w:rPr>
      </w:pPr>
      <w:r>
        <w:rPr>
          <w:highlight w:val="yellow"/>
        </w:rPr>
        <w:t xml:space="preserve">Dans la </w:t>
      </w:r>
      <w:r>
        <w:rPr>
          <w:b/>
          <w:highlight w:val="yellow"/>
        </w:rPr>
        <w:t>phase d’observation,</w:t>
      </w:r>
      <w:r>
        <w:rPr>
          <w:highlight w:val="yellow"/>
        </w:rPr>
        <w:t xml:space="preserve"> les données et informations sont recueillies et traitées. </w:t>
      </w:r>
    </w:p>
    <w:p w:rsidR="00860A11" w:rsidRPr="000A700F" w:rsidRDefault="00860A11" w:rsidP="00975D9B">
      <w:pPr>
        <w:pStyle w:val="Hlistbullet2"/>
        <w:rPr>
          <w:highlight w:val="yellow"/>
        </w:rPr>
      </w:pPr>
      <w:r>
        <w:rPr>
          <w:highlight w:val="yellow"/>
        </w:rPr>
        <w:t xml:space="preserve">Dans la </w:t>
      </w:r>
      <w:r>
        <w:rPr>
          <w:b/>
          <w:highlight w:val="yellow"/>
        </w:rPr>
        <w:t>phase d'analyse</w:t>
      </w:r>
      <w:r>
        <w:rPr>
          <w:highlight w:val="yellow"/>
        </w:rPr>
        <w:t>, les indicateurs sont quantifiés avec des données quantitatives ou décrits avec des informations qualitatives, à l’aide des méthodes et des outils d'évaluation.</w:t>
      </w:r>
    </w:p>
    <w:p w:rsidR="00860A11" w:rsidRPr="000A700F" w:rsidRDefault="00860A11" w:rsidP="00975D9B">
      <w:pPr>
        <w:pStyle w:val="Hlistbullet2"/>
        <w:rPr>
          <w:highlight w:val="yellow"/>
        </w:rPr>
      </w:pPr>
      <w:r>
        <w:rPr>
          <w:highlight w:val="yellow"/>
        </w:rPr>
        <w:t>Dans la</w:t>
      </w:r>
      <w:r>
        <w:rPr>
          <w:b/>
          <w:highlight w:val="yellow"/>
        </w:rPr>
        <w:t xml:space="preserve"> phase de jugement</w:t>
      </w:r>
      <w:r>
        <w:rPr>
          <w:highlight w:val="yellow"/>
        </w:rPr>
        <w:t xml:space="preserve">, les résultats quantitatifs et qualitatifs sont analysés, des réponses sont données aux questions d'évaluation, des conclusions et des recommandations sont formulées. </w:t>
      </w:r>
    </w:p>
    <w:p w:rsidR="00860A11" w:rsidRDefault="00860A11" w:rsidP="00320BBA">
      <w:pPr>
        <w:pStyle w:val="HHeadingfigures"/>
        <w:rPr>
          <w:highlight w:val="yellow"/>
        </w:rPr>
      </w:pPr>
      <w:bookmarkStart w:id="166" w:name="_Toc436140072"/>
      <w:bookmarkStart w:id="167" w:name="_Toc436383164"/>
      <w:bookmarkStart w:id="168" w:name="_Ref439951238"/>
      <w:bookmarkStart w:id="169" w:name="_Toc451781936"/>
      <w:r>
        <w:rPr>
          <w:highlight w:val="yellow"/>
        </w:rPr>
        <w:t>Les quatre phases du processus d'évaluation</w:t>
      </w:r>
      <w:bookmarkEnd w:id="166"/>
      <w:bookmarkEnd w:id="167"/>
      <w:bookmarkEnd w:id="168"/>
      <w:bookmarkEnd w:id="169"/>
    </w:p>
    <w:p w:rsidR="00860A11" w:rsidRPr="00E37021" w:rsidRDefault="00860A11" w:rsidP="00320BBA">
      <w:pPr>
        <w:pStyle w:val="HStandard"/>
        <w:jc w:val="center"/>
        <w:rPr>
          <w:highlight w:val="yellow"/>
        </w:rPr>
      </w:pPr>
      <w:r w:rsidRPr="00E37021">
        <w:rPr>
          <w:noProof/>
          <w:lang w:val="en-GB" w:eastAsia="en-GB" w:bidi="ar-SA"/>
        </w:rPr>
        <w:drawing>
          <wp:inline distT="0" distB="0" distL="0" distR="0" wp14:anchorId="08FF998C" wp14:editId="60DC5AF2">
            <wp:extent cx="2982036" cy="1056138"/>
            <wp:effectExtent l="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81750" cy="1056037"/>
                    </a:xfrm>
                    <a:prstGeom prst="rect">
                      <a:avLst/>
                    </a:prstGeom>
                    <a:noFill/>
                    <a:ln>
                      <a:noFill/>
                    </a:ln>
                  </pic:spPr>
                </pic:pic>
              </a:graphicData>
            </a:graphic>
          </wp:inline>
        </w:drawing>
      </w:r>
    </w:p>
    <w:p w:rsidR="00860A11" w:rsidRPr="000A700F" w:rsidRDefault="00860A11" w:rsidP="00320BBA">
      <w:pPr>
        <w:pStyle w:val="HSource"/>
        <w:rPr>
          <w:highlight w:val="yellow"/>
        </w:rPr>
      </w:pPr>
      <w:r>
        <w:rPr>
          <w:highlight w:val="yellow"/>
        </w:rPr>
        <w:t>Source: Helpdesk du Réseau européen d'évaluation du développement rural 2016</w:t>
      </w:r>
    </w:p>
    <w:p w:rsidR="00860A11" w:rsidRPr="000A700F" w:rsidRDefault="00860A11" w:rsidP="00320BBA">
      <w:pPr>
        <w:pStyle w:val="HStandard"/>
        <w:rPr>
          <w:highlight w:val="yellow"/>
        </w:rPr>
      </w:pPr>
      <w:r>
        <w:rPr>
          <w:highlight w:val="yellow"/>
        </w:rPr>
        <w:t>Les quatre phases ne se présentent pas forcément en ordre chronologique. Dans la pratique, elles se chevauchent. En outre, il est recommandé de procéder en boucles, par exemple, si certaines données semblent peu concluantes pour la question d'évaluation (observation) il pourrait être approprié d'utiliser une source d'information supplémentaire dans l’enquête (structuration). Cela signifie que l'ensemble du processus devrait être accompagné d'une méta-réflexion sur la place de chaque phase dans le processus global.</w:t>
      </w:r>
    </w:p>
    <w:p w:rsidR="00860A11" w:rsidRPr="000A700F" w:rsidRDefault="00860A11" w:rsidP="00642574">
      <w:pPr>
        <w:pStyle w:val="HHeading2"/>
        <w:rPr>
          <w:highlight w:val="yellow"/>
        </w:rPr>
      </w:pPr>
      <w:bookmarkStart w:id="170" w:name="_Toc433481216"/>
      <w:bookmarkStart w:id="171" w:name="_Toc433718130"/>
      <w:bookmarkStart w:id="172" w:name="_Toc434744496"/>
      <w:bookmarkStart w:id="173" w:name="_Toc434744497"/>
      <w:bookmarkStart w:id="174" w:name="_Toc436140052"/>
      <w:bookmarkStart w:id="175" w:name="_Toc443491678"/>
      <w:bookmarkStart w:id="176" w:name="_Toc453079764"/>
      <w:bookmarkEnd w:id="170"/>
      <w:bookmarkEnd w:id="171"/>
      <w:bookmarkEnd w:id="172"/>
      <w:r>
        <w:rPr>
          <w:highlight w:val="yellow"/>
        </w:rPr>
        <w:lastRenderedPageBreak/>
        <w:t>STRUCTURATION: Conception du cadre de l’évaluation du RRN</w:t>
      </w:r>
      <w:bookmarkEnd w:id="173"/>
      <w:bookmarkEnd w:id="174"/>
      <w:bookmarkEnd w:id="175"/>
      <w:bookmarkEnd w:id="176"/>
    </w:p>
    <w:p w:rsidR="00860A11" w:rsidRPr="00A353D6" w:rsidRDefault="00860A11" w:rsidP="00320BBA">
      <w:pPr>
        <w:pStyle w:val="HStandard"/>
        <w:rPr>
          <w:lang w:val="en-GB"/>
        </w:rPr>
      </w:pPr>
      <w:r w:rsidRPr="00A353D6">
        <w:rPr>
          <w:lang w:val="en-GB"/>
        </w:rPr>
        <w:t>In preparing the evaluation, stakeholders have developed the NRN intervention logic and evaluation framework (evaluation questions and indicators), discussed the evaluation approach, and the collection of data and information (see chapter 2.2.2). The better the evaluation was prepared; the less work the evaluator will have in the structuring phase. However, if the NRN evaluation was prepared before the NRN implementation starts, or if the evaluation is conducted at a later stage, the steps described in preparing the evaluation would need to be repeated again. The structuring phase is conducted in four major steps (</w:t>
      </w:r>
      <w:r>
        <w:fldChar w:fldCharType="begin" w:fldLock="1"/>
      </w:r>
      <w:r w:rsidRPr="00A353D6">
        <w:rPr>
          <w:lang w:val="en-GB"/>
        </w:rPr>
        <w:instrText xml:space="preserve"> REF _Ref433724277 \r \h </w:instrText>
      </w:r>
      <w:r>
        <w:fldChar w:fldCharType="separate"/>
      </w:r>
      <w:r w:rsidRPr="00A353D6">
        <w:rPr>
          <w:lang w:val="en-GB"/>
        </w:rPr>
        <w:t>Figure 19</w:t>
      </w:r>
      <w:r>
        <w:fldChar w:fldCharType="end"/>
      </w:r>
      <w:r w:rsidRPr="00A353D6">
        <w:rPr>
          <w:lang w:val="en-GB"/>
        </w:rPr>
        <w:t>):</w:t>
      </w:r>
    </w:p>
    <w:p w:rsidR="00860A11" w:rsidRPr="00A353D6" w:rsidRDefault="00860A11" w:rsidP="00320BBA">
      <w:pPr>
        <w:pStyle w:val="Hlistbullet2"/>
        <w:rPr>
          <w:lang w:val="en-GB"/>
        </w:rPr>
      </w:pPr>
      <w:r w:rsidRPr="00A353D6">
        <w:rPr>
          <w:lang w:val="en-GB"/>
        </w:rPr>
        <w:t>Revisit the coherence and relevance of the intervention logic</w:t>
      </w:r>
    </w:p>
    <w:p w:rsidR="00860A11" w:rsidRPr="00A353D6" w:rsidRDefault="00860A11" w:rsidP="00320BBA">
      <w:pPr>
        <w:pStyle w:val="Hlistbullet2"/>
        <w:rPr>
          <w:lang w:val="en-GB"/>
        </w:rPr>
      </w:pPr>
      <w:r w:rsidRPr="00A353D6">
        <w:rPr>
          <w:lang w:val="en-GB"/>
        </w:rPr>
        <w:t>Review the consistency of evaluation questions and indicators with the intervention logic</w:t>
      </w:r>
    </w:p>
    <w:p w:rsidR="00860A11" w:rsidRPr="00A353D6" w:rsidRDefault="00860A11" w:rsidP="00320BBA">
      <w:pPr>
        <w:pStyle w:val="Hlistbullet2"/>
        <w:rPr>
          <w:lang w:val="en-GB"/>
        </w:rPr>
      </w:pPr>
      <w:r w:rsidRPr="00A353D6">
        <w:rPr>
          <w:lang w:val="en-GB"/>
        </w:rPr>
        <w:t>Choose the appropriate evaluation approach, method(s) and tools</w:t>
      </w:r>
    </w:p>
    <w:p w:rsidR="00860A11" w:rsidRPr="00A353D6" w:rsidRDefault="00860A11" w:rsidP="00320BBA">
      <w:pPr>
        <w:pStyle w:val="Hlistbullet2"/>
        <w:rPr>
          <w:lang w:val="en-GB"/>
        </w:rPr>
      </w:pPr>
      <w:r w:rsidRPr="00A353D6">
        <w:rPr>
          <w:lang w:val="en-GB"/>
        </w:rPr>
        <w:t>Establish the evidence for evaluation.</w:t>
      </w:r>
    </w:p>
    <w:p w:rsidR="00860A11" w:rsidRPr="00A353D6" w:rsidRDefault="00860A11" w:rsidP="00320BBA">
      <w:pPr>
        <w:pStyle w:val="HHeadingfigures"/>
        <w:rPr>
          <w:lang w:val="en-GB"/>
        </w:rPr>
      </w:pPr>
      <w:bookmarkStart w:id="177" w:name="_Toc436383165"/>
      <w:bookmarkStart w:id="178" w:name="_Toc436140073"/>
      <w:bookmarkStart w:id="179" w:name="_Toc451781937"/>
      <w:r w:rsidRPr="00A353D6">
        <w:rPr>
          <w:lang w:val="en-GB"/>
        </w:rPr>
        <w:t>The structuring phase</w:t>
      </w:r>
      <w:bookmarkEnd w:id="177"/>
      <w:r w:rsidRPr="00A353D6">
        <w:rPr>
          <w:lang w:val="en-GB"/>
        </w:rPr>
        <w:t xml:space="preserve"> </w:t>
      </w:r>
      <w:bookmarkEnd w:id="178"/>
      <w:r w:rsidRPr="00A353D6">
        <w:rPr>
          <w:lang w:val="en-GB"/>
        </w:rPr>
        <w:t>in four steps</w:t>
      </w:r>
      <w:bookmarkEnd w:id="179"/>
    </w:p>
    <w:p w:rsidR="00860A11" w:rsidRPr="008D0759" w:rsidRDefault="00860A11" w:rsidP="00320BBA">
      <w:pPr>
        <w:jc w:val="center"/>
      </w:pPr>
      <w:r>
        <w:rPr>
          <w:noProof/>
          <w:lang w:eastAsia="en-GB"/>
        </w:rPr>
        <w:drawing>
          <wp:inline distT="0" distB="0" distL="0" distR="0" wp14:anchorId="285AA25F" wp14:editId="3813CD49">
            <wp:extent cx="5731510" cy="2457450"/>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tructuring.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31510" cy="2457450"/>
                    </a:xfrm>
                    <a:prstGeom prst="rect">
                      <a:avLst/>
                    </a:prstGeom>
                  </pic:spPr>
                </pic:pic>
              </a:graphicData>
            </a:graphic>
          </wp:inline>
        </w:drawing>
      </w:r>
    </w:p>
    <w:p w:rsidR="00860A11" w:rsidRPr="00A353D6" w:rsidRDefault="00860A11" w:rsidP="00320BBA">
      <w:pPr>
        <w:pStyle w:val="HSource"/>
        <w:rPr>
          <w:lang w:val="en-GB"/>
        </w:rPr>
      </w:pPr>
      <w:r w:rsidRPr="00A353D6">
        <w:rPr>
          <w:lang w:val="en-GB"/>
        </w:rPr>
        <w:t>Source: European Evaluation Helpdesk for Rural Development, 2016</w:t>
      </w:r>
    </w:p>
    <w:p w:rsidR="00860A11" w:rsidRPr="000A700F" w:rsidRDefault="00860A11" w:rsidP="00642574">
      <w:pPr>
        <w:pStyle w:val="HHeading3"/>
        <w:rPr>
          <w:highlight w:val="yellow"/>
        </w:rPr>
      </w:pPr>
      <w:bookmarkStart w:id="180" w:name="_Toc434744498"/>
      <w:bookmarkStart w:id="181" w:name="_Toc436140053"/>
      <w:bookmarkStart w:id="182" w:name="_Toc443491679"/>
      <w:bookmarkStart w:id="183" w:name="_Toc453079765"/>
      <w:r>
        <w:rPr>
          <w:highlight w:val="yellow"/>
        </w:rPr>
        <w:t>Réexaminer la logique d'intervention du (PS)RRN</w:t>
      </w:r>
      <w:bookmarkEnd w:id="180"/>
      <w:bookmarkEnd w:id="181"/>
      <w:bookmarkEnd w:id="182"/>
      <w:bookmarkEnd w:id="183"/>
    </w:p>
    <w:p w:rsidR="00860A11" w:rsidRPr="00A353D6" w:rsidRDefault="00860A11" w:rsidP="00975D9B">
      <w:pPr>
        <w:pStyle w:val="HHeading5"/>
        <w:rPr>
          <w:lang w:val="en-GB"/>
        </w:rPr>
      </w:pPr>
      <w:r w:rsidRPr="00A353D6">
        <w:rPr>
          <w:lang w:val="en-GB"/>
        </w:rPr>
        <w:t>Is there always an explicit intervention logic?</w:t>
      </w:r>
    </w:p>
    <w:p w:rsidR="00860A11" w:rsidRPr="00A353D6" w:rsidRDefault="00860A11" w:rsidP="00320BBA">
      <w:pPr>
        <w:pStyle w:val="HStandard"/>
        <w:rPr>
          <w:lang w:val="en-GB"/>
        </w:rPr>
      </w:pPr>
      <w:r w:rsidRPr="00A353D6">
        <w:rPr>
          <w:lang w:val="en-GB"/>
        </w:rPr>
        <w:t xml:space="preserve">By default, the intervention logic of NRNPs has been constructed during the programme design phase and its consistency and relevance assessed during the ex ante evaluation (See: </w:t>
      </w:r>
      <w:r w:rsidRPr="00A353D6">
        <w:rPr>
          <w:b/>
          <w:color w:val="E7E6E6" w:themeColor="background2"/>
          <w:lang w:val="en-GB"/>
        </w:rPr>
        <w:t>PART I</w:t>
      </w:r>
      <w:r w:rsidRPr="00A353D6">
        <w:rPr>
          <w:lang w:val="en-GB"/>
        </w:rPr>
        <w:t>, chapter 2.2.2).</w:t>
      </w:r>
    </w:p>
    <w:p w:rsidR="00860A11" w:rsidRPr="00A353D6" w:rsidRDefault="00860A11" w:rsidP="00320BBA">
      <w:pPr>
        <w:pStyle w:val="HStandard"/>
        <w:rPr>
          <w:lang w:val="en-GB"/>
        </w:rPr>
      </w:pPr>
      <w:r w:rsidRPr="00A353D6">
        <w:rPr>
          <w:lang w:val="en-GB"/>
        </w:rPr>
        <w:t xml:space="preserve">As for NRNs that are part of the RDPs, the NRN intervention logic is by definition embedded in the intervention logic of the RDP. Sometimes the intervention logic may be rather implicit so that it needs some effort to properly reveal it; sometimes it may however also be missing altogether. In each case there are always two starting points to (re)construct the NRN intervention logic: the four common NRN objectives and the NRN action plan. (See also </w:t>
      </w:r>
      <w:r w:rsidRPr="00A353D6">
        <w:rPr>
          <w:b/>
          <w:color w:val="E7E6E6" w:themeColor="background2"/>
          <w:lang w:val="en-GB"/>
        </w:rPr>
        <w:t>PART I</w:t>
      </w:r>
      <w:r w:rsidRPr="00A353D6">
        <w:rPr>
          <w:lang w:val="en-GB"/>
        </w:rPr>
        <w:t xml:space="preserve">, Chapter 2.2.2). </w:t>
      </w:r>
    </w:p>
    <w:p w:rsidR="00860A11" w:rsidRPr="00A353D6" w:rsidRDefault="00860A11" w:rsidP="00320BBA">
      <w:pPr>
        <w:pStyle w:val="HStandard"/>
        <w:rPr>
          <w:lang w:val="en-GB"/>
        </w:rPr>
      </w:pPr>
      <w:r w:rsidRPr="00A353D6">
        <w:rPr>
          <w:lang w:val="en-GB"/>
        </w:rPr>
        <w:t>It is suggested to (re)construct the NRN intervention logic before the implementation of NRN activities or at least in the course of preparing the evaluation. This is in fact a reverse operation: The challenge is to find an answer to the question: “If there had been a theory of change behind what has been actually</w:t>
      </w:r>
      <w:r w:rsidRPr="00A353D6">
        <w:rPr>
          <w:i/>
          <w:lang w:val="en-GB"/>
        </w:rPr>
        <w:t xml:space="preserve"> </w:t>
      </w:r>
      <w:r w:rsidRPr="00A353D6">
        <w:rPr>
          <w:lang w:val="en-GB"/>
        </w:rPr>
        <w:t>done, how could it be modelled</w:t>
      </w:r>
      <w:r w:rsidRPr="00A353D6">
        <w:rPr>
          <w:i/>
          <w:lang w:val="en-GB"/>
        </w:rPr>
        <w:t>?”</w:t>
      </w:r>
      <w:r w:rsidRPr="00A353D6">
        <w:rPr>
          <w:lang w:val="en-GB"/>
        </w:rPr>
        <w:t xml:space="preserve"> </w:t>
      </w:r>
      <w:r w:rsidRPr="00A353D6">
        <w:rPr>
          <w:b/>
          <w:color w:val="E7E6E6" w:themeColor="background2"/>
          <w:lang w:val="en-GB"/>
        </w:rPr>
        <w:t>PART I</w:t>
      </w:r>
      <w:r w:rsidRPr="00A353D6">
        <w:rPr>
          <w:lang w:val="en-GB"/>
        </w:rPr>
        <w:t>, chapter 2.2.2 offers guidance on the construction of the intervention logic by the NSU/MA during the preparation phase of the evaluation.</w:t>
      </w:r>
    </w:p>
    <w:p w:rsidR="00860A11" w:rsidRPr="00A353D6" w:rsidRDefault="00860A11" w:rsidP="00975D9B">
      <w:pPr>
        <w:pStyle w:val="HHeading5"/>
        <w:rPr>
          <w:lang w:val="en-GB"/>
        </w:rPr>
      </w:pPr>
      <w:r w:rsidRPr="00A353D6">
        <w:rPr>
          <w:lang w:val="en-GB"/>
        </w:rPr>
        <w:lastRenderedPageBreak/>
        <w:t>What is meant by the theory of change?</w:t>
      </w:r>
    </w:p>
    <w:p w:rsidR="00860A11" w:rsidRPr="008D0759" w:rsidRDefault="00860A11" w:rsidP="00320BBA">
      <w:pPr>
        <w:pStyle w:val="HStandard"/>
      </w:pPr>
      <w:r>
        <w:t xml:space="preserve">The </w:t>
      </w:r>
      <w:r>
        <w:rPr>
          <w:b/>
        </w:rPr>
        <w:t>theory of change</w:t>
      </w:r>
      <w:r>
        <w:rPr>
          <w:rFonts w:ascii="ZWAdobeF" w:hAnsi="ZWAdobeF"/>
          <w:color w:val="auto"/>
          <w:sz w:val="2"/>
        </w:rPr>
        <w:t>86F</w:t>
      </w:r>
      <w:r>
        <w:rPr>
          <w:rStyle w:val="FootnoteReference"/>
        </w:rPr>
        <w:footnoteReference w:id="87"/>
      </w:r>
      <w:r>
        <w:t>:</w:t>
      </w:r>
    </w:p>
    <w:p w:rsidR="00860A11" w:rsidRPr="00A353D6" w:rsidRDefault="00860A11" w:rsidP="004C05DD">
      <w:pPr>
        <w:pStyle w:val="Hlistbullet2"/>
        <w:rPr>
          <w:lang w:val="en-GB"/>
        </w:rPr>
      </w:pPr>
      <w:r w:rsidRPr="00A353D6">
        <w:rPr>
          <w:lang w:val="en-GB"/>
        </w:rPr>
        <w:t>rests on the assumption that NRNs and NRNPs are based on the explicit or implicit theory of policy makers concerning how and why NRN activities lead to the intended changes anticipated;</w:t>
      </w:r>
    </w:p>
    <w:p w:rsidR="00860A11" w:rsidRPr="00A353D6" w:rsidRDefault="00860A11" w:rsidP="004C05DD">
      <w:pPr>
        <w:pStyle w:val="Hlistbullet2"/>
        <w:rPr>
          <w:lang w:val="en-GB"/>
        </w:rPr>
      </w:pPr>
      <w:r w:rsidRPr="00A353D6">
        <w:rPr>
          <w:lang w:val="en-GB"/>
        </w:rPr>
        <w:t>provides an explicit causal chain (or ‘theory of change’) linking the NRN’s objectives, activities and expected effects, which can then be used to guide the collection of evidence and the analysis of causal contributions by developing hypotheses that can be tested through critical comparisons.</w:t>
      </w:r>
    </w:p>
    <w:p w:rsidR="00860A11" w:rsidRPr="00A353D6" w:rsidRDefault="00860A11" w:rsidP="004C05DD">
      <w:pPr>
        <w:pStyle w:val="HStandard"/>
        <w:rPr>
          <w:color w:val="538135" w:themeColor="accent6" w:themeShade="BF"/>
          <w:lang w:val="en-GB"/>
        </w:rPr>
      </w:pPr>
      <w:r w:rsidRPr="00A353D6">
        <w:rPr>
          <w:lang w:val="en-GB"/>
        </w:rPr>
        <w:t>In rural development evaluation, the theory of change is depicted as a model, which we call intervention logic</w:t>
      </w:r>
      <w:r w:rsidRPr="00A353D6">
        <w:rPr>
          <w:rFonts w:ascii="ZWAdobeF" w:hAnsi="ZWAdobeF"/>
          <w:color w:val="auto"/>
          <w:sz w:val="2"/>
          <w:lang w:val="en-GB"/>
        </w:rPr>
        <w:t>87F</w:t>
      </w:r>
      <w:r>
        <w:rPr>
          <w:rStyle w:val="FootnoteReference"/>
        </w:rPr>
        <w:footnoteReference w:id="88"/>
      </w:r>
      <w:r w:rsidRPr="00A353D6">
        <w:rPr>
          <w:lang w:val="en-GB"/>
        </w:rPr>
        <w:t xml:space="preserve">. </w:t>
      </w:r>
    </w:p>
    <w:p w:rsidR="00860A11" w:rsidRPr="00A353D6" w:rsidRDefault="00860A11" w:rsidP="00975D9B">
      <w:pPr>
        <w:pStyle w:val="HHeading5"/>
        <w:rPr>
          <w:lang w:val="en-GB"/>
        </w:rPr>
      </w:pPr>
      <w:r w:rsidRPr="00A353D6">
        <w:rPr>
          <w:lang w:val="en-GB"/>
        </w:rPr>
        <w:t>How should the intervention logic be revisited?</w:t>
      </w:r>
    </w:p>
    <w:p w:rsidR="00860A11" w:rsidRPr="00A353D6" w:rsidRDefault="00860A11" w:rsidP="004C05DD">
      <w:pPr>
        <w:pStyle w:val="HStandard"/>
        <w:rPr>
          <w:lang w:val="en-GB"/>
        </w:rPr>
      </w:pPr>
      <w:r w:rsidRPr="00A353D6">
        <w:rPr>
          <w:lang w:val="en-GB"/>
        </w:rPr>
        <w:t xml:space="preserve">The structuring phase starts with revisiting (validating) the NRN intervention logic. It is necessary to re-check the relevance and coherence of the intervention logic with regard to the NRN objectives and Action Plan. </w:t>
      </w:r>
    </w:p>
    <w:p w:rsidR="00860A11" w:rsidRPr="00A353D6" w:rsidRDefault="00860A11" w:rsidP="004C05DD">
      <w:pPr>
        <w:pStyle w:val="HStandard"/>
        <w:rPr>
          <w:lang w:val="en-GB"/>
        </w:rPr>
      </w:pPr>
      <w:r w:rsidRPr="00A353D6">
        <w:rPr>
          <w:lang w:val="en-GB"/>
        </w:rPr>
        <w:t xml:space="preserve">Even if there is an explicit intervention logic, revisiting it is necessary because the programme context may have evolved. Things could also turn out differently than assumed during the programme design phase. Through the review of the intervention logic the evaluator can establish the framework for all of the further steps in the evaluation. </w:t>
      </w:r>
    </w:p>
    <w:p w:rsidR="00860A11" w:rsidRPr="00A353D6" w:rsidRDefault="00860A11" w:rsidP="004C05DD">
      <w:pPr>
        <w:pStyle w:val="HStandard"/>
        <w:rPr>
          <w:lang w:val="en-GB"/>
        </w:rPr>
      </w:pPr>
      <w:r w:rsidRPr="00A353D6">
        <w:rPr>
          <w:lang w:val="en-GB"/>
        </w:rPr>
        <w:t>The first revisiting of the NRN intervention logic goes along with the preparation of the enhanced Annual Implementation Report submitted in 2017, followed by the review for the AIR 2019 and finally for the ex post evaluation in 2024.</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860A11" w:rsidRPr="008D0759" w:rsidTr="004C05DD">
        <w:tc>
          <w:tcPr>
            <w:tcW w:w="9016" w:type="dxa"/>
            <w:shd w:val="clear" w:color="auto" w:fill="F5F4F4" w:themeFill="background2" w:themeFillTint="66"/>
          </w:tcPr>
          <w:p w:rsidR="00860A11" w:rsidRPr="000A700F" w:rsidRDefault="00860A11" w:rsidP="004C05DD">
            <w:pPr>
              <w:pStyle w:val="HStandard"/>
              <w:rPr>
                <w:highlight w:val="yellow"/>
              </w:rPr>
            </w:pPr>
            <w:r>
              <w:rPr>
                <w:highlight w:val="yellow"/>
              </w:rPr>
              <w:t xml:space="preserve">Les questions clés guidant l’examen de la logique d'intervention sont les suivantes: </w:t>
            </w:r>
          </w:p>
          <w:p w:rsidR="00860A11" w:rsidRPr="000A700F" w:rsidRDefault="00860A11" w:rsidP="00860A11">
            <w:pPr>
              <w:pStyle w:val="Hlistbullet"/>
              <w:rPr>
                <w:highlight w:val="yellow"/>
              </w:rPr>
            </w:pPr>
            <w:r>
              <w:rPr>
                <w:highlight w:val="yellow"/>
              </w:rPr>
              <w:t xml:space="preserve">Y a-t-il des changements concernant le contexte et les besoins initialement identifiés? </w:t>
            </w:r>
          </w:p>
          <w:p w:rsidR="00860A11" w:rsidRPr="000A700F" w:rsidRDefault="00860A11" w:rsidP="00860A11">
            <w:pPr>
              <w:pStyle w:val="Hlistbullet"/>
              <w:rPr>
                <w:highlight w:val="yellow"/>
              </w:rPr>
            </w:pPr>
            <w:r>
              <w:rPr>
                <w:highlight w:val="yellow"/>
              </w:rPr>
              <w:t xml:space="preserve">Tous les objectifs généraux (politiques) ont-ils été pris en considération? </w:t>
            </w:r>
          </w:p>
          <w:p w:rsidR="00860A11" w:rsidRPr="000A700F" w:rsidRDefault="00860A11" w:rsidP="00860A11">
            <w:pPr>
              <w:pStyle w:val="Hlistbullet"/>
              <w:rPr>
                <w:highlight w:val="yellow"/>
              </w:rPr>
            </w:pPr>
            <w:r>
              <w:rPr>
                <w:highlight w:val="yellow"/>
              </w:rPr>
              <w:t xml:space="preserve">Tous les objectifs spécifiques et opérationnels ont-ils été identifiés et correctement catalogués? </w:t>
            </w:r>
          </w:p>
          <w:p w:rsidR="00860A11" w:rsidRPr="000A700F" w:rsidRDefault="00860A11" w:rsidP="00860A11">
            <w:pPr>
              <w:pStyle w:val="Hlistbullet"/>
              <w:rPr>
                <w:highlight w:val="yellow"/>
              </w:rPr>
            </w:pPr>
            <w:r>
              <w:rPr>
                <w:highlight w:val="yellow"/>
              </w:rPr>
              <w:t>Tous les groupes d'actions (communs et spécifiques au RRN) ont-ils été pris en compte?</w:t>
            </w:r>
          </w:p>
          <w:p w:rsidR="00860A11" w:rsidRPr="000A700F" w:rsidRDefault="00860A11" w:rsidP="00860A11">
            <w:pPr>
              <w:pStyle w:val="Hlistbullet"/>
              <w:rPr>
                <w:highlight w:val="yellow"/>
              </w:rPr>
            </w:pPr>
            <w:r>
              <w:rPr>
                <w:highlight w:val="yellow"/>
              </w:rPr>
              <w:t xml:space="preserve">Chaque objectif opérationnel est-il lié à une réalisation appropriée? </w:t>
            </w:r>
          </w:p>
          <w:p w:rsidR="00860A11" w:rsidRPr="000A700F" w:rsidRDefault="00860A11" w:rsidP="00860A11">
            <w:pPr>
              <w:pStyle w:val="Hlistbullet"/>
              <w:rPr>
                <w:highlight w:val="yellow"/>
              </w:rPr>
            </w:pPr>
            <w:r>
              <w:rPr>
                <w:highlight w:val="yellow"/>
              </w:rPr>
              <w:t>Chaque objectif spécifique est-il lié à un résultat approprié?</w:t>
            </w:r>
          </w:p>
          <w:p w:rsidR="00860A11" w:rsidRPr="000A700F" w:rsidRDefault="00860A11" w:rsidP="00860A11">
            <w:pPr>
              <w:pStyle w:val="Hlistbullet"/>
              <w:rPr>
                <w:highlight w:val="yellow"/>
              </w:rPr>
            </w:pPr>
            <w:r>
              <w:rPr>
                <w:highlight w:val="yellow"/>
              </w:rPr>
              <w:t>Les impacts identifiés sont-ils conformes aux objectifs généraux?</w:t>
            </w:r>
          </w:p>
        </w:tc>
      </w:tr>
    </w:tbl>
    <w:p w:rsidR="00860A11" w:rsidRPr="000A700F" w:rsidRDefault="00860A11" w:rsidP="00975D9B">
      <w:pPr>
        <w:pStyle w:val="HHeading5"/>
        <w:rPr>
          <w:highlight w:val="yellow"/>
        </w:rPr>
      </w:pPr>
      <w:r>
        <w:rPr>
          <w:highlight w:val="yellow"/>
        </w:rPr>
        <w:t>Quelles sont les principales étapes pour réexaminer la logique d’intervention du RRN?</w:t>
      </w:r>
    </w:p>
    <w:p w:rsidR="00860A11" w:rsidRPr="000A700F" w:rsidRDefault="00860A11" w:rsidP="004C05DD">
      <w:pPr>
        <w:pStyle w:val="HStandard"/>
        <w:rPr>
          <w:highlight w:val="yellow"/>
        </w:rPr>
      </w:pPr>
      <w:r>
        <w:rPr>
          <w:highlight w:val="yellow"/>
        </w:rPr>
        <w:t xml:space="preserve">Les étapes recommandées pour réexaminer la logique d'intervention du RRN et leurs résultats attendus sont: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860A11" w:rsidRPr="000A700F" w:rsidTr="004C05DD">
        <w:tc>
          <w:tcPr>
            <w:tcW w:w="988" w:type="dxa"/>
            <w:shd w:val="clear" w:color="auto" w:fill="E7E6E6" w:themeFill="background2"/>
          </w:tcPr>
          <w:p w:rsidR="00860A11" w:rsidRPr="000A700F" w:rsidRDefault="00860A11" w:rsidP="004C05DD">
            <w:pPr>
              <w:pStyle w:val="HStandard"/>
              <w:jc w:val="center"/>
              <w:rPr>
                <w:b/>
                <w:color w:val="FFFFFF"/>
                <w:sz w:val="18"/>
                <w:szCs w:val="18"/>
                <w:highlight w:val="yellow"/>
              </w:rPr>
            </w:pPr>
            <w:r>
              <w:rPr>
                <w:b/>
                <w:color w:val="FFFFFF"/>
                <w:sz w:val="18"/>
                <w:highlight w:val="yellow"/>
              </w:rPr>
              <w:t>1</w:t>
            </w:r>
          </w:p>
        </w:tc>
        <w:tc>
          <w:tcPr>
            <w:tcW w:w="8028" w:type="dxa"/>
          </w:tcPr>
          <w:p w:rsidR="00860A11" w:rsidRPr="000A700F" w:rsidRDefault="00860A11" w:rsidP="00F53E01">
            <w:pPr>
              <w:pStyle w:val="Hlistbullet"/>
              <w:numPr>
                <w:ilvl w:val="0"/>
                <w:numId w:val="0"/>
              </w:numPr>
              <w:spacing w:before="0" w:line="280" w:lineRule="atLeast"/>
              <w:jc w:val="left"/>
              <w:rPr>
                <w:sz w:val="18"/>
                <w:szCs w:val="18"/>
                <w:highlight w:val="yellow"/>
              </w:rPr>
            </w:pPr>
            <w:r>
              <w:rPr>
                <w:sz w:val="18"/>
                <w:highlight w:val="yellow"/>
              </w:rPr>
              <w:t>Évaluer les changements de contexte et les besoins spécifiques du territoire couvert par le RRN;</w:t>
            </w:r>
          </w:p>
        </w:tc>
      </w:tr>
      <w:tr w:rsidR="00860A11" w:rsidRPr="000A700F" w:rsidTr="004C05DD">
        <w:tc>
          <w:tcPr>
            <w:tcW w:w="988" w:type="dxa"/>
            <w:shd w:val="clear" w:color="auto" w:fill="E7E6E6" w:themeFill="background2"/>
          </w:tcPr>
          <w:p w:rsidR="00860A11" w:rsidRPr="000A700F" w:rsidRDefault="00860A11" w:rsidP="004C05DD">
            <w:pPr>
              <w:pStyle w:val="HStandard"/>
              <w:jc w:val="center"/>
              <w:rPr>
                <w:b/>
                <w:color w:val="FFFFFF"/>
                <w:sz w:val="18"/>
                <w:szCs w:val="18"/>
                <w:highlight w:val="yellow"/>
              </w:rPr>
            </w:pPr>
            <w:r>
              <w:rPr>
                <w:b/>
                <w:color w:val="FFFFFF"/>
                <w:sz w:val="18"/>
                <w:highlight w:val="yellow"/>
              </w:rPr>
              <w:t>2</w:t>
            </w:r>
          </w:p>
        </w:tc>
        <w:tc>
          <w:tcPr>
            <w:tcW w:w="8028" w:type="dxa"/>
          </w:tcPr>
          <w:p w:rsidR="00860A11" w:rsidRPr="000A700F" w:rsidRDefault="00860A11" w:rsidP="005E113C">
            <w:pPr>
              <w:pStyle w:val="HStandard"/>
              <w:jc w:val="left"/>
              <w:rPr>
                <w:b/>
                <w:i/>
                <w:sz w:val="18"/>
                <w:szCs w:val="18"/>
                <w:highlight w:val="yellow"/>
              </w:rPr>
            </w:pPr>
            <w:r>
              <w:rPr>
                <w:sz w:val="18"/>
                <w:highlight w:val="yellow"/>
              </w:rPr>
              <w:t>Réexaminer  la pertinence des objectifs communs et spécifiques au programme du RRN et des groupes d'actions, et leurs liens entre eux  par rapport aux changements observés et par rapport aux besoins;</w:t>
            </w:r>
          </w:p>
        </w:tc>
      </w:tr>
      <w:tr w:rsidR="00860A11" w:rsidRPr="000A700F" w:rsidTr="004C05DD">
        <w:tc>
          <w:tcPr>
            <w:tcW w:w="988" w:type="dxa"/>
            <w:shd w:val="clear" w:color="auto" w:fill="E7E6E6" w:themeFill="background2"/>
          </w:tcPr>
          <w:p w:rsidR="00860A11" w:rsidRPr="000A700F" w:rsidRDefault="00860A11" w:rsidP="004C05DD">
            <w:pPr>
              <w:pStyle w:val="HStandard"/>
              <w:jc w:val="center"/>
              <w:rPr>
                <w:b/>
                <w:color w:val="FFFFFF"/>
                <w:sz w:val="18"/>
                <w:szCs w:val="18"/>
                <w:highlight w:val="yellow"/>
              </w:rPr>
            </w:pPr>
            <w:r>
              <w:rPr>
                <w:b/>
                <w:color w:val="FFFFFF"/>
                <w:sz w:val="18"/>
                <w:highlight w:val="yellow"/>
              </w:rPr>
              <w:t>3</w:t>
            </w:r>
          </w:p>
        </w:tc>
        <w:tc>
          <w:tcPr>
            <w:tcW w:w="8028" w:type="dxa"/>
          </w:tcPr>
          <w:p w:rsidR="00860A11" w:rsidRPr="000A700F" w:rsidRDefault="00860A11" w:rsidP="004C05DD">
            <w:pPr>
              <w:pStyle w:val="Hlistbullet"/>
              <w:numPr>
                <w:ilvl w:val="0"/>
                <w:numId w:val="0"/>
              </w:numPr>
              <w:spacing w:before="0" w:line="280" w:lineRule="atLeast"/>
              <w:jc w:val="left"/>
              <w:rPr>
                <w:sz w:val="18"/>
                <w:szCs w:val="18"/>
                <w:highlight w:val="yellow"/>
              </w:rPr>
            </w:pPr>
            <w:r>
              <w:rPr>
                <w:sz w:val="18"/>
                <w:highlight w:val="yellow"/>
              </w:rPr>
              <w:t>Réexaminer  la chaîne effets-réalisations-résultats-impacts attendus du RRN , et leur pertinence;</w:t>
            </w:r>
          </w:p>
        </w:tc>
      </w:tr>
      <w:tr w:rsidR="00860A11" w:rsidRPr="00C85637" w:rsidTr="004C05DD">
        <w:tc>
          <w:tcPr>
            <w:tcW w:w="988" w:type="dxa"/>
            <w:shd w:val="clear" w:color="auto" w:fill="E7E6E6" w:themeFill="background2"/>
          </w:tcPr>
          <w:p w:rsidR="00860A11" w:rsidRPr="000A700F" w:rsidRDefault="00860A11" w:rsidP="004C05DD">
            <w:pPr>
              <w:pStyle w:val="HStandard"/>
              <w:jc w:val="center"/>
              <w:rPr>
                <w:b/>
                <w:color w:val="FFFFFF"/>
                <w:sz w:val="18"/>
                <w:szCs w:val="18"/>
                <w:highlight w:val="yellow"/>
              </w:rPr>
            </w:pPr>
            <w:r>
              <w:rPr>
                <w:b/>
                <w:color w:val="FFFFFF"/>
                <w:sz w:val="18"/>
                <w:highlight w:val="yellow"/>
              </w:rPr>
              <w:lastRenderedPageBreak/>
              <w:t>4</w:t>
            </w:r>
          </w:p>
        </w:tc>
        <w:tc>
          <w:tcPr>
            <w:tcW w:w="8028" w:type="dxa"/>
          </w:tcPr>
          <w:p w:rsidR="00860A11" w:rsidRPr="002809CE" w:rsidRDefault="00860A11" w:rsidP="005E113C">
            <w:pPr>
              <w:pStyle w:val="Hlistbullet"/>
              <w:numPr>
                <w:ilvl w:val="0"/>
                <w:numId w:val="0"/>
              </w:numPr>
              <w:tabs>
                <w:tab w:val="left" w:pos="317"/>
              </w:tabs>
              <w:spacing w:before="0" w:line="280" w:lineRule="atLeast"/>
              <w:jc w:val="left"/>
              <w:rPr>
                <w:sz w:val="18"/>
                <w:szCs w:val="18"/>
              </w:rPr>
            </w:pPr>
            <w:r>
              <w:rPr>
                <w:sz w:val="18"/>
                <w:highlight w:val="yellow"/>
              </w:rPr>
              <w:t>Vérifier la cohérence horizontale et verticale entre les objectifs communs et spécifiques du RRN / les groupes d'actions d'une part, et les réalisations, résultats et impacts attendus d’autre part;</w:t>
            </w:r>
          </w:p>
        </w:tc>
      </w:tr>
      <w:tr w:rsidR="00860A11" w:rsidRPr="000A700F" w:rsidTr="004C05DD">
        <w:tc>
          <w:tcPr>
            <w:tcW w:w="988" w:type="dxa"/>
            <w:shd w:val="clear" w:color="auto" w:fill="E7E6E6" w:themeFill="background2"/>
          </w:tcPr>
          <w:p w:rsidR="00860A11" w:rsidRPr="000A700F" w:rsidRDefault="00860A11" w:rsidP="004C05DD">
            <w:pPr>
              <w:pStyle w:val="HStandard"/>
              <w:jc w:val="center"/>
              <w:rPr>
                <w:color w:val="FFFFFF"/>
                <w:sz w:val="18"/>
                <w:szCs w:val="18"/>
                <w:highlight w:val="yellow"/>
              </w:rPr>
            </w:pPr>
            <w:r>
              <w:rPr>
                <w:color w:val="FFFFFF"/>
                <w:sz w:val="18"/>
                <w:highlight w:val="yellow"/>
              </w:rPr>
              <w:t>5</w:t>
            </w:r>
          </w:p>
        </w:tc>
        <w:tc>
          <w:tcPr>
            <w:tcW w:w="8028" w:type="dxa"/>
          </w:tcPr>
          <w:p w:rsidR="00860A11" w:rsidRPr="000A700F" w:rsidRDefault="00860A11" w:rsidP="004C05DD">
            <w:pPr>
              <w:pStyle w:val="Hlistbullet"/>
              <w:numPr>
                <w:ilvl w:val="0"/>
                <w:numId w:val="0"/>
              </w:numPr>
              <w:spacing w:before="0" w:line="280" w:lineRule="atLeast"/>
              <w:jc w:val="left"/>
              <w:rPr>
                <w:sz w:val="18"/>
                <w:szCs w:val="18"/>
                <w:highlight w:val="yellow"/>
              </w:rPr>
            </w:pPr>
            <w:r>
              <w:rPr>
                <w:sz w:val="18"/>
                <w:highlight w:val="yellow"/>
              </w:rPr>
              <w:t>Redéfinir ou adapter la logique d'intervention, si nécessaire.</w:t>
            </w:r>
          </w:p>
        </w:tc>
      </w:tr>
      <w:tr w:rsidR="00860A11" w:rsidRPr="008D0759" w:rsidTr="004C05DD">
        <w:tc>
          <w:tcPr>
            <w:tcW w:w="9016" w:type="dxa"/>
            <w:gridSpan w:val="2"/>
            <w:shd w:val="clear" w:color="auto" w:fill="auto"/>
          </w:tcPr>
          <w:p w:rsidR="00860A11" w:rsidRPr="002809CE" w:rsidRDefault="00860A11" w:rsidP="004C05DD">
            <w:pPr>
              <w:pStyle w:val="HStandard"/>
              <w:jc w:val="left"/>
              <w:rPr>
                <w:sz w:val="18"/>
                <w:szCs w:val="18"/>
              </w:rPr>
            </w:pPr>
            <w:r>
              <w:t>Résultat escompté: confirmation de la cohérence et de la pertinence horizontale et verticale de la logique d'intervention du RRN comme point de départ de l'évaluation.</w:t>
            </w:r>
          </w:p>
        </w:tc>
      </w:tr>
    </w:tbl>
    <w:p w:rsidR="00860A11" w:rsidRPr="00A353D6" w:rsidRDefault="00860A11" w:rsidP="004C05DD">
      <w:pPr>
        <w:pStyle w:val="HStandard"/>
        <w:rPr>
          <w:lang w:val="en-GB"/>
        </w:rPr>
      </w:pPr>
      <w:r w:rsidRPr="00A353D6">
        <w:rPr>
          <w:lang w:val="en-GB"/>
        </w:rPr>
        <w:t>The above steps are detailed below.</w:t>
      </w:r>
    </w:p>
    <w:p w:rsidR="00860A11" w:rsidRPr="00A353D6" w:rsidRDefault="00860A11" w:rsidP="004C05DD">
      <w:pPr>
        <w:pStyle w:val="HHeading5"/>
        <w:rPr>
          <w:color w:val="ED7D31" w:themeColor="accent2"/>
          <w:lang w:val="en-GB"/>
        </w:rPr>
      </w:pPr>
      <w:r w:rsidRPr="00A353D6">
        <w:rPr>
          <w:color w:val="ED7D31" w:themeColor="accent2"/>
          <w:lang w:val="en-GB"/>
        </w:rPr>
        <w:t>Step 1 - Assess changes in context and needs</w:t>
      </w:r>
    </w:p>
    <w:p w:rsidR="00860A11" w:rsidRPr="00A353D6" w:rsidRDefault="00860A11" w:rsidP="004C05DD">
      <w:pPr>
        <w:pStyle w:val="HStandard"/>
        <w:rPr>
          <w:lang w:val="en-GB"/>
        </w:rPr>
      </w:pPr>
      <w:r w:rsidRPr="00A353D6">
        <w:rPr>
          <w:lang w:val="en-GB"/>
        </w:rPr>
        <w:t>NRNs operate within the context of rural areas. This context is characterised through a thorough situational description, SWOT and needs assessment. The situation in networking is depicted with the set of context parameters</w:t>
      </w:r>
      <w:r w:rsidRPr="00A353D6">
        <w:rPr>
          <w:rFonts w:ascii="ZWAdobeF" w:hAnsi="ZWAdobeF"/>
          <w:color w:val="auto"/>
          <w:sz w:val="2"/>
          <w:lang w:val="en-GB"/>
        </w:rPr>
        <w:t>88F</w:t>
      </w:r>
      <w:r>
        <w:rPr>
          <w:rStyle w:val="FootnoteReference"/>
        </w:rPr>
        <w:footnoteReference w:id="89"/>
      </w:r>
      <w:r w:rsidRPr="00A353D6">
        <w:rPr>
          <w:lang w:val="en-GB"/>
        </w:rPr>
        <w:t xml:space="preserve">. Changes in the programme and network context may imply changes in the scope of NRN objectives and interventions and therefore in the intervention logic. </w:t>
      </w:r>
    </w:p>
    <w:p w:rsidR="00860A11" w:rsidRPr="00A353D6" w:rsidRDefault="00860A11" w:rsidP="004C05DD">
      <w:pPr>
        <w:pStyle w:val="HStandard"/>
        <w:rPr>
          <w:lang w:val="en-GB"/>
        </w:rPr>
      </w:pPr>
      <w:r w:rsidRPr="00A353D6">
        <w:rPr>
          <w:lang w:val="en-GB"/>
        </w:rPr>
        <w:t>There are certain differences between NRNPs and NRNs inside of RDPs, which need to be taken into account. While for a NRNP the context relates to Members States with several RDPs, a NRN performs within the frame of a specific RDP and its contextual situation (Member States, regions). In the case of NRNPs which start in parallel with the regional RDPs which they are supposed to service, context changes may be even more substantial.</w:t>
      </w:r>
    </w:p>
    <w:p w:rsidR="00860A11" w:rsidRPr="00A353D6" w:rsidRDefault="00860A11" w:rsidP="004C05DD">
      <w:pPr>
        <w:pStyle w:val="HHeading5"/>
        <w:rPr>
          <w:color w:val="ED7D31" w:themeColor="accent2"/>
          <w:lang w:val="en-GB"/>
        </w:rPr>
      </w:pPr>
      <w:r w:rsidRPr="00A353D6">
        <w:rPr>
          <w:color w:val="ED7D31" w:themeColor="accent2"/>
          <w:lang w:val="en-GB"/>
        </w:rPr>
        <w:t>Step 2 - Revisit the relevance of NRN objectives and groups of actions and linkages between them</w:t>
      </w:r>
    </w:p>
    <w:p w:rsidR="00860A11" w:rsidRPr="00A353D6" w:rsidRDefault="00860A11" w:rsidP="004C05DD">
      <w:pPr>
        <w:pStyle w:val="HStandard"/>
        <w:rPr>
          <w:lang w:val="en-GB"/>
        </w:rPr>
      </w:pPr>
      <w:r w:rsidRPr="00A353D6">
        <w:rPr>
          <w:lang w:val="en-GB"/>
        </w:rPr>
        <w:t>The pursuit of the four common NRN objectives should contribute to the achievement of the RD priorities, CAP objectives and EU 2020 targets, via common groups of actions. The four common NRN objectives are placed within the NRN(P) intervention logic at the level of overall NRN(P) objectives.</w:t>
      </w:r>
    </w:p>
    <w:p w:rsidR="00860A11" w:rsidRPr="00A353D6" w:rsidRDefault="00860A11" w:rsidP="004C05DD">
      <w:pPr>
        <w:pStyle w:val="HStandard"/>
        <w:rPr>
          <w:lang w:val="en-GB"/>
        </w:rPr>
      </w:pPr>
      <w:r w:rsidRPr="00A353D6">
        <w:rPr>
          <w:lang w:val="en-GB"/>
        </w:rPr>
        <w:t xml:space="preserve">The common NRN objectives and groups of actions are complemented with programme-specific NRN objectives and groups of actions in the preparation of NRN evaluation. (See also </w:t>
      </w:r>
      <w:r w:rsidRPr="00A353D6">
        <w:rPr>
          <w:b/>
          <w:color w:val="E7E6E6" w:themeColor="background2"/>
          <w:lang w:val="en-GB"/>
        </w:rPr>
        <w:t>PART I</w:t>
      </w:r>
      <w:r w:rsidRPr="00A353D6">
        <w:rPr>
          <w:lang w:val="en-GB"/>
        </w:rPr>
        <w:t xml:space="preserve">, chapter 2.2.2). </w:t>
      </w:r>
    </w:p>
    <w:p w:rsidR="00860A11" w:rsidRPr="00A353D6" w:rsidRDefault="00860A11" w:rsidP="004C05DD">
      <w:pPr>
        <w:pStyle w:val="HStandard"/>
        <w:rPr>
          <w:lang w:val="en-GB"/>
        </w:rPr>
      </w:pPr>
      <w:r w:rsidRPr="00A353D6">
        <w:rPr>
          <w:lang w:val="en-GB"/>
        </w:rPr>
        <w:t>During the review of the intervention logic the validity of proposed programme-specific NRN objectives and activities will be checked against any changes concerning the context to assess:</w:t>
      </w:r>
    </w:p>
    <w:p w:rsidR="00860A11" w:rsidRPr="00A353D6" w:rsidRDefault="00860A11" w:rsidP="004C05DD">
      <w:pPr>
        <w:pStyle w:val="Hlistbullet2"/>
        <w:rPr>
          <w:lang w:val="en-GB"/>
        </w:rPr>
      </w:pPr>
      <w:r w:rsidRPr="00A353D6">
        <w:rPr>
          <w:lang w:val="en-GB"/>
        </w:rPr>
        <w:t xml:space="preserve">whether the NRN objectives (common and programme-specific) properly mirror the changes expected to happen during or after the programming period at the level of NRN beneficiaries (results, e.g. changes in behaviour), and in the programme area (impacts, e.g. contributions to RDP results, or changes in human and social capital) (See </w:t>
      </w:r>
      <w:r w:rsidRPr="00A353D6">
        <w:rPr>
          <w:b/>
          <w:color w:val="E7E6E6" w:themeColor="background2"/>
          <w:lang w:val="en-GB"/>
        </w:rPr>
        <w:t>PART I</w:t>
      </w:r>
      <w:r w:rsidRPr="00A353D6">
        <w:rPr>
          <w:lang w:val="en-GB"/>
        </w:rPr>
        <w:t>, Chapter 2.2.2);</w:t>
      </w:r>
    </w:p>
    <w:p w:rsidR="00860A11" w:rsidRPr="00A353D6" w:rsidRDefault="00860A11" w:rsidP="004C05DD">
      <w:pPr>
        <w:pStyle w:val="Hlistbullet2"/>
        <w:rPr>
          <w:lang w:val="en-GB"/>
        </w:rPr>
      </w:pPr>
      <w:r w:rsidRPr="00A353D6">
        <w:rPr>
          <w:lang w:val="en-GB"/>
        </w:rPr>
        <w:t>whether the respective level of hierarchy (overall, specific and operational objectives) and their inter-linkages are clear;</w:t>
      </w:r>
    </w:p>
    <w:p w:rsidR="00860A11" w:rsidRPr="00A353D6" w:rsidRDefault="00860A11" w:rsidP="004C05DD">
      <w:pPr>
        <w:pStyle w:val="Hlistbullet2"/>
        <w:rPr>
          <w:lang w:val="en-GB"/>
        </w:rPr>
      </w:pPr>
      <w:r w:rsidRPr="00A353D6">
        <w:rPr>
          <w:lang w:val="en-GB"/>
        </w:rPr>
        <w:t>the extent to which NRN objectives can plausibly be achieved with the groups of actions;</w:t>
      </w:r>
    </w:p>
    <w:p w:rsidR="00860A11" w:rsidRPr="00A353D6" w:rsidRDefault="00860A11" w:rsidP="004C05DD">
      <w:pPr>
        <w:pStyle w:val="Hlistbullet2"/>
        <w:rPr>
          <w:lang w:val="en-GB"/>
        </w:rPr>
      </w:pPr>
      <w:r w:rsidRPr="00A353D6">
        <w:rPr>
          <w:lang w:val="en-GB"/>
        </w:rPr>
        <w:t>whether the NRN(P) objectives are sufficiently clear and tangible as to be measured  by RACER</w:t>
      </w:r>
      <w:r w:rsidRPr="00A353D6">
        <w:rPr>
          <w:rFonts w:ascii="ZWAdobeF" w:hAnsi="ZWAdobeF"/>
          <w:color w:val="auto"/>
          <w:sz w:val="2"/>
          <w:lang w:val="en-GB"/>
        </w:rPr>
        <w:t>89F</w:t>
      </w:r>
      <w:r>
        <w:rPr>
          <w:rStyle w:val="FootnoteReference"/>
        </w:rPr>
        <w:footnoteReference w:id="90"/>
      </w:r>
      <w:r w:rsidRPr="00A353D6">
        <w:rPr>
          <w:lang w:val="en-GB"/>
        </w:rPr>
        <w:t xml:space="preserve"> programme-specific indicators.</w:t>
      </w:r>
    </w:p>
    <w:p w:rsidR="00860A11" w:rsidRPr="00A353D6" w:rsidRDefault="00860A11" w:rsidP="004C05DD">
      <w:pPr>
        <w:pStyle w:val="HHeading5"/>
        <w:rPr>
          <w:color w:val="ED7D31" w:themeColor="accent2"/>
          <w:lang w:val="en-GB"/>
        </w:rPr>
      </w:pPr>
      <w:r w:rsidRPr="00A353D6">
        <w:rPr>
          <w:color w:val="ED7D31" w:themeColor="accent2"/>
          <w:lang w:val="en-GB"/>
        </w:rPr>
        <w:t xml:space="preserve">Step 3 -  Revisit the chain between the NRN expected effects: outputs, results and impacts </w:t>
      </w:r>
    </w:p>
    <w:p w:rsidR="00860A11" w:rsidRPr="00A353D6" w:rsidRDefault="00860A11" w:rsidP="004C05DD">
      <w:pPr>
        <w:pStyle w:val="HStandard"/>
        <w:rPr>
          <w:lang w:val="en-GB"/>
        </w:rPr>
      </w:pPr>
      <w:r w:rsidRPr="00A353D6">
        <w:rPr>
          <w:lang w:val="en-GB"/>
        </w:rPr>
        <w:t xml:space="preserve">Activities of NRNs are expected to produce outputs, results and impacts, which lead to the accomplishment of NRN objectives. While outputs are brought forth by concrete activities organised and implemented by NSUs (events, web page, publications, trainings, good practice exchanges, etc.), NRNs transform these outputs into NRN results and impacts (often called NRN added value). NRN </w:t>
      </w:r>
      <w:r w:rsidRPr="00A353D6">
        <w:rPr>
          <w:lang w:val="en-GB"/>
        </w:rPr>
        <w:lastRenderedPageBreak/>
        <w:t xml:space="preserve">results and impacts are more difficult to capture because they often (not always) have an intangible nature (changes in human and social capital). Examples of the output-result-impact chains for each of the common groups of actions can be found in </w:t>
      </w:r>
      <w:r w:rsidRPr="00A353D6">
        <w:rPr>
          <w:b/>
          <w:color w:val="E7E6E6" w:themeColor="background2"/>
          <w:lang w:val="en-GB"/>
        </w:rPr>
        <w:t>PART III</w:t>
      </w:r>
      <w:r w:rsidRPr="00A353D6">
        <w:rPr>
          <w:lang w:val="en-GB"/>
        </w:rPr>
        <w:t xml:space="preserve"> of the guidelines.</w:t>
      </w:r>
    </w:p>
    <w:p w:rsidR="00860A11" w:rsidRPr="00A353D6" w:rsidRDefault="00860A11" w:rsidP="004C05DD">
      <w:pPr>
        <w:pStyle w:val="HStandard"/>
        <w:rPr>
          <w:lang w:val="en-GB"/>
        </w:rPr>
      </w:pPr>
      <w:r w:rsidRPr="00A353D6">
        <w:rPr>
          <w:lang w:val="en-GB"/>
        </w:rPr>
        <w:t>Expected NRN effects are ideally defined during the preparation of NRN evaluation, but can be completed also during the structuring phase, respecting the possible changes in the context situation.</w:t>
      </w:r>
    </w:p>
    <w:p w:rsidR="00860A11" w:rsidRPr="00A353D6" w:rsidRDefault="00860A11" w:rsidP="004C05DD">
      <w:pPr>
        <w:pStyle w:val="HHeading5"/>
        <w:rPr>
          <w:color w:val="ED7D31" w:themeColor="accent2"/>
          <w:lang w:val="en-GB"/>
        </w:rPr>
      </w:pPr>
      <w:r w:rsidRPr="00A353D6">
        <w:rPr>
          <w:color w:val="ED7D31" w:themeColor="accent2"/>
          <w:lang w:val="en-GB"/>
        </w:rPr>
        <w:t>Step 4 - Check the horizontal and vertical consistency between NRN objectives and expected effects</w:t>
      </w:r>
    </w:p>
    <w:p w:rsidR="00860A11" w:rsidRPr="00A353D6" w:rsidRDefault="00860A11" w:rsidP="004C05DD">
      <w:pPr>
        <w:pStyle w:val="HStandard"/>
        <w:rPr>
          <w:lang w:val="en-GB"/>
        </w:rPr>
      </w:pPr>
      <w:r w:rsidRPr="00A353D6">
        <w:rPr>
          <w:lang w:val="en-GB"/>
        </w:rPr>
        <w:t xml:space="preserve">During this step, evaluators should conduct a horizontal and vertical consistency check between objectives and expected outputs, results and impacts (internal consistency of NRN intervention logic, see the Introduction, chapter 1.4.2) of the NRN. In case the NRNP or RDP authorities have not defined the expected NRN results and impacts clearly enough and in a way that can be measured, the evaluators are called to run a consistency check of the intervention logic and add missing elements and fine-tune existing elements in collaboration with the programme authorities and the NSU, in the same fashion as what was described in </w:t>
      </w:r>
      <w:r w:rsidRPr="00A353D6">
        <w:rPr>
          <w:b/>
          <w:color w:val="E7E6E6" w:themeColor="background2"/>
          <w:lang w:val="en-GB"/>
        </w:rPr>
        <w:t>PART I</w:t>
      </w:r>
      <w:r w:rsidRPr="00A353D6">
        <w:rPr>
          <w:lang w:val="en-GB"/>
        </w:rPr>
        <w:t>, chapter 2.2.2.</w:t>
      </w:r>
    </w:p>
    <w:p w:rsidR="00860A11" w:rsidRPr="00A353D6" w:rsidRDefault="00860A11" w:rsidP="004C05DD">
      <w:pPr>
        <w:pStyle w:val="HStandard"/>
        <w:rPr>
          <w:lang w:val="en-GB"/>
        </w:rPr>
      </w:pPr>
      <w:r w:rsidRPr="00A353D6">
        <w:rPr>
          <w:lang w:val="en-GB"/>
        </w:rPr>
        <w:t xml:space="preserve">Besides the internal consistency of the NRN intervention logic, the evaluator should check also the external consistency of NRN intervention logic with the RDP and the EU objectives (See </w:t>
      </w:r>
      <w:r>
        <w:fldChar w:fldCharType="begin" w:fldLock="1"/>
      </w:r>
      <w:r w:rsidRPr="00A353D6">
        <w:rPr>
          <w:lang w:val="en-GB"/>
        </w:rPr>
        <w:instrText xml:space="preserve"> REF _Ref451784678 \r \h </w:instrText>
      </w:r>
      <w:r>
        <w:fldChar w:fldCharType="separate"/>
      </w:r>
      <w:r w:rsidRPr="00A353D6">
        <w:rPr>
          <w:lang w:val="en-GB"/>
        </w:rPr>
        <w:t>Figure 5</w:t>
      </w:r>
      <w:r>
        <w:fldChar w:fldCharType="end"/>
      </w:r>
      <w:r w:rsidRPr="00A353D6">
        <w:rPr>
          <w:lang w:val="en-GB"/>
        </w:rPr>
        <w:t xml:space="preserve"> and </w:t>
      </w:r>
      <w:r>
        <w:fldChar w:fldCharType="begin" w:fldLock="1"/>
      </w:r>
      <w:r w:rsidRPr="00A353D6">
        <w:rPr>
          <w:lang w:val="en-GB"/>
        </w:rPr>
        <w:instrText xml:space="preserve"> REF _Ref451784688 \r \h </w:instrText>
      </w:r>
      <w:r>
        <w:fldChar w:fldCharType="separate"/>
      </w:r>
      <w:r w:rsidRPr="00A353D6">
        <w:rPr>
          <w:lang w:val="en-GB"/>
        </w:rPr>
        <w:t>Figure 6</w:t>
      </w:r>
      <w:r>
        <w:fldChar w:fldCharType="end"/>
      </w:r>
      <w:r w:rsidRPr="00A353D6">
        <w:rPr>
          <w:lang w:val="en-GB"/>
        </w:rPr>
        <w:t xml:space="preserve"> in Introduction, Chapter 1.4.2). In the case of NRNs being part of RDPs, outputs produced with the means of inputs (financial and others) through the implementation of the NRN action plan generate the NRN results, and these contribute to the RDP outputs. NRN impacts should foster better results from the RDP and also affect rural areas as such, e.g. in the human and social capital domains, which can also influence the RDP’s impacts (</w:t>
      </w:r>
      <w:r>
        <w:fldChar w:fldCharType="begin" w:fldLock="1"/>
      </w:r>
      <w:r w:rsidRPr="00A353D6">
        <w:rPr>
          <w:lang w:val="en-GB"/>
        </w:rPr>
        <w:instrText xml:space="preserve"> REF _Ref451784699 \r \h </w:instrText>
      </w:r>
      <w:r>
        <w:fldChar w:fldCharType="separate"/>
      </w:r>
      <w:r w:rsidRPr="00A353D6">
        <w:rPr>
          <w:lang w:val="en-GB"/>
        </w:rPr>
        <w:t>Figure 5</w:t>
      </w:r>
      <w:r>
        <w:fldChar w:fldCharType="end"/>
      </w:r>
      <w:r w:rsidRPr="00A353D6">
        <w:rPr>
          <w:lang w:val="en-GB"/>
        </w:rPr>
        <w:t xml:space="preserve"> in Chapter 1.4.2). If inconsistencies are found in the above checks, the missing elements should be developed by the evaluator.</w:t>
      </w:r>
    </w:p>
    <w:p w:rsidR="00860A11" w:rsidRPr="00A353D6" w:rsidRDefault="00860A11" w:rsidP="00975D9B">
      <w:pPr>
        <w:pStyle w:val="HHeading5"/>
        <w:rPr>
          <w:lang w:val="en-GB"/>
        </w:rPr>
      </w:pPr>
      <w:r w:rsidRPr="00A353D6">
        <w:rPr>
          <w:lang w:val="en-GB"/>
        </w:rPr>
        <w:t>NRN unexpected effects</w:t>
      </w:r>
    </w:p>
    <w:p w:rsidR="00860A11" w:rsidRPr="00A353D6" w:rsidRDefault="00860A11" w:rsidP="004C05DD">
      <w:pPr>
        <w:pStyle w:val="HStandard"/>
        <w:rPr>
          <w:lang w:val="en-GB"/>
        </w:rPr>
      </w:pPr>
      <w:r w:rsidRPr="00A353D6">
        <w:rPr>
          <w:lang w:val="en-GB"/>
        </w:rPr>
        <w:t>In addition to the expected or intended effects, NRN activities usually also generate unexpected or unintended effects</w:t>
      </w:r>
      <w:r w:rsidRPr="00A353D6">
        <w:rPr>
          <w:rFonts w:ascii="ZWAdobeF" w:hAnsi="ZWAdobeF"/>
          <w:color w:val="auto"/>
          <w:sz w:val="2"/>
          <w:lang w:val="en-GB"/>
        </w:rPr>
        <w:t>90F</w:t>
      </w:r>
      <w:r>
        <w:rPr>
          <w:rStyle w:val="FootnoteReference"/>
        </w:rPr>
        <w:footnoteReference w:id="91"/>
      </w:r>
      <w:r w:rsidRPr="00A353D6">
        <w:rPr>
          <w:lang w:val="en-GB"/>
        </w:rPr>
        <w:t>. These unexpected/unintended effects can reach the intended beneficiaries or other groups which originally have not been explicitly named as direct or ultimate beneficiaries, such as other organisations or networks (e.g. rural business owners, cooperation systems and clusters of SMEs, eco-tourism associations or enterprises, municipalities or NGOs engaged in climate actions, etc.).</w:t>
      </w:r>
    </w:p>
    <w:p w:rsidR="00860A11" w:rsidRPr="00A353D6" w:rsidRDefault="00860A11" w:rsidP="004C05DD">
      <w:pPr>
        <w:pStyle w:val="HStandard"/>
        <w:rPr>
          <w:lang w:val="en-GB"/>
        </w:rPr>
      </w:pPr>
      <w:r w:rsidRPr="00A353D6">
        <w:rPr>
          <w:lang w:val="en-GB"/>
        </w:rPr>
        <w:t>On the contrary, NRN interventions can also indirectly induce changes (both positive and negative), via multiplication, deadweight, displacement or substitution effects. For example, if we invest a lot into the formal NRN, already existing informal networks could be starved out, since they live on membership fees and cannot compete with RDP supported networks. This could lead to the reduction of net social capital due to the NRN intervention! When revisiting the NRN intervention logic, it is worth recognising that every positive change also comes with a price (shadow costs).</w:t>
      </w:r>
    </w:p>
    <w:p w:rsidR="00860A11" w:rsidRPr="00A353D6" w:rsidRDefault="00860A11" w:rsidP="004C05DD">
      <w:pPr>
        <w:pStyle w:val="HHeading5"/>
        <w:rPr>
          <w:color w:val="ED7D31" w:themeColor="accent2"/>
          <w:lang w:val="en-GB"/>
        </w:rPr>
      </w:pPr>
      <w:r w:rsidRPr="00A353D6">
        <w:rPr>
          <w:color w:val="ED7D31" w:themeColor="accent2"/>
          <w:lang w:val="en-GB"/>
        </w:rPr>
        <w:t>Step 5: Redefine or adjust the intervention logic, if needed.</w:t>
      </w:r>
    </w:p>
    <w:p w:rsidR="00860A11" w:rsidRPr="00A353D6" w:rsidRDefault="00860A11" w:rsidP="004C05DD">
      <w:pPr>
        <w:pStyle w:val="HStandard"/>
        <w:rPr>
          <w:lang w:val="en-GB"/>
        </w:rPr>
      </w:pPr>
      <w:r w:rsidRPr="00A353D6">
        <w:rPr>
          <w:lang w:val="en-GB"/>
        </w:rPr>
        <w:t>The review of the NRN intervention logic may lead to changes. These changes might result in a fine-tuning of the NRN related programme-specific objectives, groups of actions and expected effects. It also may result in the revision of the hierarchy of objectives and/or a revision of the expected outcomes (outputs, results, impacts) in accordance with the objectives. Finally, the assessment of unexpected/unintended effects may lead to the identification of additional expected results and impacts.</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860A11" w:rsidRPr="000A700F" w:rsidTr="002A138A">
        <w:tc>
          <w:tcPr>
            <w:tcW w:w="9016" w:type="dxa"/>
            <w:shd w:val="clear" w:color="auto" w:fill="F5F4F4" w:themeFill="background2" w:themeFillTint="66"/>
          </w:tcPr>
          <w:p w:rsidR="00860A11" w:rsidRPr="000A700F" w:rsidRDefault="00860A11" w:rsidP="002A138A">
            <w:pPr>
              <w:pStyle w:val="HStandard"/>
              <w:rPr>
                <w:color w:val="7030A0"/>
                <w:highlight w:val="yellow"/>
              </w:rPr>
            </w:pPr>
            <w:r>
              <w:rPr>
                <w:highlight w:val="yellow"/>
              </w:rPr>
              <w:t>Questions d’orientation pour l’examen de la logique d'intervention:</w:t>
            </w:r>
          </w:p>
          <w:p w:rsidR="00860A11" w:rsidRPr="000A700F" w:rsidRDefault="00860A11" w:rsidP="00860A11">
            <w:pPr>
              <w:pStyle w:val="Hlistbullet2"/>
              <w:rPr>
                <w:highlight w:val="yellow"/>
              </w:rPr>
            </w:pPr>
            <w:r>
              <w:rPr>
                <w:highlight w:val="yellow"/>
              </w:rPr>
              <w:lastRenderedPageBreak/>
              <w:t>Y a-t-il une théorie du changement explicite derrière la logique d'intervention prescrite?</w:t>
            </w:r>
          </w:p>
          <w:p w:rsidR="00860A11" w:rsidRPr="000A700F" w:rsidRDefault="00860A11" w:rsidP="00860A11">
            <w:pPr>
              <w:pStyle w:val="Hlistbullet2"/>
              <w:rPr>
                <w:highlight w:val="yellow"/>
              </w:rPr>
            </w:pPr>
            <w:r>
              <w:rPr>
                <w:highlight w:val="yellow"/>
              </w:rPr>
              <w:t>La logique d'intervention est-elle clairement définie ou peut-elle être au moins formulée d’après les termes du programme ou des documents concomitants (par exemple le cahier des charges pour la NSU ou la proposition gagnante de l’appel d’offre, etc.)?</w:t>
            </w:r>
          </w:p>
          <w:p w:rsidR="00860A11" w:rsidRPr="000A700F" w:rsidRDefault="00860A11" w:rsidP="00860A11">
            <w:pPr>
              <w:pStyle w:val="Hlistbullet2"/>
              <w:rPr>
                <w:highlight w:val="yellow"/>
              </w:rPr>
            </w:pPr>
            <w:r>
              <w:rPr>
                <w:highlight w:val="yellow"/>
              </w:rPr>
              <w:t>Quels changements importants peut-on observer parmi les acteurs de la zone de programmation ou dans un contexte socio-économique et politique plus large?</w:t>
            </w:r>
          </w:p>
          <w:p w:rsidR="00860A11" w:rsidRPr="000A700F" w:rsidRDefault="00860A11" w:rsidP="00860A11">
            <w:pPr>
              <w:pStyle w:val="Hlistbullet2"/>
              <w:rPr>
                <w:highlight w:val="yellow"/>
              </w:rPr>
            </w:pPr>
            <w:r>
              <w:rPr>
                <w:highlight w:val="yellow"/>
              </w:rPr>
              <w:t>Les objectifs prévus, les résultats et les impacts attendus sont-ils pertinents dans le contexte (SWOT, besoins)?</w:t>
            </w:r>
          </w:p>
          <w:p w:rsidR="00860A11" w:rsidRPr="000A700F" w:rsidRDefault="00860A11" w:rsidP="00860A11">
            <w:pPr>
              <w:pStyle w:val="Hlistbullet2"/>
              <w:rPr>
                <w:highlight w:val="yellow"/>
              </w:rPr>
            </w:pPr>
            <w:r>
              <w:rPr>
                <w:highlight w:val="yellow"/>
              </w:rPr>
              <w:t>Y a-t-il des contradictions ou des disparités entre les activités, les réalisations, les résultats et les impacts attendus (verticalement) et les objectifs prescrits (horizontalement)?</w:t>
            </w:r>
          </w:p>
        </w:tc>
      </w:tr>
    </w:tbl>
    <w:p w:rsidR="00860A11" w:rsidRPr="000A700F" w:rsidRDefault="00860A11" w:rsidP="00975D9B">
      <w:pPr>
        <w:pStyle w:val="HHeading5"/>
        <w:rPr>
          <w:highlight w:val="yellow"/>
        </w:rPr>
      </w:pPr>
      <w:r>
        <w:rPr>
          <w:highlight w:val="yellow"/>
        </w:rPr>
        <w:lastRenderedPageBreak/>
        <w:t>À faire et ne pas faire</w:t>
      </w:r>
    </w:p>
    <w:tbl>
      <w:tblPr>
        <w:tblStyle w:val="LightList-Accent5"/>
        <w:tblW w:w="0" w:type="auto"/>
        <w:tblLook w:val="04A0" w:firstRow="1" w:lastRow="0" w:firstColumn="1" w:lastColumn="0" w:noHBand="0" w:noVBand="1"/>
      </w:tblPr>
      <w:tblGrid>
        <w:gridCol w:w="4507"/>
        <w:gridCol w:w="4499"/>
      </w:tblGrid>
      <w:tr w:rsidR="00860A11" w:rsidRPr="000A700F"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tcPr>
          <w:p w:rsidR="00860A11" w:rsidRPr="000A700F" w:rsidRDefault="00860A11" w:rsidP="000A3387">
            <w:pPr>
              <w:pStyle w:val="HHeading5"/>
              <w:jc w:val="center"/>
              <w:rPr>
                <w:sz w:val="18"/>
                <w:szCs w:val="18"/>
                <w:highlight w:val="yellow"/>
              </w:rPr>
            </w:pPr>
            <w:r>
              <w:rPr>
                <w:noProof/>
                <w:sz w:val="18"/>
                <w:szCs w:val="18"/>
                <w:highlight w:val="yellow"/>
                <w:lang w:val="en-GB" w:eastAsia="en-GB" w:bidi="ar-SA"/>
              </w:rPr>
              <w:drawing>
                <wp:inline distT="0" distB="0" distL="0" distR="0" wp14:anchorId="6AB73AE4" wp14:editId="125B20B6">
                  <wp:extent cx="360000" cy="360000"/>
                  <wp:effectExtent l="0" t="0" r="254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tcPr>
          <w:p w:rsidR="00860A11" w:rsidRPr="000A700F" w:rsidRDefault="00860A11" w:rsidP="000A3387">
            <w:pPr>
              <w:pStyle w:val="HHeading5"/>
              <w:jc w:val="center"/>
              <w:cnfStyle w:val="100000000000" w:firstRow="1" w:lastRow="0" w:firstColumn="0" w:lastColumn="0" w:oddVBand="0" w:evenVBand="0" w:oddHBand="0" w:evenHBand="0" w:firstRowFirstColumn="0" w:firstRowLastColumn="0" w:lastRowFirstColumn="0" w:lastRowLastColumn="0"/>
              <w:rPr>
                <w:sz w:val="18"/>
                <w:szCs w:val="18"/>
                <w:highlight w:val="yellow"/>
              </w:rPr>
            </w:pPr>
            <w:r>
              <w:rPr>
                <w:noProof/>
                <w:sz w:val="18"/>
                <w:szCs w:val="18"/>
                <w:highlight w:val="yellow"/>
                <w:lang w:val="en-GB" w:eastAsia="en-GB" w:bidi="ar-SA"/>
              </w:rPr>
              <w:drawing>
                <wp:inline distT="0" distB="0" distL="0" distR="0" wp14:anchorId="4D029E76" wp14:editId="7886057B">
                  <wp:extent cx="360000" cy="360000"/>
                  <wp:effectExtent l="0" t="0" r="2540" b="25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860A11" w:rsidRPr="008D0759"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860A11" w:rsidRPr="000A700F" w:rsidRDefault="00860A11" w:rsidP="000A3387">
            <w:pPr>
              <w:pStyle w:val="HHeading5"/>
              <w:rPr>
                <w:color w:val="FFC000" w:themeColor="accent4"/>
                <w:sz w:val="18"/>
                <w:szCs w:val="18"/>
                <w:highlight w:val="yellow"/>
              </w:rPr>
            </w:pPr>
            <w:r>
              <w:rPr>
                <w:color w:val="FFC000" w:themeColor="accent4"/>
                <w:sz w:val="18"/>
                <w:highlight w:val="yellow"/>
              </w:rPr>
              <w:t>Prendre en considération les changements de circonstances qui peuvent avoir affecté la pertinence de la logique d’intervention.</w:t>
            </w:r>
          </w:p>
          <w:p w:rsidR="00860A11" w:rsidRPr="000A700F" w:rsidRDefault="00860A11" w:rsidP="000A3387">
            <w:pPr>
              <w:pStyle w:val="HStandard"/>
              <w:rPr>
                <w:color w:val="FFC000" w:themeColor="accent4"/>
                <w:sz w:val="18"/>
                <w:szCs w:val="18"/>
                <w:highlight w:val="yellow"/>
              </w:rPr>
            </w:pPr>
            <w:r>
              <w:rPr>
                <w:color w:val="FFC000" w:themeColor="accent4"/>
                <w:sz w:val="18"/>
                <w:highlight w:val="yellow"/>
              </w:rPr>
              <w:t xml:space="preserve">Expliquer clairement comment le RRN peut contribuer aux objectifs de la politique de développement rural. </w:t>
            </w:r>
          </w:p>
          <w:p w:rsidR="00860A11" w:rsidRPr="000A700F" w:rsidRDefault="00860A11" w:rsidP="000A3387">
            <w:pPr>
              <w:pStyle w:val="HStandard"/>
              <w:rPr>
                <w:color w:val="FFC000" w:themeColor="accent4"/>
                <w:sz w:val="18"/>
                <w:szCs w:val="18"/>
                <w:highlight w:val="yellow"/>
              </w:rPr>
            </w:pPr>
            <w:r>
              <w:rPr>
                <w:color w:val="FFC000" w:themeColor="accent4"/>
                <w:sz w:val="18"/>
                <w:highlight w:val="yellow"/>
              </w:rPr>
              <w:t>Concevoir aussi les objectifs et les réalisations du RRN en tant que changements du capital humain et social parmi les acteurs et dans les zones rurales.</w:t>
            </w:r>
          </w:p>
          <w:p w:rsidR="00860A11" w:rsidRPr="000A700F" w:rsidRDefault="00860A11" w:rsidP="000A3387">
            <w:pPr>
              <w:pStyle w:val="HStandard"/>
              <w:rPr>
                <w:color w:val="FFC000" w:themeColor="accent4"/>
                <w:sz w:val="18"/>
                <w:szCs w:val="18"/>
                <w:highlight w:val="yellow"/>
              </w:rPr>
            </w:pPr>
            <w:r>
              <w:rPr>
                <w:b w:val="0"/>
                <w:color w:val="FFC000" w:themeColor="accent4"/>
                <w:sz w:val="18"/>
                <w:highlight w:val="yellow"/>
              </w:rPr>
              <w:t>Prendre en considération les complémentarités et la cohérence avec d'autres interventions similaires (à l’extérieur du champ de la politique de développement rural).</w:t>
            </w:r>
          </w:p>
          <w:p w:rsidR="00860A11" w:rsidRPr="000A700F" w:rsidRDefault="00860A11" w:rsidP="000A3387">
            <w:pPr>
              <w:pStyle w:val="HStandard"/>
              <w:rPr>
                <w:color w:val="FFC000" w:themeColor="accent4"/>
                <w:sz w:val="18"/>
                <w:szCs w:val="18"/>
                <w:highlight w:val="yellow"/>
              </w:rPr>
            </w:pPr>
            <w:r>
              <w:rPr>
                <w:b w:val="0"/>
                <w:color w:val="FFC000" w:themeColor="accent4"/>
                <w:sz w:val="18"/>
                <w:highlight w:val="yellow"/>
              </w:rPr>
              <w:t>Attention aux surprises (avantages inattendus ou effets indésirables).</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860A11" w:rsidRPr="000A700F" w:rsidRDefault="00860A11" w:rsidP="000A3387">
            <w:pPr>
              <w:pStyle w:val="HHeading5"/>
              <w:cnfStyle w:val="000000100000" w:firstRow="0" w:lastRow="0" w:firstColumn="0" w:lastColumn="0" w:oddVBand="0" w:evenVBand="0" w:oddHBand="1" w:evenHBand="0" w:firstRowFirstColumn="0" w:firstRowLastColumn="0" w:lastRowFirstColumn="0" w:lastRowLastColumn="0"/>
              <w:rPr>
                <w:b w:val="0"/>
                <w:color w:val="ED7D31" w:themeColor="accent2"/>
                <w:sz w:val="18"/>
                <w:szCs w:val="18"/>
                <w:highlight w:val="yellow"/>
              </w:rPr>
            </w:pPr>
            <w:r>
              <w:rPr>
                <w:b w:val="0"/>
                <w:color w:val="ED7D31" w:themeColor="accent2"/>
                <w:sz w:val="18"/>
                <w:highlight w:val="yellow"/>
              </w:rPr>
              <w:t>Accepter la logique d'intervention sans poser de questions.</w:t>
            </w:r>
          </w:p>
          <w:p w:rsidR="00860A11" w:rsidRPr="000A700F" w:rsidRDefault="00860A11" w:rsidP="000A3387">
            <w:pPr>
              <w:pStyle w:val="HStandard"/>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Associer les activités du RRN directement à la réalisation des objectifs du PDR.</w:t>
            </w:r>
          </w:p>
          <w:p w:rsidR="00860A11" w:rsidRPr="000A700F" w:rsidRDefault="00860A11" w:rsidP="000A3387">
            <w:pPr>
              <w:pStyle w:val="HStandard"/>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 xml:space="preserve">Prendre en considération les effets notés sur un papier. </w:t>
            </w:r>
          </w:p>
          <w:p w:rsidR="00860A11" w:rsidRPr="008D0759" w:rsidRDefault="00860A11" w:rsidP="000A3387">
            <w:pPr>
              <w:pStyle w:val="HStandard"/>
              <w:cnfStyle w:val="000000100000" w:firstRow="0" w:lastRow="0" w:firstColumn="0" w:lastColumn="0" w:oddVBand="0" w:evenVBand="0" w:oddHBand="1" w:evenHBand="0" w:firstRowFirstColumn="0" w:firstRowLastColumn="0" w:lastRowFirstColumn="0" w:lastRowLastColumn="0"/>
              <w:rPr>
                <w:sz w:val="18"/>
                <w:szCs w:val="18"/>
              </w:rPr>
            </w:pPr>
            <w:r>
              <w:rPr>
                <w:color w:val="ED7D31" w:themeColor="accent2"/>
                <w:sz w:val="18"/>
                <w:highlight w:val="yellow"/>
              </w:rPr>
              <w:t>Tenir compte des coûts fictifs des interventions sans  penser aux surprises qui pourraient avoir des effets indésirables.</w:t>
            </w:r>
          </w:p>
        </w:tc>
      </w:tr>
    </w:tbl>
    <w:p w:rsidR="00860A11" w:rsidRPr="008D0759" w:rsidRDefault="00860A11" w:rsidP="00975D9B">
      <w:pPr>
        <w:pStyle w:val="HHeading5"/>
      </w:pPr>
      <w:r>
        <w:t>Further reading</w:t>
      </w:r>
    </w:p>
    <w:tbl>
      <w:tblPr>
        <w:tblStyle w:val="TableGrid"/>
        <w:tblW w:w="9069"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69"/>
      </w:tblGrid>
      <w:tr w:rsidR="00860A11" w:rsidRPr="00E37021" w:rsidTr="004D1A84">
        <w:tc>
          <w:tcPr>
            <w:tcW w:w="9069" w:type="dxa"/>
            <w:shd w:val="clear" w:color="auto" w:fill="F5F4F4" w:themeFill="background2" w:themeFillTint="66"/>
          </w:tcPr>
          <w:p w:rsidR="00860A11" w:rsidRPr="00A353D6" w:rsidRDefault="00860A11" w:rsidP="002A138A">
            <w:pPr>
              <w:pStyle w:val="HStandard"/>
              <w:jc w:val="left"/>
              <w:rPr>
                <w:sz w:val="16"/>
                <w:szCs w:val="16"/>
                <w:lang w:val="en-GB"/>
              </w:rPr>
            </w:pPr>
            <w:r w:rsidRPr="00A353D6">
              <w:rPr>
                <w:sz w:val="16"/>
                <w:lang w:val="en-GB"/>
              </w:rPr>
              <w:t>Assessment of RDP results: How to prepare for reporting on evaluation in 2017, Chapter 5.1 Evaluation Helpdesk, April 2016</w:t>
            </w:r>
          </w:p>
          <w:p w:rsidR="00860A11" w:rsidRPr="00A353D6" w:rsidRDefault="00860A11" w:rsidP="002A138A">
            <w:pPr>
              <w:pStyle w:val="HStandard"/>
              <w:jc w:val="left"/>
              <w:rPr>
                <w:rStyle w:val="Hyperlink"/>
                <w:rFonts w:eastAsiaTheme="majorEastAsia"/>
                <w:sz w:val="16"/>
                <w:szCs w:val="16"/>
                <w:lang w:val="en-GB"/>
              </w:rPr>
            </w:pPr>
            <w:r w:rsidRPr="00A353D6">
              <w:rPr>
                <w:sz w:val="16"/>
                <w:lang w:val="en-GB"/>
              </w:rPr>
              <w:t xml:space="preserve">Capturing the success of your RDP: Guidelines for the ex post evaluation of 2007-2013 RDP, PART II, Chapters 1.4 and 1.5, link: </w:t>
            </w:r>
            <w:hyperlink r:id="rId40">
              <w:r w:rsidRPr="00A353D6">
                <w:rPr>
                  <w:rStyle w:val="Hyperlink"/>
                  <w:rFonts w:eastAsiaTheme="majorEastAsia"/>
                  <w:sz w:val="16"/>
                  <w:lang w:val="en-GB"/>
                </w:rPr>
                <w:t>http://enrd.ec.europa.eu/enrd-static/evaluation/library/evaluation-helpdesk-publications/en/evaluation-helpdesk-publications_en.html</w:t>
              </w:r>
            </w:hyperlink>
          </w:p>
          <w:p w:rsidR="00860A11" w:rsidRPr="00A353D6" w:rsidRDefault="00860A11" w:rsidP="002A138A">
            <w:pPr>
              <w:pStyle w:val="HStandard"/>
              <w:jc w:val="left"/>
              <w:rPr>
                <w:rStyle w:val="Hyperlink"/>
                <w:rFonts w:eastAsiaTheme="majorEastAsia"/>
                <w:color w:val="262626"/>
                <w:sz w:val="16"/>
                <w:szCs w:val="16"/>
                <w:lang w:val="en-GB"/>
              </w:rPr>
            </w:pPr>
            <w:r w:rsidRPr="00A353D6">
              <w:rPr>
                <w:rStyle w:val="Hyperlink"/>
                <w:rFonts w:eastAsiaTheme="majorEastAsia"/>
                <w:color w:val="262626"/>
                <w:sz w:val="16"/>
                <w:lang w:val="en-GB"/>
              </w:rPr>
              <w:t xml:space="preserve">Getting the most from your RDP: Guidelines for the ex ante evaluation of 2014-2020 RDPs, Chapter 5.4, </w:t>
            </w:r>
            <w:hyperlink r:id="rId41">
              <w:r w:rsidRPr="00A353D6">
                <w:rPr>
                  <w:rStyle w:val="Hyperlink"/>
                  <w:rFonts w:eastAsiaTheme="majorEastAsia"/>
                  <w:sz w:val="16"/>
                  <w:lang w:val="en-GB"/>
                </w:rPr>
                <w:t>http://enrd.ec.europa.eu/enrd-static/evaluation/library/evaluation-helpdesk-publications/en/evaluation-helpdesk-publications_en.html</w:t>
              </w:r>
            </w:hyperlink>
            <w:r w:rsidRPr="00A353D6">
              <w:rPr>
                <w:rStyle w:val="Hyperlink"/>
                <w:rFonts w:eastAsiaTheme="majorEastAsia"/>
                <w:color w:val="262626"/>
                <w:sz w:val="16"/>
                <w:lang w:val="en-GB"/>
              </w:rPr>
              <w:t xml:space="preserve">, </w:t>
            </w:r>
          </w:p>
          <w:p w:rsidR="00860A11" w:rsidRPr="00A353D6" w:rsidRDefault="00860A11" w:rsidP="002A138A">
            <w:pPr>
              <w:pStyle w:val="HStandard"/>
              <w:jc w:val="left"/>
              <w:rPr>
                <w:rStyle w:val="Hyperlink"/>
                <w:rFonts w:eastAsiaTheme="majorEastAsia"/>
                <w:color w:val="262626"/>
                <w:sz w:val="16"/>
                <w:szCs w:val="16"/>
                <w:lang w:val="en-GB"/>
              </w:rPr>
            </w:pPr>
            <w:r w:rsidRPr="00A353D6">
              <w:rPr>
                <w:rStyle w:val="Hyperlink"/>
                <w:rFonts w:eastAsiaTheme="majorEastAsia"/>
                <w:color w:val="262626"/>
                <w:sz w:val="16"/>
                <w:lang w:val="en-GB"/>
              </w:rPr>
              <w:t>On the NRN intervention logic:</w:t>
            </w:r>
          </w:p>
          <w:p w:rsidR="00860A11" w:rsidRPr="008D0759" w:rsidRDefault="00860A11" w:rsidP="002A138A">
            <w:pPr>
              <w:pStyle w:val="HStandard"/>
              <w:jc w:val="left"/>
              <w:rPr>
                <w:rStyle w:val="Hyperlink"/>
                <w:rFonts w:eastAsiaTheme="majorEastAsia"/>
                <w:color w:val="262626"/>
                <w:sz w:val="16"/>
                <w:szCs w:val="16"/>
              </w:rPr>
            </w:pPr>
            <w:r w:rsidRPr="00A353D6">
              <w:rPr>
                <w:rStyle w:val="Hyperlink"/>
                <w:rFonts w:eastAsiaTheme="majorEastAsia"/>
                <w:color w:val="262626"/>
                <w:sz w:val="16"/>
                <w:lang w:val="en-GB"/>
              </w:rPr>
              <w:t>ENRD 2014: NRN Guidebook, 3</w:t>
            </w:r>
            <w:r w:rsidRPr="00A353D6">
              <w:rPr>
                <w:rStyle w:val="Hyperlink"/>
                <w:rFonts w:eastAsiaTheme="majorEastAsia"/>
                <w:color w:val="262626"/>
                <w:sz w:val="16"/>
                <w:vertAlign w:val="superscript"/>
                <w:lang w:val="en-GB"/>
              </w:rPr>
              <w:t>rd</w:t>
            </w:r>
            <w:r w:rsidRPr="00A353D6">
              <w:rPr>
                <w:rStyle w:val="Hyperlink"/>
                <w:rFonts w:eastAsiaTheme="majorEastAsia"/>
                <w:color w:val="262626"/>
                <w:sz w:val="16"/>
                <w:lang w:val="en-GB"/>
              </w:rPr>
              <w:t xml:space="preserve"> chapter on Setting up and Starting a Network. </w:t>
            </w:r>
            <w:hyperlink r:id="rId42">
              <w:r>
                <w:rPr>
                  <w:rStyle w:val="Hyperlink"/>
                  <w:rFonts w:eastAsiaTheme="majorEastAsia"/>
                  <w:sz w:val="16"/>
                </w:rPr>
                <w:t>http://enrd.ec.europa.eu/enrd-static/app_templates/enrd_assets/pdf/guidebook/nrn_handbook_webversion.pdf</w:t>
              </w:r>
            </w:hyperlink>
            <w:r>
              <w:rPr>
                <w:rStyle w:val="Hyperlink"/>
                <w:rFonts w:eastAsiaTheme="majorEastAsia"/>
                <w:color w:val="262626"/>
                <w:sz w:val="16"/>
              </w:rPr>
              <w:t xml:space="preserve"> </w:t>
            </w:r>
          </w:p>
          <w:p w:rsidR="00860A11" w:rsidRPr="00A353D6" w:rsidRDefault="00860A11" w:rsidP="002A138A">
            <w:pPr>
              <w:pStyle w:val="HStandard"/>
              <w:jc w:val="left"/>
              <w:rPr>
                <w:rStyle w:val="Hyperlink"/>
                <w:rFonts w:eastAsiaTheme="majorEastAsia"/>
                <w:color w:val="262626"/>
                <w:sz w:val="16"/>
                <w:szCs w:val="16"/>
                <w:lang w:val="en-GB"/>
              </w:rPr>
            </w:pPr>
            <w:r w:rsidRPr="00A353D6">
              <w:rPr>
                <w:rStyle w:val="Hyperlink"/>
                <w:rFonts w:eastAsiaTheme="majorEastAsia"/>
                <w:color w:val="262626"/>
                <w:sz w:val="16"/>
                <w:lang w:val="en-GB"/>
              </w:rPr>
              <w:lastRenderedPageBreak/>
              <w:t>On the theory of change and realistic evaluation:</w:t>
            </w:r>
          </w:p>
          <w:p w:rsidR="00860A11" w:rsidRPr="00A353D6" w:rsidRDefault="00860A11" w:rsidP="002A138A">
            <w:pPr>
              <w:pStyle w:val="HStandard"/>
              <w:jc w:val="left"/>
              <w:rPr>
                <w:rStyle w:val="Hyperlink"/>
                <w:rFonts w:eastAsiaTheme="majorEastAsia"/>
                <w:color w:val="262626"/>
                <w:sz w:val="16"/>
                <w:szCs w:val="16"/>
                <w:lang w:val="en-GB"/>
              </w:rPr>
            </w:pPr>
            <w:r w:rsidRPr="00A353D6">
              <w:rPr>
                <w:rStyle w:val="Hyperlink"/>
                <w:rFonts w:eastAsiaTheme="majorEastAsia"/>
                <w:color w:val="262626"/>
                <w:sz w:val="16"/>
                <w:lang w:val="en-GB"/>
              </w:rPr>
              <w:t xml:space="preserve">Avril Blamey and Mhairi Mackenzie, 2007: Theory of Change and Realistic Evaluation: Peas in a Pod or Apples and Oranges? Sage. Web resource: </w:t>
            </w:r>
            <w:hyperlink r:id="rId43">
              <w:r w:rsidRPr="00A353D6">
                <w:rPr>
                  <w:rStyle w:val="Hyperlink"/>
                  <w:rFonts w:eastAsiaTheme="majorEastAsia"/>
                  <w:sz w:val="16"/>
                  <w:lang w:val="en-GB"/>
                </w:rPr>
                <w:t>http://evi.sagepub.com/content/13/4/439.full.pdf</w:t>
              </w:r>
            </w:hyperlink>
            <w:r w:rsidRPr="00A353D6">
              <w:rPr>
                <w:rStyle w:val="Hyperlink"/>
                <w:rFonts w:eastAsiaTheme="majorEastAsia"/>
                <w:color w:val="262626"/>
                <w:sz w:val="16"/>
                <w:lang w:val="en-GB"/>
              </w:rPr>
              <w:t xml:space="preserve"> </w:t>
            </w:r>
          </w:p>
          <w:p w:rsidR="00860A11" w:rsidRPr="00A353D6" w:rsidRDefault="00860A11" w:rsidP="002A138A">
            <w:pPr>
              <w:pStyle w:val="HStandard"/>
              <w:jc w:val="left"/>
              <w:rPr>
                <w:rFonts w:eastAsiaTheme="majorEastAsia"/>
                <w:lang w:val="en-GB"/>
              </w:rPr>
            </w:pPr>
            <w:r w:rsidRPr="00A353D6">
              <w:rPr>
                <w:rStyle w:val="Hyperlink"/>
                <w:rFonts w:eastAsiaTheme="majorEastAsia"/>
                <w:color w:val="262626"/>
                <w:sz w:val="16"/>
                <w:lang w:val="en-GB"/>
              </w:rPr>
              <w:t>Ray Payson and Nick Tilley,1997: Realistic Evaluation, Sage, 1997. Web resource (2004):</w:t>
            </w:r>
            <w:r w:rsidRPr="00A353D6">
              <w:rPr>
                <w:sz w:val="16"/>
                <w:lang w:val="en-GB"/>
              </w:rPr>
              <w:t xml:space="preserve"> </w:t>
            </w:r>
            <w:hyperlink r:id="rId44">
              <w:r w:rsidRPr="00A353D6">
                <w:rPr>
                  <w:rStyle w:val="Hyperlink"/>
                  <w:rFonts w:eastAsiaTheme="majorEastAsia"/>
                  <w:sz w:val="16"/>
                  <w:lang w:val="en-GB"/>
                </w:rPr>
                <w:t>http://www.communitymatters.com.au/RE_chapter.pdf</w:t>
              </w:r>
            </w:hyperlink>
            <w:r w:rsidRPr="00A353D6">
              <w:rPr>
                <w:rStyle w:val="Hyperlink"/>
                <w:rFonts w:eastAsiaTheme="majorEastAsia"/>
                <w:color w:val="262626"/>
                <w:lang w:val="en-GB"/>
              </w:rPr>
              <w:t xml:space="preserve"> </w:t>
            </w:r>
          </w:p>
        </w:tc>
      </w:tr>
    </w:tbl>
    <w:p w:rsidR="00860A11" w:rsidRPr="000A700F" w:rsidRDefault="00860A11" w:rsidP="00642574">
      <w:pPr>
        <w:pStyle w:val="HHeading3"/>
        <w:rPr>
          <w:highlight w:val="yellow"/>
        </w:rPr>
      </w:pPr>
      <w:bookmarkStart w:id="184" w:name="_Toc443491680"/>
      <w:bookmarkStart w:id="185" w:name="_Toc434744504"/>
      <w:bookmarkStart w:id="186" w:name="_Toc436140054"/>
      <w:bookmarkStart w:id="187" w:name="_Toc443491681"/>
      <w:bookmarkStart w:id="188" w:name="_Toc453079766"/>
      <w:bookmarkEnd w:id="184"/>
      <w:r>
        <w:rPr>
          <w:highlight w:val="yellow"/>
        </w:rPr>
        <w:lastRenderedPageBreak/>
        <w:t>Examiner la cohérence entre les éléments d'évaluation et la logique d'intervention du RRN.</w:t>
      </w:r>
      <w:bookmarkEnd w:id="185"/>
      <w:bookmarkEnd w:id="186"/>
      <w:bookmarkEnd w:id="187"/>
      <w:bookmarkEnd w:id="188"/>
    </w:p>
    <w:p w:rsidR="00860A11" w:rsidRPr="00A353D6" w:rsidRDefault="00860A11" w:rsidP="00320BBA">
      <w:pPr>
        <w:pStyle w:val="HStandard"/>
        <w:rPr>
          <w:b/>
          <w:i/>
          <w:color w:val="538135" w:themeColor="accent6" w:themeShade="BF"/>
          <w:lang w:val="en-GB"/>
        </w:rPr>
      </w:pPr>
      <w:r w:rsidRPr="00A353D6">
        <w:rPr>
          <w:lang w:val="en-GB"/>
        </w:rPr>
        <w:t>In the structuring phase, the consistency of the evaluation questions and indicators developed when preparing the evaluation should be revisited. In case the revisiting of the intervention logic has led to modifications, the existing evaluation elements will also have to be reviewed and completed, to ensure a consistent evaluation framework.</w:t>
      </w:r>
    </w:p>
    <w:p w:rsidR="00860A11" w:rsidRPr="000A700F" w:rsidRDefault="00860A11" w:rsidP="00975D9B">
      <w:pPr>
        <w:pStyle w:val="HHeading5"/>
        <w:rPr>
          <w:highlight w:val="yellow"/>
        </w:rPr>
      </w:pPr>
      <w:r>
        <w:rPr>
          <w:highlight w:val="yellow"/>
        </w:rPr>
        <w:t>Quelles sont les principales étapes dans le choix de la méthode d’évaluation?</w:t>
      </w:r>
    </w:p>
    <w:p w:rsidR="00860A11" w:rsidRPr="000A700F" w:rsidRDefault="00860A11" w:rsidP="00320BBA">
      <w:pPr>
        <w:pStyle w:val="HStandard"/>
        <w:rPr>
          <w:highlight w:val="yellow"/>
        </w:rPr>
      </w:pPr>
      <w:r>
        <w:rPr>
          <w:highlight w:val="yellow"/>
        </w:rPr>
        <w:t xml:space="preserve">Les étapes recommandées et les résultats attendus sont: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271"/>
        <w:gridCol w:w="7745"/>
      </w:tblGrid>
      <w:tr w:rsidR="00860A11" w:rsidRPr="000A700F" w:rsidTr="002A138A">
        <w:trPr>
          <w:trHeight w:val="625"/>
        </w:trPr>
        <w:tc>
          <w:tcPr>
            <w:tcW w:w="1271" w:type="dxa"/>
            <w:shd w:val="clear" w:color="auto" w:fill="E7E6E6" w:themeFill="background2"/>
          </w:tcPr>
          <w:p w:rsidR="00860A11" w:rsidRPr="000A700F" w:rsidRDefault="00860A11" w:rsidP="002A138A">
            <w:pPr>
              <w:pStyle w:val="HStandard"/>
              <w:jc w:val="center"/>
              <w:rPr>
                <w:b/>
                <w:color w:val="5B9BD5" w:themeColor="accent1"/>
                <w:sz w:val="18"/>
                <w:szCs w:val="18"/>
                <w:highlight w:val="yellow"/>
              </w:rPr>
            </w:pPr>
            <w:r>
              <w:rPr>
                <w:b/>
                <w:color w:val="5B9BD5" w:themeColor="accent1"/>
                <w:sz w:val="18"/>
                <w:highlight w:val="yellow"/>
              </w:rPr>
              <w:t>1</w:t>
            </w:r>
          </w:p>
        </w:tc>
        <w:tc>
          <w:tcPr>
            <w:tcW w:w="7745" w:type="dxa"/>
          </w:tcPr>
          <w:p w:rsidR="00860A11" w:rsidRPr="000A700F" w:rsidRDefault="00860A11" w:rsidP="004C05DD">
            <w:pPr>
              <w:pStyle w:val="HStandard"/>
              <w:rPr>
                <w:sz w:val="18"/>
                <w:szCs w:val="18"/>
                <w:highlight w:val="yellow"/>
              </w:rPr>
            </w:pPr>
            <w:r>
              <w:rPr>
                <w:sz w:val="18"/>
                <w:highlight w:val="yellow"/>
              </w:rPr>
              <w:t>Vérifier si les indicateurs supplémentaires sont toujours pertinents pour répondre à la question d'évaluation commune. En formuler de nouveaux si ce n'est pas le cas.</w:t>
            </w:r>
          </w:p>
        </w:tc>
      </w:tr>
      <w:tr w:rsidR="00860A11" w:rsidRPr="000A700F" w:rsidTr="002A138A">
        <w:trPr>
          <w:trHeight w:val="630"/>
        </w:trPr>
        <w:tc>
          <w:tcPr>
            <w:tcW w:w="1271" w:type="dxa"/>
            <w:shd w:val="clear" w:color="auto" w:fill="E7E6E6" w:themeFill="background2"/>
          </w:tcPr>
          <w:p w:rsidR="00860A11" w:rsidRPr="000A700F" w:rsidRDefault="00860A11" w:rsidP="002A138A">
            <w:pPr>
              <w:pStyle w:val="HStandard"/>
              <w:jc w:val="center"/>
              <w:rPr>
                <w:b/>
                <w:color w:val="5B9BD5" w:themeColor="accent1"/>
                <w:sz w:val="18"/>
                <w:szCs w:val="18"/>
                <w:highlight w:val="yellow"/>
              </w:rPr>
            </w:pPr>
            <w:r>
              <w:rPr>
                <w:b/>
                <w:color w:val="5B9BD5" w:themeColor="accent1"/>
                <w:sz w:val="18"/>
                <w:highlight w:val="yellow"/>
              </w:rPr>
              <w:t>2</w:t>
            </w:r>
          </w:p>
        </w:tc>
        <w:tc>
          <w:tcPr>
            <w:tcW w:w="7745" w:type="dxa"/>
          </w:tcPr>
          <w:p w:rsidR="00860A11" w:rsidRPr="000A700F" w:rsidRDefault="00860A11" w:rsidP="004C05DD">
            <w:pPr>
              <w:pStyle w:val="HStandard"/>
              <w:rPr>
                <w:sz w:val="18"/>
                <w:szCs w:val="18"/>
                <w:highlight w:val="yellow"/>
              </w:rPr>
            </w:pPr>
            <w:r>
              <w:rPr>
                <w:sz w:val="18"/>
                <w:highlight w:val="yellow"/>
              </w:rPr>
              <w:t xml:space="preserve">Vérifier si les questions d'évaluation propres au programme et les indicateurs sont toujours pertinents. Si ce n’est pas le cas, les reformuler ou les supprimer du système.  </w:t>
            </w:r>
          </w:p>
        </w:tc>
      </w:tr>
      <w:tr w:rsidR="00860A11" w:rsidRPr="000A700F" w:rsidTr="002A138A">
        <w:tc>
          <w:tcPr>
            <w:tcW w:w="1271" w:type="dxa"/>
            <w:shd w:val="clear" w:color="auto" w:fill="E7E6E6" w:themeFill="background2"/>
          </w:tcPr>
          <w:p w:rsidR="00860A11" w:rsidRPr="000A700F" w:rsidRDefault="00860A11" w:rsidP="002A138A">
            <w:pPr>
              <w:pStyle w:val="HStandard"/>
              <w:jc w:val="center"/>
              <w:rPr>
                <w:b/>
                <w:color w:val="5B9BD5" w:themeColor="accent1"/>
                <w:sz w:val="18"/>
                <w:szCs w:val="18"/>
                <w:highlight w:val="yellow"/>
              </w:rPr>
            </w:pPr>
            <w:r>
              <w:rPr>
                <w:b/>
                <w:color w:val="5B9BD5" w:themeColor="accent1"/>
                <w:sz w:val="18"/>
                <w:highlight w:val="yellow"/>
              </w:rPr>
              <w:t>3</w:t>
            </w:r>
          </w:p>
        </w:tc>
        <w:tc>
          <w:tcPr>
            <w:tcW w:w="7745" w:type="dxa"/>
          </w:tcPr>
          <w:p w:rsidR="00860A11" w:rsidRPr="000A700F" w:rsidRDefault="00860A11" w:rsidP="00736F20">
            <w:pPr>
              <w:pStyle w:val="Hlistbullet"/>
              <w:numPr>
                <w:ilvl w:val="0"/>
                <w:numId w:val="0"/>
              </w:numPr>
              <w:tabs>
                <w:tab w:val="left" w:pos="0"/>
              </w:tabs>
              <w:spacing w:before="0" w:line="280" w:lineRule="atLeast"/>
              <w:rPr>
                <w:sz w:val="18"/>
                <w:szCs w:val="18"/>
                <w:highlight w:val="yellow"/>
              </w:rPr>
            </w:pPr>
            <w:r>
              <w:t>Si nécessaire, par exemple si de nouveaux objectifs ont été ajoutés au RRN, formuler de nouvelles questions d'évaluation propres au programme et élaborer des indicateurs</w:t>
            </w:r>
            <w:r>
              <w:rPr>
                <w:sz w:val="18"/>
                <w:highlight w:val="yellow"/>
                <w:vertAlign w:val="superscript"/>
              </w:rPr>
              <w:footnoteReference w:id="92"/>
            </w:r>
            <w:r>
              <w:t xml:space="preserve"> qui permettront de répondre à ces questions.</w:t>
            </w:r>
          </w:p>
        </w:tc>
      </w:tr>
      <w:tr w:rsidR="00860A11" w:rsidRPr="000A700F" w:rsidTr="002A138A">
        <w:tc>
          <w:tcPr>
            <w:tcW w:w="1271" w:type="dxa"/>
            <w:shd w:val="clear" w:color="auto" w:fill="E7E6E6" w:themeFill="background2"/>
          </w:tcPr>
          <w:p w:rsidR="00860A11" w:rsidRPr="000A700F" w:rsidRDefault="00860A11" w:rsidP="002A138A">
            <w:pPr>
              <w:pStyle w:val="HStandard"/>
              <w:jc w:val="center"/>
              <w:rPr>
                <w:b/>
                <w:color w:val="5B9BD5" w:themeColor="accent1"/>
                <w:sz w:val="18"/>
                <w:szCs w:val="18"/>
                <w:highlight w:val="yellow"/>
              </w:rPr>
            </w:pPr>
            <w:r>
              <w:rPr>
                <w:b/>
                <w:color w:val="5B9BD5" w:themeColor="accent1"/>
                <w:sz w:val="18"/>
                <w:highlight w:val="yellow"/>
              </w:rPr>
              <w:t>4</w:t>
            </w:r>
          </w:p>
        </w:tc>
        <w:tc>
          <w:tcPr>
            <w:tcW w:w="7745" w:type="dxa"/>
          </w:tcPr>
          <w:p w:rsidR="00860A11" w:rsidRPr="000A700F" w:rsidRDefault="00860A11" w:rsidP="00F55EBA">
            <w:pPr>
              <w:pStyle w:val="Hlistbullet"/>
              <w:numPr>
                <w:ilvl w:val="0"/>
                <w:numId w:val="0"/>
              </w:numPr>
              <w:tabs>
                <w:tab w:val="left" w:pos="34"/>
              </w:tabs>
              <w:spacing w:before="0" w:line="280" w:lineRule="atLeast"/>
              <w:ind w:left="34"/>
              <w:rPr>
                <w:sz w:val="18"/>
                <w:szCs w:val="18"/>
                <w:highlight w:val="yellow"/>
              </w:rPr>
            </w:pPr>
            <w:r>
              <w:rPr>
                <w:sz w:val="18"/>
                <w:highlight w:val="yellow"/>
              </w:rPr>
              <w:t xml:space="preserve">Vérifier  à nouveau la cohérence entre la logique d'intervention du RRN, les questions et les indicateurs d'évaluation. </w:t>
            </w:r>
          </w:p>
        </w:tc>
      </w:tr>
      <w:tr w:rsidR="00860A11" w:rsidRPr="008D0759" w:rsidTr="002A138A">
        <w:tc>
          <w:tcPr>
            <w:tcW w:w="9016" w:type="dxa"/>
            <w:gridSpan w:val="2"/>
          </w:tcPr>
          <w:p w:rsidR="00860A11" w:rsidRPr="008D0759" w:rsidRDefault="00860A11" w:rsidP="00CE1300">
            <w:pPr>
              <w:pStyle w:val="HStandard"/>
              <w:rPr>
                <w:b/>
                <w:i/>
                <w:sz w:val="18"/>
                <w:szCs w:val="18"/>
              </w:rPr>
            </w:pPr>
            <w:r>
              <w:rPr>
                <w:b/>
                <w:sz w:val="18"/>
                <w:highlight w:val="yellow"/>
              </w:rPr>
              <w:t>Résultat attendu:</w:t>
            </w:r>
            <w:r>
              <w:rPr>
                <w:b/>
                <w:i/>
                <w:sz w:val="18"/>
                <w:highlight w:val="yellow"/>
              </w:rPr>
              <w:t xml:space="preserve"> </w:t>
            </w:r>
            <w:r>
              <w:rPr>
                <w:sz w:val="18"/>
                <w:highlight w:val="yellow"/>
              </w:rPr>
              <w:t>Un cadre d'évaluation du RRN cohérent. (</w:t>
            </w:r>
            <w:r>
              <w:rPr>
                <w:sz w:val="18"/>
                <w:szCs w:val="18"/>
                <w:highlight w:val="yellow"/>
              </w:rPr>
              <w:fldChar w:fldCharType="begin" w:fldLock="1"/>
            </w:r>
            <w:r>
              <w:rPr>
                <w:sz w:val="18"/>
                <w:szCs w:val="18"/>
                <w:highlight w:val="yellow"/>
              </w:rPr>
              <w:instrText xml:space="preserve"> REF _Ref451784713 \r \h  \* MERGEFORMAT </w:instrText>
            </w:r>
            <w:r>
              <w:rPr>
                <w:sz w:val="18"/>
                <w:szCs w:val="18"/>
                <w:highlight w:val="yellow"/>
              </w:rPr>
            </w:r>
            <w:r>
              <w:rPr>
                <w:sz w:val="18"/>
                <w:szCs w:val="18"/>
                <w:highlight w:val="yellow"/>
              </w:rPr>
              <w:fldChar w:fldCharType="separate"/>
            </w:r>
            <w:r>
              <w:rPr>
                <w:sz w:val="18"/>
                <w:szCs w:val="18"/>
                <w:highlight w:val="yellow"/>
              </w:rPr>
              <w:t>Figure 9</w:t>
            </w:r>
            <w:r>
              <w:rPr>
                <w:sz w:val="18"/>
                <w:szCs w:val="18"/>
                <w:highlight w:val="yellow"/>
              </w:rPr>
              <w:fldChar w:fldCharType="end"/>
            </w:r>
            <w:r>
              <w:rPr>
                <w:sz w:val="18"/>
                <w:highlight w:val="yellow"/>
              </w:rPr>
              <w:t xml:space="preserve"> )</w:t>
            </w:r>
          </w:p>
        </w:tc>
      </w:tr>
    </w:tbl>
    <w:p w:rsidR="00860A11" w:rsidRPr="00A353D6" w:rsidRDefault="00860A11" w:rsidP="004D1A84">
      <w:pPr>
        <w:pStyle w:val="HStandard"/>
        <w:rPr>
          <w:lang w:val="en-GB"/>
        </w:rPr>
      </w:pPr>
      <w:r w:rsidRPr="00A353D6">
        <w:rPr>
          <w:lang w:val="en-GB"/>
        </w:rPr>
        <w:t xml:space="preserve">At this stage the evaluation should validate the relevance of programme-specific evaluation questions and indicators, as well as additional indicators formulated to answer the NRN common evaluation question. Changes might be needed if there are new programme-specific NRN objectives defined or new results and impacts are identified at the time of the evaluation. The formulation of programme-specific NRN related evaluation questions and indicators, as well as the consistency check between the NRN intervention logic and common, additional and programme-specific evaluation elements is already explained in </w:t>
      </w:r>
      <w:r w:rsidRPr="00A353D6">
        <w:rPr>
          <w:b/>
          <w:color w:val="E7E6E6" w:themeColor="background2"/>
          <w:lang w:val="en-GB"/>
        </w:rPr>
        <w:t>PART I</w:t>
      </w:r>
      <w:r w:rsidRPr="00A353D6">
        <w:rPr>
          <w:lang w:val="en-GB"/>
        </w:rPr>
        <w:t xml:space="preserve">, chapter 2.2.2, Preparation of NRN evaluation. In the structuring phase of the evaluation the procedure is identical.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860A11" w:rsidRPr="002809CE" w:rsidTr="004D1A84">
        <w:tc>
          <w:tcPr>
            <w:tcW w:w="9016" w:type="dxa"/>
            <w:shd w:val="clear" w:color="auto" w:fill="F5F4F4" w:themeFill="background2" w:themeFillTint="66"/>
          </w:tcPr>
          <w:p w:rsidR="00860A11" w:rsidRPr="000A700F" w:rsidRDefault="00860A11" w:rsidP="004D1A84">
            <w:pPr>
              <w:pStyle w:val="HStandard"/>
              <w:rPr>
                <w:highlight w:val="yellow"/>
              </w:rPr>
            </w:pPr>
            <w:bookmarkStart w:id="189" w:name="_Toc434744505"/>
            <w:bookmarkStart w:id="190" w:name="_Toc434744506"/>
            <w:bookmarkStart w:id="191" w:name="_Toc436140055"/>
            <w:bookmarkEnd w:id="189"/>
            <w:r>
              <w:rPr>
                <w:highlight w:val="yellow"/>
              </w:rPr>
              <w:t>Questions d’orientation pour s'assurer de la cohérence entre les éléments d'évaluation et la logique d'intervention.</w:t>
            </w:r>
          </w:p>
          <w:p w:rsidR="00860A11" w:rsidRPr="000A700F" w:rsidRDefault="00860A11" w:rsidP="00860A11">
            <w:pPr>
              <w:pStyle w:val="Hlistbullet2"/>
              <w:rPr>
                <w:highlight w:val="yellow"/>
              </w:rPr>
            </w:pPr>
            <w:r>
              <w:rPr>
                <w:highlight w:val="yellow"/>
              </w:rPr>
              <w:t>Les questions d'évaluation portent-elles vraiment sur ce que l’on veut savoir?</w:t>
            </w:r>
          </w:p>
          <w:p w:rsidR="00860A11" w:rsidRPr="000A700F" w:rsidRDefault="00860A11" w:rsidP="00860A11">
            <w:pPr>
              <w:pStyle w:val="Hlistbullet2"/>
              <w:rPr>
                <w:highlight w:val="yellow"/>
              </w:rPr>
            </w:pPr>
            <w:r>
              <w:rPr>
                <w:highlight w:val="yellow"/>
              </w:rPr>
              <w:t>Est-ce qu’il manque certaines questions d'évaluation ou certaines questions sont-elles redondantes?</w:t>
            </w:r>
          </w:p>
          <w:p w:rsidR="00860A11" w:rsidRPr="000A700F" w:rsidRDefault="00860A11" w:rsidP="00860A11">
            <w:pPr>
              <w:pStyle w:val="Hlistbullet2"/>
              <w:rPr>
                <w:highlight w:val="yellow"/>
              </w:rPr>
            </w:pPr>
            <w:r>
              <w:rPr>
                <w:highlight w:val="yellow"/>
              </w:rPr>
              <w:t>Les indicateurs couvrent-ils les aspects que l’on souhaite connaître?</w:t>
            </w:r>
          </w:p>
          <w:p w:rsidR="00860A11" w:rsidRPr="000A700F" w:rsidRDefault="00860A11" w:rsidP="00860A11">
            <w:pPr>
              <w:pStyle w:val="Hlistbullet2"/>
              <w:rPr>
                <w:highlight w:val="yellow"/>
              </w:rPr>
            </w:pPr>
            <w:r>
              <w:rPr>
                <w:highlight w:val="yellow"/>
              </w:rPr>
              <w:t>Les indicateurs détaillent-ils suffisamment les questions d'évaluation et les critères de jugement?</w:t>
            </w:r>
          </w:p>
          <w:p w:rsidR="00860A11" w:rsidRPr="000A700F" w:rsidRDefault="00860A11" w:rsidP="00860A11">
            <w:pPr>
              <w:pStyle w:val="Hlistbullet2"/>
              <w:rPr>
                <w:highlight w:val="yellow"/>
              </w:rPr>
            </w:pPr>
            <w:r>
              <w:rPr>
                <w:highlight w:val="yellow"/>
              </w:rPr>
              <w:lastRenderedPageBreak/>
              <w:t xml:space="preserve">Les indicateurs sont-ils assez probants pour répondre aux questions d'évaluation? </w:t>
            </w:r>
          </w:p>
          <w:p w:rsidR="00860A11" w:rsidRPr="000A700F" w:rsidRDefault="00860A11" w:rsidP="00860A11">
            <w:pPr>
              <w:pStyle w:val="Hlistbullet2"/>
              <w:rPr>
                <w:highlight w:val="yellow"/>
              </w:rPr>
            </w:pPr>
            <w:r>
              <w:rPr>
                <w:highlight w:val="yellow"/>
              </w:rPr>
              <w:t>Les indicateurs sont-ils RACER?</w:t>
            </w:r>
          </w:p>
        </w:tc>
      </w:tr>
    </w:tbl>
    <w:p w:rsidR="00860A11" w:rsidRPr="000A700F" w:rsidRDefault="00860A11" w:rsidP="00320BBA">
      <w:pPr>
        <w:pStyle w:val="HHeading5"/>
        <w:rPr>
          <w:highlight w:val="yellow"/>
        </w:rPr>
      </w:pPr>
      <w:r>
        <w:rPr>
          <w:highlight w:val="yellow"/>
        </w:rPr>
        <w:lastRenderedPageBreak/>
        <w:t>À faire et ne pas faire</w:t>
      </w:r>
    </w:p>
    <w:tbl>
      <w:tblPr>
        <w:tblStyle w:val="LightList-Accent5"/>
        <w:tblW w:w="0" w:type="auto"/>
        <w:tblLook w:val="04A0" w:firstRow="1" w:lastRow="0" w:firstColumn="1" w:lastColumn="0" w:noHBand="0" w:noVBand="1"/>
      </w:tblPr>
      <w:tblGrid>
        <w:gridCol w:w="4504"/>
        <w:gridCol w:w="4502"/>
      </w:tblGrid>
      <w:tr w:rsidR="00860A11" w:rsidRPr="000A700F"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tcPr>
          <w:p w:rsidR="00860A11" w:rsidRPr="000A700F" w:rsidRDefault="00860A11" w:rsidP="000A3387">
            <w:pPr>
              <w:pStyle w:val="HHeading5"/>
              <w:jc w:val="center"/>
              <w:rPr>
                <w:sz w:val="18"/>
                <w:szCs w:val="18"/>
                <w:highlight w:val="yellow"/>
              </w:rPr>
            </w:pPr>
            <w:r>
              <w:rPr>
                <w:noProof/>
                <w:sz w:val="18"/>
                <w:szCs w:val="18"/>
                <w:highlight w:val="yellow"/>
                <w:lang w:val="en-GB" w:eastAsia="en-GB" w:bidi="ar-SA"/>
              </w:rPr>
              <w:drawing>
                <wp:inline distT="0" distB="0" distL="0" distR="0" wp14:anchorId="488D401C" wp14:editId="6DE158E5">
                  <wp:extent cx="360000" cy="360000"/>
                  <wp:effectExtent l="0" t="0" r="254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tcPr>
          <w:p w:rsidR="00860A11" w:rsidRPr="000A700F" w:rsidRDefault="00860A11" w:rsidP="000A3387">
            <w:pPr>
              <w:pStyle w:val="HHeading5"/>
              <w:jc w:val="center"/>
              <w:cnfStyle w:val="100000000000" w:firstRow="1" w:lastRow="0" w:firstColumn="0" w:lastColumn="0" w:oddVBand="0" w:evenVBand="0" w:oddHBand="0" w:evenHBand="0" w:firstRowFirstColumn="0" w:firstRowLastColumn="0" w:lastRowFirstColumn="0" w:lastRowLastColumn="0"/>
              <w:rPr>
                <w:sz w:val="18"/>
                <w:szCs w:val="18"/>
                <w:highlight w:val="yellow"/>
              </w:rPr>
            </w:pPr>
            <w:r>
              <w:rPr>
                <w:noProof/>
                <w:sz w:val="18"/>
                <w:szCs w:val="18"/>
                <w:highlight w:val="yellow"/>
                <w:lang w:val="en-GB" w:eastAsia="en-GB" w:bidi="ar-SA"/>
              </w:rPr>
              <w:drawing>
                <wp:inline distT="0" distB="0" distL="0" distR="0" wp14:anchorId="791C4A84" wp14:editId="4D639793">
                  <wp:extent cx="360000" cy="360000"/>
                  <wp:effectExtent l="0" t="0" r="2540" b="25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860A11" w:rsidRPr="008D0759"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860A11" w:rsidRPr="000A700F" w:rsidRDefault="00860A11"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Construire une architecture d'évaluation globale en adaptant les éléments d'évaluation à la logique d'intervention, chaque fois que c’est nécessaire.</w:t>
            </w:r>
          </w:p>
          <w:p w:rsidR="00860A11" w:rsidRPr="000A700F" w:rsidRDefault="00860A11"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S’assurer que les questions d'évaluation couvrent effectivement tout ce que  l’on souhaite savoir sur la contribution du RRN au développement rural.</w:t>
            </w:r>
          </w:p>
          <w:p w:rsidR="00860A11" w:rsidRPr="000A700F" w:rsidRDefault="00860A11" w:rsidP="000A3387">
            <w:pPr>
              <w:pStyle w:val="HStandard"/>
              <w:spacing w:before="120" w:line="240" w:lineRule="atLeast"/>
              <w:rPr>
                <w:b w:val="0"/>
                <w:color w:val="FFC000" w:themeColor="accent4"/>
                <w:sz w:val="18"/>
                <w:szCs w:val="18"/>
                <w:highlight w:val="yellow"/>
              </w:rPr>
            </w:pPr>
            <w:r>
              <w:rPr>
                <w:color w:val="FFC000" w:themeColor="accent4"/>
                <w:sz w:val="18"/>
                <w:highlight w:val="yellow"/>
              </w:rPr>
              <w:t>Être conscient que les indicateurs constituent les éléments probants dans les réponses aux questions d'évaluation.</w:t>
            </w:r>
          </w:p>
          <w:p w:rsidR="00860A11" w:rsidRPr="000A700F" w:rsidRDefault="00860A11" w:rsidP="000A3387">
            <w:pPr>
              <w:pStyle w:val="HStandard"/>
              <w:rPr>
                <w:color w:val="FFC000" w:themeColor="accent4"/>
                <w:sz w:val="18"/>
                <w:szCs w:val="18"/>
                <w:highlight w:val="yellow"/>
              </w:rPr>
            </w:pPr>
            <w:r>
              <w:rPr>
                <w:b w:val="0"/>
                <w:color w:val="FFC000" w:themeColor="accent4"/>
                <w:sz w:val="18"/>
                <w:highlight w:val="yellow"/>
              </w:rPr>
              <w:t>Utiliser l'approche de RACER pour élaborer les indicateurs.</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860A11" w:rsidRPr="000A700F" w:rsidRDefault="00860A11" w:rsidP="000A3387">
            <w:pPr>
              <w:pStyle w:val="HHeading5"/>
              <w:spacing w:before="120" w:after="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b w:val="0"/>
                <w:color w:val="ED7D31" w:themeColor="accent2"/>
                <w:sz w:val="18"/>
                <w:highlight w:val="yellow"/>
              </w:rPr>
              <w:t>Accepter les questions et les indicateurs d'évaluation sans les contester.</w:t>
            </w:r>
          </w:p>
          <w:p w:rsidR="00860A11" w:rsidRPr="008D0759" w:rsidRDefault="00860A11" w:rsidP="000A3387">
            <w:pPr>
              <w:pStyle w:val="HStandard"/>
              <w:cnfStyle w:val="000000100000" w:firstRow="0" w:lastRow="0" w:firstColumn="0" w:lastColumn="0" w:oddVBand="0" w:evenVBand="0" w:oddHBand="1" w:evenHBand="0" w:firstRowFirstColumn="0" w:firstRowLastColumn="0" w:lastRowFirstColumn="0" w:lastRowLastColumn="0"/>
              <w:rPr>
                <w:sz w:val="18"/>
                <w:szCs w:val="18"/>
              </w:rPr>
            </w:pPr>
            <w:r>
              <w:rPr>
                <w:color w:val="ED7D31" w:themeColor="accent2"/>
                <w:sz w:val="18"/>
                <w:highlight w:val="yellow"/>
              </w:rPr>
              <w:t>Formuler les questions d'évaluation, sans les préciser avec des critères d’appréciation et sans les relier à des indicateurs.</w:t>
            </w:r>
          </w:p>
        </w:tc>
      </w:tr>
    </w:tbl>
    <w:p w:rsidR="00860A11" w:rsidRPr="008D0759" w:rsidRDefault="00860A11" w:rsidP="004D1A84">
      <w:pPr>
        <w:pStyle w:val="HHeading5"/>
      </w:pPr>
      <w:r>
        <w:t>Further reading</w:t>
      </w:r>
    </w:p>
    <w:tbl>
      <w:tblPr>
        <w:tblStyle w:val="TableGrid"/>
        <w:tblW w:w="9069"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69"/>
      </w:tblGrid>
      <w:tr w:rsidR="00860A11" w:rsidRPr="00E37021" w:rsidTr="004C05DD">
        <w:tc>
          <w:tcPr>
            <w:tcW w:w="9069" w:type="dxa"/>
            <w:shd w:val="clear" w:color="auto" w:fill="FAF9F9" w:themeFill="background2" w:themeFillTint="33"/>
          </w:tcPr>
          <w:p w:rsidR="00860A11" w:rsidRPr="00A353D6" w:rsidRDefault="00860A11" w:rsidP="004D1A84">
            <w:pPr>
              <w:pStyle w:val="HStandard"/>
              <w:jc w:val="left"/>
              <w:rPr>
                <w:sz w:val="16"/>
                <w:szCs w:val="16"/>
                <w:lang w:val="en-GB"/>
              </w:rPr>
            </w:pPr>
            <w:r w:rsidRPr="00A353D6">
              <w:rPr>
                <w:sz w:val="16"/>
                <w:lang w:val="en-GB"/>
              </w:rPr>
              <w:t>Évaluation des résultats du PDR: How to prepare for reporting on evaluation in 2017, Chapter 5.1 Evaluation Helpdesk, April 2016</w:t>
            </w:r>
          </w:p>
          <w:p w:rsidR="00860A11" w:rsidRPr="00A353D6" w:rsidRDefault="00860A11" w:rsidP="00C0080B">
            <w:pPr>
              <w:pStyle w:val="HStandard"/>
              <w:jc w:val="left"/>
              <w:rPr>
                <w:lang w:val="en-GB"/>
              </w:rPr>
            </w:pPr>
            <w:r w:rsidRPr="00A353D6">
              <w:rPr>
                <w:sz w:val="16"/>
                <w:lang w:val="en-GB"/>
              </w:rPr>
              <w:t>Italian NRNP: Examples for mapping IL, EQs and Indicators in the Case Study presented by the evaluator Francesca Angori during the Helpdesk seminar:</w:t>
            </w:r>
            <w:r w:rsidRPr="00A353D6">
              <w:rPr>
                <w:i/>
                <w:sz w:val="16"/>
                <w:lang w:val="en-GB"/>
              </w:rPr>
              <w:t xml:space="preserve"> “National rural networks: How to show their benefits.” </w:t>
            </w:r>
            <w:r w:rsidRPr="00A353D6">
              <w:rPr>
                <w:sz w:val="16"/>
                <w:lang w:val="en-GB"/>
              </w:rPr>
              <w:t xml:space="preserve">Rome/IT, 10/11 April 2014. </w:t>
            </w:r>
            <w:hyperlink r:id="rId45">
              <w:r w:rsidRPr="00A353D6">
                <w:rPr>
                  <w:rStyle w:val="Hyperlink"/>
                  <w:sz w:val="16"/>
                  <w:lang w:val="en-GB"/>
                </w:rPr>
                <w:t>http://enrd.ec.europa.eu/enrd-static/app_templates/enrd_assets/pdf/evaluation/national-rural-networks/GPW10_Italy.pdf</w:t>
              </w:r>
            </w:hyperlink>
            <w:r w:rsidRPr="00A353D6">
              <w:rPr>
                <w:lang w:val="en-GB"/>
              </w:rPr>
              <w:t xml:space="preserve"> </w:t>
            </w:r>
          </w:p>
        </w:tc>
      </w:tr>
    </w:tbl>
    <w:p w:rsidR="00860A11" w:rsidRPr="000A700F" w:rsidRDefault="00860A11" w:rsidP="00642574">
      <w:pPr>
        <w:pStyle w:val="HHeading3"/>
        <w:rPr>
          <w:highlight w:val="yellow"/>
        </w:rPr>
      </w:pPr>
      <w:bookmarkStart w:id="192" w:name="_Toc443491683"/>
      <w:bookmarkStart w:id="193" w:name="_Toc453079767"/>
      <w:r>
        <w:rPr>
          <w:highlight w:val="yellow"/>
        </w:rPr>
        <w:t>Choix d'une démarche et des méthodes d'évaluation appropriées pour les RRN</w:t>
      </w:r>
      <w:bookmarkEnd w:id="190"/>
      <w:bookmarkEnd w:id="191"/>
      <w:bookmarkEnd w:id="192"/>
      <w:bookmarkEnd w:id="193"/>
    </w:p>
    <w:p w:rsidR="00860A11" w:rsidRPr="00A353D6" w:rsidRDefault="00860A11" w:rsidP="004D1A84">
      <w:pPr>
        <w:pStyle w:val="HStandard"/>
        <w:rPr>
          <w:color w:val="538135" w:themeColor="accent6" w:themeShade="BF"/>
          <w:lang w:val="en-GB"/>
        </w:rPr>
      </w:pPr>
      <w:r w:rsidRPr="00A353D6">
        <w:rPr>
          <w:lang w:val="en-GB"/>
        </w:rPr>
        <w:t>The next task in the structuring phase is to define the evaluation approach and to choose a suitable mix of methods. A robust evaluation design is crucial for testing and finalizing the indicator system, as well as for identifying data sources and means of data collection.</w:t>
      </w:r>
    </w:p>
    <w:p w:rsidR="00860A11" w:rsidRPr="00A353D6" w:rsidRDefault="00860A11" w:rsidP="004D1A84">
      <w:pPr>
        <w:pStyle w:val="HHeading5"/>
        <w:rPr>
          <w:lang w:val="en-GB"/>
        </w:rPr>
      </w:pPr>
      <w:r w:rsidRPr="00A353D6">
        <w:rPr>
          <w:lang w:val="en-GB"/>
        </w:rPr>
        <w:t>How to distinguish the evaluation approaches from the methods and tools?</w:t>
      </w:r>
    </w:p>
    <w:p w:rsidR="00860A11" w:rsidRPr="00A353D6" w:rsidRDefault="00860A11" w:rsidP="004D1A84">
      <w:pPr>
        <w:pStyle w:val="HStandard"/>
        <w:rPr>
          <w:lang w:val="en-GB"/>
        </w:rPr>
      </w:pPr>
      <w:r w:rsidRPr="00A353D6">
        <w:rPr>
          <w:lang w:val="en-GB"/>
        </w:rPr>
        <w:t>In these guidelines we use the terms “approach”, “method” and “tool”. There are no all-purpose definitions for these terms. We use them in a way that the choice of the former implies the choice of the latter. From the approach down to the tool, the significance of purpose and concept decreases whereas the technical aspect gains relevance:</w:t>
      </w:r>
    </w:p>
    <w:p w:rsidR="00860A11" w:rsidRPr="00A353D6" w:rsidRDefault="00860A11" w:rsidP="004D1A84">
      <w:pPr>
        <w:pStyle w:val="Hlistbullet2"/>
        <w:rPr>
          <w:lang w:val="en-GB"/>
        </w:rPr>
      </w:pPr>
      <w:r w:rsidRPr="00A353D6">
        <w:rPr>
          <w:lang w:val="en-GB"/>
        </w:rPr>
        <w:t xml:space="preserve">The choice of the </w:t>
      </w:r>
      <w:r w:rsidRPr="00A353D6">
        <w:rPr>
          <w:b/>
          <w:lang w:val="en-GB"/>
        </w:rPr>
        <w:t>approach</w:t>
      </w:r>
      <w:r w:rsidRPr="00A353D6">
        <w:rPr>
          <w:lang w:val="en-GB"/>
        </w:rPr>
        <w:t xml:space="preserve"> defines the playing field in which the evaluation is carried out. It is guided by questions like: “What is the purpose of the evaluation?” - “What are the (political, economic, technical, financial) boundaries or restrictions we have to take into account for the evaluation?”</w:t>
      </w:r>
    </w:p>
    <w:p w:rsidR="00860A11" w:rsidRPr="008D0759" w:rsidRDefault="00860A11" w:rsidP="004D1A84">
      <w:pPr>
        <w:pStyle w:val="Hlistbullet2"/>
        <w:numPr>
          <w:ilvl w:val="0"/>
          <w:numId w:val="0"/>
        </w:numPr>
        <w:ind w:left="641"/>
      </w:pPr>
      <w:r>
        <w:sym w:font="Wingdings" w:char="F0E0"/>
      </w:r>
      <w:r>
        <w:t xml:space="preserve"> Example: Mixed quantitative and qualitative approach.</w:t>
      </w:r>
    </w:p>
    <w:p w:rsidR="00860A11" w:rsidRPr="00A353D6" w:rsidRDefault="00860A11" w:rsidP="004D1A84">
      <w:pPr>
        <w:pStyle w:val="Hlistbullet2"/>
        <w:rPr>
          <w:lang w:val="en-GB"/>
        </w:rPr>
      </w:pPr>
      <w:r w:rsidRPr="00A353D6">
        <w:rPr>
          <w:lang w:val="en-GB"/>
        </w:rPr>
        <w:t xml:space="preserve">The choice of the </w:t>
      </w:r>
      <w:r w:rsidRPr="00A353D6">
        <w:rPr>
          <w:b/>
          <w:lang w:val="en-GB"/>
        </w:rPr>
        <w:t>method</w:t>
      </w:r>
      <w:r w:rsidRPr="00A353D6">
        <w:rPr>
          <w:lang w:val="en-GB"/>
        </w:rPr>
        <w:t xml:space="preserve"> or </w:t>
      </w:r>
      <w:r w:rsidRPr="00A353D6">
        <w:rPr>
          <w:b/>
          <w:lang w:val="en-GB"/>
        </w:rPr>
        <w:t xml:space="preserve">methodology </w:t>
      </w:r>
      <w:r w:rsidRPr="00A353D6">
        <w:rPr>
          <w:lang w:val="en-GB"/>
        </w:rPr>
        <w:t xml:space="preserve">defines the avenue, the ways and means, of the evaluation process. It is guided by questions like: “Considering the chosen approach, what method or mix of methods do we have at hand?” – “How can we address the purpose and thematic focus of the evaluation?” </w:t>
      </w:r>
    </w:p>
    <w:p w:rsidR="00860A11" w:rsidRPr="008D0759" w:rsidRDefault="00860A11" w:rsidP="004D1A84">
      <w:pPr>
        <w:pStyle w:val="Hlistbullet2"/>
        <w:numPr>
          <w:ilvl w:val="0"/>
          <w:numId w:val="0"/>
        </w:numPr>
        <w:ind w:left="641"/>
      </w:pPr>
      <w:r>
        <w:lastRenderedPageBreak/>
        <w:sym w:font="Wingdings" w:char="F0E0"/>
      </w:r>
      <w:r>
        <w:t xml:space="preserve"> Example: Social Network Analysis.</w:t>
      </w:r>
    </w:p>
    <w:p w:rsidR="00860A11" w:rsidRPr="00A353D6" w:rsidRDefault="00860A11" w:rsidP="004D1A84">
      <w:pPr>
        <w:pStyle w:val="Hlistbullet2"/>
        <w:rPr>
          <w:lang w:val="en-GB"/>
        </w:rPr>
      </w:pPr>
      <w:r w:rsidRPr="00A353D6">
        <w:rPr>
          <w:b/>
          <w:lang w:val="en-GB"/>
        </w:rPr>
        <w:t xml:space="preserve">Tools </w:t>
      </w:r>
      <w:r w:rsidRPr="00A353D6">
        <w:rPr>
          <w:lang w:val="en-GB"/>
        </w:rPr>
        <w:t>are the basic technical elements of methods, which we use in collecting evaluation evidence.</w:t>
      </w:r>
    </w:p>
    <w:p w:rsidR="00860A11" w:rsidRPr="00A353D6" w:rsidRDefault="00860A11" w:rsidP="004D1A84">
      <w:pPr>
        <w:pStyle w:val="Hlistbullet2"/>
        <w:numPr>
          <w:ilvl w:val="0"/>
          <w:numId w:val="0"/>
        </w:numPr>
        <w:ind w:left="641"/>
        <w:rPr>
          <w:lang w:val="en-GB"/>
        </w:rPr>
      </w:pPr>
      <w:r>
        <w:sym w:font="Wingdings" w:char="F0E0"/>
      </w:r>
      <w:r w:rsidRPr="00A353D6">
        <w:rPr>
          <w:lang w:val="en-GB"/>
        </w:rPr>
        <w:t xml:space="preserve"> Example: Standard online questionnaire.</w:t>
      </w:r>
    </w:p>
    <w:p w:rsidR="00860A11" w:rsidRPr="00A353D6" w:rsidRDefault="00860A11" w:rsidP="00320BBA">
      <w:pPr>
        <w:pStyle w:val="HHeading5"/>
        <w:rPr>
          <w:color w:val="538135" w:themeColor="accent6" w:themeShade="BF"/>
          <w:lang w:val="en-GB"/>
        </w:rPr>
      </w:pPr>
      <w:bookmarkStart w:id="194" w:name="_Toc433481229"/>
      <w:bookmarkStart w:id="195" w:name="_Toc433718137"/>
      <w:bookmarkStart w:id="196" w:name="_Toc434744507"/>
      <w:bookmarkStart w:id="197" w:name="_Toc436140056"/>
      <w:r w:rsidRPr="00A353D6">
        <w:rPr>
          <w:color w:val="538135" w:themeColor="accent6" w:themeShade="BF"/>
          <w:lang w:val="en-GB"/>
        </w:rPr>
        <w:t>Choosing an evaluation approach</w:t>
      </w:r>
      <w:bookmarkEnd w:id="194"/>
      <w:bookmarkEnd w:id="195"/>
      <w:bookmarkEnd w:id="196"/>
      <w:r w:rsidRPr="00A353D6">
        <w:rPr>
          <w:color w:val="538135" w:themeColor="accent6" w:themeShade="BF"/>
          <w:lang w:val="en-GB"/>
        </w:rPr>
        <w:t xml:space="preserve"> for NRN</w:t>
      </w:r>
      <w:bookmarkEnd w:id="197"/>
      <w:r w:rsidRPr="00A353D6">
        <w:rPr>
          <w:color w:val="538135" w:themeColor="accent6" w:themeShade="BF"/>
          <w:lang w:val="en-GB"/>
        </w:rPr>
        <w:t xml:space="preserve">s </w:t>
      </w:r>
    </w:p>
    <w:p w:rsidR="00860A11" w:rsidRPr="00A353D6" w:rsidRDefault="00860A11" w:rsidP="00340AD4">
      <w:pPr>
        <w:pStyle w:val="Heading6"/>
        <w:rPr>
          <w:lang w:val="en-GB"/>
        </w:rPr>
      </w:pPr>
      <w:r w:rsidRPr="00A353D6">
        <w:rPr>
          <w:lang w:val="en-GB"/>
        </w:rPr>
        <w:t>What is required by the legal framework and what is up to the discretion of the Member States?</w:t>
      </w:r>
    </w:p>
    <w:p w:rsidR="00860A11" w:rsidRPr="00A353D6" w:rsidRDefault="00860A11" w:rsidP="00975D9B">
      <w:pPr>
        <w:pStyle w:val="HStandard"/>
        <w:rPr>
          <w:lang w:val="en-GB"/>
        </w:rPr>
      </w:pPr>
      <w:r w:rsidRPr="00A353D6">
        <w:rPr>
          <w:lang w:val="en-GB"/>
        </w:rPr>
        <w:t>The appropriate evaluation approach will in most cases consist of a mix of methods determined by:</w:t>
      </w:r>
    </w:p>
    <w:p w:rsidR="00860A11" w:rsidRPr="00A353D6" w:rsidRDefault="00860A11" w:rsidP="00975D9B">
      <w:pPr>
        <w:pStyle w:val="Hlistbullet2"/>
        <w:rPr>
          <w:lang w:val="en-GB"/>
        </w:rPr>
      </w:pPr>
      <w:r w:rsidRPr="00A353D6">
        <w:rPr>
          <w:lang w:val="en-GB"/>
        </w:rPr>
        <w:t>type of evaluation required (2017, 2019 and ex post),</w:t>
      </w:r>
    </w:p>
    <w:p w:rsidR="00860A11" w:rsidRPr="00A353D6" w:rsidRDefault="00860A11" w:rsidP="00975D9B">
      <w:pPr>
        <w:pStyle w:val="Hlistbullet2"/>
        <w:rPr>
          <w:lang w:val="en-GB"/>
        </w:rPr>
      </w:pPr>
      <w:r w:rsidRPr="00A353D6">
        <w:rPr>
          <w:lang w:val="en-GB"/>
        </w:rPr>
        <w:t>thematic priorities of the NRN’s activities,</w:t>
      </w:r>
    </w:p>
    <w:p w:rsidR="00860A11" w:rsidRPr="00A353D6" w:rsidRDefault="00860A11" w:rsidP="00975D9B">
      <w:pPr>
        <w:pStyle w:val="Hlistbullet2"/>
        <w:rPr>
          <w:lang w:val="en-GB"/>
        </w:rPr>
      </w:pPr>
      <w:r w:rsidRPr="00A353D6">
        <w:rPr>
          <w:lang w:val="en-GB"/>
        </w:rPr>
        <w:t>purpose and interest of the managing authorities and other stakeholders.</w:t>
      </w:r>
    </w:p>
    <w:p w:rsidR="00860A11" w:rsidRPr="00A353D6" w:rsidRDefault="00860A11" w:rsidP="00975D9B">
      <w:pPr>
        <w:pStyle w:val="HStandard"/>
        <w:rPr>
          <w:lang w:val="en-GB"/>
        </w:rPr>
      </w:pPr>
      <w:r w:rsidRPr="00A353D6">
        <w:rPr>
          <w:lang w:val="en-GB"/>
        </w:rPr>
        <w:t xml:space="preserve">The </w:t>
      </w:r>
      <w:r w:rsidRPr="00A353D6">
        <w:rPr>
          <w:b/>
          <w:lang w:val="en-GB"/>
        </w:rPr>
        <w:t>legal framework</w:t>
      </w:r>
      <w:r w:rsidRPr="00A353D6">
        <w:rPr>
          <w:lang w:val="en-GB"/>
        </w:rPr>
        <w:t xml:space="preserve"> requires focusing the NRN evaluation in 2017 on the quantification of programme achievements while using the NRN common output and programme-specific result indicators, and answering the common evaluation question linked to the NRN.</w:t>
      </w:r>
    </w:p>
    <w:p w:rsidR="00860A11" w:rsidRPr="00A353D6" w:rsidRDefault="00860A11" w:rsidP="00975D9B">
      <w:pPr>
        <w:pStyle w:val="HStandard"/>
        <w:rPr>
          <w:lang w:val="en-GB"/>
        </w:rPr>
      </w:pPr>
      <w:r w:rsidRPr="00A353D6">
        <w:rPr>
          <w:lang w:val="en-GB"/>
        </w:rPr>
        <w:t>The AIR 2019 additionally requires the assessment of progress towards the objectives of the RDP or NRNP, and its contribution to the Union strategy for smart, sustainable and inclusive growth through, inter alia, assessment of the programme´s net contribution to changes in CAP impact indicator values. In both cases the assessment will rely on information collected via common output and programme- specific result and impact indicators related to the NRN.</w:t>
      </w:r>
    </w:p>
    <w:p w:rsidR="00860A11" w:rsidRPr="00A353D6" w:rsidRDefault="00860A11" w:rsidP="00975D9B">
      <w:pPr>
        <w:pStyle w:val="HStandard"/>
        <w:rPr>
          <w:lang w:val="en-GB"/>
        </w:rPr>
      </w:pPr>
      <w:r w:rsidRPr="00A353D6">
        <w:rPr>
          <w:lang w:val="en-GB"/>
        </w:rPr>
        <w:t>The ex post evaluation requires the assessment of NRN(P) results and impacts against the backdrop of NRN objectives, RDP and horizontal CAP objectives.</w:t>
      </w:r>
    </w:p>
    <w:p w:rsidR="00860A11" w:rsidRPr="00A353D6" w:rsidRDefault="00860A11" w:rsidP="00975D9B">
      <w:pPr>
        <w:pStyle w:val="HStandard"/>
        <w:rPr>
          <w:lang w:val="en-GB"/>
        </w:rPr>
      </w:pPr>
      <w:r w:rsidRPr="00A353D6">
        <w:rPr>
          <w:lang w:val="en-GB"/>
        </w:rPr>
        <w:t xml:space="preserve">It is up to the </w:t>
      </w:r>
      <w:r w:rsidRPr="00A353D6">
        <w:rPr>
          <w:b/>
          <w:lang w:val="en-GB"/>
        </w:rPr>
        <w:t>discretion of Member States</w:t>
      </w:r>
      <w:r w:rsidRPr="00A353D6">
        <w:rPr>
          <w:lang w:val="en-GB"/>
        </w:rPr>
        <w:t xml:space="preserve"> to define: </w:t>
      </w:r>
    </w:p>
    <w:p w:rsidR="00860A11" w:rsidRPr="00A353D6" w:rsidRDefault="00860A11" w:rsidP="00975D9B">
      <w:pPr>
        <w:pStyle w:val="Hlistbullet2"/>
        <w:rPr>
          <w:lang w:val="en-GB"/>
        </w:rPr>
      </w:pPr>
      <w:r w:rsidRPr="00A353D6">
        <w:rPr>
          <w:lang w:val="en-GB"/>
        </w:rPr>
        <w:t>specific evaluation topics in respect to the NRN in the evaluation plan;</w:t>
      </w:r>
    </w:p>
    <w:p w:rsidR="00860A11" w:rsidRPr="00A353D6" w:rsidRDefault="00860A11" w:rsidP="00975D9B">
      <w:pPr>
        <w:pStyle w:val="Hlistbullet2"/>
        <w:rPr>
          <w:lang w:val="en-GB"/>
        </w:rPr>
      </w:pPr>
      <w:r w:rsidRPr="00A353D6">
        <w:rPr>
          <w:lang w:val="en-GB"/>
        </w:rPr>
        <w:t>NRN related programme-specific evaluation questions and indicators;</w:t>
      </w:r>
    </w:p>
    <w:p w:rsidR="00860A11" w:rsidRPr="00A353D6" w:rsidRDefault="00860A11" w:rsidP="00975D9B">
      <w:pPr>
        <w:pStyle w:val="Hlistbullet2"/>
        <w:rPr>
          <w:lang w:val="en-GB"/>
        </w:rPr>
      </w:pPr>
      <w:r w:rsidRPr="00A353D6">
        <w:rPr>
          <w:lang w:val="en-GB"/>
        </w:rPr>
        <w:t>scope and features of the monitoring and evaluation framework of the NRN, possibly connected to self-assessment;</w:t>
      </w:r>
    </w:p>
    <w:p w:rsidR="00860A11" w:rsidRPr="00A353D6" w:rsidRDefault="00860A11" w:rsidP="00975D9B">
      <w:pPr>
        <w:pStyle w:val="Hlistbullet2"/>
        <w:rPr>
          <w:lang w:val="en-GB"/>
        </w:rPr>
      </w:pPr>
      <w:r w:rsidRPr="00A353D6">
        <w:rPr>
          <w:lang w:val="en-GB"/>
        </w:rPr>
        <w:t>the evaluation approach in the Terms of Reference, which gets fine-tuned by the evaluator. In some cases, the Member States will go so far as to prescribe methodologies and tools, in other cases this will be left to the choice and competencies of the evaluator;</w:t>
      </w:r>
    </w:p>
    <w:p w:rsidR="00860A11" w:rsidRPr="00A353D6" w:rsidRDefault="00860A11" w:rsidP="00975D9B">
      <w:pPr>
        <w:pStyle w:val="Hlistbullet2"/>
        <w:rPr>
          <w:lang w:val="en-GB"/>
        </w:rPr>
      </w:pPr>
      <w:r w:rsidRPr="00A353D6">
        <w:rPr>
          <w:lang w:val="en-GB"/>
        </w:rPr>
        <w:t>specific evaluation activities, such as ongoing evaluation, and accompanying research and studies covering particular themes.</w:t>
      </w:r>
    </w:p>
    <w:p w:rsidR="00860A11" w:rsidRPr="00A353D6" w:rsidRDefault="00860A11" w:rsidP="00975D9B">
      <w:pPr>
        <w:pStyle w:val="HStandard"/>
        <w:rPr>
          <w:lang w:val="en-GB"/>
        </w:rPr>
      </w:pPr>
      <w:r w:rsidRPr="00A353D6">
        <w:rPr>
          <w:lang w:val="en-GB"/>
        </w:rPr>
        <w:t>The main choice will be that of the right weighting in a mixed quantitative and qualitative approach in relation to chosen evaluation themes. Some themes (e.g. information and dissemination activities; training activities) will allow for more, some for less quantification (e.g. fostering innovation in rural areas; involvement of stakeholders in RD).</w:t>
      </w:r>
    </w:p>
    <w:p w:rsidR="00860A11" w:rsidRPr="00A353D6" w:rsidRDefault="00860A11" w:rsidP="00320BBA">
      <w:pPr>
        <w:pStyle w:val="HStandard"/>
        <w:rPr>
          <w:color w:val="538135" w:themeColor="accent6" w:themeShade="BF"/>
          <w:lang w:val="en-GB"/>
        </w:rPr>
      </w:pPr>
      <w:r w:rsidRPr="00A353D6">
        <w:rPr>
          <w:lang w:val="en-GB"/>
        </w:rPr>
        <w:t>In any event, proportionality should be taken into account. The effort to apply the evaluation methods should match with the scope and scale of NRN tasks and operations.</w:t>
      </w:r>
    </w:p>
    <w:p w:rsidR="00860A11" w:rsidRPr="002809CE" w:rsidRDefault="00860A11" w:rsidP="00340AD4">
      <w:pPr>
        <w:pStyle w:val="Heading6"/>
      </w:pPr>
      <w:r>
        <w:rPr>
          <w:highlight w:val="yellow"/>
        </w:rPr>
        <w:t>Quelles sont les principales étapes dans le choix de la méthode d’évaluation?</w:t>
      </w:r>
    </w:p>
    <w:p w:rsidR="00860A11" w:rsidRPr="002809CE" w:rsidRDefault="00860A11" w:rsidP="00975D9B">
      <w:pPr>
        <w:pStyle w:val="HStandard"/>
      </w:pPr>
      <w:r w:rsidRPr="00A353D6">
        <w:rPr>
          <w:lang w:val="en-GB"/>
        </w:rPr>
        <w:t xml:space="preserve">The chosen evaluation approach is affecting the selection of methods and requirements for data and information to be collected and analysed for answering the evaluation questions. It also influences the quality of evaluation findings and conclusions and recommendations to improve the NRN related policy </w:t>
      </w:r>
      <w:r w:rsidRPr="00A353D6">
        <w:rPr>
          <w:lang w:val="en-GB"/>
        </w:rPr>
        <w:lastRenderedPageBreak/>
        <w:t xml:space="preserve">objectives and interventions. </w:t>
      </w:r>
      <w:r>
        <w:rPr>
          <w:highlight w:val="yellow"/>
        </w:rPr>
        <w:t>Les étapes recommandées dans ce travail et les résultats attendus sont les suivants:</w:t>
      </w:r>
    </w:p>
    <w:p w:rsidR="00860A11" w:rsidRPr="002809CE" w:rsidRDefault="00860A11">
      <w:pPr>
        <w:spacing w:after="0" w:line="240" w:lineRule="auto"/>
        <w:rPr>
          <w:rFonts w:cs="Arial"/>
          <w:color w:val="576C88" w:themeColor="text2" w:themeTint="D9"/>
          <w:sz w:val="20"/>
          <w:szCs w:val="20"/>
        </w:rPr>
      </w:pPr>
      <w:r>
        <w:br w:type="page"/>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860A11" w:rsidRPr="000A700F" w:rsidTr="00975D9B">
        <w:tc>
          <w:tcPr>
            <w:tcW w:w="988" w:type="dxa"/>
            <w:shd w:val="clear" w:color="auto" w:fill="E7E6E6" w:themeFill="background2"/>
          </w:tcPr>
          <w:p w:rsidR="00860A11" w:rsidRPr="000A700F" w:rsidRDefault="00860A11" w:rsidP="00975D9B">
            <w:pPr>
              <w:pStyle w:val="HStandard"/>
              <w:jc w:val="center"/>
              <w:rPr>
                <w:b/>
                <w:color w:val="5B9BD5" w:themeColor="accent1"/>
                <w:sz w:val="18"/>
                <w:szCs w:val="18"/>
                <w:highlight w:val="yellow"/>
              </w:rPr>
            </w:pPr>
            <w:r>
              <w:rPr>
                <w:b/>
                <w:color w:val="5B9BD5" w:themeColor="accent1"/>
                <w:sz w:val="18"/>
                <w:highlight w:val="yellow"/>
              </w:rPr>
              <w:lastRenderedPageBreak/>
              <w:t>1</w:t>
            </w:r>
          </w:p>
        </w:tc>
        <w:tc>
          <w:tcPr>
            <w:tcW w:w="8028" w:type="dxa"/>
          </w:tcPr>
          <w:p w:rsidR="00860A11" w:rsidRPr="000A700F" w:rsidRDefault="00860A11" w:rsidP="004C05DD">
            <w:pPr>
              <w:pStyle w:val="HStandard"/>
              <w:rPr>
                <w:b/>
                <w:i/>
                <w:sz w:val="18"/>
                <w:szCs w:val="18"/>
                <w:highlight w:val="yellow"/>
              </w:rPr>
            </w:pPr>
            <w:r>
              <w:rPr>
                <w:sz w:val="18"/>
                <w:highlight w:val="yellow"/>
              </w:rPr>
              <w:t>Identifier le domaine couvert par l'évaluation du RRN</w:t>
            </w:r>
          </w:p>
        </w:tc>
      </w:tr>
      <w:tr w:rsidR="00860A11" w:rsidRPr="000A700F" w:rsidTr="00975D9B">
        <w:tc>
          <w:tcPr>
            <w:tcW w:w="988" w:type="dxa"/>
            <w:shd w:val="clear" w:color="auto" w:fill="E7E6E6" w:themeFill="background2"/>
          </w:tcPr>
          <w:p w:rsidR="00860A11" w:rsidRPr="000A700F" w:rsidRDefault="00860A11" w:rsidP="00975D9B">
            <w:pPr>
              <w:pStyle w:val="HStandard"/>
              <w:jc w:val="center"/>
              <w:rPr>
                <w:b/>
                <w:color w:val="5B9BD5" w:themeColor="accent1"/>
                <w:sz w:val="18"/>
                <w:szCs w:val="18"/>
                <w:highlight w:val="yellow"/>
              </w:rPr>
            </w:pPr>
            <w:r>
              <w:rPr>
                <w:b/>
                <w:color w:val="5B9BD5" w:themeColor="accent1"/>
                <w:sz w:val="18"/>
                <w:highlight w:val="yellow"/>
              </w:rPr>
              <w:t>2</w:t>
            </w:r>
          </w:p>
        </w:tc>
        <w:tc>
          <w:tcPr>
            <w:tcW w:w="8028" w:type="dxa"/>
          </w:tcPr>
          <w:p w:rsidR="00860A11" w:rsidRPr="000A700F" w:rsidRDefault="00860A11" w:rsidP="004C05DD">
            <w:pPr>
              <w:pStyle w:val="HStandard"/>
              <w:spacing w:after="0"/>
              <w:rPr>
                <w:sz w:val="18"/>
                <w:szCs w:val="18"/>
                <w:highlight w:val="yellow"/>
              </w:rPr>
            </w:pPr>
            <w:r>
              <w:rPr>
                <w:sz w:val="18"/>
                <w:highlight w:val="yellow"/>
              </w:rPr>
              <w:t>Comprendre les difficultés de l'évaluation des résultats et des impacts du RRN</w:t>
            </w:r>
          </w:p>
        </w:tc>
      </w:tr>
      <w:tr w:rsidR="00860A11" w:rsidRPr="000A700F" w:rsidTr="00975D9B">
        <w:tc>
          <w:tcPr>
            <w:tcW w:w="988" w:type="dxa"/>
            <w:shd w:val="clear" w:color="auto" w:fill="E7E6E6" w:themeFill="background2"/>
          </w:tcPr>
          <w:p w:rsidR="00860A11" w:rsidRPr="000A700F" w:rsidRDefault="00860A11" w:rsidP="00975D9B">
            <w:pPr>
              <w:pStyle w:val="HStandard"/>
              <w:jc w:val="center"/>
              <w:rPr>
                <w:b/>
                <w:color w:val="5B9BD5" w:themeColor="accent1"/>
                <w:sz w:val="18"/>
                <w:szCs w:val="18"/>
                <w:highlight w:val="yellow"/>
              </w:rPr>
            </w:pPr>
            <w:r>
              <w:rPr>
                <w:b/>
                <w:color w:val="5B9BD5" w:themeColor="accent1"/>
                <w:sz w:val="18"/>
                <w:highlight w:val="yellow"/>
              </w:rPr>
              <w:t>3</w:t>
            </w:r>
          </w:p>
        </w:tc>
        <w:tc>
          <w:tcPr>
            <w:tcW w:w="8028" w:type="dxa"/>
          </w:tcPr>
          <w:p w:rsidR="00860A11" w:rsidRPr="000A700F" w:rsidRDefault="00860A11" w:rsidP="004C05DD">
            <w:pPr>
              <w:spacing w:line="280" w:lineRule="atLeast"/>
              <w:rPr>
                <w:color w:val="576C88" w:themeColor="text2" w:themeTint="D9"/>
                <w:szCs w:val="18"/>
                <w:highlight w:val="yellow"/>
              </w:rPr>
            </w:pPr>
            <w:r>
              <w:rPr>
                <w:color w:val="576C88" w:themeColor="text2" w:themeTint="D9"/>
                <w:highlight w:val="yellow"/>
              </w:rPr>
              <w:t>Obtenir un aperçu des potentielles démarches d’évaluation du RRN et de leurs avantages relatifs</w:t>
            </w:r>
          </w:p>
        </w:tc>
      </w:tr>
      <w:tr w:rsidR="00860A11" w:rsidRPr="000A700F" w:rsidTr="00975D9B">
        <w:tc>
          <w:tcPr>
            <w:tcW w:w="988" w:type="dxa"/>
            <w:shd w:val="clear" w:color="auto" w:fill="E7E6E6" w:themeFill="background2"/>
          </w:tcPr>
          <w:p w:rsidR="00860A11" w:rsidRPr="000A700F" w:rsidRDefault="00860A11" w:rsidP="00975D9B">
            <w:pPr>
              <w:pStyle w:val="HStandard"/>
              <w:jc w:val="center"/>
              <w:rPr>
                <w:b/>
                <w:color w:val="5B9BD5" w:themeColor="accent1"/>
                <w:sz w:val="18"/>
                <w:szCs w:val="18"/>
                <w:highlight w:val="yellow"/>
              </w:rPr>
            </w:pPr>
            <w:r>
              <w:rPr>
                <w:b/>
                <w:color w:val="5B9BD5" w:themeColor="accent1"/>
                <w:sz w:val="18"/>
                <w:highlight w:val="yellow"/>
              </w:rPr>
              <w:t>4</w:t>
            </w:r>
          </w:p>
        </w:tc>
        <w:tc>
          <w:tcPr>
            <w:tcW w:w="8028" w:type="dxa"/>
          </w:tcPr>
          <w:p w:rsidR="00860A11" w:rsidRPr="000A700F" w:rsidRDefault="00860A11" w:rsidP="004C05DD">
            <w:pPr>
              <w:pStyle w:val="HStandard"/>
              <w:rPr>
                <w:b/>
                <w:i/>
                <w:sz w:val="18"/>
                <w:szCs w:val="18"/>
                <w:highlight w:val="yellow"/>
              </w:rPr>
            </w:pPr>
            <w:r>
              <w:rPr>
                <w:sz w:val="18"/>
                <w:highlight w:val="yellow"/>
              </w:rPr>
              <w:t>Décider de la démarche d'évaluation du RRN</w:t>
            </w:r>
          </w:p>
        </w:tc>
      </w:tr>
      <w:tr w:rsidR="00860A11" w:rsidRPr="008D0759" w:rsidTr="00975D9B">
        <w:tc>
          <w:tcPr>
            <w:tcW w:w="9016" w:type="dxa"/>
            <w:gridSpan w:val="2"/>
          </w:tcPr>
          <w:p w:rsidR="00860A11" w:rsidRPr="008D0759" w:rsidRDefault="00860A11" w:rsidP="004C05DD">
            <w:pPr>
              <w:pStyle w:val="HStandard"/>
              <w:rPr>
                <w:b/>
                <w:i/>
                <w:sz w:val="18"/>
                <w:szCs w:val="18"/>
              </w:rPr>
            </w:pPr>
            <w:r>
              <w:rPr>
                <w:b/>
                <w:sz w:val="18"/>
                <w:highlight w:val="yellow"/>
              </w:rPr>
              <w:t>Résultat attendu:</w:t>
            </w:r>
            <w:r>
              <w:rPr>
                <w:b/>
                <w:i/>
                <w:sz w:val="18"/>
                <w:highlight w:val="yellow"/>
              </w:rPr>
              <w:t xml:space="preserve"> </w:t>
            </w:r>
            <w:r>
              <w:rPr>
                <w:sz w:val="18"/>
                <w:highlight w:val="yellow"/>
              </w:rPr>
              <w:t>Décision de la démarche d'évaluation</w:t>
            </w:r>
          </w:p>
        </w:tc>
      </w:tr>
    </w:tbl>
    <w:p w:rsidR="00860A11" w:rsidRPr="00A353D6" w:rsidRDefault="00860A11" w:rsidP="00975D9B">
      <w:pPr>
        <w:pStyle w:val="HStandard"/>
        <w:rPr>
          <w:lang w:val="en-GB"/>
        </w:rPr>
      </w:pPr>
      <w:r w:rsidRPr="00A353D6">
        <w:rPr>
          <w:lang w:val="en-GB"/>
        </w:rPr>
        <w:t>Steps in choosing the evaluation approach are detailed below.</w:t>
      </w:r>
    </w:p>
    <w:p w:rsidR="00860A11" w:rsidRPr="00A353D6" w:rsidRDefault="00860A11" w:rsidP="007046A4">
      <w:pPr>
        <w:pStyle w:val="HStandard"/>
        <w:rPr>
          <w:b/>
          <w:lang w:val="en-GB"/>
        </w:rPr>
      </w:pPr>
      <w:r w:rsidRPr="00A353D6">
        <w:rPr>
          <w:b/>
          <w:color w:val="ED7D31" w:themeColor="accent2"/>
          <w:lang w:val="en-GB"/>
        </w:rPr>
        <w:t>Step 1 - Identify the scope of the NRN evaluation</w:t>
      </w:r>
    </w:p>
    <w:p w:rsidR="00860A11" w:rsidRPr="00A353D6" w:rsidRDefault="00860A11" w:rsidP="00340AD4">
      <w:pPr>
        <w:pStyle w:val="HStandard"/>
        <w:rPr>
          <w:lang w:val="en-GB"/>
        </w:rPr>
      </w:pPr>
      <w:r w:rsidRPr="00A353D6">
        <w:rPr>
          <w:lang w:val="en-GB"/>
        </w:rPr>
        <w:t>The scope of the NRN evaluation should be defined by the evaluation plan or a similar internal evaluation planning document. Within this scope it is important to include the assessment of the achievements of the NRN’s common and programme-specific objectives (see also Introduction, chapter 1.4.2), as well as the NRN’s results (in the AIR submitted in 2017). This can cover changes in the behaviour of the NRN’s members and beneficiaries and impacts (in the AIR submitted in 2019), such as more effective RDP implementation due to the NRN’s activities, and changes in human and social capital. For example, networking and cooperation activities and structures, increased participation of the civil society in rural development, increased individual, organisational and societal capacities through the exchange of information and experience, etc.</w:t>
      </w:r>
    </w:p>
    <w:p w:rsidR="00860A11" w:rsidRPr="00A353D6" w:rsidRDefault="00860A11" w:rsidP="00340AD4">
      <w:pPr>
        <w:pStyle w:val="HStandard"/>
        <w:rPr>
          <w:lang w:val="en-GB"/>
        </w:rPr>
      </w:pPr>
      <w:r w:rsidRPr="00A353D6">
        <w:rPr>
          <w:lang w:val="en-GB"/>
        </w:rPr>
        <w:t>The preliminary review of existing NRNPs 2014-2020 and their evaluation plans shows that in addition to the common evaluation requirements for 2017, 2019 and the ex post, the evaluation activities of NRNPs may also focus on building the methodological capacity for carrying out evaluations of the programme’s effects, e.g. through studies to develop result and impact indicators or to develop methods for the evaluation of the essentially intangible results and impacts of the NRNP.</w:t>
      </w:r>
    </w:p>
    <w:p w:rsidR="00860A11" w:rsidRPr="00A353D6" w:rsidRDefault="00860A11" w:rsidP="007046A4">
      <w:pPr>
        <w:pStyle w:val="HStandard"/>
        <w:rPr>
          <w:b/>
          <w:color w:val="ED7D31" w:themeColor="accent2"/>
          <w:lang w:val="en-GB"/>
        </w:rPr>
      </w:pPr>
      <w:r w:rsidRPr="00A353D6">
        <w:rPr>
          <w:b/>
          <w:color w:val="ED7D31" w:themeColor="accent2"/>
          <w:lang w:val="en-GB"/>
        </w:rPr>
        <w:t>Step 2 - Understand the challenges in assessing NRN results and impacts</w:t>
      </w:r>
    </w:p>
    <w:p w:rsidR="00860A11" w:rsidRPr="00A353D6" w:rsidRDefault="00860A11" w:rsidP="00340AD4">
      <w:pPr>
        <w:pStyle w:val="HStandard"/>
        <w:rPr>
          <w:lang w:val="en-GB"/>
        </w:rPr>
      </w:pPr>
      <w:r w:rsidRPr="00A353D6">
        <w:rPr>
          <w:lang w:val="en-GB"/>
        </w:rPr>
        <w:t>Before selecting the evaluation approach, the evaluator needs to have a full picture of the challenges associated with the specificities of NRNs, including inter alia</w:t>
      </w:r>
      <w:r w:rsidRPr="00A353D6">
        <w:rPr>
          <w:rFonts w:ascii="ZWAdobeF" w:hAnsi="ZWAdobeF"/>
          <w:color w:val="auto"/>
          <w:sz w:val="2"/>
          <w:lang w:val="en-GB"/>
        </w:rPr>
        <w:t>92F</w:t>
      </w:r>
      <w:r>
        <w:rPr>
          <w:rStyle w:val="FootnoteReference"/>
        </w:rPr>
        <w:footnoteReference w:id="93"/>
      </w:r>
      <w:r w:rsidRPr="00A353D6">
        <w:rPr>
          <w:lang w:val="en-GB"/>
        </w:rPr>
        <w:t>:</w:t>
      </w:r>
    </w:p>
    <w:p w:rsidR="00860A11" w:rsidRPr="00A353D6" w:rsidRDefault="00860A11" w:rsidP="00340AD4">
      <w:pPr>
        <w:pStyle w:val="Hlistbullet2"/>
        <w:rPr>
          <w:lang w:val="en-GB"/>
        </w:rPr>
      </w:pPr>
      <w:bookmarkStart w:id="198" w:name="_Toc434744508"/>
      <w:r w:rsidRPr="00A353D6">
        <w:rPr>
          <w:lang w:val="en-GB"/>
        </w:rPr>
        <w:t>Networking activities often produce intangible results and impacts that are difficult to measure. The emergence of behavioural changes, social innovation and the enhancement of human and social capital constitutes the most important results and impacts of networking activities which may also go beyond the NRN’s members and RDP’s beneficiaries. The field of expertise in this realm is quickly expanding, and evaluators are called upon to draw on the most recent studies</w:t>
      </w:r>
      <w:r w:rsidRPr="00A353D6">
        <w:rPr>
          <w:rFonts w:ascii="ZWAdobeF" w:hAnsi="ZWAdobeF"/>
          <w:color w:val="auto"/>
          <w:sz w:val="2"/>
          <w:lang w:val="en-GB"/>
        </w:rPr>
        <w:t>93F</w:t>
      </w:r>
      <w:r>
        <w:rPr>
          <w:rStyle w:val="FootnoteReference"/>
        </w:rPr>
        <w:footnoteReference w:id="94"/>
      </w:r>
      <w:r w:rsidRPr="00A353D6">
        <w:rPr>
          <w:lang w:val="en-GB"/>
        </w:rPr>
        <w:t>.</w:t>
      </w:r>
      <w:bookmarkEnd w:id="198"/>
    </w:p>
    <w:p w:rsidR="00860A11" w:rsidRPr="00A353D6" w:rsidRDefault="00860A11" w:rsidP="00340AD4">
      <w:pPr>
        <w:pStyle w:val="Hlistbullet2"/>
        <w:rPr>
          <w:lang w:val="en-GB"/>
        </w:rPr>
      </w:pPr>
      <w:bookmarkStart w:id="199" w:name="_Toc434744509"/>
      <w:r w:rsidRPr="00A353D6">
        <w:rPr>
          <w:lang w:val="en-GB"/>
        </w:rPr>
        <w:t>The scope of NRN activities can be very broad, since events and training activities may permeate all aspects of rural development policy (competitiveness, environment, socio-economic development), potentially generating results in all these spheres.</w:t>
      </w:r>
      <w:bookmarkEnd w:id="199"/>
    </w:p>
    <w:p w:rsidR="00860A11" w:rsidRPr="00A353D6" w:rsidRDefault="00860A11" w:rsidP="00340AD4">
      <w:pPr>
        <w:pStyle w:val="Hlistbullet2"/>
        <w:rPr>
          <w:i/>
          <w:lang w:val="en-GB"/>
        </w:rPr>
      </w:pPr>
      <w:bookmarkStart w:id="200" w:name="_Toc434744510"/>
      <w:r w:rsidRPr="00A353D6">
        <w:rPr>
          <w:lang w:val="en-GB"/>
        </w:rPr>
        <w:t>The assessment of NRN results and impacts should chisel out causal relations between NRN(P) activities and indicator values, notwithstanding the difficulties to observe intangible changes.</w:t>
      </w:r>
      <w:bookmarkEnd w:id="200"/>
      <w:r w:rsidRPr="00A353D6">
        <w:rPr>
          <w:lang w:val="en-GB"/>
        </w:rPr>
        <w:t xml:space="preserve"> Put as a question: </w:t>
      </w:r>
      <w:r w:rsidRPr="00A353D6">
        <w:rPr>
          <w:i/>
          <w:lang w:val="en-GB"/>
        </w:rPr>
        <w:t>“To what extent are observed changes expressed in indicators´ values due to the NRN’s activities or what changes would have happened without them?”</w:t>
      </w:r>
    </w:p>
    <w:p w:rsidR="00860A11" w:rsidRPr="00A353D6" w:rsidRDefault="00860A11" w:rsidP="00340AD4">
      <w:pPr>
        <w:pStyle w:val="Hlistbullet2"/>
        <w:rPr>
          <w:lang w:val="en-GB"/>
        </w:rPr>
      </w:pPr>
      <w:bookmarkStart w:id="201" w:name="_Toc434744511"/>
      <w:r w:rsidRPr="00A353D6">
        <w:rPr>
          <w:lang w:val="en-GB"/>
        </w:rPr>
        <w:lastRenderedPageBreak/>
        <w:t>Experience shows that some NRNs may start their activities in a relatively late stage of RDP implementation, in which case the scope for measuring results and impacts will be limited (e.g. due to missing baseline values of indicators or inadequate data collection system).</w:t>
      </w:r>
      <w:bookmarkEnd w:id="201"/>
    </w:p>
    <w:p w:rsidR="00860A11" w:rsidRPr="00A353D6" w:rsidRDefault="00860A11" w:rsidP="00340AD4">
      <w:pPr>
        <w:pStyle w:val="Hlistbullet2"/>
        <w:rPr>
          <w:lang w:val="en-GB"/>
        </w:rPr>
      </w:pPr>
      <w:bookmarkStart w:id="202" w:name="_Toc434744512"/>
      <w:r w:rsidRPr="00A353D6">
        <w:rPr>
          <w:lang w:val="en-GB"/>
        </w:rPr>
        <w:t>In some cases, the NRN is merely considered as an auxiliary device to promote RDP measures, disregarding other NRN objectives (e.g. the generation of new knowledge, the contribution to rural innovation).</w:t>
      </w:r>
      <w:bookmarkEnd w:id="202"/>
      <w:r w:rsidRPr="00A353D6">
        <w:rPr>
          <w:lang w:val="en-GB"/>
        </w:rPr>
        <w:t xml:space="preserve"> </w:t>
      </w:r>
    </w:p>
    <w:p w:rsidR="00860A11" w:rsidRPr="00A353D6" w:rsidRDefault="00860A11" w:rsidP="00340AD4">
      <w:pPr>
        <w:pStyle w:val="Hlistbullet2"/>
        <w:rPr>
          <w:lang w:val="en-GB"/>
        </w:rPr>
      </w:pPr>
      <w:bookmarkStart w:id="203" w:name="_Toc434744513"/>
      <w:r w:rsidRPr="00A353D6">
        <w:rPr>
          <w:lang w:val="en-GB"/>
        </w:rPr>
        <w:t>The monitoring of NRN activities generates data related to the frequency of events, exchanges or trainings, and the number of people participating. All this is easy to collect. However, there is limited possibility to collect evidence in relation to expected result and impacts, such as the establishment of a consolidated cooperation framework or the generation of knowledge in LEADER areas that the NRN activities may have spawned.</w:t>
      </w:r>
    </w:p>
    <w:p w:rsidR="00860A11" w:rsidRPr="00A353D6" w:rsidRDefault="00860A11" w:rsidP="00340AD4">
      <w:pPr>
        <w:pStyle w:val="Hlistbullet2"/>
        <w:rPr>
          <w:lang w:val="en-GB"/>
        </w:rPr>
      </w:pPr>
      <w:r w:rsidRPr="00A353D6">
        <w:rPr>
          <w:lang w:val="en-GB"/>
        </w:rPr>
        <w:t>Several NRN effects on the RDP implementation would appear in the long-term. Tracing them back to the NRN’s activities could turn out as a highly speculative exercise. This does not mean that the evaluator should refrain from drawing hypothetical conclusions, but not without the necessary caveats.</w:t>
      </w:r>
      <w:bookmarkEnd w:id="203"/>
    </w:p>
    <w:p w:rsidR="00860A11" w:rsidRPr="00A353D6" w:rsidRDefault="00860A11" w:rsidP="007046A4">
      <w:pPr>
        <w:pStyle w:val="HStandard"/>
        <w:rPr>
          <w:b/>
          <w:color w:val="ED7D31" w:themeColor="accent2"/>
          <w:lang w:val="en-GB"/>
        </w:rPr>
      </w:pPr>
      <w:r w:rsidRPr="00A353D6">
        <w:rPr>
          <w:b/>
          <w:color w:val="ED7D31" w:themeColor="accent2"/>
          <w:lang w:val="en-GB"/>
        </w:rPr>
        <w:t>Step 3 - Obtain an overview of possible evaluation approaches for the NRN and their comparative advantages</w:t>
      </w:r>
    </w:p>
    <w:p w:rsidR="00860A11" w:rsidRPr="00A353D6" w:rsidRDefault="00860A11" w:rsidP="00340AD4">
      <w:pPr>
        <w:pStyle w:val="HStandard"/>
        <w:rPr>
          <w:lang w:val="en-GB"/>
        </w:rPr>
      </w:pPr>
      <w:r w:rsidRPr="00A353D6">
        <w:rPr>
          <w:lang w:val="en-GB"/>
        </w:rPr>
        <w:t>In rural development evaluation, the theory of change is expressed by the intervention logic (see chapter 3.1). Theory of change is focused not just on generating knowledge about whether a programme is effective, but also to explain what methods can be considered to be effective.</w:t>
      </w:r>
    </w:p>
    <w:p w:rsidR="00860A11" w:rsidRPr="00A353D6" w:rsidRDefault="00860A11" w:rsidP="00340AD4">
      <w:pPr>
        <w:pStyle w:val="HStandard"/>
        <w:rPr>
          <w:lang w:val="en-GB"/>
        </w:rPr>
      </w:pPr>
      <w:r w:rsidRPr="00A353D6">
        <w:rPr>
          <w:lang w:val="en-GB"/>
        </w:rPr>
        <w:t xml:space="preserve">The solution for sound NRN(P) evaluations is to rely on a well-designed mix of quantitative and qualitative approaches. </w:t>
      </w:r>
      <w:r>
        <w:fldChar w:fldCharType="begin" w:fldLock="1"/>
      </w:r>
      <w:r w:rsidRPr="00A353D6">
        <w:rPr>
          <w:lang w:val="en-GB"/>
        </w:rPr>
        <w:instrText xml:space="preserve"> REF _Ref451785030 \r \h </w:instrText>
      </w:r>
      <w:r>
        <w:fldChar w:fldCharType="separate"/>
      </w:r>
      <w:r w:rsidRPr="00A353D6">
        <w:rPr>
          <w:lang w:val="en-GB"/>
        </w:rPr>
        <w:t>Table 11</w:t>
      </w:r>
      <w:r>
        <w:fldChar w:fldCharType="end"/>
      </w:r>
      <w:r w:rsidRPr="00A353D6">
        <w:rPr>
          <w:lang w:val="en-GB"/>
        </w:rPr>
        <w:t xml:space="preserve"> provides an overview of the advantages and drawbacks of qualitative and quantitative approaches in the context of NRN(P) evaluations.</w:t>
      </w:r>
    </w:p>
    <w:p w:rsidR="00860A11" w:rsidRPr="00A353D6" w:rsidRDefault="00860A11" w:rsidP="00340AD4">
      <w:pPr>
        <w:pStyle w:val="HHeadingtables"/>
        <w:rPr>
          <w:lang w:val="en-GB"/>
        </w:rPr>
      </w:pPr>
      <w:bookmarkStart w:id="204" w:name="_Toc436140067"/>
      <w:bookmarkStart w:id="205" w:name="_Toc436383153"/>
      <w:bookmarkStart w:id="206" w:name="_Toc451781915"/>
      <w:bookmarkStart w:id="207" w:name="_Ref451785030"/>
      <w:r w:rsidRPr="00A353D6">
        <w:rPr>
          <w:lang w:val="en-GB"/>
        </w:rPr>
        <w:t xml:space="preserve">Overview </w:t>
      </w:r>
      <w:bookmarkEnd w:id="204"/>
      <w:bookmarkEnd w:id="205"/>
      <w:r w:rsidRPr="00A353D6">
        <w:rPr>
          <w:lang w:val="en-GB"/>
        </w:rPr>
        <w:t>of the qualitative and quantitative evaluation approaches</w:t>
      </w:r>
      <w:bookmarkEnd w:id="206"/>
      <w:bookmarkEnd w:id="207"/>
      <w:r w:rsidRPr="00A353D6">
        <w:rPr>
          <w:lang w:val="en-GB"/>
        </w:rPr>
        <w:t xml:space="preserve"> </w:t>
      </w:r>
    </w:p>
    <w:tbl>
      <w:tblPr>
        <w:tblStyle w:val="TableGrid"/>
        <w:tblW w:w="9816"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441"/>
        <w:gridCol w:w="3131"/>
        <w:gridCol w:w="2822"/>
        <w:gridCol w:w="2422"/>
      </w:tblGrid>
      <w:tr w:rsidR="00860A11" w:rsidRPr="00E37021" w:rsidTr="004C05DD">
        <w:trPr>
          <w:trHeight w:val="53"/>
          <w:tblHeader/>
          <w:jc w:val="center"/>
        </w:trPr>
        <w:tc>
          <w:tcPr>
            <w:tcW w:w="1441" w:type="dxa"/>
            <w:vMerge w:val="restart"/>
            <w:shd w:val="clear" w:color="auto" w:fill="E7E6E6" w:themeFill="background2"/>
          </w:tcPr>
          <w:p w:rsidR="00860A11" w:rsidRPr="008D0759" w:rsidRDefault="00860A11" w:rsidP="004C05DD">
            <w:pPr>
              <w:pStyle w:val="Htableleftbolt"/>
              <w:rPr>
                <w:color w:val="5B9BD5" w:themeColor="accent1"/>
              </w:rPr>
            </w:pPr>
            <w:r>
              <w:rPr>
                <w:color w:val="5B9BD5" w:themeColor="accent1"/>
              </w:rPr>
              <w:t>Evaluation approach</w:t>
            </w:r>
          </w:p>
        </w:tc>
        <w:tc>
          <w:tcPr>
            <w:tcW w:w="5953" w:type="dxa"/>
            <w:gridSpan w:val="2"/>
            <w:shd w:val="clear" w:color="auto" w:fill="E7E6E6" w:themeFill="background2"/>
          </w:tcPr>
          <w:p w:rsidR="00860A11" w:rsidRPr="00A353D6" w:rsidRDefault="00860A11" w:rsidP="004C05DD">
            <w:pPr>
              <w:pStyle w:val="Htableleftbolt"/>
              <w:jc w:val="center"/>
              <w:rPr>
                <w:color w:val="5B9BD5" w:themeColor="accent1"/>
                <w:lang w:val="en-GB"/>
              </w:rPr>
            </w:pPr>
            <w:r w:rsidRPr="00A353D6">
              <w:rPr>
                <w:color w:val="5B9BD5" w:themeColor="accent1"/>
                <w:lang w:val="en-GB"/>
              </w:rPr>
              <w:t>Suitability for the evaluation of NRN(P)</w:t>
            </w:r>
          </w:p>
        </w:tc>
        <w:tc>
          <w:tcPr>
            <w:tcW w:w="2422" w:type="dxa"/>
            <w:shd w:val="clear" w:color="auto" w:fill="E7E6E6" w:themeFill="background2"/>
          </w:tcPr>
          <w:p w:rsidR="00860A11" w:rsidRPr="00A353D6" w:rsidRDefault="00860A11" w:rsidP="004C05DD">
            <w:pPr>
              <w:pStyle w:val="Htableleftbolt"/>
              <w:rPr>
                <w:color w:val="5B9BD5" w:themeColor="accent1"/>
                <w:lang w:val="en-GB"/>
              </w:rPr>
            </w:pPr>
            <w:r w:rsidRPr="00A353D6">
              <w:rPr>
                <w:color w:val="5B9BD5" w:themeColor="accent1"/>
                <w:lang w:val="en-GB"/>
              </w:rPr>
              <w:t>Examples of where to use</w:t>
            </w:r>
          </w:p>
        </w:tc>
      </w:tr>
      <w:tr w:rsidR="00860A11" w:rsidRPr="008D0759" w:rsidTr="004C05DD">
        <w:trPr>
          <w:trHeight w:val="53"/>
          <w:tblHeader/>
          <w:jc w:val="center"/>
        </w:trPr>
        <w:tc>
          <w:tcPr>
            <w:tcW w:w="1441" w:type="dxa"/>
            <w:vMerge/>
            <w:shd w:val="clear" w:color="auto" w:fill="E7E6E6" w:themeFill="background2"/>
          </w:tcPr>
          <w:p w:rsidR="00860A11" w:rsidRPr="00A353D6" w:rsidRDefault="00860A11" w:rsidP="004C05DD">
            <w:pPr>
              <w:pStyle w:val="Htableleftbolt"/>
              <w:rPr>
                <w:color w:val="5B9BD5" w:themeColor="accent1"/>
                <w:lang w:val="en-GB"/>
              </w:rPr>
            </w:pPr>
          </w:p>
        </w:tc>
        <w:tc>
          <w:tcPr>
            <w:tcW w:w="3131" w:type="dxa"/>
            <w:shd w:val="clear" w:color="auto" w:fill="E7E6E6" w:themeFill="background2"/>
          </w:tcPr>
          <w:p w:rsidR="00860A11" w:rsidRPr="008D0759" w:rsidRDefault="00860A11" w:rsidP="004C05DD">
            <w:pPr>
              <w:pStyle w:val="Htableleftbolt"/>
              <w:rPr>
                <w:color w:val="5B9BD5" w:themeColor="accent1"/>
              </w:rPr>
            </w:pPr>
            <w:r>
              <w:rPr>
                <w:color w:val="5B9BD5" w:themeColor="accent1"/>
              </w:rPr>
              <w:t>Advantages</w:t>
            </w:r>
          </w:p>
        </w:tc>
        <w:tc>
          <w:tcPr>
            <w:tcW w:w="2822" w:type="dxa"/>
            <w:shd w:val="clear" w:color="auto" w:fill="E7E6E6" w:themeFill="background2"/>
          </w:tcPr>
          <w:p w:rsidR="00860A11" w:rsidRPr="008D0759" w:rsidRDefault="00860A11" w:rsidP="004C05DD">
            <w:pPr>
              <w:pStyle w:val="Htableleftbolt"/>
              <w:rPr>
                <w:color w:val="5B9BD5" w:themeColor="accent1"/>
              </w:rPr>
            </w:pPr>
            <w:r>
              <w:rPr>
                <w:color w:val="5B9BD5" w:themeColor="accent1"/>
              </w:rPr>
              <w:t>Drawbacks</w:t>
            </w:r>
          </w:p>
        </w:tc>
        <w:tc>
          <w:tcPr>
            <w:tcW w:w="2422" w:type="dxa"/>
            <w:shd w:val="clear" w:color="auto" w:fill="E7E6E6" w:themeFill="background2"/>
          </w:tcPr>
          <w:p w:rsidR="00860A11" w:rsidRPr="008D0759" w:rsidRDefault="00860A11" w:rsidP="004C05DD">
            <w:pPr>
              <w:pStyle w:val="Htableleftbolt"/>
              <w:rPr>
                <w:color w:val="5B9BD5" w:themeColor="accent1"/>
              </w:rPr>
            </w:pPr>
          </w:p>
        </w:tc>
      </w:tr>
      <w:tr w:rsidR="00860A11" w:rsidRPr="00E37021" w:rsidTr="004C05DD">
        <w:trPr>
          <w:jc w:val="center"/>
        </w:trPr>
        <w:tc>
          <w:tcPr>
            <w:tcW w:w="1441" w:type="dxa"/>
            <w:shd w:val="clear" w:color="auto" w:fill="auto"/>
          </w:tcPr>
          <w:p w:rsidR="00860A11" w:rsidRPr="008D0759" w:rsidRDefault="00860A11" w:rsidP="004C05DD">
            <w:pPr>
              <w:pStyle w:val="Htableleft"/>
              <w:rPr>
                <w:color w:val="576C88" w:themeColor="text2" w:themeTint="D9"/>
              </w:rPr>
            </w:pPr>
            <w:r>
              <w:rPr>
                <w:color w:val="576C88" w:themeColor="text2" w:themeTint="D9"/>
              </w:rPr>
              <w:t xml:space="preserve">Qualitative approach </w:t>
            </w:r>
          </w:p>
        </w:tc>
        <w:tc>
          <w:tcPr>
            <w:tcW w:w="3131" w:type="dxa"/>
            <w:shd w:val="clear" w:color="auto" w:fill="auto"/>
          </w:tcPr>
          <w:p w:rsidR="00860A11" w:rsidRPr="00A353D6" w:rsidRDefault="00860A11" w:rsidP="004C05DD">
            <w:pPr>
              <w:pStyle w:val="Htableleft"/>
              <w:rPr>
                <w:color w:val="576C88" w:themeColor="text2" w:themeTint="D9"/>
                <w:lang w:val="en-GB"/>
              </w:rPr>
            </w:pPr>
            <w:r w:rsidRPr="00A353D6">
              <w:rPr>
                <w:color w:val="576C88" w:themeColor="text2" w:themeTint="D9"/>
                <w:lang w:val="en-GB"/>
              </w:rPr>
              <w:t>Qualitative approaches are used in the evaluation of networks since they allow the assessment of effects that are difficult to quantify and to corroborate or adjust hypotheses on factors of success for specific interventions in specific contexts.</w:t>
            </w:r>
          </w:p>
        </w:tc>
        <w:tc>
          <w:tcPr>
            <w:tcW w:w="2822" w:type="dxa"/>
            <w:shd w:val="clear" w:color="auto" w:fill="auto"/>
          </w:tcPr>
          <w:p w:rsidR="00860A11" w:rsidRPr="00A353D6" w:rsidRDefault="00860A11" w:rsidP="004C05DD">
            <w:pPr>
              <w:pStyle w:val="Htableleft"/>
              <w:rPr>
                <w:color w:val="576C88" w:themeColor="text2" w:themeTint="D9"/>
                <w:lang w:val="en-GB"/>
              </w:rPr>
            </w:pPr>
            <w:r w:rsidRPr="00A353D6">
              <w:rPr>
                <w:color w:val="576C88" w:themeColor="text2" w:themeTint="D9"/>
                <w:lang w:val="en-GB"/>
              </w:rPr>
              <w:t>The results are not always precise. The approach heavily relies on methods that offer subjective information (interviews, participant surveys, questionnaires).</w:t>
            </w:r>
          </w:p>
          <w:p w:rsidR="00860A11" w:rsidRPr="00A353D6" w:rsidRDefault="00860A11" w:rsidP="004C05DD">
            <w:pPr>
              <w:pStyle w:val="Htableleft"/>
              <w:rPr>
                <w:color w:val="576C88" w:themeColor="text2" w:themeTint="D9"/>
                <w:lang w:val="en-GB"/>
              </w:rPr>
            </w:pPr>
          </w:p>
        </w:tc>
        <w:tc>
          <w:tcPr>
            <w:tcW w:w="2422" w:type="dxa"/>
            <w:shd w:val="clear" w:color="auto" w:fill="auto"/>
          </w:tcPr>
          <w:p w:rsidR="00860A11" w:rsidRPr="008D0759" w:rsidRDefault="00860A11" w:rsidP="004C05DD">
            <w:pPr>
              <w:pStyle w:val="Htableleft"/>
              <w:rPr>
                <w:color w:val="576C88" w:themeColor="text2" w:themeTint="D9"/>
              </w:rPr>
            </w:pPr>
            <w:r>
              <w:rPr>
                <w:color w:val="576C88" w:themeColor="text2" w:themeTint="D9"/>
              </w:rPr>
              <w:t xml:space="preserve">The results and impacts of </w:t>
            </w:r>
          </w:p>
          <w:p w:rsidR="00860A11" w:rsidRPr="008D0759" w:rsidRDefault="00860A11" w:rsidP="00860A11">
            <w:pPr>
              <w:pStyle w:val="Htableleft"/>
              <w:numPr>
                <w:ilvl w:val="0"/>
                <w:numId w:val="17"/>
              </w:numPr>
              <w:rPr>
                <w:color w:val="576C88" w:themeColor="text2" w:themeTint="D9"/>
              </w:rPr>
            </w:pPr>
            <w:r>
              <w:rPr>
                <w:color w:val="576C88" w:themeColor="text2" w:themeTint="D9"/>
              </w:rPr>
              <w:t>good practice collection;</w:t>
            </w:r>
          </w:p>
          <w:p w:rsidR="00860A11" w:rsidRPr="00A353D6" w:rsidRDefault="00860A11" w:rsidP="00860A11">
            <w:pPr>
              <w:pStyle w:val="Htableleft"/>
              <w:numPr>
                <w:ilvl w:val="0"/>
                <w:numId w:val="17"/>
              </w:numPr>
              <w:rPr>
                <w:color w:val="576C88" w:themeColor="text2" w:themeTint="D9"/>
                <w:lang w:val="en-GB"/>
              </w:rPr>
            </w:pPr>
            <w:r w:rsidRPr="00A353D6">
              <w:rPr>
                <w:color w:val="576C88" w:themeColor="text2" w:themeTint="D9"/>
                <w:lang w:val="en-GB"/>
              </w:rPr>
              <w:t>the generation or exchange of new knowledge;</w:t>
            </w:r>
          </w:p>
          <w:p w:rsidR="00860A11" w:rsidRPr="00A353D6" w:rsidRDefault="00860A11" w:rsidP="00860A11">
            <w:pPr>
              <w:pStyle w:val="Htableleft"/>
              <w:numPr>
                <w:ilvl w:val="0"/>
                <w:numId w:val="17"/>
              </w:numPr>
              <w:rPr>
                <w:color w:val="576C88" w:themeColor="text2" w:themeTint="D9"/>
                <w:lang w:val="en-GB"/>
              </w:rPr>
            </w:pPr>
            <w:r w:rsidRPr="00A353D6">
              <w:rPr>
                <w:color w:val="576C88" w:themeColor="text2" w:themeTint="D9"/>
                <w:lang w:val="en-GB"/>
              </w:rPr>
              <w:t>the participation in ENRD activities.</w:t>
            </w:r>
          </w:p>
        </w:tc>
      </w:tr>
      <w:tr w:rsidR="00860A11" w:rsidRPr="008D0759" w:rsidTr="004C05DD">
        <w:trPr>
          <w:jc w:val="center"/>
        </w:trPr>
        <w:tc>
          <w:tcPr>
            <w:tcW w:w="1441" w:type="dxa"/>
            <w:shd w:val="clear" w:color="auto" w:fill="auto"/>
          </w:tcPr>
          <w:p w:rsidR="00860A11" w:rsidRPr="008D0759" w:rsidRDefault="00860A11" w:rsidP="004C05DD">
            <w:pPr>
              <w:pStyle w:val="Htableleft"/>
              <w:rPr>
                <w:color w:val="576C88" w:themeColor="text2" w:themeTint="D9"/>
              </w:rPr>
            </w:pPr>
            <w:r>
              <w:rPr>
                <w:color w:val="576C88" w:themeColor="text2" w:themeTint="D9"/>
              </w:rPr>
              <w:t>Quantitative approach</w:t>
            </w:r>
          </w:p>
        </w:tc>
        <w:tc>
          <w:tcPr>
            <w:tcW w:w="3131" w:type="dxa"/>
            <w:shd w:val="clear" w:color="auto" w:fill="auto"/>
          </w:tcPr>
          <w:p w:rsidR="00860A11" w:rsidRPr="00A353D6" w:rsidRDefault="00860A11" w:rsidP="004C05DD">
            <w:pPr>
              <w:pStyle w:val="Htableleft"/>
              <w:rPr>
                <w:color w:val="576C88" w:themeColor="text2" w:themeTint="D9"/>
                <w:lang w:val="en-GB"/>
              </w:rPr>
            </w:pPr>
            <w:r w:rsidRPr="00A353D6">
              <w:rPr>
                <w:color w:val="576C88" w:themeColor="text2" w:themeTint="D9"/>
                <w:lang w:val="en-GB"/>
              </w:rPr>
              <w:t>The quantitative approach allows the assessment of net effects of precisely delimited NRN activities and make comparisons of evaluation results across NRNs/countries easier.</w:t>
            </w:r>
          </w:p>
        </w:tc>
        <w:tc>
          <w:tcPr>
            <w:tcW w:w="2822" w:type="dxa"/>
            <w:shd w:val="clear" w:color="auto" w:fill="auto"/>
          </w:tcPr>
          <w:p w:rsidR="00860A11" w:rsidRPr="008D0759" w:rsidRDefault="00860A11" w:rsidP="004C05DD">
            <w:pPr>
              <w:pStyle w:val="Htableleft"/>
              <w:rPr>
                <w:color w:val="576C88" w:themeColor="text2" w:themeTint="D9"/>
              </w:rPr>
            </w:pPr>
            <w:r>
              <w:rPr>
                <w:color w:val="576C88" w:themeColor="text2" w:themeTint="D9"/>
              </w:rPr>
              <w:t xml:space="preserve">There are difficulties </w:t>
            </w:r>
          </w:p>
          <w:p w:rsidR="00860A11" w:rsidRPr="00A353D6" w:rsidRDefault="00860A11" w:rsidP="00860A11">
            <w:pPr>
              <w:pStyle w:val="Htablebullet"/>
              <w:rPr>
                <w:color w:val="576C88" w:themeColor="text2" w:themeTint="D9"/>
                <w:lang w:val="en-GB"/>
              </w:rPr>
            </w:pPr>
            <w:r w:rsidRPr="00A353D6">
              <w:rPr>
                <w:color w:val="576C88" w:themeColor="text2" w:themeTint="D9"/>
                <w:lang w:val="en-GB"/>
              </w:rPr>
              <w:t>to quantify changes in the human and social capital;</w:t>
            </w:r>
          </w:p>
          <w:p w:rsidR="00860A11" w:rsidRPr="00A353D6" w:rsidRDefault="00860A11" w:rsidP="00860A11">
            <w:pPr>
              <w:pStyle w:val="Htablebullet"/>
              <w:rPr>
                <w:color w:val="576C88" w:themeColor="text2" w:themeTint="D9"/>
                <w:lang w:val="en-GB"/>
              </w:rPr>
            </w:pPr>
            <w:r w:rsidRPr="00A353D6">
              <w:rPr>
                <w:color w:val="576C88" w:themeColor="text2" w:themeTint="D9"/>
                <w:lang w:val="en-GB"/>
              </w:rPr>
              <w:t>to delimitate beneficiaries from non-beneficiaries in many areas of NRN interventions, at least in quantitative terms</w:t>
            </w:r>
          </w:p>
          <w:p w:rsidR="00860A11" w:rsidRPr="00A353D6" w:rsidRDefault="00860A11" w:rsidP="00860A11">
            <w:pPr>
              <w:pStyle w:val="Htablebullet"/>
              <w:rPr>
                <w:color w:val="576C88" w:themeColor="text2" w:themeTint="D9"/>
                <w:lang w:val="en-GB"/>
              </w:rPr>
            </w:pPr>
            <w:r w:rsidRPr="00A353D6">
              <w:rPr>
                <w:color w:val="576C88" w:themeColor="text2" w:themeTint="D9"/>
                <w:lang w:val="en-GB"/>
              </w:rPr>
              <w:t>to obtain data for NRN activities which are meaningful in relation to the stipulated added value of NRN;</w:t>
            </w:r>
          </w:p>
          <w:p w:rsidR="00860A11" w:rsidRPr="00A353D6" w:rsidRDefault="00860A11" w:rsidP="00860A11">
            <w:pPr>
              <w:pStyle w:val="Htablebullet"/>
              <w:rPr>
                <w:color w:val="576C88" w:themeColor="text2" w:themeTint="D9"/>
                <w:lang w:val="en-GB"/>
              </w:rPr>
            </w:pPr>
            <w:r w:rsidRPr="00A353D6">
              <w:rPr>
                <w:color w:val="576C88" w:themeColor="text2" w:themeTint="D9"/>
                <w:lang w:val="en-GB"/>
              </w:rPr>
              <w:t>to number activities and outputs in a context of matchless and nonrecurring interventions;</w:t>
            </w:r>
          </w:p>
          <w:p w:rsidR="00860A11" w:rsidRPr="00A353D6" w:rsidRDefault="00860A11" w:rsidP="00860A11">
            <w:pPr>
              <w:pStyle w:val="Htablebullet"/>
              <w:rPr>
                <w:color w:val="576C88" w:themeColor="text2" w:themeTint="D9"/>
                <w:lang w:val="en-GB"/>
              </w:rPr>
            </w:pPr>
            <w:r w:rsidRPr="00A353D6">
              <w:rPr>
                <w:color w:val="576C88" w:themeColor="text2" w:themeTint="D9"/>
                <w:lang w:val="en-GB"/>
              </w:rPr>
              <w:lastRenderedPageBreak/>
              <w:t>to net out any observed effects by pondering the influence of other interventions;</w:t>
            </w:r>
          </w:p>
          <w:p w:rsidR="00860A11" w:rsidRPr="00A353D6" w:rsidRDefault="00860A11" w:rsidP="00860A11">
            <w:pPr>
              <w:pStyle w:val="Htablebullet"/>
              <w:rPr>
                <w:color w:val="576C88" w:themeColor="text2" w:themeTint="D9"/>
                <w:lang w:val="en-GB"/>
              </w:rPr>
            </w:pPr>
            <w:r w:rsidRPr="00A353D6">
              <w:rPr>
                <w:color w:val="576C88" w:themeColor="text2" w:themeTint="D9"/>
                <w:lang w:val="en-GB"/>
              </w:rPr>
              <w:t>to get reliable quantitative data over a longer period of time (as in the past mostly qualitative information on NRN has been collected).</w:t>
            </w:r>
          </w:p>
        </w:tc>
        <w:tc>
          <w:tcPr>
            <w:tcW w:w="2422" w:type="dxa"/>
            <w:shd w:val="clear" w:color="auto" w:fill="auto"/>
          </w:tcPr>
          <w:p w:rsidR="00860A11" w:rsidRPr="00A353D6" w:rsidRDefault="00860A11" w:rsidP="00860A11">
            <w:pPr>
              <w:pStyle w:val="Htableleft"/>
              <w:numPr>
                <w:ilvl w:val="0"/>
                <w:numId w:val="17"/>
              </w:numPr>
              <w:rPr>
                <w:lang w:val="en-GB"/>
              </w:rPr>
            </w:pPr>
            <w:r w:rsidRPr="00A353D6">
              <w:rPr>
                <w:color w:val="576C88" w:themeColor="text2" w:themeTint="D9"/>
                <w:lang w:val="en-GB"/>
              </w:rPr>
              <w:lastRenderedPageBreak/>
              <w:t>Outputs of NRN activities, e.g. the three common output indicators;</w:t>
            </w:r>
          </w:p>
          <w:p w:rsidR="00860A11" w:rsidRPr="00A353D6" w:rsidRDefault="00860A11" w:rsidP="00860A11">
            <w:pPr>
              <w:pStyle w:val="Htableleft"/>
              <w:numPr>
                <w:ilvl w:val="0"/>
                <w:numId w:val="17"/>
              </w:numPr>
              <w:rPr>
                <w:lang w:val="en-GB"/>
              </w:rPr>
            </w:pPr>
            <w:r w:rsidRPr="00A353D6">
              <w:rPr>
                <w:color w:val="576C88" w:themeColor="text2" w:themeTint="D9"/>
                <w:lang w:val="en-GB"/>
              </w:rPr>
              <w:t>Results of NRN activities where the use of outputs can be clearly attributed to certain beneficiaries or users</w:t>
            </w:r>
            <w:r w:rsidRPr="00A353D6">
              <w:rPr>
                <w:lang w:val="en-GB"/>
              </w:rPr>
              <w:t xml:space="preserve">, e.g. </w:t>
            </w:r>
          </w:p>
          <w:p w:rsidR="00860A11" w:rsidRPr="00A353D6" w:rsidRDefault="00860A11" w:rsidP="00860A11">
            <w:pPr>
              <w:pStyle w:val="Htableleft"/>
              <w:numPr>
                <w:ilvl w:val="1"/>
                <w:numId w:val="17"/>
              </w:numPr>
              <w:ind w:left="624" w:hanging="284"/>
              <w:rPr>
                <w:lang w:val="en-GB"/>
              </w:rPr>
            </w:pPr>
            <w:r w:rsidRPr="00A353D6">
              <w:rPr>
                <w:lang w:val="en-GB"/>
              </w:rPr>
              <w:t>the degree of information enquired among readers of newsletters;</w:t>
            </w:r>
          </w:p>
          <w:p w:rsidR="00860A11" w:rsidRPr="00A353D6" w:rsidRDefault="00860A11" w:rsidP="00860A11">
            <w:pPr>
              <w:pStyle w:val="Htableleft"/>
              <w:numPr>
                <w:ilvl w:val="1"/>
                <w:numId w:val="17"/>
              </w:numPr>
              <w:ind w:left="624" w:hanging="284"/>
              <w:rPr>
                <w:lang w:val="en-GB"/>
              </w:rPr>
            </w:pPr>
            <w:r w:rsidRPr="00A353D6">
              <w:rPr>
                <w:lang w:val="en-GB"/>
              </w:rPr>
              <w:t xml:space="preserve">the degree of satisfaction of </w:t>
            </w:r>
            <w:r w:rsidRPr="00A353D6">
              <w:rPr>
                <w:lang w:val="en-GB"/>
              </w:rPr>
              <w:lastRenderedPageBreak/>
              <w:t>inquirers in search for support;</w:t>
            </w:r>
          </w:p>
          <w:p w:rsidR="00860A11" w:rsidRPr="00A353D6" w:rsidRDefault="00860A11" w:rsidP="00860A11">
            <w:pPr>
              <w:pStyle w:val="Htableleft"/>
              <w:numPr>
                <w:ilvl w:val="1"/>
                <w:numId w:val="17"/>
              </w:numPr>
              <w:ind w:left="624" w:hanging="284"/>
              <w:rPr>
                <w:lang w:val="en-GB"/>
              </w:rPr>
            </w:pPr>
            <w:r w:rsidRPr="00A353D6">
              <w:rPr>
                <w:lang w:val="en-GB"/>
              </w:rPr>
              <w:t>the degree of use of the website, distinguished by offers (downloads, blogs…)</w:t>
            </w:r>
          </w:p>
          <w:p w:rsidR="00860A11" w:rsidRPr="008D0759" w:rsidRDefault="00860A11" w:rsidP="004C05DD">
            <w:pPr>
              <w:pStyle w:val="Htableleft"/>
            </w:pPr>
            <w:r>
              <w:t xml:space="preserve">Measuring involvement of stakeholders </w:t>
            </w:r>
          </w:p>
        </w:tc>
      </w:tr>
    </w:tbl>
    <w:p w:rsidR="00860A11" w:rsidRPr="00A353D6" w:rsidRDefault="00860A11" w:rsidP="00340AD4">
      <w:pPr>
        <w:pStyle w:val="HStandard"/>
        <w:rPr>
          <w:lang w:val="en-GB"/>
        </w:rPr>
      </w:pPr>
      <w:r w:rsidRPr="00A353D6">
        <w:rPr>
          <w:b/>
          <w:lang w:val="en-GB"/>
        </w:rPr>
        <w:lastRenderedPageBreak/>
        <w:t xml:space="preserve">Mixing of both approaches </w:t>
      </w:r>
      <w:r w:rsidRPr="00A353D6">
        <w:rPr>
          <w:lang w:val="en-GB"/>
        </w:rPr>
        <w:t>facilitates applying quantitative approaches for quantifiable NRN activities and qualitative ones for non-quantifiable ones; for instance, the quantitative assessment of good practice collection can be combined with the qualitative assessment of how this has contributed to increasing the knowledge base amongst rural stakeholders. This also allows for the cross-checking of findings from quantitative approaches with the use of qualitative ones; for instance, the quantitative results from the assessment of NRN events can be verified with the qualitative results of opinion surveys and stakeholder interviews.</w:t>
      </w:r>
    </w:p>
    <w:p w:rsidR="00860A11" w:rsidRPr="00A353D6" w:rsidRDefault="00860A11" w:rsidP="007046A4">
      <w:pPr>
        <w:pStyle w:val="HStandard"/>
        <w:rPr>
          <w:b/>
          <w:color w:val="ED7D31" w:themeColor="accent2"/>
          <w:lang w:val="en-GB"/>
        </w:rPr>
      </w:pPr>
      <w:r w:rsidRPr="00A353D6">
        <w:rPr>
          <w:b/>
          <w:color w:val="ED7D31" w:themeColor="accent2"/>
          <w:lang w:val="en-GB"/>
        </w:rPr>
        <w:t>Step 4 - Decide on the NRN evaluation approach</w:t>
      </w:r>
    </w:p>
    <w:p w:rsidR="00860A11" w:rsidRPr="00A353D6" w:rsidRDefault="00860A11" w:rsidP="00340AD4">
      <w:pPr>
        <w:pStyle w:val="HStandard"/>
        <w:rPr>
          <w:lang w:val="en-GB"/>
        </w:rPr>
      </w:pPr>
      <w:r w:rsidRPr="00A353D6">
        <w:rPr>
          <w:lang w:val="en-GB"/>
        </w:rPr>
        <w:t>Apart from considering the advantages and drawbacks of different evaluation approaches, the selection of a robust evaluation approach should account for:</w:t>
      </w:r>
    </w:p>
    <w:p w:rsidR="00860A11" w:rsidRPr="00A353D6" w:rsidRDefault="00860A11" w:rsidP="00340AD4">
      <w:pPr>
        <w:pStyle w:val="Hlistbullet2"/>
        <w:rPr>
          <w:lang w:val="en-GB"/>
        </w:rPr>
      </w:pPr>
      <w:r w:rsidRPr="00A353D6">
        <w:rPr>
          <w:lang w:val="en-GB"/>
        </w:rPr>
        <w:t xml:space="preserve">the validity of results offered by the evaluation approach, </w:t>
      </w:r>
    </w:p>
    <w:p w:rsidR="00860A11" w:rsidRPr="008D0759" w:rsidRDefault="00860A11" w:rsidP="00340AD4">
      <w:pPr>
        <w:pStyle w:val="Hlistbullet2"/>
      </w:pPr>
      <w:r>
        <w:t xml:space="preserve">the scale of measurement, </w:t>
      </w:r>
    </w:p>
    <w:p w:rsidR="00860A11" w:rsidRPr="00A353D6" w:rsidRDefault="00860A11" w:rsidP="00340AD4">
      <w:pPr>
        <w:pStyle w:val="Hlistbullet2"/>
        <w:rPr>
          <w:lang w:val="en-GB"/>
        </w:rPr>
      </w:pPr>
      <w:r w:rsidRPr="00A353D6">
        <w:rPr>
          <w:lang w:val="en-GB"/>
        </w:rPr>
        <w:t>the possibility to model output, result and impact indicators into a coherent cause-effect structure,</w:t>
      </w:r>
    </w:p>
    <w:p w:rsidR="00860A11" w:rsidRPr="00A353D6" w:rsidRDefault="00860A11" w:rsidP="00340AD4">
      <w:pPr>
        <w:pStyle w:val="Hlistbullet2"/>
        <w:rPr>
          <w:lang w:val="en-GB"/>
        </w:rPr>
      </w:pPr>
      <w:r w:rsidRPr="00A353D6">
        <w:rPr>
          <w:lang w:val="en-GB"/>
        </w:rPr>
        <w:t xml:space="preserve">the ability to analyse the counterfactual where it seems to be feasible, </w:t>
      </w:r>
    </w:p>
    <w:p w:rsidR="00860A11" w:rsidRPr="00A353D6" w:rsidRDefault="00860A11" w:rsidP="00340AD4">
      <w:pPr>
        <w:pStyle w:val="Hlistbullet2"/>
        <w:rPr>
          <w:lang w:val="en-GB"/>
        </w:rPr>
      </w:pPr>
      <w:r w:rsidRPr="00A353D6">
        <w:rPr>
          <w:lang w:val="en-GB"/>
        </w:rPr>
        <w:t>the ability to capture unintended effects and</w:t>
      </w:r>
    </w:p>
    <w:p w:rsidR="00860A11" w:rsidRPr="00A353D6" w:rsidRDefault="00860A11" w:rsidP="00340AD4">
      <w:pPr>
        <w:pStyle w:val="Hlistbullet2"/>
        <w:rPr>
          <w:lang w:val="en-GB"/>
        </w:rPr>
      </w:pPr>
      <w:r w:rsidRPr="00A353D6">
        <w:rPr>
          <w:lang w:val="en-GB"/>
        </w:rPr>
        <w:t>the antecedents and the actual time horizon of the intervention</w:t>
      </w:r>
      <w:r w:rsidRPr="00A353D6">
        <w:rPr>
          <w:rFonts w:ascii="ZWAdobeF" w:hAnsi="ZWAdobeF"/>
          <w:color w:val="auto"/>
          <w:sz w:val="2"/>
          <w:lang w:val="en-GB"/>
        </w:rPr>
        <w:t>94F</w:t>
      </w:r>
      <w:r>
        <w:rPr>
          <w:rStyle w:val="FootnoteReference"/>
        </w:rPr>
        <w:footnoteReference w:id="95"/>
      </w:r>
      <w:r w:rsidRPr="00A353D6">
        <w:rPr>
          <w:lang w:val="en-GB"/>
        </w:rPr>
        <w:t>.</w:t>
      </w:r>
    </w:p>
    <w:p w:rsidR="00860A11" w:rsidRPr="00A353D6" w:rsidRDefault="00860A11" w:rsidP="00340AD4">
      <w:pPr>
        <w:pStyle w:val="HStandard"/>
        <w:rPr>
          <w:lang w:val="en-GB"/>
        </w:rPr>
      </w:pPr>
      <w:r w:rsidRPr="00A353D6">
        <w:rPr>
          <w:lang w:val="en-GB"/>
        </w:rPr>
        <w:t xml:space="preserve">Given the complexity of NRN evaluation, a </w:t>
      </w:r>
      <w:r w:rsidRPr="00A353D6">
        <w:rPr>
          <w:b/>
          <w:lang w:val="en-GB"/>
        </w:rPr>
        <w:t>mixed approach</w:t>
      </w:r>
      <w:r w:rsidRPr="00A353D6">
        <w:rPr>
          <w:lang w:val="en-GB"/>
        </w:rPr>
        <w:t>, combining qualitative with quantitative methods will be the appropriate choice.</w:t>
      </w:r>
    </w:p>
    <w:p w:rsidR="00860A11" w:rsidRPr="00A353D6" w:rsidRDefault="00860A11" w:rsidP="00340AD4">
      <w:pPr>
        <w:pStyle w:val="HStandard"/>
        <w:rPr>
          <w:lang w:val="en-GB"/>
        </w:rPr>
      </w:pPr>
      <w:r w:rsidRPr="00A353D6">
        <w:rPr>
          <w:lang w:val="en-GB"/>
        </w:rPr>
        <w:t xml:space="preserve">Particularly at the higher level of NRN objectives, at the level of NRN results and impacts, the character of NRNs implies a strong emphasis on qualitative evaluation:  </w:t>
      </w:r>
    </w:p>
    <w:p w:rsidR="00860A11" w:rsidRPr="00A353D6" w:rsidRDefault="00860A11" w:rsidP="00340AD4">
      <w:pPr>
        <w:pStyle w:val="Hlistbullet2"/>
        <w:rPr>
          <w:lang w:val="en-GB"/>
        </w:rPr>
      </w:pPr>
      <w:r w:rsidRPr="00A353D6">
        <w:rPr>
          <w:lang w:val="en-GB"/>
        </w:rPr>
        <w:t xml:space="preserve">firstly, because the sphere of activities and influence of the NRN goes beyond the RDP beneficiaries and affects the wider range of the rural actors; </w:t>
      </w:r>
    </w:p>
    <w:p w:rsidR="00860A11" w:rsidRPr="00A353D6" w:rsidRDefault="00860A11" w:rsidP="00340AD4">
      <w:pPr>
        <w:pStyle w:val="Hlistbullet2"/>
        <w:rPr>
          <w:lang w:val="en-GB"/>
        </w:rPr>
      </w:pPr>
      <w:r w:rsidRPr="00A353D6">
        <w:rPr>
          <w:lang w:val="en-GB"/>
        </w:rPr>
        <w:t>secondly, NRN activities addressed to a specific target group may have an effect also on non-beneficiaries; for instance, the information of a thematic exchange event targeting farmers will also have an effect on awareness raising of other stakeholders in the area. There is no such thing as linear cause-effect chains in social systems. Moreover, NRNs are social systems and any intervention from a NSU inseparably blends with the signal noise from other communications, interactions and any occurrences influencing the behaviour of beneficiaries and stakeholders.</w:t>
      </w:r>
    </w:p>
    <w:p w:rsidR="00860A11" w:rsidRPr="00A353D6" w:rsidRDefault="00860A11">
      <w:pPr>
        <w:spacing w:after="0" w:line="240" w:lineRule="auto"/>
        <w:rPr>
          <w:b/>
          <w:bCs/>
          <w:color w:val="576C88" w:themeColor="text2" w:themeTint="D9"/>
          <w:sz w:val="20"/>
        </w:rPr>
      </w:pPr>
      <w:r w:rsidRPr="00A353D6">
        <w:br w:type="page"/>
      </w:r>
    </w:p>
    <w:p w:rsidR="00860A11" w:rsidRPr="00A353D6" w:rsidRDefault="00860A11" w:rsidP="00340AD4">
      <w:pPr>
        <w:pStyle w:val="Heading6"/>
        <w:rPr>
          <w:lang w:val="en-GB"/>
        </w:rPr>
      </w:pPr>
      <w:r w:rsidRPr="00A353D6">
        <w:rPr>
          <w:lang w:val="en-GB"/>
        </w:rPr>
        <w:lastRenderedPageBreak/>
        <w:t>Counterfactual assessment: where and when?</w:t>
      </w:r>
    </w:p>
    <w:p w:rsidR="00860A11" w:rsidRPr="00A353D6" w:rsidRDefault="00860A11" w:rsidP="00340AD4">
      <w:pPr>
        <w:pStyle w:val="HStandard"/>
        <w:rPr>
          <w:lang w:val="en-GB"/>
        </w:rPr>
      </w:pPr>
      <w:r w:rsidRPr="00A353D6">
        <w:rPr>
          <w:lang w:val="en-GB"/>
        </w:rPr>
        <w:t>Sound evaluation practices require the counterfactual to attribute observable effects to programme interventions</w:t>
      </w:r>
      <w:r w:rsidRPr="00A353D6">
        <w:rPr>
          <w:rFonts w:ascii="ZWAdobeF" w:hAnsi="ZWAdobeF"/>
          <w:color w:val="auto"/>
          <w:sz w:val="2"/>
          <w:lang w:val="en-GB"/>
        </w:rPr>
        <w:t>95F</w:t>
      </w:r>
      <w:r>
        <w:rPr>
          <w:rStyle w:val="FootnoteReference"/>
        </w:rPr>
        <w:footnoteReference w:id="96"/>
      </w:r>
      <w:r w:rsidRPr="00A353D6">
        <w:rPr>
          <w:lang w:val="en-GB"/>
        </w:rPr>
        <w:t xml:space="preserve">. Counterfactual assessment is possible with both quantitative and qualitative approaches and can be applied without clear-cut control groups in the situation when there are no non-beneficiaries. There are different possibilities to design and apply a counterfactual by using various methods and techniques (counterfactual design based on statistics, on modelling or on qualitative approaches), even when all rural actors are included in NRN’s activities (although to varying degrees). </w:t>
      </w:r>
    </w:p>
    <w:p w:rsidR="00860A11" w:rsidRPr="00A353D6" w:rsidRDefault="00860A11" w:rsidP="00340AD4">
      <w:pPr>
        <w:pStyle w:val="HStandard"/>
        <w:rPr>
          <w:b/>
          <w:lang w:val="en-GB"/>
        </w:rPr>
      </w:pPr>
      <w:r w:rsidRPr="00A353D6">
        <w:rPr>
          <w:lang w:val="en-GB"/>
        </w:rPr>
        <w:t>All in all, the more targeted and standardised the type of intervention is, the more appropriate and feasible will be the counterfactual assessment</w:t>
      </w:r>
      <w:r w:rsidRPr="00A353D6">
        <w:rPr>
          <w:rFonts w:ascii="ZWAdobeF" w:hAnsi="ZWAdobeF"/>
          <w:color w:val="auto"/>
          <w:sz w:val="2"/>
          <w:lang w:val="en-GB"/>
        </w:rPr>
        <w:t>96F</w:t>
      </w:r>
      <w:r>
        <w:rPr>
          <w:rStyle w:val="FootnoteReference"/>
        </w:rPr>
        <w:footnoteReference w:id="97"/>
      </w:r>
      <w:r w:rsidRPr="00A353D6">
        <w:rPr>
          <w:lang w:val="en-GB"/>
        </w:rPr>
        <w:t>. It should be decided at an early stage of programme evaluation (ideally in the setting up of the evaluation plan), which thematic areas and indicators would be subject to counterfactual assessment, in order to set appropriate baselines and cater for the subsequent data collection</w:t>
      </w:r>
      <w:r w:rsidRPr="00A353D6">
        <w:rPr>
          <w:rFonts w:ascii="ZWAdobeF" w:hAnsi="ZWAdobeF"/>
          <w:color w:val="auto"/>
          <w:sz w:val="2"/>
          <w:lang w:val="en-GB"/>
        </w:rPr>
        <w:t>97F</w:t>
      </w:r>
      <w:r>
        <w:rPr>
          <w:rStyle w:val="FootnoteReference"/>
        </w:rPr>
        <w:footnoteReference w:id="98"/>
      </w:r>
      <w:bookmarkStart w:id="208" w:name="_Toc434744515"/>
      <w:bookmarkStart w:id="209" w:name="_Toc433481230"/>
      <w:bookmarkStart w:id="210" w:name="_Toc433718138"/>
      <w:bookmarkStart w:id="211" w:name="_Toc436140057"/>
      <w:r w:rsidRPr="00A353D6">
        <w:rPr>
          <w:lang w:val="en-GB"/>
        </w:rPr>
        <w:t>.</w:t>
      </w:r>
    </w:p>
    <w:p w:rsidR="00860A11" w:rsidRPr="00A353D6" w:rsidRDefault="00860A11" w:rsidP="00340AD4">
      <w:pPr>
        <w:pStyle w:val="Heading6"/>
        <w:rPr>
          <w:lang w:val="en-GB"/>
        </w:rPr>
      </w:pPr>
      <w:r w:rsidRPr="00A353D6">
        <w:rPr>
          <w:lang w:val="en-GB"/>
        </w:rPr>
        <w:t>Choosing evaluation methods for NRNs</w:t>
      </w:r>
      <w:bookmarkEnd w:id="208"/>
      <w:bookmarkEnd w:id="209"/>
      <w:bookmarkEnd w:id="210"/>
      <w:bookmarkEnd w:id="211"/>
    </w:p>
    <w:p w:rsidR="00860A11" w:rsidRPr="00A353D6" w:rsidRDefault="00860A11" w:rsidP="00340AD4">
      <w:pPr>
        <w:pStyle w:val="HStandard"/>
        <w:rPr>
          <w:lang w:val="en-GB"/>
        </w:rPr>
      </w:pPr>
      <w:r w:rsidRPr="00A353D6">
        <w:rPr>
          <w:lang w:val="en-GB"/>
        </w:rPr>
        <w:t xml:space="preserve">Choosing a mixed-methods approach means to systematically adopt various perspectives and observation devices. The Helpdesk’s Guidance on </w:t>
      </w:r>
      <w:r w:rsidRPr="00A353D6">
        <w:rPr>
          <w:i/>
          <w:lang w:val="en-GB"/>
        </w:rPr>
        <w:t>“Capturing the Impacts of LEADER and of measures to improve the quality of life in rural areas”</w:t>
      </w:r>
      <w:r w:rsidRPr="00A353D6">
        <w:rPr>
          <w:rFonts w:ascii="ZWAdobeF" w:hAnsi="ZWAdobeF"/>
          <w:color w:val="auto"/>
          <w:sz w:val="2"/>
          <w:lang w:val="en-GB"/>
        </w:rPr>
        <w:t>98F</w:t>
      </w:r>
      <w:r>
        <w:rPr>
          <w:rStyle w:val="FootnoteReference"/>
        </w:rPr>
        <w:footnoteReference w:id="99"/>
      </w:r>
      <w:r w:rsidRPr="00A353D6">
        <w:rPr>
          <w:lang w:val="en-GB"/>
        </w:rPr>
        <w:t xml:space="preserve"> devotes a whole chapter to “matching complexity with triangulation”. A closer look at the term reveals that </w:t>
      </w:r>
      <w:r w:rsidRPr="00A353D6">
        <w:rPr>
          <w:b/>
          <w:lang w:val="en-GB"/>
        </w:rPr>
        <w:t>triangulation</w:t>
      </w:r>
      <w:r w:rsidRPr="00A353D6">
        <w:rPr>
          <w:lang w:val="en-GB"/>
        </w:rPr>
        <w:t xml:space="preserve"> can refer to different aspects:</w:t>
      </w:r>
    </w:p>
    <w:p w:rsidR="00860A11" w:rsidRPr="00A353D6" w:rsidRDefault="00860A11" w:rsidP="00340AD4">
      <w:pPr>
        <w:pStyle w:val="Hlistbullet2"/>
        <w:rPr>
          <w:lang w:val="en-GB"/>
        </w:rPr>
      </w:pPr>
      <w:r w:rsidRPr="00A353D6">
        <w:rPr>
          <w:lang w:val="en-GB"/>
        </w:rPr>
        <w:t>Evaluator triangulation involves a broad range of competences within the evaluation team;</w:t>
      </w:r>
    </w:p>
    <w:p w:rsidR="00860A11" w:rsidRPr="00A353D6" w:rsidRDefault="00860A11" w:rsidP="00340AD4">
      <w:pPr>
        <w:pStyle w:val="Hlistbullet2"/>
        <w:rPr>
          <w:lang w:val="en-GB"/>
        </w:rPr>
      </w:pPr>
      <w:r w:rsidRPr="00A353D6">
        <w:rPr>
          <w:lang w:val="en-GB"/>
        </w:rPr>
        <w:t>Methodological triangulation, which means using more than one method to gather data (such as interviews, questionnaires, focus groups and documentary analysis);</w:t>
      </w:r>
    </w:p>
    <w:p w:rsidR="00860A11" w:rsidRPr="00A353D6" w:rsidRDefault="00860A11" w:rsidP="00340AD4">
      <w:pPr>
        <w:pStyle w:val="Hlistbullet2"/>
        <w:rPr>
          <w:lang w:val="en-GB"/>
        </w:rPr>
      </w:pPr>
      <w:r w:rsidRPr="00A353D6">
        <w:rPr>
          <w:lang w:val="en-GB"/>
        </w:rPr>
        <w:t>Data triangulation in respect to space and people.</w:t>
      </w:r>
    </w:p>
    <w:p w:rsidR="00860A11" w:rsidRPr="000D1D32" w:rsidRDefault="00860A11" w:rsidP="00340AD4">
      <w:pPr>
        <w:pStyle w:val="Heading6"/>
        <w:rPr>
          <w:highlight w:val="yellow"/>
        </w:rPr>
      </w:pPr>
      <w:r>
        <w:rPr>
          <w:highlight w:val="yellow"/>
        </w:rPr>
        <w:t>Quelles sont les méthodes appropriées pour l'évaluation des RRN?</w:t>
      </w:r>
    </w:p>
    <w:p w:rsidR="00860A11" w:rsidRPr="000D1D32" w:rsidRDefault="00860A11" w:rsidP="00340AD4">
      <w:pPr>
        <w:pStyle w:val="HStandard"/>
        <w:rPr>
          <w:highlight w:val="yellow"/>
        </w:rPr>
      </w:pPr>
      <w:r>
        <w:t xml:space="preserve">La </w:t>
      </w:r>
      <w:r>
        <w:rPr>
          <w:highlight w:val="yellow"/>
        </w:rPr>
        <w:fldChar w:fldCharType="begin" w:fldLock="1"/>
      </w:r>
      <w:r>
        <w:rPr>
          <w:highlight w:val="yellow"/>
        </w:rPr>
        <w:instrText xml:space="preserve"> REF _Ref433724277 \r \h  \* MERGEFORMAT </w:instrText>
      </w:r>
      <w:r>
        <w:rPr>
          <w:highlight w:val="yellow"/>
        </w:rPr>
      </w:r>
      <w:r>
        <w:rPr>
          <w:highlight w:val="yellow"/>
        </w:rPr>
        <w:fldChar w:fldCharType="separate"/>
      </w:r>
      <w:r>
        <w:rPr>
          <w:highlight w:val="yellow"/>
        </w:rPr>
        <w:t>Figure 19</w:t>
      </w:r>
      <w:r>
        <w:rPr>
          <w:highlight w:val="yellow"/>
        </w:rPr>
        <w:fldChar w:fldCharType="end"/>
      </w:r>
      <w:r>
        <w:t xml:space="preserve"> montre les méthodes pouvant être recommandées pour évaluer les interventions du PDR, sans se préoccuper de son exhaustivité.</w:t>
      </w:r>
      <w:r>
        <w:rPr>
          <w:highlight w:val="yellow"/>
        </w:rPr>
        <w:t xml:space="preserve"> Des approches méthodologiques fiables doivent englober diverses méthodes, en vue d'obtenir une image multidimensionnelle de la réalité.</w:t>
      </w:r>
    </w:p>
    <w:p w:rsidR="00860A11" w:rsidRPr="000D1D32" w:rsidRDefault="00860A11">
      <w:pPr>
        <w:spacing w:after="0" w:line="240" w:lineRule="auto"/>
        <w:rPr>
          <w:rFonts w:cs="Arial"/>
          <w:color w:val="576C88" w:themeColor="text2" w:themeTint="D9"/>
          <w:sz w:val="20"/>
          <w:szCs w:val="20"/>
          <w:highlight w:val="yellow"/>
        </w:rPr>
      </w:pPr>
      <w:r>
        <w:br w:type="page"/>
      </w:r>
    </w:p>
    <w:p w:rsidR="00860A11" w:rsidRPr="000D1D32" w:rsidRDefault="00860A11" w:rsidP="00340AD4">
      <w:pPr>
        <w:pStyle w:val="HHeadingfigures"/>
        <w:rPr>
          <w:highlight w:val="yellow"/>
        </w:rPr>
      </w:pPr>
      <w:bookmarkStart w:id="212" w:name="_Ref433724277"/>
      <w:bookmarkStart w:id="213" w:name="_Toc436140076"/>
      <w:bookmarkStart w:id="214" w:name="_Toc436383168"/>
      <w:bookmarkStart w:id="215" w:name="_Toc451781938"/>
      <w:r>
        <w:rPr>
          <w:highlight w:val="yellow"/>
        </w:rPr>
        <w:lastRenderedPageBreak/>
        <w:t xml:space="preserve">Méthodes d'évaluation des (PS)RRN </w:t>
      </w:r>
      <w:bookmarkEnd w:id="212"/>
      <w:bookmarkEnd w:id="213"/>
      <w:bookmarkEnd w:id="214"/>
      <w:bookmarkEnd w:id="215"/>
    </w:p>
    <w:p w:rsidR="00860A11" w:rsidRPr="000D1D32" w:rsidRDefault="00860A11" w:rsidP="00320BBA">
      <w:pPr>
        <w:jc w:val="center"/>
        <w:rPr>
          <w:highlight w:val="yellow"/>
        </w:rPr>
      </w:pPr>
      <w:r>
        <w:rPr>
          <w:noProof/>
          <w:lang w:eastAsia="en-GB"/>
        </w:rPr>
        <w:drawing>
          <wp:inline distT="0" distB="0" distL="0" distR="0" wp14:anchorId="2763AD77" wp14:editId="00902F09">
            <wp:extent cx="5731510" cy="3745865"/>
            <wp:effectExtent l="0" t="0" r="2540" b="698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731510" cy="3745865"/>
                    </a:xfrm>
                    <a:prstGeom prst="rect">
                      <a:avLst/>
                    </a:prstGeom>
                  </pic:spPr>
                </pic:pic>
              </a:graphicData>
            </a:graphic>
          </wp:inline>
        </w:drawing>
      </w:r>
    </w:p>
    <w:p w:rsidR="00860A11" w:rsidRPr="000D1D32" w:rsidRDefault="00860A11" w:rsidP="00320BBA">
      <w:pPr>
        <w:pStyle w:val="HSource"/>
        <w:rPr>
          <w:highlight w:val="yellow"/>
        </w:rPr>
      </w:pPr>
      <w:r>
        <w:rPr>
          <w:highlight w:val="yellow"/>
        </w:rPr>
        <w:t>Source: Helpdesk du Réseau européen d'évaluation du développement rural 2016</w:t>
      </w:r>
    </w:p>
    <w:p w:rsidR="00860A11" w:rsidRPr="000D1D32" w:rsidRDefault="00860A11" w:rsidP="00340AD4">
      <w:pPr>
        <w:pStyle w:val="HStandard"/>
        <w:rPr>
          <w:highlight w:val="yellow"/>
        </w:rPr>
      </w:pPr>
      <w:r>
        <w:rPr>
          <w:highlight w:val="yellow"/>
        </w:rPr>
        <w:t xml:space="preserve">Les méthodes dans le champ en jaune peuvent être grossièrement divisées en: </w:t>
      </w:r>
    </w:p>
    <w:p w:rsidR="00860A11" w:rsidRPr="000D1D32" w:rsidRDefault="00860A11" w:rsidP="00340AD4">
      <w:pPr>
        <w:pStyle w:val="Hlistbullet2"/>
        <w:rPr>
          <w:highlight w:val="yellow"/>
        </w:rPr>
      </w:pPr>
      <w:r>
        <w:rPr>
          <w:highlight w:val="yellow"/>
        </w:rPr>
        <w:t>Enquêtes</w:t>
      </w:r>
    </w:p>
    <w:p w:rsidR="00860A11" w:rsidRPr="000D1D32" w:rsidRDefault="00860A11" w:rsidP="00340AD4">
      <w:pPr>
        <w:pStyle w:val="Hlistbullet2"/>
        <w:rPr>
          <w:highlight w:val="yellow"/>
        </w:rPr>
      </w:pPr>
      <w:r>
        <w:rPr>
          <w:highlight w:val="yellow"/>
        </w:rPr>
        <w:t>Méthodes fondées sur le dialogue</w:t>
      </w:r>
    </w:p>
    <w:p w:rsidR="00860A11" w:rsidRPr="000D1D32" w:rsidRDefault="00860A11" w:rsidP="00340AD4">
      <w:pPr>
        <w:pStyle w:val="Hlistbullet2"/>
        <w:rPr>
          <w:highlight w:val="yellow"/>
        </w:rPr>
      </w:pPr>
      <w:r>
        <w:rPr>
          <w:highlight w:val="yellow"/>
        </w:rPr>
        <w:t>Méthodes analytiques</w:t>
      </w:r>
    </w:p>
    <w:p w:rsidR="00860A11" w:rsidRPr="000D1D32" w:rsidRDefault="00860A11" w:rsidP="00340AD4">
      <w:pPr>
        <w:pStyle w:val="Hlistbullet2"/>
        <w:rPr>
          <w:highlight w:val="yellow"/>
        </w:rPr>
      </w:pPr>
      <w:r>
        <w:rPr>
          <w:highlight w:val="yellow"/>
        </w:rPr>
        <w:t>Méthodes de diagnostic.</w:t>
      </w:r>
    </w:p>
    <w:p w:rsidR="00860A11" w:rsidRPr="000D1D32" w:rsidRDefault="00860A11" w:rsidP="00340AD4">
      <w:pPr>
        <w:pStyle w:val="HStandard"/>
        <w:rPr>
          <w:highlight w:val="yellow"/>
        </w:rPr>
      </w:pPr>
      <w:r>
        <w:rPr>
          <w:b/>
          <w:u w:val="single"/>
        </w:rPr>
        <w:t>Les enquêtes</w:t>
      </w:r>
      <w:r>
        <w:t xml:space="preserve"> peuvent être fondées sur</w:t>
      </w:r>
      <w:r>
        <w:rPr>
          <w:highlight w:val="yellow"/>
        </w:rPr>
        <w:t xml:space="preserve"> </w:t>
      </w:r>
    </w:p>
    <w:p w:rsidR="00860A11" w:rsidRPr="000D1D32" w:rsidRDefault="00860A11" w:rsidP="00340AD4">
      <w:pPr>
        <w:pStyle w:val="Hlistbullet2"/>
        <w:rPr>
          <w:highlight w:val="yellow"/>
        </w:rPr>
      </w:pPr>
      <w:r>
        <w:rPr>
          <w:b/>
        </w:rPr>
        <w:t>Des entretiens au moyen de questionnaires standards</w:t>
      </w:r>
      <w:r>
        <w:t xml:space="preserve"> avec les participants et les parties prenantes du réseau, suivis d’une analyse statistique; les questionnaires sont généralement envoyés, remplis et retournés, souvent gratuitement, en utilisant l'un des outils disponibles en ligne</w:t>
      </w:r>
      <w:r>
        <w:rPr>
          <w:rStyle w:val="FootnoteReference"/>
          <w:highlight w:val="yellow"/>
        </w:rPr>
        <w:footnoteReference w:id="100"/>
      </w:r>
      <w:r>
        <w:t>,;</w:t>
      </w:r>
    </w:p>
    <w:p w:rsidR="00860A11" w:rsidRPr="000D1D32" w:rsidRDefault="00860A11" w:rsidP="00320BBA">
      <w:pPr>
        <w:pStyle w:val="Hlistbullet"/>
        <w:numPr>
          <w:ilvl w:val="1"/>
          <w:numId w:val="2"/>
        </w:numPr>
        <w:tabs>
          <w:tab w:val="left" w:pos="567"/>
        </w:tabs>
        <w:ind w:left="1037" w:hanging="357"/>
        <w:rPr>
          <w:highlight w:val="yellow"/>
        </w:rPr>
      </w:pPr>
      <w:r>
        <w:rPr>
          <w:highlight w:val="yellow"/>
        </w:rPr>
        <w:t>Exemple: Enquête en ligne auprès des responsables et dirigeants de GAL sur leur participation et leur engagement dans les activités du RRN, sur leur niveau de satisfaction et les possibles activités de suivi.</w:t>
      </w:r>
    </w:p>
    <w:p w:rsidR="00860A11" w:rsidRPr="000D1D32" w:rsidRDefault="00860A11" w:rsidP="00340AD4">
      <w:pPr>
        <w:pStyle w:val="Hlistbullet2"/>
        <w:rPr>
          <w:highlight w:val="yellow"/>
        </w:rPr>
      </w:pPr>
      <w:r>
        <w:rPr>
          <w:b/>
        </w:rPr>
        <w:t>Des entretiens (approfondis) semi-structurés</w:t>
      </w:r>
      <w:r>
        <w:t xml:space="preserve"> organisés avec les experts, les parties prenantes ou les bénéficiaires pour recueillir directement leurs points de vue sur les questions d'évaluation; ces entretiens sont généralement en face-à-face, mais peuvent aussi être conduits par téléphone ou par Skype;</w:t>
      </w:r>
    </w:p>
    <w:p w:rsidR="00860A11" w:rsidRPr="000D1D32" w:rsidRDefault="00860A11" w:rsidP="00320BBA">
      <w:pPr>
        <w:pStyle w:val="Hlistbullet"/>
        <w:numPr>
          <w:ilvl w:val="1"/>
          <w:numId w:val="2"/>
        </w:numPr>
        <w:tabs>
          <w:tab w:val="left" w:pos="567"/>
        </w:tabs>
        <w:spacing w:before="0" w:line="280" w:lineRule="atLeast"/>
        <w:ind w:left="1037" w:hanging="357"/>
        <w:rPr>
          <w:highlight w:val="yellow"/>
        </w:rPr>
      </w:pPr>
      <w:r>
        <w:rPr>
          <w:highlight w:val="yellow"/>
        </w:rPr>
        <w:t>Exemple: Entretiens individuels avec des représentants choisis de l'autorité de gestion et des organismes d'exécution pour avoir leur point de vue sur les réalisations du RRN par rapport aux résultats attendus.</w:t>
      </w:r>
    </w:p>
    <w:p w:rsidR="00860A11" w:rsidRPr="000D1D32" w:rsidRDefault="00860A11" w:rsidP="00340AD4">
      <w:pPr>
        <w:pStyle w:val="Hlistbullet2"/>
        <w:rPr>
          <w:highlight w:val="yellow"/>
        </w:rPr>
      </w:pPr>
      <w:r>
        <w:rPr>
          <w:highlight w:val="yellow"/>
        </w:rPr>
        <w:lastRenderedPageBreak/>
        <w:t xml:space="preserve">Les entretiens sur la base de grilles d’interprétation </w:t>
      </w:r>
      <w:r>
        <w:rPr>
          <w:rFonts w:ascii="ZWAdobeF" w:hAnsi="ZWAdobeF"/>
          <w:color w:val="auto"/>
          <w:sz w:val="2"/>
          <w:highlight w:val="yellow"/>
        </w:rPr>
        <w:t>100F</w:t>
      </w:r>
      <w:r>
        <w:rPr>
          <w:rStyle w:val="FootnoteReference"/>
          <w:highlight w:val="yellow"/>
        </w:rPr>
        <w:footnoteReference w:id="101"/>
      </w:r>
      <w:r>
        <w:rPr>
          <w:highlight w:val="yellow"/>
        </w:rPr>
        <w:t xml:space="preserve"> qui permettent d‘évaluer des informations qualitatives obtenues par un nombre relativement faible de personnes interrogées; les «grilles rep» servent d'outils pour enquêter sur les concepts personnels (vision du monde, valeurs et attitudes) qui, d'un point de vue psycho-social, sont reconnus comme guidant nos actions, c’est-à-dire nos comportements. </w:t>
      </w:r>
      <w:r>
        <w:rPr>
          <w:highlight w:val="yellow"/>
        </w:rPr>
        <w:sym w:font="Wingdings" w:char="F0E0"/>
      </w:r>
      <w:r>
        <w:rPr>
          <w:highlight w:val="yellow"/>
        </w:rPr>
        <w:t xml:space="preserve"> Voir aussi la </w:t>
      </w:r>
      <w:r>
        <w:rPr>
          <w:b/>
          <w:color w:val="E7E6E6" w:themeColor="background2"/>
          <w:highlight w:val="yellow"/>
        </w:rPr>
        <w:t>partie III</w:t>
      </w:r>
      <w:r>
        <w:rPr>
          <w:highlight w:val="yellow"/>
        </w:rPr>
        <w:t xml:space="preserve"> du présent document d'orientation.</w:t>
      </w:r>
    </w:p>
    <w:p w:rsidR="00860A11" w:rsidRPr="000D1D32" w:rsidRDefault="00860A11" w:rsidP="00340AD4">
      <w:pPr>
        <w:pStyle w:val="Hlistbullet"/>
        <w:numPr>
          <w:ilvl w:val="1"/>
          <w:numId w:val="2"/>
        </w:numPr>
        <w:tabs>
          <w:tab w:val="left" w:pos="567"/>
        </w:tabs>
        <w:spacing w:before="0" w:after="120" w:line="280" w:lineRule="atLeast"/>
        <w:ind w:left="1037" w:hanging="357"/>
        <w:rPr>
          <w:highlight w:val="yellow"/>
        </w:rPr>
      </w:pPr>
      <w:r>
        <w:rPr>
          <w:highlight w:val="yellow"/>
        </w:rPr>
        <w:t>Exemple: Entretiens de membres sélectionnés du réseau au moyen de «grilles rep» (par exemple, le «noyau interne», tel qu’indiqué dans une précédente Analyse des Réseaux Sociaux) sur leurs attitudes face à la qualité et à l'évolution du réseau (la proposer au moins deux fois - par exemple 2017 et 2019) .</w:t>
      </w:r>
    </w:p>
    <w:p w:rsidR="00860A11" w:rsidRPr="000D1D32" w:rsidRDefault="00860A11" w:rsidP="00340AD4">
      <w:pPr>
        <w:pStyle w:val="HStandard"/>
        <w:rPr>
          <w:highlight w:val="yellow"/>
        </w:rPr>
      </w:pPr>
      <w:r>
        <w:rPr>
          <w:highlight w:val="yellow"/>
        </w:rPr>
        <w:t xml:space="preserve">Entretiens au moyen de questionnaires standardisés, mais aussi entretiens semi-structurés permettant de recueillir des informations factuelles et de glaner des avis et des recommandations utiles. Ces opinions subjectives peuvent être quantifiées pour une analyse statistique, à l’aide d’une notation (par exemple le % de réalisation), d’un classement (par ordre de préférence) ou d’échelles de Likert qui offrent plusieurs positions entre deux valeurs extrêmes (par exemple, de «très mauvaise» à «très bon»). Ces notations et mesures permettent une comparaison contextualisée sur la base de jugements subjectifs (en particulier pour les indicateurs d'impact) </w:t>
      </w:r>
      <w:r>
        <w:rPr>
          <w:rFonts w:ascii="ZWAdobeF" w:hAnsi="ZWAdobeF"/>
          <w:color w:val="auto"/>
          <w:sz w:val="2"/>
          <w:highlight w:val="yellow"/>
        </w:rPr>
        <w:t xml:space="preserve">101F </w:t>
      </w:r>
      <w:r>
        <w:rPr>
          <w:rStyle w:val="FootnoteReference"/>
          <w:highlight w:val="yellow"/>
        </w:rPr>
        <w:footnoteReference w:id="102"/>
      </w:r>
      <w:r>
        <w:rPr>
          <w:highlight w:val="yellow"/>
        </w:rPr>
        <w:t xml:space="preserve"> .</w:t>
      </w:r>
    </w:p>
    <w:p w:rsidR="00860A11" w:rsidRPr="000D1D32" w:rsidRDefault="00860A11" w:rsidP="00320BBA">
      <w:pPr>
        <w:pStyle w:val="HStandard"/>
        <w:spacing w:after="0"/>
        <w:rPr>
          <w:highlight w:val="yellow"/>
        </w:rPr>
      </w:pPr>
      <w:r>
        <w:rPr>
          <w:b/>
          <w:highlight w:val="yellow"/>
          <w:u w:val="single"/>
        </w:rPr>
        <w:t xml:space="preserve">Les méthodes fondées sur le dialogue et la participation </w:t>
      </w:r>
      <w:r>
        <w:rPr>
          <w:highlight w:val="yellow"/>
        </w:rPr>
        <w:t xml:space="preserve">jouent sur «l’intelligence collective» </w:t>
      </w:r>
      <w:r>
        <w:rPr>
          <w:rFonts w:ascii="ZWAdobeF" w:hAnsi="ZWAdobeF"/>
          <w:color w:val="auto"/>
          <w:sz w:val="2"/>
          <w:highlight w:val="yellow"/>
        </w:rPr>
        <w:t>102F</w:t>
      </w:r>
      <w:r>
        <w:rPr>
          <w:rStyle w:val="FootnoteReference"/>
          <w:highlight w:val="yellow"/>
        </w:rPr>
        <w:footnoteReference w:id="103"/>
      </w:r>
      <w:r>
        <w:rPr>
          <w:highlight w:val="yellow"/>
        </w:rPr>
        <w:t xml:space="preserve"> ou «l’intuition de groupe» </w:t>
      </w:r>
      <w:r>
        <w:rPr>
          <w:rFonts w:ascii="ZWAdobeF" w:hAnsi="ZWAdobeF"/>
          <w:color w:val="auto"/>
          <w:sz w:val="2"/>
          <w:highlight w:val="yellow"/>
        </w:rPr>
        <w:t>103F</w:t>
      </w:r>
      <w:r>
        <w:rPr>
          <w:rStyle w:val="FootnoteReference"/>
          <w:highlight w:val="yellow"/>
        </w:rPr>
        <w:footnoteReference w:id="104"/>
      </w:r>
      <w:r>
        <w:rPr>
          <w:highlight w:val="yellow"/>
        </w:rPr>
        <w:t xml:space="preserve"> en complément des opinions individuelles et</w:t>
      </w:r>
      <w:r>
        <w:t xml:space="preserve"> des </w:t>
      </w:r>
      <w:r>
        <w:rPr>
          <w:highlight w:val="yellow"/>
        </w:rPr>
        <w:t>informations factuelles recueillies dans</w:t>
      </w:r>
      <w:r>
        <w:t xml:space="preserve"> les </w:t>
      </w:r>
      <w:r>
        <w:rPr>
          <w:highlight w:val="yellow"/>
        </w:rPr>
        <w:t xml:space="preserve">enquêtes. </w:t>
      </w:r>
    </w:p>
    <w:p w:rsidR="00860A11" w:rsidRPr="000D1D32" w:rsidRDefault="00860A11" w:rsidP="00340AD4">
      <w:pPr>
        <w:pStyle w:val="Hlistbullet2"/>
        <w:rPr>
          <w:highlight w:val="yellow"/>
        </w:rPr>
      </w:pPr>
      <w:r>
        <w:rPr>
          <w:highlight w:val="yellow"/>
        </w:rPr>
        <w:t xml:space="preserve">Les méthodes fondées sur le dialogue et la participation constituent une passerelle vers des </w:t>
      </w:r>
      <w:r>
        <w:rPr>
          <w:b/>
          <w:highlight w:val="yellow"/>
        </w:rPr>
        <w:t>pratiques</w:t>
      </w:r>
      <w:r>
        <w:rPr>
          <w:highlight w:val="yellow"/>
        </w:rPr>
        <w:t xml:space="preserve"> d'</w:t>
      </w:r>
      <w:r>
        <w:rPr>
          <w:b/>
          <w:highlight w:val="yellow"/>
        </w:rPr>
        <w:t>auto-évaluation,</w:t>
      </w:r>
      <w:r>
        <w:rPr>
          <w:highlight w:val="yellow"/>
        </w:rPr>
        <w:t xml:space="preserve"> qui pourraient s’organiser autour de réunions de coordination ou de suivi avec des groupes de travail thématiques ou méthodologiques, suivies de mises à jour permanentes. Les résultats globaux des sessions d'auto-évaluation et les fiches de retour d’expérience peuvent être utilisés comme intrants par un évaluateur externe pour faciliter la mise en place d’un dialogue;</w:t>
      </w:r>
    </w:p>
    <w:p w:rsidR="00860A11" w:rsidRPr="000D1D32" w:rsidRDefault="00860A11" w:rsidP="00320BBA">
      <w:pPr>
        <w:pStyle w:val="Hlistbullet"/>
        <w:numPr>
          <w:ilvl w:val="1"/>
          <w:numId w:val="2"/>
        </w:numPr>
        <w:tabs>
          <w:tab w:val="left" w:pos="567"/>
        </w:tabs>
        <w:spacing w:before="0" w:line="280" w:lineRule="atLeast"/>
        <w:ind w:left="1037" w:hanging="357"/>
        <w:rPr>
          <w:highlight w:val="yellow"/>
        </w:rPr>
      </w:pPr>
      <w:r>
        <w:rPr>
          <w:highlight w:val="yellow"/>
        </w:rPr>
        <w:t xml:space="preserve">Exemple: Séminaire stratégique annuel avec un animateur externe, faisant un point sur les réalisations et les lacunes de l'année écoulée, utilisant comme base de réflexion des données de suivi, des études d'accompagnement et des sondages internes; l'animateur peut proposer des formats de dialogue, des paramètres et des contributeurs externes inhabituels, pour sortir du «prêt à penser»; les séminaires 2017,  2019 et après la clôture des comptes, pourraient alimenter directement les évaluations respectives. </w:t>
      </w:r>
    </w:p>
    <w:p w:rsidR="00860A11" w:rsidRPr="000D1D32" w:rsidRDefault="00860A11" w:rsidP="00340AD4">
      <w:pPr>
        <w:pStyle w:val="Hlistbullet2"/>
        <w:rPr>
          <w:highlight w:val="yellow"/>
        </w:rPr>
      </w:pPr>
      <w:r>
        <w:t xml:space="preserve">Les </w:t>
      </w:r>
      <w:r>
        <w:rPr>
          <w:b/>
          <w:highlight w:val="yellow"/>
        </w:rPr>
        <w:t>groupes</w:t>
      </w:r>
      <w:r>
        <w:t xml:space="preserve"> de </w:t>
      </w:r>
      <w:r>
        <w:rPr>
          <w:b/>
          <w:highlight w:val="yellow"/>
        </w:rPr>
        <w:t>discussion</w:t>
      </w:r>
      <w:r>
        <w:t xml:space="preserve"> </w:t>
      </w:r>
      <w:r>
        <w:rPr>
          <w:highlight w:val="yellow"/>
        </w:rPr>
        <w:t>sont largement utilisés pour</w:t>
      </w:r>
      <w:r>
        <w:t xml:space="preserve"> les </w:t>
      </w:r>
      <w:r>
        <w:rPr>
          <w:highlight w:val="yellow"/>
        </w:rPr>
        <w:t>méthodes d'évaluation fondées</w:t>
      </w:r>
      <w:r>
        <w:t xml:space="preserve"> sur le </w:t>
      </w:r>
      <w:r>
        <w:rPr>
          <w:highlight w:val="yellow"/>
        </w:rPr>
        <w:t>dialogue. Mise à part la série des groupes de discussion s’étalant sur une certaine période, ils peuvent être utilisés dans une architecture à deux niveaux (avec une hiérarchisation des groupes de discussion sur deux niveaux de prise de décision, par exemple au niveau des représentants du GAL et du RRN); ils peuvent se concentrer sur des thématiques ou étudier des questions intersectorielles; en tout état de cause, la qualité de leur contribution est meilleure si leur composition est suffisamment diversifiée, et s'il n'y a pas trop de participants (5 à 12 personnes par réunion de groupe, ou des événements pour des groupes plus importants avec des ateliers en petits groupes); enfin, ils doivent être animés par un modérateur externe (par exemple les évaluateurs ou, s’ils  n’ont pas de compétences en animation, par une personne mandatée par eux). Les réunions de comité de pilotage de l'évaluation - s’il existe - peuvent en principe être également organisées comme des réunions de groupe de discussion «de deuxième niveau».</w:t>
      </w:r>
    </w:p>
    <w:p w:rsidR="00860A11" w:rsidRPr="000D1D32" w:rsidRDefault="00860A11" w:rsidP="00340AD4">
      <w:pPr>
        <w:pStyle w:val="Hlistbullet"/>
        <w:numPr>
          <w:ilvl w:val="1"/>
          <w:numId w:val="2"/>
        </w:numPr>
        <w:tabs>
          <w:tab w:val="left" w:pos="567"/>
        </w:tabs>
        <w:spacing w:before="0" w:after="120" w:line="280" w:lineRule="atLeast"/>
        <w:ind w:left="1037" w:hanging="357"/>
        <w:rPr>
          <w:highlight w:val="yellow"/>
        </w:rPr>
      </w:pPr>
      <w:r>
        <w:rPr>
          <w:highlight w:val="yellow"/>
        </w:rPr>
        <w:lastRenderedPageBreak/>
        <w:t xml:space="preserve">Exemple: Mise en place de groupes composés de personnes ayant des points de vue très différents pour valider des segments spécifiques aux activités du RRN (par exemple, ateliers de communication et de publications, organisation d'événements pour favoriser l’innovation); ces groupes peuvent se chevaucher et dans ce cas deux groupes pourraient valider le même sujet, indépendamment l’un de l’autre (pour obtenir une image multi-dimensionnelle de la situation). </w:t>
      </w:r>
    </w:p>
    <w:p w:rsidR="00860A11" w:rsidRPr="000D1D32" w:rsidRDefault="00860A11" w:rsidP="00320BBA">
      <w:pPr>
        <w:pStyle w:val="HStandard"/>
        <w:spacing w:after="0"/>
        <w:rPr>
          <w:highlight w:val="yellow"/>
        </w:rPr>
      </w:pPr>
      <w:r>
        <w:t xml:space="preserve">Les </w:t>
      </w:r>
      <w:r>
        <w:rPr>
          <w:b/>
          <w:highlight w:val="yellow"/>
          <w:u w:val="single"/>
        </w:rPr>
        <w:t>méthodes</w:t>
      </w:r>
      <w:r>
        <w:t xml:space="preserve"> </w:t>
      </w:r>
      <w:r>
        <w:rPr>
          <w:b/>
          <w:highlight w:val="yellow"/>
          <w:u w:val="single"/>
        </w:rPr>
        <w:t>analytiques</w:t>
      </w:r>
      <w:r>
        <w:t xml:space="preserve"> </w:t>
      </w:r>
      <w:r>
        <w:rPr>
          <w:highlight w:val="yellow"/>
        </w:rPr>
        <w:t>sont principalement utilisées pour capter l'efficacité et</w:t>
      </w:r>
      <w:r>
        <w:t xml:space="preserve"> l</w:t>
      </w:r>
      <w:r>
        <w:rPr>
          <w:highlight w:val="yellow"/>
        </w:rPr>
        <w:t xml:space="preserve">a productivité des interventions. </w:t>
      </w:r>
    </w:p>
    <w:p w:rsidR="00860A11" w:rsidRPr="000D1D32" w:rsidRDefault="00860A11" w:rsidP="00340AD4">
      <w:pPr>
        <w:pStyle w:val="Hlistbullet2"/>
        <w:rPr>
          <w:highlight w:val="yellow"/>
        </w:rPr>
      </w:pPr>
      <w:r>
        <w:rPr>
          <w:highlight w:val="yellow"/>
        </w:rPr>
        <w:t xml:space="preserve">Les réalisations du RRN peuvent être appréhendées par une </w:t>
      </w:r>
      <w:r>
        <w:rPr>
          <w:b/>
          <w:highlight w:val="yellow"/>
        </w:rPr>
        <w:t>analyse de rentabilité</w:t>
      </w:r>
      <w:r>
        <w:rPr>
          <w:highlight w:val="yellow"/>
        </w:rPr>
        <w:t xml:space="preserve"> (par exemple, concernant la production et la diffusion de brochures, de revues, etc.; ou l'organisation de cours de formation et ateliers avec les acteurs).</w:t>
      </w:r>
    </w:p>
    <w:p w:rsidR="00860A11" w:rsidRPr="000D1D32" w:rsidRDefault="00860A11" w:rsidP="00320BBA">
      <w:pPr>
        <w:pStyle w:val="Hlistbullet"/>
        <w:numPr>
          <w:ilvl w:val="1"/>
          <w:numId w:val="2"/>
        </w:numPr>
        <w:tabs>
          <w:tab w:val="left" w:pos="567"/>
        </w:tabs>
        <w:spacing w:before="0" w:line="280" w:lineRule="atLeast"/>
        <w:ind w:left="1037" w:hanging="357"/>
        <w:rPr>
          <w:highlight w:val="yellow"/>
        </w:rPr>
      </w:pPr>
      <w:r>
        <w:rPr>
          <w:highlight w:val="yellow"/>
        </w:rPr>
        <w:t xml:space="preserve">Exemple: L'analyse de rentabilité du coût total supporté pour des cours de formation, mesurée par le nombre de participants et leur degré de satisfaction (échelle de valeurs). </w:t>
      </w:r>
    </w:p>
    <w:p w:rsidR="00860A11" w:rsidRPr="000D1D32" w:rsidRDefault="00860A11" w:rsidP="00E57366">
      <w:pPr>
        <w:pStyle w:val="Hlistbullet2"/>
        <w:rPr>
          <w:highlight w:val="yellow"/>
        </w:rPr>
      </w:pPr>
      <w:r>
        <w:rPr>
          <w:highlight w:val="yellow"/>
        </w:rPr>
        <w:t>Comme les activités du RRN sont censées déclencher des changements de comportement chez ceux qui ont tiré des leçons du RRN, les méthodes purement quantitatives ne suffiront pas à identifier ce niveau de résultats; par contre cela pourrait être réalisé avec une analyse de rentabilité. Alors que les coûts sont toujours exprimés en termes monétaires (comme dans l'analyse de rentabilité), les résultats peuvent être mesurés par une série d'indicateurs qualitatifs pouvant être les indicateurs propres au programme, mais aussi des variables spécifiques choisies à cet effet.</w:t>
      </w:r>
    </w:p>
    <w:p w:rsidR="00860A11" w:rsidRPr="000D1D32" w:rsidRDefault="00860A11" w:rsidP="00340AD4">
      <w:pPr>
        <w:pStyle w:val="Hlistbullet2"/>
        <w:numPr>
          <w:ilvl w:val="1"/>
          <w:numId w:val="2"/>
        </w:numPr>
        <w:tabs>
          <w:tab w:val="left" w:pos="567"/>
        </w:tabs>
        <w:spacing w:before="0" w:after="120" w:line="280" w:lineRule="atLeast"/>
        <w:ind w:left="1037" w:hanging="357"/>
        <w:rPr>
          <w:highlight w:val="yellow"/>
        </w:rPr>
      </w:pPr>
      <w:r>
        <w:rPr>
          <w:highlight w:val="yellow"/>
        </w:rPr>
        <w:t>Exemple: L'analyse de rentabilité du coût total supporté pour les formations, l'adoption et l'application future du contenu de la formation, également mesurée en termes de demande supplémentaire pour un accompagnement en conseils ou en coaching.</w:t>
      </w:r>
    </w:p>
    <w:p w:rsidR="00860A11" w:rsidRPr="000D1D32" w:rsidRDefault="00860A11" w:rsidP="00320BBA">
      <w:pPr>
        <w:pStyle w:val="HStandard"/>
        <w:spacing w:after="0"/>
        <w:rPr>
          <w:highlight w:val="yellow"/>
        </w:rPr>
      </w:pPr>
      <w:r>
        <w:t xml:space="preserve">Les </w:t>
      </w:r>
      <w:r>
        <w:rPr>
          <w:b/>
          <w:highlight w:val="yellow"/>
          <w:u w:val="single"/>
        </w:rPr>
        <w:t>méthodes</w:t>
      </w:r>
      <w:r>
        <w:t xml:space="preserve"> de </w:t>
      </w:r>
      <w:r>
        <w:rPr>
          <w:b/>
          <w:highlight w:val="yellow"/>
          <w:u w:val="single"/>
        </w:rPr>
        <w:t>diagnostic</w:t>
      </w:r>
      <w:r>
        <w:t xml:space="preserve"> </w:t>
      </w:r>
      <w:r>
        <w:rPr>
          <w:highlight w:val="yellow"/>
        </w:rPr>
        <w:t>incluent différentes méthodes allant de l’heuristique pure à celles prises</w:t>
      </w:r>
      <w:r>
        <w:t xml:space="preserve"> en </w:t>
      </w:r>
      <w:r>
        <w:rPr>
          <w:highlight w:val="yellow"/>
        </w:rPr>
        <w:t>charge par</w:t>
      </w:r>
      <w:r>
        <w:t xml:space="preserve"> le </w:t>
      </w:r>
      <w:r>
        <w:rPr>
          <w:highlight w:val="yellow"/>
        </w:rPr>
        <w:t>logiciel</w:t>
      </w:r>
      <w:r>
        <w:t xml:space="preserve"> de </w:t>
      </w:r>
      <w:r>
        <w:rPr>
          <w:highlight w:val="yellow"/>
        </w:rPr>
        <w:t>calcul:</w:t>
      </w:r>
    </w:p>
    <w:p w:rsidR="00860A11" w:rsidRPr="000D1D32" w:rsidRDefault="00860A11" w:rsidP="00340AD4">
      <w:pPr>
        <w:pStyle w:val="Hlistbullet2"/>
        <w:rPr>
          <w:highlight w:val="yellow"/>
        </w:rPr>
      </w:pPr>
      <w:r>
        <w:rPr>
          <w:b/>
          <w:highlight w:val="yellow"/>
        </w:rPr>
        <w:t>Analyse fonctionnelle des réseaux</w:t>
      </w:r>
      <w:r>
        <w:t xml:space="preserve"> </w:t>
      </w:r>
      <w:r>
        <w:rPr>
          <w:rFonts w:ascii="ZWAdobeF" w:hAnsi="ZWAdobeF"/>
          <w:color w:val="auto"/>
          <w:sz w:val="2"/>
          <w:highlight w:val="yellow"/>
        </w:rPr>
        <w:t>104F</w:t>
      </w:r>
      <w:r>
        <w:rPr>
          <w:rStyle w:val="FootnoteReference"/>
          <w:highlight w:val="yellow"/>
        </w:rPr>
        <w:footnoteReference w:id="105"/>
      </w:r>
      <w:r>
        <w:rPr>
          <w:highlight w:val="yellow"/>
        </w:rPr>
        <w:t xml:space="preserve">: Cette méthode analyse les réseaux au moyen de ses unités de soutien aux réseaux (NSU) selon six fonctions standards (à savoir: filtrer, amplifier, investir, fournir, réunir et faciliter le développement communautaire), et deux «supra-fonctions» ou rôles (rôle d’agence et rôle de soutien), dont la combinaison détermine les moyens utilisés par la NSU pour intervenir dans le réseau. Dans la pratique, la plupart des réseaux de mise en œuvre d’une politique ont des caractéristiques liées aux deux rôles (Voir aussi la </w:t>
      </w:r>
      <w:r>
        <w:rPr>
          <w:b/>
          <w:color w:val="E7E6E6" w:themeColor="background2"/>
          <w:highlight w:val="yellow"/>
        </w:rPr>
        <w:t>PARTIE III</w:t>
      </w:r>
      <w:r>
        <w:rPr>
          <w:highlight w:val="yellow"/>
        </w:rPr>
        <w:t>).</w:t>
      </w:r>
    </w:p>
    <w:p w:rsidR="00860A11" w:rsidRPr="000D1D32" w:rsidRDefault="00860A11" w:rsidP="00320BBA">
      <w:pPr>
        <w:pStyle w:val="Hlistbullet"/>
        <w:numPr>
          <w:ilvl w:val="1"/>
          <w:numId w:val="2"/>
        </w:numPr>
        <w:tabs>
          <w:tab w:val="left" w:pos="567"/>
        </w:tabs>
        <w:spacing w:before="0" w:line="280" w:lineRule="atLeast"/>
        <w:ind w:left="1037" w:hanging="357"/>
        <w:rPr>
          <w:highlight w:val="yellow"/>
        </w:rPr>
      </w:pPr>
      <w:r>
        <w:rPr>
          <w:highlight w:val="yellow"/>
        </w:rPr>
        <w:t>Exemple: Cette analyse pourrait être effectuée sur la base d'une vaste enquête en ligne accompagnée d’une série d'entretiens approfondis avec des intervenants sélectionnés, ou avec un groupe de discussion, en utilisant, comme points d’entrées les premiers résultats de l'enquête.</w:t>
      </w:r>
    </w:p>
    <w:p w:rsidR="00860A11" w:rsidRPr="000D1D32" w:rsidRDefault="00860A11" w:rsidP="00E57366">
      <w:pPr>
        <w:pStyle w:val="Hlistbullet2"/>
        <w:rPr>
          <w:highlight w:val="yellow"/>
        </w:rPr>
      </w:pPr>
      <w:r>
        <w:rPr>
          <w:b/>
          <w:highlight w:val="yellow"/>
        </w:rPr>
        <w:t>Analyse des parties prenantes</w:t>
      </w:r>
      <w:r>
        <w:rPr>
          <w:rStyle w:val="FootnoteReference"/>
          <w:highlight w:val="yellow"/>
        </w:rPr>
        <w:footnoteReference w:id="106"/>
      </w:r>
      <w:r>
        <w:rPr>
          <w:highlight w:val="yellow"/>
        </w:rPr>
        <w:t xml:space="preserve">: L’analyse des parties prenantes est le processus de détection des individus ou des groupes qui sont susceptibles d'influencer ou d'être influencés par une action planifiée, de les cataloguer en fonction de leur influence sur l'action et de l'impact que l'action aura sur eux. (Voir aussi </w:t>
      </w:r>
      <w:r>
        <w:rPr>
          <w:b/>
          <w:color w:val="E7E6E6" w:themeColor="background2"/>
          <w:highlight w:val="yellow"/>
        </w:rPr>
        <w:t>PARTIE III).</w:t>
      </w:r>
    </w:p>
    <w:p w:rsidR="00860A11" w:rsidRPr="000D1D32" w:rsidRDefault="00860A11" w:rsidP="00E57366">
      <w:pPr>
        <w:pStyle w:val="Hlistbullet"/>
        <w:numPr>
          <w:ilvl w:val="1"/>
          <w:numId w:val="2"/>
        </w:numPr>
        <w:tabs>
          <w:tab w:val="left" w:pos="567"/>
        </w:tabs>
        <w:spacing w:before="0" w:after="120" w:line="280" w:lineRule="atLeast"/>
        <w:ind w:left="1037" w:hanging="357"/>
        <w:rPr>
          <w:highlight w:val="yellow"/>
        </w:rPr>
      </w:pPr>
      <w:r>
        <w:rPr>
          <w:highlight w:val="yellow"/>
        </w:rPr>
        <w:t>Exemple: Cela pourrait servir d’exercice d'auto-évaluation, par exemple, en donnant des conseils pour l'évaluation de 2017 et en répétant l’exercice ultérieurement, par exemple, lors de l'évaluation de 2019 ou juste après la clôture des comptes.</w:t>
      </w:r>
    </w:p>
    <w:p w:rsidR="00860A11" w:rsidRPr="000D1D32" w:rsidRDefault="00860A11" w:rsidP="00E57366">
      <w:pPr>
        <w:pStyle w:val="Hlistbullet2"/>
        <w:rPr>
          <w:highlight w:val="yellow"/>
        </w:rPr>
      </w:pPr>
      <w:r>
        <w:rPr>
          <w:b/>
        </w:rPr>
        <w:lastRenderedPageBreak/>
        <w:t xml:space="preserve">Analyse des réseaux </w:t>
      </w:r>
      <w:r>
        <w:rPr>
          <w:b/>
          <w:highlight w:val="yellow"/>
        </w:rPr>
        <w:t>sociaux (SNA)</w:t>
      </w:r>
      <w:r>
        <w:t xml:space="preserve"> </w:t>
      </w:r>
      <w:r>
        <w:rPr>
          <w:rFonts w:ascii="ZWAdobeF" w:hAnsi="ZWAdobeF"/>
          <w:color w:val="auto"/>
          <w:sz w:val="2"/>
          <w:highlight w:val="yellow"/>
        </w:rPr>
        <w:t>106F</w:t>
      </w:r>
      <w:r>
        <w:rPr>
          <w:rStyle w:val="FootnoteReference"/>
          <w:highlight w:val="yellow"/>
        </w:rPr>
        <w:footnoteReference w:id="107"/>
      </w:r>
      <w:r>
        <w:rPr>
          <w:highlight w:val="yellow"/>
        </w:rPr>
        <w:t xml:space="preserve">: La SNA repose sur l'idée que les acteurs en réseau (en nœuds) et leurs actions sont interdépendantes. Les liens entre les acteurs sont perçus comme des canaux permettant le transfert ou le flux de ressources (informations, influence, argent, etc.), et le réseau lui-même est perçu comme offrant des opportunités aux acteurs ou représentant des contraintes pour leur comportement. La SNA sert à cartographier et à mesurer les relations et les flux de ressources entre les acteurs. Avec l'aide du logiciel SNA, il est possible d'obtenir une représentation visuelle (sous la forme d'un graphique du réseau) et une analyse mathématique des relations entre les acteurs (Voir aussi </w:t>
      </w:r>
      <w:r>
        <w:rPr>
          <w:b/>
          <w:color w:val="E7E6E6" w:themeColor="background2"/>
          <w:highlight w:val="yellow"/>
        </w:rPr>
        <w:t>PARTIE III).</w:t>
      </w:r>
    </w:p>
    <w:p w:rsidR="00860A11" w:rsidRPr="000D1D32" w:rsidRDefault="00860A11" w:rsidP="00E57366">
      <w:pPr>
        <w:pStyle w:val="Hlistbullet"/>
        <w:numPr>
          <w:ilvl w:val="1"/>
          <w:numId w:val="2"/>
        </w:numPr>
        <w:tabs>
          <w:tab w:val="left" w:pos="567"/>
        </w:tabs>
        <w:spacing w:before="0" w:after="120" w:line="280" w:lineRule="atLeast"/>
        <w:ind w:left="1037" w:hanging="357"/>
        <w:rPr>
          <w:highlight w:val="yellow"/>
        </w:rPr>
      </w:pPr>
      <w:r>
        <w:rPr>
          <w:highlight w:val="yellow"/>
        </w:rPr>
        <w:t>Exemple: Réaliser des SNA sur des aspects thématiques spécifiques (par exemple, selon les trois objectifs européens de la PAC ou selon les six priorités), observer les zones thématiques dans les réseaux (par exemple pour identifier les principaux acteurs) et les chevauchements entre elles (par exemple pour identifier les connexions clés), et en parler en groupe de discussion.</w:t>
      </w:r>
    </w:p>
    <w:p w:rsidR="00860A11" w:rsidRPr="000D1D32" w:rsidRDefault="00860A11" w:rsidP="00E57366">
      <w:pPr>
        <w:pStyle w:val="HStandard"/>
        <w:rPr>
          <w:highlight w:val="yellow"/>
        </w:rPr>
      </w:pPr>
      <w:r>
        <w:rPr>
          <w:highlight w:val="yellow"/>
        </w:rPr>
        <w:t xml:space="preserve">Le manuel GIZ sur la gestion de la coopération, présente d’autres outils de diagnostic pour évaluer la capacité d'innovation et d'apprentissage des organisations et des réseaux </w:t>
      </w:r>
      <w:r>
        <w:rPr>
          <w:rFonts w:ascii="ZWAdobeF" w:hAnsi="ZWAdobeF"/>
          <w:color w:val="auto"/>
          <w:sz w:val="2"/>
          <w:highlight w:val="yellow"/>
        </w:rPr>
        <w:t>107F</w:t>
      </w:r>
      <w:r>
        <w:rPr>
          <w:rStyle w:val="FootnoteReference"/>
          <w:highlight w:val="yellow"/>
        </w:rPr>
        <w:footnoteReference w:id="108"/>
      </w:r>
      <w:r>
        <w:rPr>
          <w:highlight w:val="yellow"/>
        </w:rPr>
        <w:t xml:space="preserve">. L'exploration de la capacité d'innovation et d'apprentissage peut se concentrer sur certains aspects prédéfinis par le CMES. Cependant, il peut être conceptualisé comme un processus plus complet et interactif visant à comprendre les tendances systémiques sous-jacentes aux changements observés (voir aussi la </w:t>
      </w:r>
      <w:r>
        <w:rPr>
          <w:b/>
          <w:color w:val="E7E6E6" w:themeColor="background2"/>
          <w:highlight w:val="yellow"/>
        </w:rPr>
        <w:t>partie III</w:t>
      </w:r>
      <w:r>
        <w:rPr>
          <w:highlight w:val="yellow"/>
        </w:rPr>
        <w:t>).</w:t>
      </w:r>
    </w:p>
    <w:p w:rsidR="00860A11" w:rsidRPr="000D1D32" w:rsidRDefault="00860A11" w:rsidP="00E57366">
      <w:pPr>
        <w:pStyle w:val="Heading6"/>
        <w:rPr>
          <w:highlight w:val="yellow"/>
        </w:rPr>
      </w:pPr>
      <w:r>
        <w:rPr>
          <w:highlight w:val="yellow"/>
        </w:rPr>
        <w:t>Qu'en est-il des études de cas?</w:t>
      </w:r>
    </w:p>
    <w:p w:rsidR="00860A11" w:rsidRPr="000D1D32" w:rsidRDefault="00860A11" w:rsidP="00E57366">
      <w:pPr>
        <w:pStyle w:val="HStandard"/>
        <w:rPr>
          <w:highlight w:val="yellow"/>
        </w:rPr>
      </w:pPr>
      <w:r>
        <w:t xml:space="preserve">Habituellement les </w:t>
      </w:r>
      <w:r>
        <w:rPr>
          <w:b/>
          <w:highlight w:val="yellow"/>
        </w:rPr>
        <w:t>études de cas</w:t>
      </w:r>
      <w:r>
        <w:t xml:space="preserve"> utilisent </w:t>
      </w:r>
      <w:r>
        <w:rPr>
          <w:highlight w:val="yellow"/>
        </w:rPr>
        <w:t>différentes méthodes. Elles offrent de nombreuses possibilités de combiner les méthodes quantitatives et qualitatives, allant des analyses de rentabilité comparatives aux narrations heuristiques. Il existe de nombreuses façons de concevoir une étude de cas. «Une étude de cas sur un problème spécifique» se réfère à l’étude d’un thème pour répondre à des problèmes qui nécessitent une analyse plus poussée visant à remédier à des préoccupations spécifiques concernant l’évaluation. À chaque étape d’une étude de cas, les évaluateurs devront beaucoup interpréter et émettre bon nombre de jugements, notamment:</w:t>
      </w:r>
    </w:p>
    <w:p w:rsidR="00860A11" w:rsidRPr="000D1D32" w:rsidRDefault="00860A11" w:rsidP="00E57366">
      <w:pPr>
        <w:pStyle w:val="Hlistbullet2"/>
        <w:rPr>
          <w:highlight w:val="yellow"/>
        </w:rPr>
      </w:pPr>
      <w:r>
        <w:rPr>
          <w:highlight w:val="yellow"/>
        </w:rPr>
        <w:t>Qu’est-ce qu’une question pertinente pour une étude de cas?</w:t>
      </w:r>
    </w:p>
    <w:p w:rsidR="00860A11" w:rsidRPr="000D1D32" w:rsidRDefault="00860A11" w:rsidP="00E57366">
      <w:pPr>
        <w:pStyle w:val="Hlistbullet2"/>
        <w:rPr>
          <w:highlight w:val="yellow"/>
        </w:rPr>
      </w:pPr>
      <w:r>
        <w:rPr>
          <w:highlight w:val="yellow"/>
        </w:rPr>
        <w:t>Comment les cas spécifiques devraient-ils être choisis?</w:t>
      </w:r>
    </w:p>
    <w:p w:rsidR="00860A11" w:rsidRPr="000D1D32" w:rsidRDefault="00860A11" w:rsidP="00E57366">
      <w:pPr>
        <w:pStyle w:val="Hlistbullet2"/>
        <w:rPr>
          <w:highlight w:val="yellow"/>
        </w:rPr>
      </w:pPr>
      <w:r>
        <w:rPr>
          <w:highlight w:val="yellow"/>
        </w:rPr>
        <w:t>Quels modèles devraient être appliqués pour  faire rentrer des résultats empiriques dans un cadre explicatif?</w:t>
      </w:r>
    </w:p>
    <w:p w:rsidR="00860A11" w:rsidRPr="000D1D32" w:rsidRDefault="00860A11" w:rsidP="00E57366">
      <w:pPr>
        <w:pStyle w:val="Hlistbullet2"/>
        <w:rPr>
          <w:highlight w:val="yellow"/>
        </w:rPr>
      </w:pPr>
      <w:r>
        <w:rPr>
          <w:highlight w:val="yellow"/>
        </w:rPr>
        <w:t>Quelles leçons généralisées les résultats permettent-ils de tirer?</w:t>
      </w:r>
    </w:p>
    <w:p w:rsidR="00860A11" w:rsidRPr="000D1D32" w:rsidRDefault="00860A11" w:rsidP="00E57366">
      <w:pPr>
        <w:pStyle w:val="HStandard"/>
        <w:rPr>
          <w:highlight w:val="yellow"/>
        </w:rPr>
      </w:pPr>
      <w:r>
        <w:rPr>
          <w:highlight w:val="yellow"/>
        </w:rPr>
        <w:t>Les études de cas sont utiles comme compléments d’enquêtes et pour traiter les questions les plus délicates: au-delà de la simple observation du changement, elles permettent une étude plus détaillée du pourquoi et du comment des choses. Les études de cas peuvent être aussi utilisées pour examiner une hypothèse de cause à effet ou des effets en chaîne. Compte tenu du temps nécessaire pour mener à bien des études de cas sérieuses, il est recommandé d'effectuer des études de cas pour accompagner la mise en œuvre du PDR / PSRRN (par exemple, en collaboration avec un institut de recherche, une université ou une école professionnelle) et d'utiliser les résultats de ces études comme intrants pour les évaluations, au lieu de mener ces études dans le cadre de l'évaluation elle-même.</w:t>
      </w:r>
    </w:p>
    <w:p w:rsidR="00860A11" w:rsidRPr="000D1D32" w:rsidRDefault="00860A11" w:rsidP="00E57366">
      <w:pPr>
        <w:pStyle w:val="HStandard"/>
        <w:rPr>
          <w:highlight w:val="yellow"/>
        </w:rPr>
      </w:pPr>
      <w:r>
        <w:rPr>
          <w:highlight w:val="yellow"/>
        </w:rPr>
        <w:t xml:space="preserve">Outre l'utilisation de méthodes bien établies, l'évaluateur devrait essayer des méthodes non conventionnelles dont les résultats pourraient être affinés ou même étudiés plus en détail. Le cahier </w:t>
      </w:r>
      <w:r>
        <w:rPr>
          <w:highlight w:val="yellow"/>
        </w:rPr>
        <w:lastRenderedPageBreak/>
        <w:t xml:space="preserve">des charges devrait laisser la possibilité d'appliquer des méthodes issues de la recherche active, de l'anthropologie culturelle, des sciences de l'éducation ou du développement organisationnel, comme : </w:t>
      </w:r>
    </w:p>
    <w:p w:rsidR="00860A11" w:rsidRPr="000D1D32" w:rsidRDefault="00860A11" w:rsidP="00E57366">
      <w:pPr>
        <w:pStyle w:val="Hlistbullet2"/>
        <w:rPr>
          <w:highlight w:val="yellow"/>
        </w:rPr>
      </w:pPr>
      <w:r>
        <w:rPr>
          <w:highlight w:val="yellow"/>
        </w:rPr>
        <w:t>L’analyse des images (interprétation de vidéos et de photographies permettant aux acteurs ruraux de s’exprimer sur ce qui se passe dans leur région);</w:t>
      </w:r>
    </w:p>
    <w:p w:rsidR="00860A11" w:rsidRPr="000D1D32" w:rsidRDefault="00860A11" w:rsidP="00E57366">
      <w:pPr>
        <w:pStyle w:val="Hlistbullet2"/>
        <w:rPr>
          <w:highlight w:val="yellow"/>
        </w:rPr>
      </w:pPr>
      <w:r>
        <w:rPr>
          <w:highlight w:val="yellow"/>
        </w:rPr>
        <w:t>L’analyse de textes (interprétation linguistique et culturelle des modèles linguistiques utilisés dans les communications internes et les publications);</w:t>
      </w:r>
    </w:p>
    <w:p w:rsidR="00860A11" w:rsidRPr="000D1D32" w:rsidRDefault="00860A11" w:rsidP="00E57366">
      <w:pPr>
        <w:pStyle w:val="Hlistbullet2"/>
        <w:rPr>
          <w:highlight w:val="yellow"/>
        </w:rPr>
      </w:pPr>
      <w:r>
        <w:rPr>
          <w:highlight w:val="yellow"/>
        </w:rPr>
        <w:t xml:space="preserve">Technique d'incidence critique (appliquée à des groupes de discussion, analyse de texte, etc.); </w:t>
      </w:r>
    </w:p>
    <w:p w:rsidR="00860A11" w:rsidRPr="000D1D32" w:rsidRDefault="00860A11" w:rsidP="00E57366">
      <w:pPr>
        <w:pStyle w:val="Hlistbullet2"/>
        <w:rPr>
          <w:highlight w:val="yellow"/>
        </w:rPr>
      </w:pPr>
      <w:r>
        <w:rPr>
          <w:highlight w:val="yellow"/>
        </w:rPr>
        <w:t xml:space="preserve">Constellations systémiques </w:t>
      </w:r>
      <w:r>
        <w:rPr>
          <w:rFonts w:ascii="ZWAdobeF" w:hAnsi="ZWAdobeF"/>
          <w:color w:val="auto"/>
          <w:sz w:val="2"/>
          <w:highlight w:val="yellow"/>
        </w:rPr>
        <w:t>108F</w:t>
      </w:r>
      <w:r>
        <w:rPr>
          <w:rStyle w:val="FootnoteReference"/>
          <w:highlight w:val="yellow"/>
        </w:rPr>
        <w:footnoteReference w:id="109"/>
      </w:r>
      <w:r>
        <w:rPr>
          <w:highlight w:val="yellow"/>
        </w:rPr>
        <w:t xml:space="preserve"> , jeux de rôle </w:t>
      </w:r>
      <w:r>
        <w:rPr>
          <w:rFonts w:ascii="ZWAdobeF" w:hAnsi="ZWAdobeF"/>
          <w:color w:val="auto"/>
          <w:sz w:val="2"/>
          <w:highlight w:val="yellow"/>
        </w:rPr>
        <w:t>109F</w:t>
      </w:r>
      <w:r>
        <w:rPr>
          <w:rStyle w:val="FootnoteReference"/>
          <w:highlight w:val="yellow"/>
        </w:rPr>
        <w:footnoteReference w:id="110"/>
      </w:r>
      <w:r>
        <w:rPr>
          <w:highlight w:val="yellow"/>
        </w:rPr>
        <w:t xml:space="preserve"> et autres méthodes socio-métriques </w:t>
      </w:r>
      <w:r>
        <w:rPr>
          <w:rFonts w:ascii="ZWAdobeF" w:hAnsi="ZWAdobeF"/>
          <w:color w:val="auto"/>
          <w:sz w:val="2"/>
          <w:highlight w:val="yellow"/>
        </w:rPr>
        <w:t>110F</w:t>
      </w:r>
      <w:r>
        <w:rPr>
          <w:rStyle w:val="FootnoteReference"/>
          <w:highlight w:val="yellow"/>
        </w:rPr>
        <w:footnoteReference w:id="111"/>
      </w:r>
      <w:r>
        <w:rPr>
          <w:highlight w:val="yellow"/>
        </w:rPr>
        <w:t>.</w:t>
      </w:r>
    </w:p>
    <w:p w:rsidR="00860A11" w:rsidRPr="002809CE" w:rsidRDefault="00860A11" w:rsidP="00E57366">
      <w:pPr>
        <w:pStyle w:val="HStandard"/>
      </w:pPr>
      <w:r>
        <w:rPr>
          <w:highlight w:val="yellow"/>
        </w:rPr>
        <w:t>Toutes ces méthodes y compris les méthodes moins conventionnelles, peuvent être aussi intégrées dans l'architecture du suivi et de l'évaluation globale, par exemple les pratiques d'auto-évaluation.</w:t>
      </w:r>
    </w:p>
    <w:p w:rsidR="00860A11" w:rsidRPr="002809CE" w:rsidRDefault="00860A11" w:rsidP="00E57366">
      <w:pPr>
        <w:pStyle w:val="Heading6"/>
      </w:pPr>
      <w:bookmarkStart w:id="216" w:name="_Toc433481231"/>
      <w:bookmarkStart w:id="217" w:name="_Toc433718139"/>
      <w:bookmarkStart w:id="218" w:name="_Toc434744516"/>
      <w:bookmarkStart w:id="219" w:name="_Toc436140058"/>
      <w:r>
        <w:rPr>
          <w:highlight w:val="yellow"/>
        </w:rPr>
        <w:t xml:space="preserve">Quelles sont les principales étapes de la sélection des méthodes d'évaluation des RRN </w:t>
      </w:r>
      <w:bookmarkEnd w:id="216"/>
      <w:bookmarkEnd w:id="217"/>
      <w:bookmarkEnd w:id="218"/>
      <w:bookmarkEnd w:id="219"/>
      <w:r>
        <w:rPr>
          <w:highlight w:val="yellow"/>
        </w:rPr>
        <w:t>?</w:t>
      </w:r>
    </w:p>
    <w:p w:rsidR="00860A11" w:rsidRPr="000A700F" w:rsidRDefault="00860A11" w:rsidP="00E57366">
      <w:pPr>
        <w:pStyle w:val="HStandard"/>
        <w:rPr>
          <w:highlight w:val="yellow"/>
        </w:rPr>
      </w:pPr>
      <w:r w:rsidRPr="00A353D6">
        <w:rPr>
          <w:lang w:val="en-GB"/>
        </w:rPr>
        <w:t xml:space="preserve">Following the selection of the evaluation approach and the review of different evaluation methods, the evaluator should select the evaluation methods. </w:t>
      </w:r>
      <w:r>
        <w:rPr>
          <w:highlight w:val="yellow"/>
        </w:rPr>
        <w:t>Les étapes recommandées dans ce travail et les résultats attendus sont les suivants:</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846"/>
        <w:gridCol w:w="8170"/>
      </w:tblGrid>
      <w:tr w:rsidR="00860A11" w:rsidRPr="000A700F" w:rsidTr="00E57366">
        <w:tc>
          <w:tcPr>
            <w:tcW w:w="846" w:type="dxa"/>
            <w:shd w:val="clear" w:color="auto" w:fill="E7E6E6" w:themeFill="background2"/>
          </w:tcPr>
          <w:p w:rsidR="00860A11" w:rsidRPr="000A700F" w:rsidRDefault="00860A11" w:rsidP="00E57366">
            <w:pPr>
              <w:pStyle w:val="Hlistbullet"/>
              <w:numPr>
                <w:ilvl w:val="0"/>
                <w:numId w:val="0"/>
              </w:numPr>
              <w:spacing w:before="0" w:line="280" w:lineRule="atLeast"/>
              <w:jc w:val="center"/>
              <w:rPr>
                <w:b/>
                <w:color w:val="5B9BD5" w:themeColor="accent1"/>
                <w:sz w:val="18"/>
                <w:szCs w:val="18"/>
                <w:highlight w:val="yellow"/>
              </w:rPr>
            </w:pPr>
            <w:r>
              <w:rPr>
                <w:b/>
                <w:color w:val="5B9BD5" w:themeColor="accent1"/>
                <w:sz w:val="18"/>
                <w:highlight w:val="yellow"/>
              </w:rPr>
              <w:t>1</w:t>
            </w:r>
          </w:p>
        </w:tc>
        <w:tc>
          <w:tcPr>
            <w:tcW w:w="8170" w:type="dxa"/>
          </w:tcPr>
          <w:p w:rsidR="00860A11" w:rsidRPr="000A700F" w:rsidRDefault="00860A11" w:rsidP="00E57366">
            <w:pPr>
              <w:pStyle w:val="Hlistbullet"/>
              <w:numPr>
                <w:ilvl w:val="0"/>
                <w:numId w:val="0"/>
              </w:numPr>
              <w:spacing w:before="0" w:line="280" w:lineRule="atLeast"/>
              <w:rPr>
                <w:sz w:val="18"/>
                <w:szCs w:val="18"/>
                <w:highlight w:val="yellow"/>
              </w:rPr>
            </w:pPr>
            <w:r>
              <w:rPr>
                <w:sz w:val="18"/>
                <w:highlight w:val="yellow"/>
              </w:rPr>
              <w:t xml:space="preserve">Vérifier que la méthode est applicable; </w:t>
            </w:r>
          </w:p>
        </w:tc>
      </w:tr>
      <w:tr w:rsidR="00860A11" w:rsidRPr="000A700F" w:rsidTr="00E57366">
        <w:tc>
          <w:tcPr>
            <w:tcW w:w="846" w:type="dxa"/>
            <w:shd w:val="clear" w:color="auto" w:fill="E7E6E6" w:themeFill="background2"/>
          </w:tcPr>
          <w:p w:rsidR="00860A11" w:rsidRPr="000A700F" w:rsidRDefault="00860A11" w:rsidP="00E57366">
            <w:pPr>
              <w:pStyle w:val="Hlistbullet"/>
              <w:numPr>
                <w:ilvl w:val="0"/>
                <w:numId w:val="0"/>
              </w:numPr>
              <w:spacing w:before="0" w:line="280" w:lineRule="atLeast"/>
              <w:jc w:val="center"/>
              <w:rPr>
                <w:b/>
                <w:color w:val="5B9BD5" w:themeColor="accent1"/>
                <w:sz w:val="18"/>
                <w:szCs w:val="18"/>
                <w:highlight w:val="yellow"/>
              </w:rPr>
            </w:pPr>
            <w:r>
              <w:rPr>
                <w:b/>
                <w:color w:val="5B9BD5" w:themeColor="accent1"/>
                <w:sz w:val="18"/>
                <w:highlight w:val="yellow"/>
              </w:rPr>
              <w:t>2</w:t>
            </w:r>
          </w:p>
        </w:tc>
        <w:tc>
          <w:tcPr>
            <w:tcW w:w="8170" w:type="dxa"/>
          </w:tcPr>
          <w:p w:rsidR="00860A11" w:rsidRPr="000A700F" w:rsidRDefault="00860A11" w:rsidP="004C05DD">
            <w:pPr>
              <w:pStyle w:val="Hlistbullet"/>
              <w:numPr>
                <w:ilvl w:val="0"/>
                <w:numId w:val="0"/>
              </w:numPr>
              <w:spacing w:before="0" w:line="280" w:lineRule="atLeast"/>
              <w:rPr>
                <w:sz w:val="18"/>
                <w:szCs w:val="18"/>
                <w:highlight w:val="yellow"/>
              </w:rPr>
            </w:pPr>
            <w:r>
              <w:rPr>
                <w:sz w:val="18"/>
                <w:highlight w:val="yellow"/>
              </w:rPr>
              <w:t>S’assurer que la méthode réponde aux normes d'évaluation (rigueur, crédibilité,  fiabilité, solidité, validité et transparence);</w:t>
            </w:r>
          </w:p>
        </w:tc>
      </w:tr>
      <w:tr w:rsidR="00860A11" w:rsidRPr="000A700F" w:rsidTr="00E57366">
        <w:tc>
          <w:tcPr>
            <w:tcW w:w="846" w:type="dxa"/>
            <w:shd w:val="clear" w:color="auto" w:fill="E7E6E6" w:themeFill="background2"/>
          </w:tcPr>
          <w:p w:rsidR="00860A11" w:rsidRPr="000A700F" w:rsidRDefault="00860A11" w:rsidP="00E57366">
            <w:pPr>
              <w:pStyle w:val="Hlistbullet"/>
              <w:numPr>
                <w:ilvl w:val="0"/>
                <w:numId w:val="0"/>
              </w:numPr>
              <w:spacing w:before="0" w:line="280" w:lineRule="atLeast"/>
              <w:jc w:val="center"/>
              <w:rPr>
                <w:b/>
                <w:color w:val="5B9BD5" w:themeColor="accent1"/>
                <w:sz w:val="18"/>
                <w:szCs w:val="18"/>
                <w:highlight w:val="yellow"/>
              </w:rPr>
            </w:pPr>
            <w:r>
              <w:rPr>
                <w:b/>
                <w:color w:val="5B9BD5" w:themeColor="accent1"/>
                <w:sz w:val="18"/>
                <w:highlight w:val="yellow"/>
              </w:rPr>
              <w:t>3</w:t>
            </w:r>
          </w:p>
        </w:tc>
        <w:tc>
          <w:tcPr>
            <w:tcW w:w="8170" w:type="dxa"/>
          </w:tcPr>
          <w:p w:rsidR="00860A11" w:rsidRPr="000A700F" w:rsidRDefault="00860A11" w:rsidP="004C05DD">
            <w:pPr>
              <w:pStyle w:val="Hlistbullet"/>
              <w:numPr>
                <w:ilvl w:val="0"/>
                <w:numId w:val="0"/>
              </w:numPr>
              <w:spacing w:before="0" w:line="280" w:lineRule="atLeast"/>
              <w:ind w:left="644" w:hanging="360"/>
              <w:rPr>
                <w:sz w:val="18"/>
                <w:szCs w:val="18"/>
                <w:highlight w:val="yellow"/>
              </w:rPr>
            </w:pPr>
            <w:r>
              <w:rPr>
                <w:sz w:val="18"/>
                <w:highlight w:val="yellow"/>
              </w:rPr>
              <w:t>Examiner les critères spécifiques du RRN pour la sélection des méthodes d'évaluation, telles que la capacité à:</w:t>
            </w:r>
          </w:p>
          <w:p w:rsidR="00860A11" w:rsidRPr="000A700F" w:rsidRDefault="00860A11" w:rsidP="00860A11">
            <w:pPr>
              <w:pStyle w:val="Hlistbullet"/>
              <w:numPr>
                <w:ilvl w:val="1"/>
                <w:numId w:val="18"/>
              </w:numPr>
              <w:tabs>
                <w:tab w:val="left" w:pos="567"/>
              </w:tabs>
              <w:spacing w:before="0" w:line="280" w:lineRule="atLeast"/>
              <w:rPr>
                <w:sz w:val="18"/>
                <w:szCs w:val="18"/>
                <w:highlight w:val="yellow"/>
              </w:rPr>
            </w:pPr>
            <w:r>
              <w:rPr>
                <w:sz w:val="18"/>
                <w:highlight w:val="yellow"/>
              </w:rPr>
              <w:t>apporter des réponses solides aux questions d'évaluation venant de l’autorité contractante  (MA / RRN / NSU);</w:t>
            </w:r>
          </w:p>
          <w:p w:rsidR="00860A11" w:rsidRPr="000A700F" w:rsidRDefault="00860A11" w:rsidP="00860A11">
            <w:pPr>
              <w:pStyle w:val="Hlistbullet"/>
              <w:numPr>
                <w:ilvl w:val="1"/>
                <w:numId w:val="18"/>
              </w:numPr>
              <w:tabs>
                <w:tab w:val="left" w:pos="567"/>
              </w:tabs>
              <w:spacing w:before="0" w:line="280" w:lineRule="atLeast"/>
              <w:rPr>
                <w:sz w:val="18"/>
                <w:szCs w:val="18"/>
                <w:highlight w:val="yellow"/>
              </w:rPr>
            </w:pPr>
            <w:r>
              <w:rPr>
                <w:sz w:val="18"/>
                <w:highlight w:val="yellow"/>
              </w:rPr>
              <w:t>évaluer la contribution du RRN au développement rural;</w:t>
            </w:r>
          </w:p>
          <w:p w:rsidR="00860A11" w:rsidRPr="000A700F" w:rsidRDefault="00860A11" w:rsidP="00860A11">
            <w:pPr>
              <w:pStyle w:val="Hlistbullet"/>
              <w:numPr>
                <w:ilvl w:val="1"/>
                <w:numId w:val="18"/>
              </w:numPr>
              <w:tabs>
                <w:tab w:val="left" w:pos="567"/>
              </w:tabs>
              <w:spacing w:before="0" w:line="280" w:lineRule="atLeast"/>
              <w:rPr>
                <w:sz w:val="18"/>
                <w:szCs w:val="18"/>
                <w:highlight w:val="yellow"/>
              </w:rPr>
            </w:pPr>
            <w:r>
              <w:rPr>
                <w:sz w:val="18"/>
                <w:highlight w:val="yellow"/>
              </w:rPr>
              <w:t>marquer la différence entre les réalisations du RRN et celles du PDR;</w:t>
            </w:r>
          </w:p>
          <w:p w:rsidR="00860A11" w:rsidRPr="000A700F" w:rsidRDefault="00860A11" w:rsidP="00860A11">
            <w:pPr>
              <w:pStyle w:val="Hlistbullet"/>
              <w:numPr>
                <w:ilvl w:val="1"/>
                <w:numId w:val="18"/>
              </w:numPr>
              <w:tabs>
                <w:tab w:val="left" w:pos="567"/>
              </w:tabs>
              <w:spacing w:before="0" w:line="280" w:lineRule="atLeast"/>
              <w:rPr>
                <w:sz w:val="18"/>
                <w:szCs w:val="18"/>
                <w:highlight w:val="yellow"/>
              </w:rPr>
            </w:pPr>
            <w:r>
              <w:rPr>
                <w:sz w:val="18"/>
                <w:highlight w:val="yellow"/>
              </w:rPr>
              <w:t>analyser les résultats, les impacts et, en dernier lieu, la valeur ajoutée du RRN;</w:t>
            </w:r>
          </w:p>
          <w:p w:rsidR="00860A11" w:rsidRPr="000A700F" w:rsidRDefault="00860A11" w:rsidP="00860A11">
            <w:pPr>
              <w:pStyle w:val="Hlistbullet"/>
              <w:numPr>
                <w:ilvl w:val="1"/>
                <w:numId w:val="18"/>
              </w:numPr>
              <w:tabs>
                <w:tab w:val="left" w:pos="567"/>
              </w:tabs>
              <w:spacing w:before="0" w:line="280" w:lineRule="atLeast"/>
              <w:rPr>
                <w:sz w:val="18"/>
                <w:szCs w:val="18"/>
                <w:highlight w:val="yellow"/>
              </w:rPr>
            </w:pPr>
            <w:r>
              <w:rPr>
                <w:sz w:val="18"/>
                <w:highlight w:val="yellow"/>
              </w:rPr>
              <w:t>mesurer la productivité et l'efficacité des réseaux ruraux.</w:t>
            </w:r>
          </w:p>
        </w:tc>
      </w:tr>
      <w:tr w:rsidR="00860A11" w:rsidRPr="000A700F" w:rsidTr="00E57366">
        <w:tc>
          <w:tcPr>
            <w:tcW w:w="846" w:type="dxa"/>
            <w:shd w:val="clear" w:color="auto" w:fill="E7E6E6" w:themeFill="background2"/>
          </w:tcPr>
          <w:p w:rsidR="00860A11" w:rsidRPr="000A700F" w:rsidRDefault="00860A11" w:rsidP="00E57366">
            <w:pPr>
              <w:pStyle w:val="Hlistbullet"/>
              <w:numPr>
                <w:ilvl w:val="0"/>
                <w:numId w:val="0"/>
              </w:numPr>
              <w:spacing w:before="0" w:line="280" w:lineRule="atLeast"/>
              <w:jc w:val="center"/>
              <w:rPr>
                <w:b/>
                <w:color w:val="5B9BD5" w:themeColor="accent1"/>
                <w:sz w:val="18"/>
                <w:szCs w:val="18"/>
                <w:highlight w:val="yellow"/>
              </w:rPr>
            </w:pPr>
            <w:r>
              <w:rPr>
                <w:b/>
                <w:color w:val="5B9BD5" w:themeColor="accent1"/>
                <w:sz w:val="18"/>
                <w:highlight w:val="yellow"/>
              </w:rPr>
              <w:t>4</w:t>
            </w:r>
          </w:p>
        </w:tc>
        <w:tc>
          <w:tcPr>
            <w:tcW w:w="8170" w:type="dxa"/>
          </w:tcPr>
          <w:p w:rsidR="00860A11" w:rsidRPr="000A700F" w:rsidRDefault="00860A11" w:rsidP="00E57366">
            <w:pPr>
              <w:pStyle w:val="Hlistbullet"/>
              <w:numPr>
                <w:ilvl w:val="0"/>
                <w:numId w:val="0"/>
              </w:numPr>
              <w:spacing w:before="0" w:line="280" w:lineRule="atLeast"/>
              <w:rPr>
                <w:sz w:val="18"/>
                <w:szCs w:val="18"/>
                <w:highlight w:val="yellow"/>
              </w:rPr>
            </w:pPr>
            <w:r>
              <w:rPr>
                <w:sz w:val="18"/>
                <w:highlight w:val="yellow"/>
              </w:rPr>
              <w:t>Prendre en considération les contraintes de budget, d’information et de temps;</w:t>
            </w:r>
          </w:p>
        </w:tc>
      </w:tr>
      <w:tr w:rsidR="00860A11" w:rsidRPr="000A700F" w:rsidTr="00E57366">
        <w:tc>
          <w:tcPr>
            <w:tcW w:w="846" w:type="dxa"/>
            <w:shd w:val="clear" w:color="auto" w:fill="E7E6E6" w:themeFill="background2"/>
          </w:tcPr>
          <w:p w:rsidR="00860A11" w:rsidRPr="000A700F" w:rsidRDefault="00860A11" w:rsidP="00E57366">
            <w:pPr>
              <w:pStyle w:val="Hlistbullet"/>
              <w:numPr>
                <w:ilvl w:val="0"/>
                <w:numId w:val="0"/>
              </w:numPr>
              <w:spacing w:before="0" w:line="280" w:lineRule="atLeast"/>
              <w:jc w:val="center"/>
              <w:rPr>
                <w:b/>
                <w:color w:val="5B9BD5" w:themeColor="accent1"/>
                <w:sz w:val="18"/>
                <w:szCs w:val="18"/>
                <w:highlight w:val="yellow"/>
              </w:rPr>
            </w:pPr>
            <w:r>
              <w:rPr>
                <w:b/>
                <w:color w:val="5B9BD5" w:themeColor="accent1"/>
                <w:sz w:val="18"/>
                <w:highlight w:val="yellow"/>
              </w:rPr>
              <w:t>5</w:t>
            </w:r>
          </w:p>
        </w:tc>
        <w:tc>
          <w:tcPr>
            <w:tcW w:w="8170" w:type="dxa"/>
          </w:tcPr>
          <w:p w:rsidR="00860A11" w:rsidRPr="000A700F" w:rsidRDefault="00860A11" w:rsidP="004C05DD">
            <w:pPr>
              <w:pStyle w:val="Hlistbullet"/>
              <w:numPr>
                <w:ilvl w:val="0"/>
                <w:numId w:val="0"/>
              </w:numPr>
              <w:spacing w:before="0" w:line="280" w:lineRule="atLeast"/>
              <w:rPr>
                <w:sz w:val="18"/>
                <w:szCs w:val="18"/>
                <w:highlight w:val="yellow"/>
              </w:rPr>
            </w:pPr>
            <w:r>
              <w:rPr>
                <w:sz w:val="18"/>
                <w:highlight w:val="yellow"/>
              </w:rPr>
              <w:t xml:space="preserve">Sélectionner l’ensemble des méthodes appropriées </w:t>
            </w:r>
            <w:r>
              <w:rPr>
                <w:rFonts w:ascii="ZWAdobeF" w:hAnsi="ZWAdobeF"/>
                <w:color w:val="auto"/>
                <w:sz w:val="2"/>
                <w:highlight w:val="yellow"/>
              </w:rPr>
              <w:t>11</w:t>
            </w:r>
            <w:r>
              <w:rPr>
                <w:rStyle w:val="FootnoteReference"/>
                <w:highlight w:val="yellow"/>
              </w:rPr>
              <w:footnoteReference w:id="112"/>
            </w:r>
            <w:r>
              <w:t xml:space="preserve"> </w:t>
            </w:r>
            <w:r>
              <w:rPr>
                <w:sz w:val="18"/>
                <w:highlight w:val="yellow"/>
              </w:rPr>
              <w:t>. En outre, sélectionner l’ensemble des méthodes signifiera être capable d’en expliquer le choix et, en toute objectivité, d’isoler l'impact du programme en éliminant les autres facteurs, etc.</w:t>
            </w:r>
          </w:p>
        </w:tc>
      </w:tr>
      <w:tr w:rsidR="00860A11" w:rsidRPr="002809CE" w:rsidTr="00E57366">
        <w:tc>
          <w:tcPr>
            <w:tcW w:w="9016" w:type="dxa"/>
            <w:gridSpan w:val="2"/>
          </w:tcPr>
          <w:p w:rsidR="00860A11" w:rsidRPr="002809CE" w:rsidRDefault="00860A11" w:rsidP="006D74ED">
            <w:pPr>
              <w:pStyle w:val="Hlistbullet"/>
              <w:numPr>
                <w:ilvl w:val="0"/>
                <w:numId w:val="0"/>
              </w:numPr>
              <w:spacing w:before="0" w:line="280" w:lineRule="atLeast"/>
              <w:rPr>
                <w:b/>
                <w:sz w:val="18"/>
                <w:szCs w:val="18"/>
              </w:rPr>
            </w:pPr>
            <w:r>
              <w:rPr>
                <w:b/>
                <w:sz w:val="18"/>
                <w:highlight w:val="yellow"/>
              </w:rPr>
              <w:t xml:space="preserve">Résultat attendu: </w:t>
            </w:r>
            <w:r>
              <w:rPr>
                <w:sz w:val="18"/>
                <w:highlight w:val="yellow"/>
              </w:rPr>
              <w:t>sélection des méthodes d'évaluation</w:t>
            </w:r>
          </w:p>
        </w:tc>
      </w:tr>
    </w:tbl>
    <w:p w:rsidR="00860A11" w:rsidRPr="00A353D6" w:rsidRDefault="00860A11" w:rsidP="00E57366">
      <w:pPr>
        <w:pStyle w:val="HStandard"/>
        <w:spacing w:after="240"/>
        <w:rPr>
          <w:lang w:val="en-GB"/>
        </w:rPr>
      </w:pPr>
      <w:r>
        <w:rPr>
          <w:color w:val="E7E6E6" w:themeColor="background2"/>
        </w:rPr>
        <w:sym w:font="Wingdings" w:char="F046"/>
      </w:r>
      <w:r w:rsidRPr="00A353D6">
        <w:rPr>
          <w:lang w:val="en-GB"/>
        </w:rPr>
        <w:t xml:space="preserve"> </w:t>
      </w:r>
      <w:r w:rsidRPr="00A353D6">
        <w:rPr>
          <w:b/>
          <w:color w:val="E7E6E6" w:themeColor="background2"/>
          <w:lang w:val="en-GB"/>
        </w:rPr>
        <w:t>PART III</w:t>
      </w:r>
      <w:r w:rsidRPr="00A353D6">
        <w:rPr>
          <w:lang w:val="en-GB"/>
        </w:rPr>
        <w:t xml:space="preserve"> of the guidelines provides a more detailed description of less well-known methods, such as network function analysis, stakeholder analysis, and social network analysis.</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860A11" w:rsidRPr="008D0759" w:rsidTr="00E57366">
        <w:tc>
          <w:tcPr>
            <w:tcW w:w="9016" w:type="dxa"/>
            <w:shd w:val="clear" w:color="auto" w:fill="F5F4F4" w:themeFill="background2" w:themeFillTint="66"/>
          </w:tcPr>
          <w:p w:rsidR="00860A11" w:rsidRPr="000A700F" w:rsidRDefault="00860A11" w:rsidP="00E57366">
            <w:pPr>
              <w:pStyle w:val="HStandard"/>
              <w:rPr>
                <w:highlight w:val="yellow"/>
              </w:rPr>
            </w:pPr>
            <w:r>
              <w:rPr>
                <w:highlight w:val="yellow"/>
              </w:rPr>
              <w:t>Questions d'orientation pour le choix d'une approche et de méthodes d'évaluation appropriées:</w:t>
            </w:r>
          </w:p>
          <w:p w:rsidR="00860A11" w:rsidRPr="000A700F" w:rsidRDefault="00860A11" w:rsidP="00860A11">
            <w:pPr>
              <w:pStyle w:val="Hlistbullet2"/>
              <w:rPr>
                <w:highlight w:val="yellow"/>
              </w:rPr>
            </w:pPr>
            <w:r>
              <w:rPr>
                <w:highlight w:val="yellow"/>
              </w:rPr>
              <w:t>Quelle démarche et quelles méthodes d'évaluation correspondent le mieux aux besoins d'évaluation du RRN?</w:t>
            </w:r>
          </w:p>
          <w:p w:rsidR="00860A11" w:rsidRPr="000A700F" w:rsidRDefault="00860A11" w:rsidP="00860A11">
            <w:pPr>
              <w:pStyle w:val="Hlistbullet2"/>
              <w:rPr>
                <w:highlight w:val="yellow"/>
              </w:rPr>
            </w:pPr>
            <w:r>
              <w:rPr>
                <w:highlight w:val="yellow"/>
              </w:rPr>
              <w:t>Quelle démarche et quelles méthodes facilitent la mesure de la valeur ajoutée du RRN, au-delà des objectifs communs et propres au programme envisagé ?</w:t>
            </w:r>
          </w:p>
          <w:p w:rsidR="00860A11" w:rsidRPr="000A700F" w:rsidRDefault="00860A11" w:rsidP="00860A11">
            <w:pPr>
              <w:pStyle w:val="Hlistbullet2"/>
              <w:rPr>
                <w:highlight w:val="yellow"/>
              </w:rPr>
            </w:pPr>
            <w:r>
              <w:rPr>
                <w:highlight w:val="yellow"/>
              </w:rPr>
              <w:t>Quelle démarche et quelles méthodes conviennent le mieux à l'évaluation des effets intangibles du RRN?</w:t>
            </w:r>
          </w:p>
          <w:p w:rsidR="00860A11" w:rsidRPr="000A700F" w:rsidRDefault="00860A11" w:rsidP="00860A11">
            <w:pPr>
              <w:pStyle w:val="Hlistbullet2"/>
              <w:rPr>
                <w:highlight w:val="yellow"/>
              </w:rPr>
            </w:pPr>
            <w:r>
              <w:rPr>
                <w:highlight w:val="yellow"/>
              </w:rPr>
              <w:lastRenderedPageBreak/>
              <w:t>Quelle démarche et quelles méthodes contribuent à impliquer les acteurs clés et à renforcer entre eux les liens de leur mise en réseau?</w:t>
            </w:r>
          </w:p>
          <w:p w:rsidR="00860A11" w:rsidRPr="000A700F" w:rsidRDefault="00860A11" w:rsidP="00860A11">
            <w:pPr>
              <w:pStyle w:val="Hlistbullet2"/>
              <w:rPr>
                <w:highlight w:val="yellow"/>
              </w:rPr>
            </w:pPr>
            <w:r>
              <w:rPr>
                <w:highlight w:val="yellow"/>
              </w:rPr>
              <w:t>Quelle démarche et quelles méthodes garantissent les résultats d'évaluation les plus fiables, compte tenu du caractère intangible du capital humain et social?</w:t>
            </w:r>
          </w:p>
        </w:tc>
      </w:tr>
    </w:tbl>
    <w:p w:rsidR="00860A11" w:rsidRPr="000A700F" w:rsidRDefault="00860A11" w:rsidP="00320BBA">
      <w:pPr>
        <w:pStyle w:val="HHeading5"/>
        <w:rPr>
          <w:highlight w:val="yellow"/>
        </w:rPr>
      </w:pPr>
      <w:r>
        <w:rPr>
          <w:highlight w:val="yellow"/>
        </w:rPr>
        <w:lastRenderedPageBreak/>
        <w:t>À faire et ne pas faire</w:t>
      </w:r>
    </w:p>
    <w:tbl>
      <w:tblPr>
        <w:tblStyle w:val="LightList-Accent5"/>
        <w:tblW w:w="0" w:type="auto"/>
        <w:tblLook w:val="04A0" w:firstRow="1" w:lastRow="0" w:firstColumn="1" w:lastColumn="0" w:noHBand="0" w:noVBand="1"/>
      </w:tblPr>
      <w:tblGrid>
        <w:gridCol w:w="4500"/>
        <w:gridCol w:w="4506"/>
      </w:tblGrid>
      <w:tr w:rsidR="00860A11" w:rsidRPr="000A700F"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860A11" w:rsidRPr="000A700F" w:rsidRDefault="00860A11" w:rsidP="000A3387">
            <w:pPr>
              <w:pStyle w:val="HHeading5"/>
              <w:jc w:val="center"/>
              <w:rPr>
                <w:sz w:val="18"/>
                <w:szCs w:val="18"/>
                <w:highlight w:val="yellow"/>
              </w:rPr>
            </w:pPr>
            <w:r>
              <w:rPr>
                <w:noProof/>
                <w:sz w:val="18"/>
                <w:szCs w:val="18"/>
                <w:highlight w:val="yellow"/>
                <w:lang w:val="en-GB" w:eastAsia="en-GB" w:bidi="ar-SA"/>
              </w:rPr>
              <w:drawing>
                <wp:inline distT="0" distB="0" distL="0" distR="0" wp14:anchorId="115F85FE" wp14:editId="18A4098D">
                  <wp:extent cx="360000" cy="360000"/>
                  <wp:effectExtent l="0" t="0" r="254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860A11" w:rsidRPr="000A700F" w:rsidRDefault="00860A11" w:rsidP="000A3387">
            <w:pPr>
              <w:pStyle w:val="HHeading5"/>
              <w:jc w:val="center"/>
              <w:cnfStyle w:val="100000000000" w:firstRow="1" w:lastRow="0" w:firstColumn="0" w:lastColumn="0" w:oddVBand="0" w:evenVBand="0" w:oddHBand="0" w:evenHBand="0" w:firstRowFirstColumn="0" w:firstRowLastColumn="0" w:lastRowFirstColumn="0" w:lastRowLastColumn="0"/>
              <w:rPr>
                <w:sz w:val="18"/>
                <w:szCs w:val="18"/>
                <w:highlight w:val="yellow"/>
              </w:rPr>
            </w:pPr>
            <w:r>
              <w:rPr>
                <w:noProof/>
                <w:sz w:val="18"/>
                <w:szCs w:val="18"/>
                <w:highlight w:val="yellow"/>
                <w:lang w:val="en-GB" w:eastAsia="en-GB" w:bidi="ar-SA"/>
              </w:rPr>
              <w:drawing>
                <wp:inline distT="0" distB="0" distL="0" distR="0" wp14:anchorId="680F1EC1" wp14:editId="271BC0F9">
                  <wp:extent cx="360000" cy="360000"/>
                  <wp:effectExtent l="0" t="0" r="254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860A11" w:rsidRPr="008D0759"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860A11" w:rsidRPr="000A700F" w:rsidRDefault="00860A11"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Adopter une approche mixte qualitative-quantitative, avec différentes méthodes et différents points de vue.</w:t>
            </w:r>
          </w:p>
          <w:p w:rsidR="00860A11" w:rsidRPr="000A700F" w:rsidRDefault="00860A11"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Aligner  l'effort d'évaluation et son coût sur l’étendue et l'ampleur des activités du RRN.</w:t>
            </w:r>
          </w:p>
          <w:p w:rsidR="00860A11" w:rsidRPr="000A700F" w:rsidRDefault="00860A11"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Traiter le suivi, l'auto-évaluation et l'évaluation comme les composantes d'une architecture complète d'apprentissage.</w:t>
            </w:r>
          </w:p>
          <w:p w:rsidR="00860A11" w:rsidRPr="000A700F" w:rsidRDefault="00860A11" w:rsidP="000A3387">
            <w:pPr>
              <w:pStyle w:val="HStandard"/>
              <w:rPr>
                <w:color w:val="FFC000" w:themeColor="accent4"/>
                <w:sz w:val="18"/>
                <w:szCs w:val="18"/>
                <w:highlight w:val="yellow"/>
              </w:rPr>
            </w:pPr>
            <w:r>
              <w:rPr>
                <w:b w:val="0"/>
                <w:color w:val="FFC000" w:themeColor="accent4"/>
                <w:sz w:val="18"/>
                <w:highlight w:val="yellow"/>
              </w:rPr>
              <w:t>Expérimenter des méthodes non conventionnelles, en plus de celles déjà établies.</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860A11" w:rsidRPr="000A700F" w:rsidRDefault="00860A11" w:rsidP="000A3387">
            <w:pPr>
              <w:pStyle w:val="HHeading5"/>
              <w:spacing w:before="120" w:after="120" w:line="240" w:lineRule="atLeast"/>
              <w:cnfStyle w:val="000000100000" w:firstRow="0" w:lastRow="0" w:firstColumn="0" w:lastColumn="0" w:oddVBand="0" w:evenVBand="0" w:oddHBand="1" w:evenHBand="0" w:firstRowFirstColumn="0" w:firstRowLastColumn="0" w:lastRowFirstColumn="0" w:lastRowLastColumn="0"/>
              <w:rPr>
                <w:b w:val="0"/>
                <w:color w:val="ED7D31" w:themeColor="accent2"/>
                <w:sz w:val="18"/>
                <w:szCs w:val="18"/>
                <w:highlight w:val="yellow"/>
              </w:rPr>
            </w:pPr>
            <w:r>
              <w:rPr>
                <w:b w:val="0"/>
                <w:color w:val="ED7D31" w:themeColor="accent2"/>
                <w:sz w:val="18"/>
                <w:highlight w:val="yellow"/>
              </w:rPr>
              <w:t>Insister sur l’aspect purement quantitatif.</w:t>
            </w:r>
          </w:p>
          <w:p w:rsidR="00860A11" w:rsidRPr="000A700F" w:rsidRDefault="00860A11" w:rsidP="000A3387">
            <w:pPr>
              <w:pStyle w:val="HStandard"/>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Décrire les relations de cause à effet simples sans lien avec les conclusions de la «théorie du changement» sous-jacente à la logique d'intervention.</w:t>
            </w:r>
          </w:p>
          <w:p w:rsidR="00860A11" w:rsidRPr="008D0759" w:rsidRDefault="00860A11" w:rsidP="000A3387">
            <w:pPr>
              <w:pStyle w:val="HStandard"/>
              <w:cnfStyle w:val="000000100000" w:firstRow="0" w:lastRow="0" w:firstColumn="0" w:lastColumn="0" w:oddVBand="0" w:evenVBand="0" w:oddHBand="1" w:evenHBand="0" w:firstRowFirstColumn="0" w:firstRowLastColumn="0" w:lastRowFirstColumn="0" w:lastRowLastColumn="0"/>
              <w:rPr>
                <w:sz w:val="18"/>
                <w:szCs w:val="18"/>
              </w:rPr>
            </w:pPr>
            <w:r>
              <w:rPr>
                <w:color w:val="ED7D31" w:themeColor="accent2"/>
                <w:sz w:val="18"/>
                <w:highlight w:val="yellow"/>
              </w:rPr>
              <w:t>Négliger tous les résultats issus de pratiques d'auto-évaluation ou d'études d'accompagnement.</w:t>
            </w:r>
          </w:p>
        </w:tc>
      </w:tr>
    </w:tbl>
    <w:p w:rsidR="00860A11" w:rsidRPr="008D0759" w:rsidRDefault="00860A11" w:rsidP="00320BBA">
      <w:pPr>
        <w:pStyle w:val="HHeading5"/>
      </w:pPr>
      <w:r>
        <w:t>Further reading</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72"/>
      </w:tblGrid>
      <w:tr w:rsidR="00860A11" w:rsidRPr="00E37021" w:rsidTr="004C05DD">
        <w:tc>
          <w:tcPr>
            <w:tcW w:w="9918" w:type="dxa"/>
            <w:shd w:val="clear" w:color="auto" w:fill="FAF9F9" w:themeFill="background2" w:themeFillTint="33"/>
          </w:tcPr>
          <w:p w:rsidR="00860A11" w:rsidRPr="00A353D6" w:rsidRDefault="00860A11" w:rsidP="00E57366">
            <w:pPr>
              <w:pStyle w:val="HStandard"/>
              <w:rPr>
                <w:sz w:val="16"/>
                <w:szCs w:val="16"/>
                <w:lang w:val="en-GB"/>
              </w:rPr>
            </w:pPr>
            <w:r w:rsidRPr="00A353D6">
              <w:rPr>
                <w:sz w:val="16"/>
                <w:lang w:val="en-GB"/>
              </w:rPr>
              <w:t xml:space="preserve">For all other methods mentioned and more, see the  extensive presentation of qualitative (e.g. interviews, focus groups, surveys, case studies and others) and quantitative methods (e.g. difference in difference, propensity score matching, their combinations) in: </w:t>
            </w:r>
            <w:hyperlink r:id="rId47">
              <w:r w:rsidRPr="00A353D6">
                <w:rPr>
                  <w:rStyle w:val="Hyperlink"/>
                  <w:sz w:val="16"/>
                  <w:lang w:val="en-GB"/>
                </w:rPr>
                <w:t>The Guidelines for ex post evaluation of RDP 2007 - 2013</w:t>
              </w:r>
            </w:hyperlink>
            <w:r w:rsidRPr="00A353D6">
              <w:rPr>
                <w:sz w:val="16"/>
                <w:lang w:val="en-GB"/>
              </w:rPr>
              <w:t>, Evaluation Helpdesk, Brussels, 2014.</w:t>
            </w:r>
          </w:p>
          <w:p w:rsidR="00860A11" w:rsidRPr="00A353D6" w:rsidRDefault="00860A11" w:rsidP="00E57366">
            <w:pPr>
              <w:pStyle w:val="HStandard"/>
              <w:rPr>
                <w:sz w:val="16"/>
                <w:szCs w:val="16"/>
                <w:lang w:val="en-GB"/>
              </w:rPr>
            </w:pPr>
            <w:r w:rsidRPr="00A353D6">
              <w:rPr>
                <w:sz w:val="16"/>
                <w:lang w:val="en-GB"/>
              </w:rPr>
              <w:t>Concerning the assessment of impacts:</w:t>
            </w:r>
          </w:p>
          <w:p w:rsidR="00860A11" w:rsidRPr="00A353D6" w:rsidRDefault="00860A11" w:rsidP="00E57366">
            <w:pPr>
              <w:pStyle w:val="HStandard"/>
              <w:rPr>
                <w:sz w:val="16"/>
                <w:szCs w:val="16"/>
                <w:lang w:val="en-GB"/>
              </w:rPr>
            </w:pPr>
            <w:r w:rsidRPr="00A353D6">
              <w:rPr>
                <w:sz w:val="16"/>
                <w:lang w:val="en-GB"/>
              </w:rPr>
              <w:t>Working Paper of the Rural Evaluation Helpdesk (July 2010): Approaches for assessing the impacts of the Rural Development Programmes in the context of multiple intervening factors, p. 26 ff.</w:t>
            </w:r>
          </w:p>
          <w:p w:rsidR="00860A11" w:rsidRPr="00A353D6" w:rsidRDefault="00860A11" w:rsidP="00E57366">
            <w:pPr>
              <w:pStyle w:val="HStandard"/>
              <w:rPr>
                <w:sz w:val="16"/>
                <w:szCs w:val="16"/>
                <w:lang w:val="en-GB"/>
              </w:rPr>
            </w:pPr>
            <w:r w:rsidRPr="00A353D6">
              <w:rPr>
                <w:sz w:val="16"/>
                <w:lang w:val="en-GB"/>
              </w:rPr>
              <w:t>Assessment of RDP results: How to prepare for reporting on evaluation in 2017, Evaluation Helpdesk, April 2016</w:t>
            </w:r>
          </w:p>
        </w:tc>
      </w:tr>
    </w:tbl>
    <w:p w:rsidR="00860A11" w:rsidRPr="000D1D32" w:rsidRDefault="00860A11" w:rsidP="00642574">
      <w:pPr>
        <w:pStyle w:val="HHeading3"/>
        <w:rPr>
          <w:highlight w:val="yellow"/>
        </w:rPr>
      </w:pPr>
      <w:bookmarkStart w:id="220" w:name="_Toc434744517"/>
      <w:bookmarkStart w:id="221" w:name="_Toc436140059"/>
      <w:bookmarkStart w:id="222" w:name="_Toc443491684"/>
      <w:bookmarkStart w:id="223" w:name="_Toc453079768"/>
      <w:r>
        <w:rPr>
          <w:highlight w:val="yellow"/>
        </w:rPr>
        <w:t>Mettre en place le système de collecte des preuves pour l'évaluation</w:t>
      </w:r>
      <w:bookmarkEnd w:id="220"/>
      <w:bookmarkEnd w:id="221"/>
      <w:bookmarkEnd w:id="222"/>
      <w:bookmarkEnd w:id="223"/>
      <w:r>
        <w:rPr>
          <w:highlight w:val="yellow"/>
        </w:rPr>
        <w:t xml:space="preserve"> </w:t>
      </w:r>
    </w:p>
    <w:p w:rsidR="00860A11" w:rsidRPr="00A353D6" w:rsidRDefault="00860A11" w:rsidP="00216BE4">
      <w:pPr>
        <w:pStyle w:val="HStandard"/>
        <w:rPr>
          <w:lang w:val="en-GB"/>
        </w:rPr>
      </w:pPr>
      <w:r w:rsidRPr="00A353D6">
        <w:rPr>
          <w:lang w:val="en-GB"/>
        </w:rPr>
        <w:t>The existing set of indicators and the choice of the evaluation methods determine which kind of data and information is needed. Some of the data and information will already exist, albeit not necessarily in the appropriate format for the evaluator, and some has to be collected explicitly for the evaluation. The allocated budget might also influence this decision, since cost-efficiency is often a key factor in selecting methods, sometimes to the detriment of their appropriateness for the specific evaluation.</w:t>
      </w:r>
    </w:p>
    <w:p w:rsidR="00860A11" w:rsidRPr="00A353D6" w:rsidRDefault="00860A11" w:rsidP="00216BE4">
      <w:pPr>
        <w:pStyle w:val="HStandard"/>
        <w:rPr>
          <w:lang w:val="en-GB"/>
        </w:rPr>
      </w:pPr>
      <w:r w:rsidRPr="00A353D6">
        <w:rPr>
          <w:lang w:val="en-GB"/>
        </w:rPr>
        <w:t xml:space="preserve">There are four discernible options concerning available data sources for NRNs: </w:t>
      </w:r>
    </w:p>
    <w:p w:rsidR="00860A11" w:rsidRPr="00A353D6" w:rsidRDefault="00860A11" w:rsidP="007517DC">
      <w:pPr>
        <w:pStyle w:val="Hlistabc"/>
        <w:numPr>
          <w:ilvl w:val="0"/>
          <w:numId w:val="19"/>
        </w:numPr>
        <w:rPr>
          <w:lang w:val="en-GB"/>
        </w:rPr>
      </w:pPr>
      <w:r w:rsidRPr="00A353D6">
        <w:rPr>
          <w:lang w:val="en-GB"/>
        </w:rPr>
        <w:t>The available data on the NRN(P) action plan implementation is usually kept at output level (number of events, number of participants, newsletters produced, beneficiaries' profiles, information on results achieved, etc.) through the monitoring system (operations database).</w:t>
      </w:r>
    </w:p>
    <w:p w:rsidR="00860A11" w:rsidRPr="00A353D6" w:rsidRDefault="00860A11" w:rsidP="00216BE4">
      <w:pPr>
        <w:pStyle w:val="Hlistabc2"/>
        <w:rPr>
          <w:lang w:val="en-GB"/>
        </w:rPr>
      </w:pPr>
      <w:r w:rsidRPr="00A353D6">
        <w:rPr>
          <w:lang w:val="en-GB"/>
        </w:rPr>
        <w:t>In cases where programme authorities have developed NRN(P)-specific result and impact indicators at the RDP design phase, relevant data can be incorporated in the data infrastructure developed for monitoring purposes by the MA. This would become the basis for the collection, storage and management of all programme data.</w:t>
      </w:r>
    </w:p>
    <w:p w:rsidR="00860A11" w:rsidRPr="00A353D6" w:rsidRDefault="00860A11" w:rsidP="00216BE4">
      <w:pPr>
        <w:pStyle w:val="Hlistabc2"/>
        <w:rPr>
          <w:lang w:val="en-GB"/>
        </w:rPr>
      </w:pPr>
      <w:r w:rsidRPr="00A353D6">
        <w:rPr>
          <w:lang w:val="en-GB"/>
        </w:rPr>
        <w:t xml:space="preserve">Data and information for NRN(P)-specific result and impact indicators may also have to be collected by the evaluator or on an ad hoc basis by the NSU (e.g. tracking of feedback on user satisfaction, uptake of good practices by event participants over the programming period, etc.). </w:t>
      </w:r>
    </w:p>
    <w:p w:rsidR="00860A11" w:rsidRPr="00A353D6" w:rsidRDefault="00860A11" w:rsidP="00216BE4">
      <w:pPr>
        <w:pStyle w:val="Hlistabc2"/>
        <w:rPr>
          <w:lang w:val="en-GB"/>
        </w:rPr>
      </w:pPr>
      <w:r w:rsidRPr="00A353D6">
        <w:rPr>
          <w:lang w:val="en-GB"/>
        </w:rPr>
        <w:lastRenderedPageBreak/>
        <w:t>There are also cases of NRNs which have developed their own monitoring system (separately from that of the MA) to collect information on their operations through their own database.</w:t>
      </w:r>
    </w:p>
    <w:p w:rsidR="00860A11" w:rsidRPr="00A353D6" w:rsidRDefault="00860A11" w:rsidP="00216BE4">
      <w:pPr>
        <w:pStyle w:val="HStandard"/>
        <w:rPr>
          <w:lang w:val="en-GB"/>
        </w:rPr>
      </w:pPr>
      <w:r w:rsidRPr="00A353D6">
        <w:rPr>
          <w:lang w:val="en-GB"/>
        </w:rPr>
        <w:t>Whatever the chosen or available option for collecting and storing data, there should be some harmonisation and coordination of all of the above to avoid duplication of data and effort.</w:t>
      </w:r>
    </w:p>
    <w:p w:rsidR="00860A11" w:rsidRPr="00A353D6" w:rsidRDefault="00860A11" w:rsidP="00216BE4">
      <w:pPr>
        <w:pStyle w:val="HStandard"/>
        <w:rPr>
          <w:lang w:val="en-GB"/>
        </w:rPr>
      </w:pPr>
      <w:r w:rsidRPr="00A353D6">
        <w:rPr>
          <w:lang w:val="en-GB"/>
        </w:rPr>
        <w:t>More and more NRNs practice self-assessment or make use of other mechanisms providing expedited feedback (e.g. expert panels). Having such mechanisms built into the steering structure of the NRN does not only support the management but also constitutes a valuable interface between monitoring and evaluation. Some elements used for the self-assessment can be taken up and utilised by the evaluation team (e.g. the minutes of periodic focus groups, or certain judgment criteria for programme-specific indicators). External evaluations of LAGs and other survey studies (ranging from thematic surveys to student’s theses) will feed into the evaluation of NRN(P) as well</w:t>
      </w:r>
      <w:r w:rsidRPr="00A353D6">
        <w:rPr>
          <w:rFonts w:ascii="ZWAdobeF" w:hAnsi="ZWAdobeF"/>
          <w:color w:val="auto"/>
          <w:sz w:val="2"/>
          <w:lang w:val="en-GB"/>
        </w:rPr>
        <w:t>112F</w:t>
      </w:r>
      <w:r>
        <w:rPr>
          <w:rStyle w:val="FootnoteReference"/>
        </w:rPr>
        <w:footnoteReference w:id="113"/>
      </w:r>
      <w:r w:rsidRPr="00A353D6">
        <w:rPr>
          <w:lang w:val="en-GB"/>
        </w:rPr>
        <w:t>.</w:t>
      </w:r>
    </w:p>
    <w:p w:rsidR="00860A11" w:rsidRPr="00A353D6" w:rsidRDefault="00860A11" w:rsidP="00216BE4">
      <w:pPr>
        <w:pStyle w:val="HStandard"/>
        <w:rPr>
          <w:lang w:val="en-GB"/>
        </w:rPr>
      </w:pPr>
      <w:r w:rsidRPr="00A353D6">
        <w:rPr>
          <w:lang w:val="en-GB"/>
        </w:rPr>
        <w:t>The results of these self-assessments, external evaluations and accompanying research activities should be stored by the NSU as part of its monitoring system. It is advisable that the monitoring system foresees for the collection and management of qualitative data in relation to NRN activities, in addition to quantitative data.</w:t>
      </w:r>
    </w:p>
    <w:p w:rsidR="00860A11" w:rsidRPr="00A353D6" w:rsidRDefault="00860A11" w:rsidP="000A3387">
      <w:pPr>
        <w:pStyle w:val="Heading6"/>
        <w:rPr>
          <w:lang w:val="en-GB"/>
        </w:rPr>
      </w:pPr>
      <w:bookmarkStart w:id="224" w:name="_Toc434744518"/>
      <w:bookmarkStart w:id="225" w:name="_Toc436140060"/>
      <w:r w:rsidRPr="00A353D6">
        <w:rPr>
          <w:lang w:val="en-GB"/>
        </w:rPr>
        <w:t>What are the issues to be considered in relation to data/information needs and sources for NRNs</w:t>
      </w:r>
      <w:bookmarkEnd w:id="224"/>
      <w:bookmarkEnd w:id="225"/>
      <w:r w:rsidRPr="00A353D6">
        <w:rPr>
          <w:lang w:val="en-GB"/>
        </w:rPr>
        <w:t>?</w:t>
      </w:r>
    </w:p>
    <w:p w:rsidR="00860A11" w:rsidRPr="00A353D6" w:rsidRDefault="00860A11" w:rsidP="00216BE4">
      <w:pPr>
        <w:pStyle w:val="HStandard"/>
        <w:rPr>
          <w:lang w:val="en-GB"/>
        </w:rPr>
      </w:pPr>
      <w:r w:rsidRPr="00A353D6">
        <w:rPr>
          <w:lang w:val="en-GB"/>
        </w:rPr>
        <w:t xml:space="preserve">Information for NRN results and impacts should be captured where NRN effects are expected: </w:t>
      </w:r>
    </w:p>
    <w:p w:rsidR="00860A11" w:rsidRPr="00A353D6" w:rsidRDefault="00860A11" w:rsidP="000A3387">
      <w:pPr>
        <w:pStyle w:val="Hlistbullet2"/>
        <w:rPr>
          <w:lang w:val="en-GB"/>
        </w:rPr>
      </w:pPr>
      <w:r w:rsidRPr="00A353D6">
        <w:rPr>
          <w:lang w:val="en-GB"/>
        </w:rPr>
        <w:t>At the level of individuals (micro level) participating in the network activities, where they acquire knowledge and information in order to conduct their work more effectively;</w:t>
      </w:r>
    </w:p>
    <w:p w:rsidR="00860A11" w:rsidRPr="00A353D6" w:rsidRDefault="00860A11" w:rsidP="000A3387">
      <w:pPr>
        <w:pStyle w:val="Hlistbullet2"/>
        <w:rPr>
          <w:lang w:val="en-GB"/>
        </w:rPr>
      </w:pPr>
      <w:r w:rsidRPr="00A353D6">
        <w:rPr>
          <w:lang w:val="en-GB"/>
        </w:rPr>
        <w:t xml:space="preserve">At the level of NRN groups of stakeholders and their organisations (meso level), where effects in relation to building capacities to achieve the NRN and RDP objectives can be expected; </w:t>
      </w:r>
    </w:p>
    <w:p w:rsidR="00860A11" w:rsidRPr="00A353D6" w:rsidRDefault="00860A11" w:rsidP="000A3387">
      <w:pPr>
        <w:pStyle w:val="Hlistbullet2"/>
        <w:rPr>
          <w:lang w:val="en-GB"/>
        </w:rPr>
      </w:pPr>
      <w:r w:rsidRPr="00A353D6">
        <w:rPr>
          <w:lang w:val="en-GB"/>
        </w:rPr>
        <w:t>At the level of rural areas (macro level), where effects for example on the improvement of the governance in the rural areas in a broader sense can be expected.</w:t>
      </w:r>
    </w:p>
    <w:p w:rsidR="00860A11" w:rsidRPr="00A353D6" w:rsidRDefault="00860A11" w:rsidP="00216BE4">
      <w:pPr>
        <w:pStyle w:val="HStandard"/>
        <w:rPr>
          <w:lang w:val="en-GB"/>
        </w:rPr>
      </w:pPr>
      <w:r w:rsidRPr="00A353D6">
        <w:rPr>
          <w:lang w:val="en-GB"/>
        </w:rPr>
        <w:t xml:space="preserve">Each type of information requires specific collection methods, for instance: </w:t>
      </w:r>
    </w:p>
    <w:p w:rsidR="00860A11" w:rsidRPr="00A353D6" w:rsidRDefault="00860A11" w:rsidP="00216BE4">
      <w:pPr>
        <w:pStyle w:val="Hlistbullet2"/>
        <w:rPr>
          <w:lang w:val="en-GB"/>
        </w:rPr>
      </w:pPr>
      <w:r w:rsidRPr="00A353D6">
        <w:rPr>
          <w:lang w:val="en-GB"/>
        </w:rPr>
        <w:t xml:space="preserve">Data &amp; information relating to participation and satisfaction, e.g. via assessment sheets, questionnaires, etc. directly or almost directly at network activities; </w:t>
      </w:r>
    </w:p>
    <w:p w:rsidR="00860A11" w:rsidRPr="00A353D6" w:rsidRDefault="00860A11" w:rsidP="00216BE4">
      <w:pPr>
        <w:pStyle w:val="Hlistbullet2"/>
        <w:rPr>
          <w:lang w:val="en-GB"/>
        </w:rPr>
      </w:pPr>
      <w:r w:rsidRPr="00A353D6">
        <w:rPr>
          <w:lang w:val="en-GB"/>
        </w:rPr>
        <w:t>Data &amp; information relating to opinions and social relationships, e.g. via interviews, surveys, self-assessment tools, focus groups, etc. in the course of the routine work of stakeholders and involved actors, or via social network analysis and socio-metric methods in the course of particular investigations;</w:t>
      </w:r>
    </w:p>
    <w:p w:rsidR="00860A11" w:rsidRPr="00A353D6" w:rsidRDefault="00860A11" w:rsidP="00216BE4">
      <w:pPr>
        <w:pStyle w:val="Hlistbullet2"/>
        <w:rPr>
          <w:lang w:val="en-GB"/>
        </w:rPr>
      </w:pPr>
      <w:r w:rsidRPr="00A353D6">
        <w:rPr>
          <w:lang w:val="en-GB"/>
        </w:rPr>
        <w:t>Data &amp; information relating to governance issues, e.g. either through social network analysis, visualising the change in the network relations, or through indirect evidence, e.g. through an increase in cooperation becoming manifest in a new institution or a memorandum of understanding induced by network activities.</w:t>
      </w:r>
    </w:p>
    <w:p w:rsidR="00860A11" w:rsidRPr="00A353D6" w:rsidRDefault="00860A11" w:rsidP="00216BE4">
      <w:pPr>
        <w:pStyle w:val="HStandard"/>
        <w:rPr>
          <w:lang w:val="en-GB"/>
        </w:rPr>
      </w:pPr>
      <w:r w:rsidRPr="00A353D6">
        <w:rPr>
          <w:lang w:val="en-GB"/>
        </w:rPr>
        <w:t xml:space="preserve">In a schematic way the following data needs and sources can be discerned: </w:t>
      </w:r>
    </w:p>
    <w:p w:rsidR="00860A11" w:rsidRPr="00A353D6" w:rsidRDefault="00860A11" w:rsidP="00216BE4">
      <w:pPr>
        <w:pStyle w:val="Hlistbullet2"/>
        <w:rPr>
          <w:lang w:val="en-GB"/>
        </w:rPr>
      </w:pPr>
      <w:r w:rsidRPr="00A353D6">
        <w:rPr>
          <w:lang w:val="en-GB"/>
        </w:rPr>
        <w:t>Quantitative data for input and output indicators (monitoring based on the operations database). Data on result indicators already defined during the programme design phase may also be included in the monitoring system.</w:t>
      </w:r>
    </w:p>
    <w:p w:rsidR="00860A11" w:rsidRPr="00A353D6" w:rsidRDefault="00860A11" w:rsidP="00216BE4">
      <w:pPr>
        <w:pStyle w:val="Hlistbullet2"/>
        <w:rPr>
          <w:lang w:val="en-GB"/>
        </w:rPr>
      </w:pPr>
      <w:r w:rsidRPr="00A353D6">
        <w:rPr>
          <w:lang w:val="en-GB"/>
        </w:rPr>
        <w:t>Quantitative data and qualitative information for result indicators collected from NRN beneficiaries (surveys, focus groups, case studies, etc.) by the NSU (self-assessment) or during the evaluation.</w:t>
      </w:r>
    </w:p>
    <w:p w:rsidR="00860A11" w:rsidRPr="00A353D6" w:rsidRDefault="00860A11" w:rsidP="00216BE4">
      <w:pPr>
        <w:pStyle w:val="Hlistbullet2"/>
        <w:rPr>
          <w:lang w:val="en-GB"/>
        </w:rPr>
      </w:pPr>
      <w:r w:rsidRPr="00A353D6">
        <w:rPr>
          <w:lang w:val="en-GB"/>
        </w:rPr>
        <w:lastRenderedPageBreak/>
        <w:t xml:space="preserve">Quantitative data and qualitative information for result and impact indicators collected from both beneficiaries and non-beneficiaries of the NRN(P) in order to conduct counterfactual analysis (surveys using questionnaires, interviews, focus groups or case studies, etc.); for example, for the result indicator </w:t>
      </w:r>
      <w:r w:rsidRPr="00A353D6">
        <w:rPr>
          <w:i/>
          <w:lang w:val="en-GB"/>
        </w:rPr>
        <w:t>‘Number of actors (by type) participating in the implementation of RDPs as a consequence of the NRN activities’</w:t>
      </w:r>
      <w:r w:rsidRPr="00A353D6">
        <w:rPr>
          <w:lang w:val="en-GB"/>
        </w:rPr>
        <w:t xml:space="preserve"> developed for the Spanish NRN).</w:t>
      </w:r>
    </w:p>
    <w:p w:rsidR="00860A11" w:rsidRPr="000A700F" w:rsidRDefault="00860A11" w:rsidP="000A3387">
      <w:pPr>
        <w:pStyle w:val="Heading6"/>
        <w:rPr>
          <w:highlight w:val="yellow"/>
        </w:rPr>
      </w:pPr>
      <w:bookmarkStart w:id="226" w:name="_Toc434744519"/>
      <w:bookmarkStart w:id="227" w:name="_Toc436140061"/>
      <w:r>
        <w:rPr>
          <w:highlight w:val="yellow"/>
        </w:rPr>
        <w:t xml:space="preserve">Quelles sont les principales étapes de la mise en place du système de collecte de données et d'informations ? </w:t>
      </w:r>
      <w:bookmarkEnd w:id="226"/>
      <w:bookmarkEnd w:id="227"/>
    </w:p>
    <w:p w:rsidR="00860A11" w:rsidRPr="000A700F" w:rsidRDefault="00860A11" w:rsidP="00216BE4">
      <w:pPr>
        <w:pStyle w:val="HStandard"/>
        <w:rPr>
          <w:highlight w:val="yellow"/>
        </w:rPr>
      </w:pPr>
      <w:r w:rsidRPr="00A353D6">
        <w:rPr>
          <w:lang w:val="en-GB"/>
        </w:rPr>
        <w:t xml:space="preserve">High quality and timely available data and information are essential for calculating and filling the indicators and applying the selected evaluation methods. Therefore, emphasis should be put on the proper establishment of data and information collection systems. </w:t>
      </w:r>
      <w:r>
        <w:rPr>
          <w:highlight w:val="yellow"/>
        </w:rPr>
        <w:t>Les étapes recommandées du projet et les résultats attendus sont les suivants:</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860A11" w:rsidRPr="000A700F" w:rsidTr="00C2517E">
        <w:tc>
          <w:tcPr>
            <w:tcW w:w="988" w:type="dxa"/>
            <w:shd w:val="clear" w:color="auto" w:fill="E7E6E6" w:themeFill="background2"/>
          </w:tcPr>
          <w:p w:rsidR="00860A11" w:rsidRPr="000A700F" w:rsidRDefault="00860A11" w:rsidP="00C2517E">
            <w:pPr>
              <w:pStyle w:val="HStandard"/>
              <w:spacing w:after="0"/>
              <w:jc w:val="center"/>
              <w:rPr>
                <w:b/>
                <w:color w:val="5B9BD5" w:themeColor="accent1"/>
                <w:sz w:val="18"/>
                <w:szCs w:val="18"/>
                <w:highlight w:val="yellow"/>
              </w:rPr>
            </w:pPr>
            <w:r>
              <w:rPr>
                <w:b/>
                <w:color w:val="5B9BD5" w:themeColor="accent1"/>
                <w:sz w:val="18"/>
                <w:highlight w:val="yellow"/>
              </w:rPr>
              <w:t>1</w:t>
            </w:r>
          </w:p>
        </w:tc>
        <w:tc>
          <w:tcPr>
            <w:tcW w:w="8028" w:type="dxa"/>
          </w:tcPr>
          <w:p w:rsidR="00860A11" w:rsidRPr="000A700F" w:rsidRDefault="00860A11" w:rsidP="007046A4">
            <w:pPr>
              <w:pStyle w:val="Hlistbullet"/>
              <w:numPr>
                <w:ilvl w:val="0"/>
                <w:numId w:val="0"/>
              </w:numPr>
              <w:spacing w:before="0" w:line="280" w:lineRule="atLeast"/>
              <w:ind w:left="284"/>
              <w:rPr>
                <w:highlight w:val="yellow"/>
              </w:rPr>
            </w:pPr>
            <w:r>
              <w:rPr>
                <w:sz w:val="18"/>
                <w:highlight w:val="yellow"/>
              </w:rPr>
              <w:t>Identifier les besoins et les sources de données (en conformité avec les indicateurs et les méthodes d'évaluation choisis)</w:t>
            </w:r>
          </w:p>
        </w:tc>
      </w:tr>
      <w:tr w:rsidR="00860A11" w:rsidRPr="000A700F" w:rsidTr="00C2517E">
        <w:tc>
          <w:tcPr>
            <w:tcW w:w="988" w:type="dxa"/>
            <w:shd w:val="clear" w:color="auto" w:fill="E7E6E6" w:themeFill="background2"/>
          </w:tcPr>
          <w:p w:rsidR="00860A11" w:rsidRPr="000A700F" w:rsidRDefault="00860A11" w:rsidP="00C2517E">
            <w:pPr>
              <w:pStyle w:val="HStandard"/>
              <w:spacing w:after="0"/>
              <w:jc w:val="center"/>
              <w:rPr>
                <w:b/>
                <w:color w:val="5B9BD5" w:themeColor="accent1"/>
                <w:sz w:val="18"/>
                <w:szCs w:val="18"/>
                <w:highlight w:val="yellow"/>
              </w:rPr>
            </w:pPr>
            <w:r>
              <w:rPr>
                <w:b/>
                <w:color w:val="5B9BD5" w:themeColor="accent1"/>
                <w:sz w:val="18"/>
                <w:highlight w:val="yellow"/>
              </w:rPr>
              <w:t>2</w:t>
            </w:r>
          </w:p>
        </w:tc>
        <w:tc>
          <w:tcPr>
            <w:tcW w:w="8028" w:type="dxa"/>
          </w:tcPr>
          <w:p w:rsidR="00860A11" w:rsidRPr="000A700F" w:rsidRDefault="00860A11" w:rsidP="007046A4">
            <w:pPr>
              <w:pStyle w:val="Hlistbullet"/>
              <w:numPr>
                <w:ilvl w:val="0"/>
                <w:numId w:val="0"/>
              </w:numPr>
              <w:spacing w:before="0" w:line="280" w:lineRule="atLeast"/>
              <w:ind w:left="644" w:hanging="360"/>
              <w:rPr>
                <w:highlight w:val="yellow"/>
              </w:rPr>
            </w:pPr>
            <w:r>
              <w:rPr>
                <w:sz w:val="18"/>
                <w:highlight w:val="yellow"/>
              </w:rPr>
              <w:t>Examiner les données existantes et les sources</w:t>
            </w:r>
          </w:p>
        </w:tc>
      </w:tr>
      <w:tr w:rsidR="00860A11" w:rsidRPr="000A700F" w:rsidTr="00C2517E">
        <w:tc>
          <w:tcPr>
            <w:tcW w:w="988" w:type="dxa"/>
            <w:shd w:val="clear" w:color="auto" w:fill="E7E6E6" w:themeFill="background2"/>
          </w:tcPr>
          <w:p w:rsidR="00860A11" w:rsidRPr="000A700F" w:rsidRDefault="00860A11" w:rsidP="00C2517E">
            <w:pPr>
              <w:pStyle w:val="HStandard"/>
              <w:spacing w:after="0"/>
              <w:jc w:val="center"/>
              <w:rPr>
                <w:b/>
                <w:color w:val="5B9BD5" w:themeColor="accent1"/>
                <w:sz w:val="18"/>
                <w:szCs w:val="18"/>
                <w:highlight w:val="yellow"/>
              </w:rPr>
            </w:pPr>
            <w:r>
              <w:rPr>
                <w:b/>
                <w:color w:val="5B9BD5" w:themeColor="accent1"/>
                <w:sz w:val="18"/>
                <w:highlight w:val="yellow"/>
              </w:rPr>
              <w:t>3</w:t>
            </w:r>
          </w:p>
        </w:tc>
        <w:tc>
          <w:tcPr>
            <w:tcW w:w="8028" w:type="dxa"/>
          </w:tcPr>
          <w:p w:rsidR="00860A11" w:rsidRPr="000A700F" w:rsidRDefault="00860A11" w:rsidP="007046A4">
            <w:pPr>
              <w:pStyle w:val="Hlistbullet2"/>
              <w:numPr>
                <w:ilvl w:val="0"/>
                <w:numId w:val="0"/>
              </w:numPr>
              <w:spacing w:before="0" w:after="0" w:line="280" w:lineRule="atLeast"/>
              <w:ind w:left="644" w:hanging="360"/>
              <w:rPr>
                <w:highlight w:val="yellow"/>
              </w:rPr>
            </w:pPr>
            <w:r>
              <w:rPr>
                <w:sz w:val="18"/>
                <w:highlight w:val="yellow"/>
              </w:rPr>
              <w:t>Décider des données supplémentaires à recueillir</w:t>
            </w:r>
          </w:p>
        </w:tc>
      </w:tr>
      <w:tr w:rsidR="00860A11" w:rsidRPr="008D0759" w:rsidTr="00216BE4">
        <w:tc>
          <w:tcPr>
            <w:tcW w:w="9016" w:type="dxa"/>
            <w:gridSpan w:val="2"/>
          </w:tcPr>
          <w:p w:rsidR="00860A11" w:rsidRPr="008D0759" w:rsidRDefault="00860A11" w:rsidP="004C05DD">
            <w:pPr>
              <w:pStyle w:val="HStandard"/>
              <w:spacing w:after="0"/>
              <w:rPr>
                <w:sz w:val="18"/>
                <w:szCs w:val="18"/>
              </w:rPr>
            </w:pPr>
            <w:r>
              <w:rPr>
                <w:b/>
                <w:sz w:val="18"/>
                <w:highlight w:val="yellow"/>
              </w:rPr>
              <w:t xml:space="preserve">Résultat </w:t>
            </w:r>
            <w:r>
              <w:rPr>
                <w:sz w:val="18"/>
                <w:highlight w:val="yellow"/>
              </w:rPr>
              <w:t>attendu:</w:t>
            </w:r>
            <w:r>
              <w:t xml:space="preserve"> </w:t>
            </w:r>
            <w:r>
              <w:rPr>
                <w:sz w:val="18"/>
                <w:highlight w:val="yellow"/>
              </w:rPr>
              <w:t>inventaire des données existantes et</w:t>
            </w:r>
            <w:r>
              <w:t xml:space="preserve"> des sources d'</w:t>
            </w:r>
            <w:r>
              <w:rPr>
                <w:sz w:val="18"/>
                <w:highlight w:val="yellow"/>
              </w:rPr>
              <w:t>information,</w:t>
            </w:r>
            <w:r>
              <w:t xml:space="preserve"> des </w:t>
            </w:r>
            <w:r>
              <w:rPr>
                <w:sz w:val="18"/>
                <w:highlight w:val="yellow"/>
              </w:rPr>
              <w:t>lacunes et</w:t>
            </w:r>
            <w:r>
              <w:t xml:space="preserve"> des </w:t>
            </w:r>
            <w:r>
              <w:rPr>
                <w:sz w:val="18"/>
                <w:highlight w:val="yellow"/>
              </w:rPr>
              <w:t>dispositions à prendre pour les combler.</w:t>
            </w:r>
          </w:p>
        </w:tc>
      </w:tr>
    </w:tbl>
    <w:p w:rsidR="00860A11" w:rsidRPr="00A353D6" w:rsidRDefault="00860A11" w:rsidP="00C2517E">
      <w:pPr>
        <w:pStyle w:val="HStandard"/>
        <w:rPr>
          <w:lang w:val="en-GB"/>
        </w:rPr>
      </w:pPr>
      <w:r w:rsidRPr="00A353D6">
        <w:rPr>
          <w:lang w:val="en-GB"/>
        </w:rPr>
        <w:t>The steps in establishing the system for collection of data and information is detailed below.</w:t>
      </w:r>
    </w:p>
    <w:p w:rsidR="00860A11" w:rsidRPr="00A353D6" w:rsidRDefault="00860A11" w:rsidP="007046A4">
      <w:pPr>
        <w:pStyle w:val="HStandard"/>
        <w:rPr>
          <w:b/>
          <w:color w:val="ED7D31" w:themeColor="accent2"/>
          <w:lang w:val="en-GB"/>
        </w:rPr>
      </w:pPr>
      <w:r w:rsidRPr="00A353D6">
        <w:rPr>
          <w:b/>
          <w:color w:val="ED7D31" w:themeColor="accent2"/>
          <w:lang w:val="en-GB"/>
        </w:rPr>
        <w:t>Step 1 - Identify data needs and sources</w:t>
      </w:r>
    </w:p>
    <w:p w:rsidR="00860A11" w:rsidRPr="00A353D6" w:rsidRDefault="00860A11" w:rsidP="00C2517E">
      <w:pPr>
        <w:pStyle w:val="HStandard"/>
        <w:rPr>
          <w:lang w:val="en-GB"/>
        </w:rPr>
      </w:pPr>
      <w:r w:rsidRPr="00A353D6">
        <w:rPr>
          <w:lang w:val="en-GB"/>
        </w:rPr>
        <w:t xml:space="preserve">In cases were the commissioning party (MA or NSU) has defined the NRN related evaluation questions, indicators and evaluation approach and methodology already in the preparation phase, data needs and sources may have already been identified (see step 4, chapter 2.2.6 in </w:t>
      </w:r>
      <w:r w:rsidRPr="00A353D6">
        <w:rPr>
          <w:b/>
          <w:color w:val="E7E6E6" w:themeColor="background2"/>
          <w:lang w:val="en-GB"/>
        </w:rPr>
        <w:t>PART I</w:t>
      </w:r>
      <w:r w:rsidRPr="00A353D6">
        <w:rPr>
          <w:lang w:val="en-GB"/>
        </w:rPr>
        <w:t xml:space="preserve"> of this document). In this case the evaluator should get access to all available data and information from the MA or the NSU. </w:t>
      </w:r>
    </w:p>
    <w:p w:rsidR="00860A11" w:rsidRPr="00A353D6" w:rsidRDefault="00860A11" w:rsidP="00C2517E">
      <w:pPr>
        <w:pStyle w:val="HStandard"/>
        <w:rPr>
          <w:lang w:val="en-GB"/>
        </w:rPr>
      </w:pPr>
      <w:r w:rsidRPr="00A353D6">
        <w:rPr>
          <w:lang w:val="en-GB"/>
        </w:rPr>
        <w:t>In cases were the evaluator is supposed to choose the evaluation approach and methodology, the probability that data needs are covered by the available information will be lower.</w:t>
      </w:r>
    </w:p>
    <w:p w:rsidR="00860A11" w:rsidRPr="00A353D6" w:rsidRDefault="00860A11" w:rsidP="00320BBA">
      <w:pPr>
        <w:pStyle w:val="HStandard"/>
        <w:spacing w:after="0"/>
        <w:rPr>
          <w:lang w:val="en-GB"/>
        </w:rPr>
      </w:pPr>
      <w:r>
        <w:fldChar w:fldCharType="begin" w:fldLock="1"/>
      </w:r>
      <w:r w:rsidRPr="00A353D6">
        <w:rPr>
          <w:lang w:val="en-GB"/>
        </w:rPr>
        <w:instrText xml:space="preserve"> REF _Ref451785052 \r \h </w:instrText>
      </w:r>
      <w:r>
        <w:fldChar w:fldCharType="separate"/>
      </w:r>
      <w:r w:rsidRPr="00A353D6">
        <w:rPr>
          <w:lang w:val="en-GB"/>
        </w:rPr>
        <w:t>Table 12</w:t>
      </w:r>
      <w:r>
        <w:fldChar w:fldCharType="end"/>
      </w:r>
      <w:r w:rsidRPr="00A353D6">
        <w:rPr>
          <w:lang w:val="en-GB"/>
        </w:rPr>
        <w:t xml:space="preserve"> gives an indicative overview of which data are needed for which types of methods. </w:t>
      </w:r>
    </w:p>
    <w:p w:rsidR="00860A11" w:rsidRPr="00A353D6" w:rsidRDefault="00860A11">
      <w:pPr>
        <w:spacing w:after="0" w:line="240" w:lineRule="auto"/>
        <w:rPr>
          <w:rFonts w:cs="Arial"/>
          <w:color w:val="576C88" w:themeColor="text2" w:themeTint="D9"/>
          <w:sz w:val="20"/>
          <w:szCs w:val="20"/>
        </w:rPr>
      </w:pPr>
      <w:r w:rsidRPr="00A353D6">
        <w:br w:type="page"/>
      </w:r>
    </w:p>
    <w:p w:rsidR="00860A11" w:rsidRPr="00A353D6" w:rsidRDefault="00860A11" w:rsidP="00C2517E">
      <w:pPr>
        <w:pStyle w:val="HHeadingtables"/>
        <w:rPr>
          <w:lang w:val="en-GB"/>
        </w:rPr>
      </w:pPr>
      <w:bookmarkStart w:id="228" w:name="_Toc436140068"/>
      <w:bookmarkStart w:id="229" w:name="_Toc436383154"/>
      <w:bookmarkStart w:id="230" w:name="_Toc451781916"/>
      <w:bookmarkStart w:id="231" w:name="_Ref451785052"/>
      <w:r w:rsidRPr="00A353D6">
        <w:rPr>
          <w:lang w:val="en-GB"/>
        </w:rPr>
        <w:lastRenderedPageBreak/>
        <w:t>Type of data required for different evaluation methods</w:t>
      </w:r>
      <w:bookmarkEnd w:id="228"/>
      <w:bookmarkEnd w:id="229"/>
      <w:bookmarkEnd w:id="230"/>
      <w:bookmarkEnd w:id="231"/>
    </w:p>
    <w:tbl>
      <w:tblPr>
        <w:tblStyle w:val="TableGrid"/>
        <w:tblW w:w="907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763"/>
        <w:gridCol w:w="2392"/>
        <w:gridCol w:w="2264"/>
        <w:gridCol w:w="2653"/>
      </w:tblGrid>
      <w:tr w:rsidR="00860A11" w:rsidRPr="008D0759" w:rsidTr="004C05DD">
        <w:tc>
          <w:tcPr>
            <w:tcW w:w="1763" w:type="dxa"/>
            <w:shd w:val="clear" w:color="auto" w:fill="E7E6E6" w:themeFill="background2"/>
          </w:tcPr>
          <w:p w:rsidR="00860A11" w:rsidRPr="008D0759" w:rsidRDefault="00860A11" w:rsidP="00C2517E">
            <w:pPr>
              <w:pStyle w:val="Htableleftbolt"/>
              <w:jc w:val="center"/>
              <w:rPr>
                <w:color w:val="5B9BD5" w:themeColor="accent1"/>
                <w:sz w:val="18"/>
                <w:szCs w:val="18"/>
              </w:rPr>
            </w:pPr>
            <w:r>
              <w:rPr>
                <w:color w:val="5B9BD5" w:themeColor="accent1"/>
                <w:sz w:val="18"/>
              </w:rPr>
              <w:t>Method</w:t>
            </w:r>
          </w:p>
        </w:tc>
        <w:tc>
          <w:tcPr>
            <w:tcW w:w="2392" w:type="dxa"/>
            <w:shd w:val="clear" w:color="auto" w:fill="E7E6E6" w:themeFill="background2"/>
          </w:tcPr>
          <w:p w:rsidR="00860A11" w:rsidRPr="008D0759" w:rsidRDefault="00860A11" w:rsidP="00C2517E">
            <w:pPr>
              <w:pStyle w:val="Htableleftbolt"/>
              <w:jc w:val="center"/>
              <w:rPr>
                <w:color w:val="5B9BD5" w:themeColor="accent1"/>
                <w:sz w:val="18"/>
                <w:szCs w:val="18"/>
              </w:rPr>
            </w:pPr>
            <w:r>
              <w:rPr>
                <w:color w:val="5B9BD5" w:themeColor="accent1"/>
                <w:sz w:val="18"/>
              </w:rPr>
              <w:t>Type of data</w:t>
            </w:r>
          </w:p>
        </w:tc>
        <w:tc>
          <w:tcPr>
            <w:tcW w:w="2264" w:type="dxa"/>
            <w:shd w:val="clear" w:color="auto" w:fill="E7E6E6" w:themeFill="background2"/>
          </w:tcPr>
          <w:p w:rsidR="00860A11" w:rsidRPr="008D0759" w:rsidRDefault="00860A11" w:rsidP="00C2517E">
            <w:pPr>
              <w:pStyle w:val="Htableleftbolt"/>
              <w:jc w:val="center"/>
              <w:rPr>
                <w:color w:val="5B9BD5" w:themeColor="accent1"/>
                <w:sz w:val="18"/>
                <w:szCs w:val="18"/>
              </w:rPr>
            </w:pPr>
            <w:r>
              <w:rPr>
                <w:color w:val="5B9BD5" w:themeColor="accent1"/>
                <w:sz w:val="18"/>
              </w:rPr>
              <w:t>Collection</w:t>
            </w:r>
          </w:p>
        </w:tc>
        <w:tc>
          <w:tcPr>
            <w:tcW w:w="2653" w:type="dxa"/>
            <w:shd w:val="clear" w:color="auto" w:fill="E7E6E6" w:themeFill="background2"/>
          </w:tcPr>
          <w:p w:rsidR="00860A11" w:rsidRPr="008D0759" w:rsidRDefault="00860A11" w:rsidP="00C2517E">
            <w:pPr>
              <w:pStyle w:val="Htableleftbolt"/>
              <w:jc w:val="center"/>
              <w:rPr>
                <w:color w:val="5B9BD5" w:themeColor="accent1"/>
                <w:sz w:val="18"/>
                <w:szCs w:val="18"/>
              </w:rPr>
            </w:pPr>
            <w:r>
              <w:rPr>
                <w:color w:val="5B9BD5" w:themeColor="accent1"/>
                <w:sz w:val="18"/>
              </w:rPr>
              <w:t>Possible boundaries</w:t>
            </w:r>
          </w:p>
        </w:tc>
      </w:tr>
      <w:tr w:rsidR="00860A11" w:rsidRPr="00E37021" w:rsidTr="004C05DD">
        <w:tc>
          <w:tcPr>
            <w:tcW w:w="1763" w:type="dxa"/>
            <w:shd w:val="clear" w:color="auto" w:fill="auto"/>
          </w:tcPr>
          <w:p w:rsidR="00860A11" w:rsidRPr="008D0759" w:rsidRDefault="00860A11" w:rsidP="004C05DD">
            <w:pPr>
              <w:pStyle w:val="Htableleft"/>
              <w:rPr>
                <w:color w:val="576C88" w:themeColor="text2" w:themeTint="D9"/>
                <w:szCs w:val="18"/>
              </w:rPr>
            </w:pPr>
            <w:r>
              <w:rPr>
                <w:color w:val="576C88" w:themeColor="text2" w:themeTint="D9"/>
              </w:rPr>
              <w:t>Surveys (interviews)</w:t>
            </w:r>
          </w:p>
        </w:tc>
        <w:tc>
          <w:tcPr>
            <w:tcW w:w="2392" w:type="dxa"/>
            <w:shd w:val="clear" w:color="auto" w:fill="auto"/>
          </w:tcPr>
          <w:p w:rsidR="00860A11" w:rsidRPr="00A353D6" w:rsidRDefault="00860A11" w:rsidP="004C05DD">
            <w:pPr>
              <w:pStyle w:val="Htableleft"/>
              <w:rPr>
                <w:color w:val="576C88" w:themeColor="text2" w:themeTint="D9"/>
                <w:szCs w:val="18"/>
                <w:lang w:val="en-GB"/>
              </w:rPr>
            </w:pPr>
            <w:r w:rsidRPr="00A353D6">
              <w:rPr>
                <w:color w:val="576C88" w:themeColor="text2" w:themeTint="D9"/>
                <w:lang w:val="en-GB"/>
              </w:rPr>
              <w:t>Relevant interviewees (stakeholders, beneficiaries, experts, witnesses)</w:t>
            </w:r>
          </w:p>
        </w:tc>
        <w:tc>
          <w:tcPr>
            <w:tcW w:w="2264" w:type="dxa"/>
            <w:shd w:val="clear" w:color="auto" w:fill="auto"/>
          </w:tcPr>
          <w:p w:rsidR="00860A11" w:rsidRPr="00A353D6" w:rsidRDefault="00860A11" w:rsidP="004C05DD">
            <w:pPr>
              <w:pStyle w:val="Htableleft"/>
              <w:rPr>
                <w:color w:val="576C88" w:themeColor="text2" w:themeTint="D9"/>
                <w:szCs w:val="18"/>
                <w:lang w:val="en-GB"/>
              </w:rPr>
            </w:pPr>
            <w:r w:rsidRPr="00A353D6">
              <w:rPr>
                <w:color w:val="576C88" w:themeColor="text2" w:themeTint="D9"/>
                <w:lang w:val="en-GB"/>
              </w:rPr>
              <w:t>Desk research, information from stakeholders</w:t>
            </w:r>
          </w:p>
        </w:tc>
        <w:tc>
          <w:tcPr>
            <w:tcW w:w="2653" w:type="dxa"/>
            <w:shd w:val="clear" w:color="auto" w:fill="auto"/>
          </w:tcPr>
          <w:p w:rsidR="00860A11" w:rsidRPr="00A353D6" w:rsidRDefault="00860A11" w:rsidP="004C05DD">
            <w:pPr>
              <w:pStyle w:val="Htableleft"/>
              <w:rPr>
                <w:color w:val="576C88" w:themeColor="text2" w:themeTint="D9"/>
                <w:szCs w:val="18"/>
                <w:lang w:val="en-GB"/>
              </w:rPr>
            </w:pPr>
            <w:r w:rsidRPr="00A353D6">
              <w:rPr>
                <w:color w:val="576C88" w:themeColor="text2" w:themeTint="D9"/>
                <w:lang w:val="en-GB"/>
              </w:rPr>
              <w:t>It is essential to reflect on the boundaries of the system and the number of interviewees; “witnesses” can be valuable as control groups.</w:t>
            </w:r>
          </w:p>
        </w:tc>
      </w:tr>
      <w:tr w:rsidR="00860A11" w:rsidRPr="00E37021" w:rsidTr="004C05DD">
        <w:tc>
          <w:tcPr>
            <w:tcW w:w="1763" w:type="dxa"/>
            <w:shd w:val="clear" w:color="auto" w:fill="auto"/>
          </w:tcPr>
          <w:p w:rsidR="00860A11" w:rsidRPr="00A353D6" w:rsidRDefault="00860A11" w:rsidP="004C05DD">
            <w:pPr>
              <w:pStyle w:val="Htableleft"/>
              <w:rPr>
                <w:color w:val="576C88" w:themeColor="text2" w:themeTint="D9"/>
                <w:szCs w:val="18"/>
                <w:lang w:val="en-GB"/>
              </w:rPr>
            </w:pPr>
            <w:r w:rsidRPr="00A353D6">
              <w:rPr>
                <w:color w:val="576C88" w:themeColor="text2" w:themeTint="D9"/>
                <w:lang w:val="en-GB"/>
              </w:rPr>
              <w:t>Dialogue-based methods (self-assessment methods and focus groups)</w:t>
            </w:r>
          </w:p>
        </w:tc>
        <w:tc>
          <w:tcPr>
            <w:tcW w:w="2392" w:type="dxa"/>
            <w:shd w:val="clear" w:color="auto" w:fill="auto"/>
          </w:tcPr>
          <w:p w:rsidR="00860A11" w:rsidRPr="008D0759" w:rsidRDefault="00860A11" w:rsidP="004C05DD">
            <w:pPr>
              <w:pStyle w:val="Htableleft"/>
              <w:rPr>
                <w:color w:val="576C88" w:themeColor="text2" w:themeTint="D9"/>
                <w:szCs w:val="18"/>
              </w:rPr>
            </w:pPr>
            <w:r>
              <w:rPr>
                <w:color w:val="576C88" w:themeColor="text2" w:themeTint="D9"/>
              </w:rPr>
              <w:t>Potential participants and contributors</w:t>
            </w:r>
          </w:p>
        </w:tc>
        <w:tc>
          <w:tcPr>
            <w:tcW w:w="2264" w:type="dxa"/>
            <w:shd w:val="clear" w:color="auto" w:fill="auto"/>
          </w:tcPr>
          <w:p w:rsidR="00860A11" w:rsidRPr="00A353D6" w:rsidRDefault="00860A11" w:rsidP="004C05DD">
            <w:pPr>
              <w:pStyle w:val="Htableleft"/>
              <w:rPr>
                <w:color w:val="576C88" w:themeColor="text2" w:themeTint="D9"/>
                <w:szCs w:val="18"/>
                <w:lang w:val="en-GB"/>
              </w:rPr>
            </w:pPr>
            <w:r w:rsidRPr="00A353D6">
              <w:rPr>
                <w:color w:val="576C88" w:themeColor="text2" w:themeTint="D9"/>
                <w:lang w:val="en-GB"/>
              </w:rPr>
              <w:t>Desk research, information from stakeholders</w:t>
            </w:r>
          </w:p>
        </w:tc>
        <w:tc>
          <w:tcPr>
            <w:tcW w:w="2653" w:type="dxa"/>
            <w:shd w:val="clear" w:color="auto" w:fill="auto"/>
          </w:tcPr>
          <w:p w:rsidR="00860A11" w:rsidRPr="00A353D6" w:rsidRDefault="00860A11" w:rsidP="004C05DD">
            <w:pPr>
              <w:pStyle w:val="Htableleft"/>
              <w:rPr>
                <w:color w:val="576C88" w:themeColor="text2" w:themeTint="D9"/>
                <w:szCs w:val="18"/>
                <w:lang w:val="en-GB"/>
              </w:rPr>
            </w:pPr>
            <w:r w:rsidRPr="00A353D6">
              <w:rPr>
                <w:color w:val="576C88" w:themeColor="text2" w:themeTint="D9"/>
                <w:lang w:val="en-GB"/>
              </w:rPr>
              <w:t>Diversity of participants and modularity of dialogue settings are paramount.</w:t>
            </w:r>
          </w:p>
        </w:tc>
      </w:tr>
      <w:tr w:rsidR="00860A11" w:rsidRPr="00E37021" w:rsidTr="004C05DD">
        <w:tc>
          <w:tcPr>
            <w:tcW w:w="1763" w:type="dxa"/>
            <w:shd w:val="clear" w:color="auto" w:fill="auto"/>
          </w:tcPr>
          <w:p w:rsidR="00860A11" w:rsidRPr="00A353D6" w:rsidRDefault="00860A11" w:rsidP="004C05DD">
            <w:pPr>
              <w:pStyle w:val="Htableleft"/>
              <w:rPr>
                <w:color w:val="576C88" w:themeColor="text2" w:themeTint="D9"/>
                <w:szCs w:val="18"/>
                <w:lang w:val="en-GB"/>
              </w:rPr>
            </w:pPr>
            <w:r w:rsidRPr="00A353D6">
              <w:rPr>
                <w:color w:val="576C88" w:themeColor="text2" w:themeTint="D9"/>
                <w:lang w:val="en-GB"/>
              </w:rPr>
              <w:t>Analytical methods (cost-benefit and cost-effectiveness analysis)</w:t>
            </w:r>
          </w:p>
        </w:tc>
        <w:tc>
          <w:tcPr>
            <w:tcW w:w="2392" w:type="dxa"/>
            <w:shd w:val="clear" w:color="auto" w:fill="auto"/>
          </w:tcPr>
          <w:p w:rsidR="00860A11" w:rsidRPr="00A353D6" w:rsidRDefault="00860A11" w:rsidP="004C05DD">
            <w:pPr>
              <w:pStyle w:val="Htableleft"/>
              <w:rPr>
                <w:color w:val="576C88" w:themeColor="text2" w:themeTint="D9"/>
                <w:szCs w:val="18"/>
                <w:lang w:val="en-GB"/>
              </w:rPr>
            </w:pPr>
            <w:r w:rsidRPr="00A353D6">
              <w:rPr>
                <w:color w:val="576C88" w:themeColor="text2" w:themeTint="D9"/>
                <w:lang w:val="en-GB"/>
              </w:rPr>
              <w:t>Quantitative data (volumes and funding)  on specific interventions;  beneficiaries and non-beneficiaries</w:t>
            </w:r>
          </w:p>
        </w:tc>
        <w:tc>
          <w:tcPr>
            <w:tcW w:w="2264" w:type="dxa"/>
            <w:shd w:val="clear" w:color="auto" w:fill="auto"/>
          </w:tcPr>
          <w:p w:rsidR="00860A11" w:rsidRPr="00A353D6" w:rsidRDefault="00860A11" w:rsidP="004C05DD">
            <w:pPr>
              <w:pStyle w:val="Htableleft"/>
              <w:rPr>
                <w:color w:val="576C88" w:themeColor="text2" w:themeTint="D9"/>
                <w:szCs w:val="18"/>
                <w:lang w:val="en-GB"/>
              </w:rPr>
            </w:pPr>
            <w:r w:rsidRPr="00A353D6">
              <w:rPr>
                <w:color w:val="576C88" w:themeColor="text2" w:themeTint="D9"/>
                <w:lang w:val="en-GB"/>
              </w:rPr>
              <w:t>Reports and monitoring data (from NRN(P) operation database but also from RDP implementation); project managers and beneficiaries</w:t>
            </w:r>
          </w:p>
        </w:tc>
        <w:tc>
          <w:tcPr>
            <w:tcW w:w="2653" w:type="dxa"/>
            <w:shd w:val="clear" w:color="auto" w:fill="auto"/>
          </w:tcPr>
          <w:p w:rsidR="00860A11" w:rsidRPr="00A353D6" w:rsidRDefault="00860A11" w:rsidP="00BF3A20">
            <w:pPr>
              <w:pStyle w:val="Htableleft"/>
              <w:rPr>
                <w:color w:val="576C88" w:themeColor="text2" w:themeTint="D9"/>
                <w:szCs w:val="18"/>
                <w:lang w:val="en-GB"/>
              </w:rPr>
            </w:pPr>
            <w:r w:rsidRPr="00A353D6">
              <w:rPr>
                <w:color w:val="576C88" w:themeColor="text2" w:themeTint="D9"/>
                <w:lang w:val="en-GB"/>
              </w:rPr>
              <w:t>Qualitative data complement quantitative data on the effectiveness side; RDP monitoring data is needed if the effects of NRN interventions are used to assess the quality of project implementation.</w:t>
            </w:r>
          </w:p>
        </w:tc>
      </w:tr>
      <w:tr w:rsidR="00860A11" w:rsidRPr="00E37021" w:rsidTr="004C05DD">
        <w:tc>
          <w:tcPr>
            <w:tcW w:w="1763" w:type="dxa"/>
            <w:shd w:val="clear" w:color="auto" w:fill="auto"/>
          </w:tcPr>
          <w:p w:rsidR="00860A11" w:rsidRPr="00A353D6" w:rsidRDefault="00860A11" w:rsidP="004C05DD">
            <w:pPr>
              <w:pStyle w:val="Htableleft"/>
              <w:rPr>
                <w:color w:val="576C88" w:themeColor="text2" w:themeTint="D9"/>
                <w:szCs w:val="18"/>
                <w:lang w:val="en-GB"/>
              </w:rPr>
            </w:pPr>
            <w:r w:rsidRPr="00A353D6">
              <w:rPr>
                <w:color w:val="576C88" w:themeColor="text2" w:themeTint="D9"/>
                <w:lang w:val="en-GB"/>
              </w:rPr>
              <w:t>Diagnostic methods (Different network and organization diagnosis methods and Social Network Analysis)</w:t>
            </w:r>
          </w:p>
        </w:tc>
        <w:tc>
          <w:tcPr>
            <w:tcW w:w="2392" w:type="dxa"/>
            <w:shd w:val="clear" w:color="auto" w:fill="auto"/>
          </w:tcPr>
          <w:p w:rsidR="00860A11" w:rsidRPr="00A353D6" w:rsidRDefault="00860A11" w:rsidP="004C05DD">
            <w:pPr>
              <w:pStyle w:val="Htableleft"/>
              <w:rPr>
                <w:color w:val="576C88" w:themeColor="text2" w:themeTint="D9"/>
                <w:szCs w:val="18"/>
                <w:lang w:val="en-GB"/>
              </w:rPr>
            </w:pPr>
            <w:r w:rsidRPr="00A353D6">
              <w:rPr>
                <w:color w:val="576C88" w:themeColor="text2" w:themeTint="D9"/>
                <w:lang w:val="en-GB"/>
              </w:rPr>
              <w:t>Network participants, NSU team and non-members;</w:t>
            </w:r>
          </w:p>
          <w:p w:rsidR="00860A11" w:rsidRPr="00A353D6" w:rsidRDefault="00860A11" w:rsidP="004C05DD">
            <w:pPr>
              <w:pStyle w:val="Htableleft"/>
              <w:rPr>
                <w:color w:val="576C88" w:themeColor="text2" w:themeTint="D9"/>
                <w:szCs w:val="18"/>
                <w:lang w:val="en-GB"/>
              </w:rPr>
            </w:pPr>
            <w:r w:rsidRPr="00A353D6">
              <w:rPr>
                <w:color w:val="576C88" w:themeColor="text2" w:themeTint="D9"/>
                <w:lang w:val="en-GB"/>
              </w:rPr>
              <w:t>For the SNA: relational data</w:t>
            </w:r>
          </w:p>
        </w:tc>
        <w:tc>
          <w:tcPr>
            <w:tcW w:w="2264" w:type="dxa"/>
            <w:shd w:val="clear" w:color="auto" w:fill="auto"/>
          </w:tcPr>
          <w:p w:rsidR="00860A11" w:rsidRPr="00C85637" w:rsidRDefault="00860A11" w:rsidP="004C05DD">
            <w:pPr>
              <w:pStyle w:val="Htableleft"/>
              <w:rPr>
                <w:color w:val="576C88" w:themeColor="text2" w:themeTint="D9"/>
                <w:szCs w:val="18"/>
              </w:rPr>
            </w:pPr>
            <w:r>
              <w:rPr>
                <w:color w:val="576C88" w:themeColor="text2" w:themeTint="D9"/>
              </w:rPr>
              <w:t>Questionnaire; exploitation of written documents (statutes, rules, minutes…)</w:t>
            </w:r>
          </w:p>
        </w:tc>
        <w:tc>
          <w:tcPr>
            <w:tcW w:w="2653" w:type="dxa"/>
            <w:shd w:val="clear" w:color="auto" w:fill="auto"/>
          </w:tcPr>
          <w:p w:rsidR="00860A11" w:rsidRPr="00A353D6" w:rsidRDefault="00860A11" w:rsidP="004C05DD">
            <w:pPr>
              <w:pStyle w:val="Htableleft"/>
              <w:rPr>
                <w:color w:val="576C88" w:themeColor="text2" w:themeTint="D9"/>
                <w:szCs w:val="18"/>
                <w:lang w:val="en-GB"/>
              </w:rPr>
            </w:pPr>
            <w:r w:rsidRPr="00A353D6">
              <w:rPr>
                <w:color w:val="576C88" w:themeColor="text2" w:themeTint="D9"/>
                <w:lang w:val="en-GB"/>
              </w:rPr>
              <w:t>For the SNA: The boundary should be well considered. It has to cover most of the network, otherwise it would be unreliable.</w:t>
            </w:r>
          </w:p>
        </w:tc>
      </w:tr>
      <w:tr w:rsidR="00860A11" w:rsidRPr="00E37021" w:rsidTr="004C05DD">
        <w:tc>
          <w:tcPr>
            <w:tcW w:w="1763" w:type="dxa"/>
            <w:shd w:val="clear" w:color="auto" w:fill="auto"/>
          </w:tcPr>
          <w:p w:rsidR="00860A11" w:rsidRPr="008D0759" w:rsidRDefault="00860A11" w:rsidP="004C05DD">
            <w:pPr>
              <w:pStyle w:val="Htableleft"/>
              <w:rPr>
                <w:color w:val="576C88" w:themeColor="text2" w:themeTint="D9"/>
                <w:szCs w:val="18"/>
              </w:rPr>
            </w:pPr>
            <w:r>
              <w:rPr>
                <w:color w:val="576C88" w:themeColor="text2" w:themeTint="D9"/>
              </w:rPr>
              <w:t>Case studies</w:t>
            </w:r>
          </w:p>
        </w:tc>
        <w:tc>
          <w:tcPr>
            <w:tcW w:w="2392" w:type="dxa"/>
            <w:shd w:val="clear" w:color="auto" w:fill="auto"/>
          </w:tcPr>
          <w:p w:rsidR="00860A11" w:rsidRPr="00A353D6" w:rsidRDefault="00860A11" w:rsidP="004C05DD">
            <w:pPr>
              <w:pStyle w:val="Htableleft"/>
              <w:rPr>
                <w:color w:val="576C88" w:themeColor="text2" w:themeTint="D9"/>
                <w:szCs w:val="18"/>
                <w:lang w:val="en-GB"/>
              </w:rPr>
            </w:pPr>
            <w:r w:rsidRPr="00A353D6">
              <w:rPr>
                <w:color w:val="576C88" w:themeColor="text2" w:themeTint="D9"/>
                <w:lang w:val="en-GB"/>
              </w:rPr>
              <w:t>All kinds of relevant  quantitative and qualitative data</w:t>
            </w:r>
          </w:p>
        </w:tc>
        <w:tc>
          <w:tcPr>
            <w:tcW w:w="2264" w:type="dxa"/>
            <w:shd w:val="clear" w:color="auto" w:fill="auto"/>
          </w:tcPr>
          <w:p w:rsidR="00860A11" w:rsidRPr="00A353D6" w:rsidRDefault="00860A11" w:rsidP="004C05DD">
            <w:pPr>
              <w:pStyle w:val="Htableleft"/>
              <w:rPr>
                <w:color w:val="576C88" w:themeColor="text2" w:themeTint="D9"/>
                <w:szCs w:val="18"/>
                <w:lang w:val="en-GB"/>
              </w:rPr>
            </w:pPr>
            <w:r w:rsidRPr="00A353D6">
              <w:rPr>
                <w:color w:val="576C88" w:themeColor="text2" w:themeTint="D9"/>
                <w:lang w:val="en-GB"/>
              </w:rPr>
              <w:t>Desk research, interviews, participatory observation</w:t>
            </w:r>
          </w:p>
        </w:tc>
        <w:tc>
          <w:tcPr>
            <w:tcW w:w="2653" w:type="dxa"/>
            <w:shd w:val="clear" w:color="auto" w:fill="auto"/>
          </w:tcPr>
          <w:p w:rsidR="00860A11" w:rsidRPr="00A353D6" w:rsidRDefault="00860A11" w:rsidP="004C05DD">
            <w:pPr>
              <w:pStyle w:val="Htableleft"/>
              <w:rPr>
                <w:color w:val="576C88" w:themeColor="text2" w:themeTint="D9"/>
                <w:szCs w:val="18"/>
                <w:lang w:val="en-GB"/>
              </w:rPr>
            </w:pPr>
            <w:r w:rsidRPr="00A353D6">
              <w:rPr>
                <w:color w:val="576C88" w:themeColor="text2" w:themeTint="D9"/>
                <w:lang w:val="en-GB"/>
              </w:rPr>
              <w:t>Collection of data time-consuming; could be commissioned to a study team prior to evaluation.</w:t>
            </w:r>
          </w:p>
        </w:tc>
      </w:tr>
    </w:tbl>
    <w:p w:rsidR="00860A11" w:rsidRPr="00A353D6" w:rsidRDefault="00860A11" w:rsidP="007046A4">
      <w:pPr>
        <w:pStyle w:val="HStandard"/>
        <w:rPr>
          <w:b/>
          <w:color w:val="ED7D31" w:themeColor="accent2"/>
          <w:lang w:val="en-GB"/>
        </w:rPr>
      </w:pPr>
      <w:r w:rsidRPr="00A353D6">
        <w:rPr>
          <w:b/>
          <w:color w:val="ED7D31" w:themeColor="accent2"/>
          <w:lang w:val="en-GB"/>
        </w:rPr>
        <w:t>Step 2 - Review existing data and sources</w:t>
      </w:r>
    </w:p>
    <w:p w:rsidR="00860A11" w:rsidRPr="00A353D6" w:rsidRDefault="00860A11" w:rsidP="00C2517E">
      <w:pPr>
        <w:pStyle w:val="HStandard"/>
        <w:rPr>
          <w:lang w:val="en-GB"/>
        </w:rPr>
      </w:pPr>
      <w:r w:rsidRPr="00A353D6">
        <w:rPr>
          <w:lang w:val="en-GB"/>
        </w:rPr>
        <w:t>The evaluator will review the existing data and information and their sources for the evaluation of NRN activities including:</w:t>
      </w:r>
    </w:p>
    <w:p w:rsidR="00860A11" w:rsidRPr="00A353D6" w:rsidRDefault="00860A11" w:rsidP="00C2517E">
      <w:pPr>
        <w:pStyle w:val="Hlistbullet2"/>
        <w:rPr>
          <w:lang w:val="en-GB"/>
        </w:rPr>
      </w:pPr>
      <w:r w:rsidRPr="00A353D6">
        <w:rPr>
          <w:lang w:val="en-GB"/>
        </w:rPr>
        <w:t xml:space="preserve">NRN action plans: for types of activities and their beneficiaries </w:t>
      </w:r>
    </w:p>
    <w:p w:rsidR="00860A11" w:rsidRPr="00A353D6" w:rsidRDefault="00860A11" w:rsidP="00C2517E">
      <w:pPr>
        <w:pStyle w:val="Hlistbullet2"/>
        <w:rPr>
          <w:lang w:val="en-GB"/>
        </w:rPr>
      </w:pPr>
      <w:r w:rsidRPr="00A353D6">
        <w:rPr>
          <w:lang w:val="en-GB"/>
        </w:rPr>
        <w:t>Reports: Periodic progress reports based on monitoring data, information on the implementation of NRN action plans;</w:t>
      </w:r>
    </w:p>
    <w:p w:rsidR="00860A11" w:rsidRPr="008D0759" w:rsidRDefault="00860A11" w:rsidP="00C2517E">
      <w:pPr>
        <w:pStyle w:val="Hlistbullet2"/>
      </w:pPr>
      <w:r>
        <w:t>NRN self-assessment documentation;</w:t>
      </w:r>
    </w:p>
    <w:p w:rsidR="00860A11" w:rsidRPr="00A353D6" w:rsidRDefault="00860A11" w:rsidP="00C2517E">
      <w:pPr>
        <w:pStyle w:val="Hlistbullet2"/>
        <w:rPr>
          <w:lang w:val="en-GB"/>
        </w:rPr>
      </w:pPr>
      <w:r w:rsidRPr="00A353D6">
        <w:rPr>
          <w:lang w:val="en-GB"/>
        </w:rPr>
        <w:t>Thematic studies and evaluations of programmes that may include NRN activities: for instance, the example above on innovation can be subject to a thematic evaluation and the NRN contribution would be one component of such an evaluation;</w:t>
      </w:r>
    </w:p>
    <w:p w:rsidR="00860A11" w:rsidRPr="00A353D6" w:rsidRDefault="00860A11" w:rsidP="00C2517E">
      <w:pPr>
        <w:pStyle w:val="Hlistbullet2"/>
        <w:rPr>
          <w:lang w:val="en-GB"/>
        </w:rPr>
      </w:pPr>
      <w:r w:rsidRPr="00A353D6">
        <w:rPr>
          <w:lang w:val="en-GB"/>
        </w:rPr>
        <w:t>Readers and reports from events (conferences, workshops) organised by the NRN;</w:t>
      </w:r>
    </w:p>
    <w:p w:rsidR="00860A11" w:rsidRPr="00A353D6" w:rsidRDefault="00860A11" w:rsidP="00C2517E">
      <w:pPr>
        <w:pStyle w:val="Hlistbullet2"/>
        <w:rPr>
          <w:lang w:val="en-GB"/>
        </w:rPr>
      </w:pPr>
      <w:r w:rsidRPr="00A353D6">
        <w:rPr>
          <w:lang w:val="en-GB"/>
        </w:rPr>
        <w:t>Publications (journals, newsletters, circular e-mails, press releases, web-based communication);</w:t>
      </w:r>
    </w:p>
    <w:p w:rsidR="00860A11" w:rsidRPr="00A353D6" w:rsidRDefault="00860A11" w:rsidP="00C2517E">
      <w:pPr>
        <w:pStyle w:val="Hlistbullet2"/>
        <w:rPr>
          <w:lang w:val="en-GB"/>
        </w:rPr>
      </w:pPr>
      <w:r w:rsidRPr="00A353D6">
        <w:rPr>
          <w:lang w:val="en-GB"/>
        </w:rPr>
        <w:t>Minutes of network management meetings, written regulations;</w:t>
      </w:r>
    </w:p>
    <w:p w:rsidR="00860A11" w:rsidRPr="00A353D6" w:rsidRDefault="00860A11" w:rsidP="00C2517E">
      <w:pPr>
        <w:pStyle w:val="Hlistbullet2"/>
        <w:rPr>
          <w:lang w:val="en-GB"/>
        </w:rPr>
      </w:pPr>
      <w:r w:rsidRPr="00A353D6">
        <w:rPr>
          <w:lang w:val="en-GB"/>
        </w:rPr>
        <w:t>Use of the website (visits, % new visits, user submissions, user registrations, newsletter opt-ins, support incidents raised, projects added, new consultations, social media activity, content, countries)</w:t>
      </w:r>
      <w:r w:rsidRPr="00A353D6">
        <w:rPr>
          <w:rFonts w:ascii="ZWAdobeF" w:hAnsi="ZWAdobeF"/>
          <w:color w:val="auto"/>
          <w:sz w:val="2"/>
          <w:lang w:val="en-GB"/>
        </w:rPr>
        <w:t>113F</w:t>
      </w:r>
      <w:r>
        <w:rPr>
          <w:rStyle w:val="FootnoteReference"/>
        </w:rPr>
        <w:footnoteReference w:id="114"/>
      </w:r>
      <w:r w:rsidRPr="00A353D6">
        <w:rPr>
          <w:lang w:val="en-GB"/>
        </w:rPr>
        <w:t>;</w:t>
      </w:r>
    </w:p>
    <w:p w:rsidR="00860A11" w:rsidRPr="00A353D6" w:rsidRDefault="00860A11" w:rsidP="00C2517E">
      <w:pPr>
        <w:pStyle w:val="Hlistbullet2"/>
        <w:rPr>
          <w:lang w:val="en-GB"/>
        </w:rPr>
      </w:pPr>
      <w:r w:rsidRPr="00A353D6">
        <w:rPr>
          <w:lang w:val="en-GB"/>
        </w:rPr>
        <w:lastRenderedPageBreak/>
        <w:t>Composition of the steering structure and role descriptions of stakeholders involved; and</w:t>
      </w:r>
    </w:p>
    <w:p w:rsidR="00860A11" w:rsidRPr="00A353D6" w:rsidRDefault="00860A11" w:rsidP="00C2517E">
      <w:pPr>
        <w:pStyle w:val="Hlistbullet2"/>
        <w:rPr>
          <w:lang w:val="en-GB"/>
        </w:rPr>
      </w:pPr>
      <w:r w:rsidRPr="00A353D6">
        <w:rPr>
          <w:lang w:val="en-GB"/>
        </w:rPr>
        <w:t>Budget sheets and financial monitoring data.</w:t>
      </w:r>
    </w:p>
    <w:p w:rsidR="00860A11" w:rsidRPr="00A353D6" w:rsidRDefault="00860A11" w:rsidP="007046A4">
      <w:pPr>
        <w:pStyle w:val="HStandard"/>
        <w:rPr>
          <w:b/>
          <w:color w:val="ED7D31" w:themeColor="accent2"/>
          <w:lang w:val="en-GB"/>
        </w:rPr>
      </w:pPr>
      <w:r w:rsidRPr="00A353D6">
        <w:rPr>
          <w:b/>
          <w:color w:val="ED7D31" w:themeColor="accent2"/>
          <w:lang w:val="en-GB"/>
        </w:rPr>
        <w:t>Step 3 - Decide on additional data to be collected</w:t>
      </w:r>
    </w:p>
    <w:p w:rsidR="00860A11" w:rsidRPr="00A353D6" w:rsidRDefault="00860A11" w:rsidP="00C2517E">
      <w:pPr>
        <w:pStyle w:val="HStandard"/>
        <w:rPr>
          <w:lang w:val="en-GB"/>
        </w:rPr>
      </w:pPr>
      <w:r w:rsidRPr="00A353D6">
        <w:rPr>
          <w:lang w:val="en-GB"/>
        </w:rPr>
        <w:t xml:space="preserve">The review of the data and information will enable the evaluator to identify data gaps for the NRN related common and programme-specific indicators and applied methods. Based on the gaps identified, the evaluator will propose additional data to be collected. </w:t>
      </w:r>
    </w:p>
    <w:p w:rsidR="00860A11" w:rsidRPr="008D0759" w:rsidRDefault="00860A11" w:rsidP="00C2517E">
      <w:pPr>
        <w:pStyle w:val="HStandard"/>
      </w:pPr>
      <w:r w:rsidRPr="00A353D6">
        <w:rPr>
          <w:lang w:val="en-GB"/>
        </w:rPr>
        <w:t xml:space="preserve">The collection of additional data implies additional costs. The cost-effectiveness ratio of additional data collection may be a matter of concern; however, the added value of this data on the quality of the evaluation should also be considered. Ideally, there should not be any trade-off between cost and evaluation quality. If possible, priority should be given to methods and information/data that can generate robust evaluation results. </w:t>
      </w:r>
      <w:r>
        <w:t xml:space="preserve">For example: </w:t>
      </w:r>
    </w:p>
    <w:p w:rsidR="00860A11" w:rsidRPr="00A353D6" w:rsidRDefault="00860A11" w:rsidP="00C2517E">
      <w:pPr>
        <w:pStyle w:val="Hlistbullet2"/>
        <w:rPr>
          <w:lang w:val="en-GB"/>
        </w:rPr>
      </w:pPr>
      <w:r w:rsidRPr="00A353D6">
        <w:rPr>
          <w:lang w:val="en-GB"/>
        </w:rPr>
        <w:t>Survey data based on personal interviews (either in the context of a standardised survey or as written notes or transcripts) including scorings (quantified qualitative information);</w:t>
      </w:r>
    </w:p>
    <w:p w:rsidR="00860A11" w:rsidRPr="008D0759" w:rsidRDefault="00860A11" w:rsidP="00C2517E">
      <w:pPr>
        <w:pStyle w:val="Hlistbullet2"/>
      </w:pPr>
      <w:r>
        <w:t>Focus group records;</w:t>
      </w:r>
    </w:p>
    <w:p w:rsidR="00860A11" w:rsidRPr="00A353D6" w:rsidRDefault="00860A11" w:rsidP="00C2517E">
      <w:pPr>
        <w:pStyle w:val="Hlistbullet2"/>
        <w:rPr>
          <w:lang w:val="en-GB"/>
        </w:rPr>
      </w:pPr>
      <w:r w:rsidRPr="00A353D6">
        <w:rPr>
          <w:lang w:val="en-GB"/>
        </w:rPr>
        <w:t>RDP project monitoring data (in case the effect of the NRN interventions on projects shall be assessed);</w:t>
      </w:r>
    </w:p>
    <w:p w:rsidR="00860A11" w:rsidRPr="00A353D6" w:rsidRDefault="00860A11" w:rsidP="00C2517E">
      <w:pPr>
        <w:pStyle w:val="Hlistbullet2"/>
        <w:rPr>
          <w:lang w:val="en-GB"/>
        </w:rPr>
      </w:pPr>
      <w:r w:rsidRPr="00A353D6">
        <w:rPr>
          <w:lang w:val="en-GB"/>
        </w:rPr>
        <w:t>Social network diagrams, visualising the processed answers to socio-metric questionnaires (frequency and intensity of interactions, key roles in the network, etc.);</w:t>
      </w:r>
    </w:p>
    <w:p w:rsidR="00860A11" w:rsidRPr="00A353D6" w:rsidRDefault="00860A11" w:rsidP="00C2517E">
      <w:pPr>
        <w:pStyle w:val="Hlistbullet2"/>
        <w:rPr>
          <w:lang w:val="en-GB"/>
        </w:rPr>
      </w:pPr>
      <w:r w:rsidRPr="00A353D6">
        <w:rPr>
          <w:lang w:val="en-GB"/>
        </w:rPr>
        <w:t>Heuristic narratives (network or organisation diagnosis, picture and text analysis, stories of critical incidents, etc.);</w:t>
      </w:r>
    </w:p>
    <w:p w:rsidR="00860A11" w:rsidRPr="008D0759" w:rsidRDefault="00860A11" w:rsidP="00C2517E">
      <w:pPr>
        <w:pStyle w:val="Hlistbullet2"/>
      </w:pPr>
      <w:r>
        <w:t>Pictures and videos;</w:t>
      </w:r>
    </w:p>
    <w:p w:rsidR="00860A11" w:rsidRPr="008D0759" w:rsidRDefault="00860A11" w:rsidP="00C2517E">
      <w:pPr>
        <w:pStyle w:val="Hlistbullet2"/>
      </w:pPr>
      <w:r>
        <w:t>Case studies.</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860A11" w:rsidRPr="002809CE" w:rsidTr="00C2517E">
        <w:tc>
          <w:tcPr>
            <w:tcW w:w="9016" w:type="dxa"/>
            <w:shd w:val="clear" w:color="auto" w:fill="F5F4F4" w:themeFill="background2" w:themeFillTint="66"/>
          </w:tcPr>
          <w:p w:rsidR="00860A11" w:rsidRPr="000A700F" w:rsidRDefault="00860A11" w:rsidP="00C2517E">
            <w:pPr>
              <w:pStyle w:val="HStandard"/>
              <w:rPr>
                <w:highlight w:val="yellow"/>
              </w:rPr>
            </w:pPr>
            <w:r>
              <w:rPr>
                <w:highlight w:val="yellow"/>
              </w:rPr>
              <w:t>Questions directrices pour la mise en place du système de collecte de données:</w:t>
            </w:r>
          </w:p>
          <w:p w:rsidR="00860A11" w:rsidRPr="000A700F" w:rsidRDefault="00860A11" w:rsidP="00860A11">
            <w:pPr>
              <w:pStyle w:val="Hlistbullet2"/>
              <w:rPr>
                <w:highlight w:val="yellow"/>
              </w:rPr>
            </w:pPr>
            <w:r>
              <w:rPr>
                <w:highlight w:val="yellow"/>
              </w:rPr>
              <w:t>De quel type de données et d'informations a-t-on besoin pour la méthode choisie?</w:t>
            </w:r>
          </w:p>
          <w:p w:rsidR="00860A11" w:rsidRPr="000A700F" w:rsidRDefault="00860A11" w:rsidP="00860A11">
            <w:pPr>
              <w:pStyle w:val="Hlistbullet2"/>
              <w:rPr>
                <w:highlight w:val="yellow"/>
              </w:rPr>
            </w:pPr>
            <w:r>
              <w:rPr>
                <w:highlight w:val="yellow"/>
              </w:rPr>
              <w:t>Dans quelle mesure les données fournies par la NSU et la MA sont-elles fiables et complètes?</w:t>
            </w:r>
          </w:p>
          <w:p w:rsidR="00860A11" w:rsidRPr="000A700F" w:rsidRDefault="00860A11" w:rsidP="00860A11">
            <w:pPr>
              <w:pStyle w:val="Hlistbullet2"/>
              <w:rPr>
                <w:highlight w:val="yellow"/>
              </w:rPr>
            </w:pPr>
            <w:r>
              <w:rPr>
                <w:highlight w:val="yellow"/>
              </w:rPr>
              <w:t>Si ces données ne sont pas totalement disponibles ou suffisamment fiables, quelles sont nos alternatives pour recueillir des données supplémentaires ou pour modifier la méthodologie?</w:t>
            </w:r>
          </w:p>
          <w:p w:rsidR="00860A11" w:rsidRPr="000A700F" w:rsidRDefault="00860A11" w:rsidP="00860A11">
            <w:pPr>
              <w:pStyle w:val="Hlistbullet2"/>
              <w:rPr>
                <w:highlight w:val="yellow"/>
              </w:rPr>
            </w:pPr>
            <w:r>
              <w:rPr>
                <w:highlight w:val="yellow"/>
              </w:rPr>
              <w:t>Existe-t-il un moyen rentable de recueillir les données et les informations nécessaires?</w:t>
            </w:r>
          </w:p>
          <w:p w:rsidR="00860A11" w:rsidRPr="000A700F" w:rsidRDefault="00860A11" w:rsidP="00860A11">
            <w:pPr>
              <w:pStyle w:val="Hlistbullet2"/>
              <w:rPr>
                <w:highlight w:val="yellow"/>
              </w:rPr>
            </w:pPr>
            <w:r>
              <w:rPr>
                <w:highlight w:val="yellow"/>
              </w:rPr>
              <w:t>Quels sont les sujets pouvant être étudiés par une analyse contre-factuelle et où faut-il chercher des moyens approximatifs pour en estimer les effets nets ?</w:t>
            </w:r>
          </w:p>
        </w:tc>
      </w:tr>
    </w:tbl>
    <w:p w:rsidR="00860A11" w:rsidRPr="000A700F" w:rsidRDefault="00860A11" w:rsidP="00320BBA">
      <w:pPr>
        <w:pStyle w:val="HHeading5"/>
        <w:rPr>
          <w:highlight w:val="yellow"/>
        </w:rPr>
      </w:pPr>
      <w:r>
        <w:rPr>
          <w:highlight w:val="yellow"/>
        </w:rPr>
        <w:t>À faire et ne pas faire</w:t>
      </w:r>
    </w:p>
    <w:tbl>
      <w:tblPr>
        <w:tblStyle w:val="LightList-Accent5"/>
        <w:tblW w:w="0" w:type="auto"/>
        <w:tblLook w:val="04A0" w:firstRow="1" w:lastRow="0" w:firstColumn="1" w:lastColumn="0" w:noHBand="0" w:noVBand="1"/>
      </w:tblPr>
      <w:tblGrid>
        <w:gridCol w:w="4505"/>
        <w:gridCol w:w="4501"/>
      </w:tblGrid>
      <w:tr w:rsidR="00860A11" w:rsidRPr="000A700F"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860A11" w:rsidRPr="000A700F" w:rsidRDefault="00860A11" w:rsidP="000A3387">
            <w:pPr>
              <w:pStyle w:val="HHeading5"/>
              <w:jc w:val="center"/>
              <w:rPr>
                <w:highlight w:val="yellow"/>
              </w:rPr>
            </w:pPr>
            <w:r>
              <w:rPr>
                <w:noProof/>
                <w:highlight w:val="yellow"/>
                <w:lang w:val="en-GB" w:eastAsia="en-GB" w:bidi="ar-SA"/>
              </w:rPr>
              <w:drawing>
                <wp:inline distT="0" distB="0" distL="0" distR="0" wp14:anchorId="6EC6CCFF" wp14:editId="5BB349D9">
                  <wp:extent cx="360000" cy="360000"/>
                  <wp:effectExtent l="0" t="0" r="2540"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860A11" w:rsidRPr="000A700F" w:rsidRDefault="00860A11" w:rsidP="000A3387">
            <w:pPr>
              <w:pStyle w:val="HHeading5"/>
              <w:jc w:val="center"/>
              <w:cnfStyle w:val="100000000000" w:firstRow="1" w:lastRow="0" w:firstColumn="0" w:lastColumn="0" w:oddVBand="0" w:evenVBand="0" w:oddHBand="0" w:evenHBand="0" w:firstRowFirstColumn="0" w:firstRowLastColumn="0" w:lastRowFirstColumn="0" w:lastRowLastColumn="0"/>
              <w:rPr>
                <w:highlight w:val="yellow"/>
              </w:rPr>
            </w:pPr>
            <w:r>
              <w:rPr>
                <w:noProof/>
                <w:highlight w:val="yellow"/>
                <w:lang w:val="en-GB" w:eastAsia="en-GB" w:bidi="ar-SA"/>
              </w:rPr>
              <w:drawing>
                <wp:inline distT="0" distB="0" distL="0" distR="0" wp14:anchorId="0824E360" wp14:editId="0A338FAD">
                  <wp:extent cx="360000" cy="360000"/>
                  <wp:effectExtent l="0" t="0" r="2540" b="25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860A11" w:rsidRPr="008D0759"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860A11" w:rsidRPr="000A700F" w:rsidRDefault="00860A11"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Adopter une approche mixte, utiliser différents types de données et d’informations (qualitatives et quantitatives).</w:t>
            </w:r>
          </w:p>
          <w:p w:rsidR="00860A11" w:rsidRPr="000A700F" w:rsidRDefault="00860A11" w:rsidP="003F3078">
            <w:pPr>
              <w:pStyle w:val="HStandard"/>
              <w:rPr>
                <w:color w:val="FFC000" w:themeColor="accent4"/>
                <w:highlight w:val="yellow"/>
              </w:rPr>
            </w:pPr>
            <w:r>
              <w:rPr>
                <w:b w:val="0"/>
                <w:color w:val="FFC000" w:themeColor="accent4"/>
                <w:sz w:val="18"/>
                <w:highlight w:val="yellow"/>
              </w:rPr>
              <w:t xml:space="preserve">Faire la distinction entre une collecte des données «ciblée» (pour accumuler des connaissances sur les questions et les indicateurs d'évaluation spécifiques), </w:t>
            </w:r>
            <w:r>
              <w:rPr>
                <w:b w:val="0"/>
                <w:color w:val="FFC000" w:themeColor="accent4"/>
                <w:sz w:val="18"/>
                <w:highlight w:val="yellow"/>
              </w:rPr>
              <w:lastRenderedPageBreak/>
              <w:t>et une sélection de données «diffuses» pour identifier les tendances et changements importants dans le contexte.</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860A11" w:rsidRPr="000A700F" w:rsidRDefault="00860A11" w:rsidP="000A338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lastRenderedPageBreak/>
              <w:t>Redoubler d’efforts pour recueillir les données sans tenir compte de la base de données et les informations existantes.</w:t>
            </w:r>
          </w:p>
          <w:p w:rsidR="00860A11" w:rsidRPr="008D0759" w:rsidRDefault="00860A11" w:rsidP="000A3387">
            <w:pPr>
              <w:pStyle w:val="HStandard"/>
              <w:cnfStyle w:val="000000100000" w:firstRow="0" w:lastRow="0" w:firstColumn="0" w:lastColumn="0" w:oddVBand="0" w:evenVBand="0" w:oddHBand="1" w:evenHBand="0" w:firstRowFirstColumn="0" w:firstRowLastColumn="0" w:lastRowFirstColumn="0" w:lastRowLastColumn="0"/>
            </w:pPr>
            <w:r>
              <w:rPr>
                <w:color w:val="ED7D31" w:themeColor="accent2"/>
                <w:sz w:val="18"/>
                <w:highlight w:val="yellow"/>
              </w:rPr>
              <w:t>Absorber toutes les données et informations, quelle que soit leur pertinence présumée par rapport aux questions et aux indicateurs d'évaluation.</w:t>
            </w:r>
          </w:p>
        </w:tc>
      </w:tr>
    </w:tbl>
    <w:p w:rsidR="00860A11" w:rsidRPr="008D0759" w:rsidRDefault="00860A11" w:rsidP="00320BBA">
      <w:pPr>
        <w:pStyle w:val="HHeading5"/>
      </w:pPr>
      <w:r>
        <w:t>Further reading</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72"/>
      </w:tblGrid>
      <w:tr w:rsidR="00860A11" w:rsidRPr="00E37021" w:rsidTr="004C05DD">
        <w:tc>
          <w:tcPr>
            <w:tcW w:w="9918" w:type="dxa"/>
            <w:shd w:val="clear" w:color="auto" w:fill="FAF9F9" w:themeFill="background2" w:themeFillTint="33"/>
          </w:tcPr>
          <w:p w:rsidR="00860A11" w:rsidRPr="00A353D6" w:rsidRDefault="00860A11" w:rsidP="00C2517E">
            <w:pPr>
              <w:pStyle w:val="HStandard"/>
              <w:rPr>
                <w:sz w:val="16"/>
                <w:szCs w:val="16"/>
                <w:lang w:val="en-GB"/>
              </w:rPr>
            </w:pPr>
            <w:r w:rsidRPr="00A353D6">
              <w:rPr>
                <w:sz w:val="16"/>
                <w:lang w:val="en-GB"/>
              </w:rPr>
              <w:t>Guidelines: Assessment of RDP results: How to prepare for reporting on evaluation in 2017, Chapter 6.2, Evaluation Helpdesk, April 2016</w:t>
            </w:r>
          </w:p>
          <w:p w:rsidR="00860A11" w:rsidRPr="00A353D6" w:rsidRDefault="00860A11" w:rsidP="00C2517E">
            <w:pPr>
              <w:pStyle w:val="HStandard"/>
              <w:rPr>
                <w:rStyle w:val="Hyperlink"/>
                <w:rFonts w:eastAsiaTheme="majorEastAsia"/>
                <w:color w:val="262626"/>
                <w:sz w:val="16"/>
                <w:szCs w:val="16"/>
                <w:lang w:val="en-GB"/>
              </w:rPr>
            </w:pPr>
            <w:r w:rsidRPr="00A353D6">
              <w:rPr>
                <w:rStyle w:val="Hyperlink"/>
                <w:rFonts w:eastAsiaTheme="majorEastAsia"/>
                <w:color w:val="262626"/>
                <w:sz w:val="16"/>
                <w:lang w:val="en-GB"/>
              </w:rPr>
              <w:t>On the integration of self-assessment and evaluation:</w:t>
            </w:r>
          </w:p>
          <w:p w:rsidR="00860A11" w:rsidRPr="008D0759" w:rsidRDefault="00860A11" w:rsidP="00C2517E">
            <w:pPr>
              <w:pStyle w:val="HStandard"/>
              <w:rPr>
                <w:rStyle w:val="Hyperlink"/>
                <w:rFonts w:eastAsiaTheme="majorEastAsia"/>
                <w:color w:val="262626"/>
                <w:sz w:val="16"/>
                <w:szCs w:val="16"/>
              </w:rPr>
            </w:pPr>
            <w:r w:rsidRPr="00A353D6">
              <w:rPr>
                <w:rStyle w:val="Hyperlink"/>
                <w:rFonts w:eastAsiaTheme="majorEastAsia"/>
                <w:color w:val="262626"/>
                <w:sz w:val="16"/>
                <w:lang w:val="en-GB"/>
              </w:rPr>
              <w:t>ENRD 2014: NRN Guidebook, 4</w:t>
            </w:r>
            <w:r w:rsidRPr="00A353D6">
              <w:rPr>
                <w:rStyle w:val="Hyperlink"/>
                <w:rFonts w:eastAsiaTheme="majorEastAsia"/>
                <w:color w:val="262626"/>
                <w:sz w:val="16"/>
                <w:vertAlign w:val="superscript"/>
                <w:lang w:val="en-GB"/>
              </w:rPr>
              <w:t xml:space="preserve">th </w:t>
            </w:r>
            <w:r w:rsidRPr="00A353D6">
              <w:rPr>
                <w:rStyle w:val="Hyperlink"/>
                <w:rFonts w:eastAsiaTheme="majorEastAsia"/>
                <w:color w:val="262626"/>
                <w:sz w:val="16"/>
                <w:lang w:val="en-GB"/>
              </w:rPr>
              <w:t xml:space="preserve">chapter on NRN Self-assessment and Evaluation. </w:t>
            </w:r>
            <w:hyperlink r:id="rId48">
              <w:r>
                <w:rPr>
                  <w:rStyle w:val="Hyperlink"/>
                  <w:rFonts w:eastAsiaTheme="majorEastAsia"/>
                  <w:sz w:val="16"/>
                </w:rPr>
                <w:t>http://enrd.ec.europa.eu/enrd-static/app_templates/enrd_assets/pdf/guidebook/nrn_handbook_webversion.pdf</w:t>
              </w:r>
            </w:hyperlink>
            <w:r>
              <w:rPr>
                <w:rStyle w:val="Hyperlink"/>
                <w:rFonts w:eastAsiaTheme="majorEastAsia"/>
                <w:color w:val="262626"/>
                <w:sz w:val="16"/>
              </w:rPr>
              <w:t xml:space="preserve"> </w:t>
            </w:r>
          </w:p>
          <w:p w:rsidR="00860A11" w:rsidRPr="00A353D6" w:rsidRDefault="00860A11" w:rsidP="00C2517E">
            <w:pPr>
              <w:pStyle w:val="HStandard"/>
              <w:rPr>
                <w:sz w:val="16"/>
                <w:szCs w:val="16"/>
                <w:lang w:val="en-GB"/>
              </w:rPr>
            </w:pPr>
            <w:r w:rsidRPr="00A353D6">
              <w:rPr>
                <w:sz w:val="16"/>
                <w:lang w:val="en-GB"/>
              </w:rPr>
              <w:t>See also the ENRD website on NRN self-assessment tools:</w:t>
            </w:r>
          </w:p>
          <w:p w:rsidR="00860A11" w:rsidRPr="00A353D6" w:rsidRDefault="00860A11" w:rsidP="00C2517E">
            <w:pPr>
              <w:pStyle w:val="HStandard"/>
              <w:rPr>
                <w:sz w:val="16"/>
                <w:szCs w:val="16"/>
                <w:lang w:val="en-GB"/>
              </w:rPr>
            </w:pPr>
            <w:hyperlink r:id="rId49">
              <w:r w:rsidRPr="00A353D6">
                <w:rPr>
                  <w:rStyle w:val="Hyperlink"/>
                  <w:sz w:val="16"/>
                  <w:lang w:val="en-GB"/>
                </w:rPr>
                <w:t>http://enrd.ec.europa.eu/enrd-static/networks-and-networking/nrn-self-assessment-tool-kit/practical-tools-for-nrn-self-assessment/en/practical-tools-for-nrn-self-assessment_en.html</w:t>
              </w:r>
            </w:hyperlink>
            <w:r w:rsidRPr="00A353D6">
              <w:rPr>
                <w:sz w:val="16"/>
                <w:lang w:val="en-GB"/>
              </w:rPr>
              <w:t xml:space="preserve"> </w:t>
            </w:r>
          </w:p>
        </w:tc>
      </w:tr>
    </w:tbl>
    <w:p w:rsidR="00860A11" w:rsidRPr="000A700F" w:rsidRDefault="00860A11" w:rsidP="00320535">
      <w:pPr>
        <w:pStyle w:val="HHeading2"/>
        <w:rPr>
          <w:highlight w:val="yellow"/>
        </w:rPr>
      </w:pPr>
      <w:bookmarkStart w:id="232" w:name="_Toc434744520"/>
      <w:bookmarkStart w:id="233" w:name="_Toc436140062"/>
      <w:bookmarkStart w:id="234" w:name="_Toc443491685"/>
      <w:bookmarkStart w:id="235" w:name="_Toc453079769"/>
      <w:r>
        <w:rPr>
          <w:highlight w:val="yellow"/>
        </w:rPr>
        <w:t>OBSERVATION: Réunir des preuves pour l'évaluation du RRN</w:t>
      </w:r>
      <w:bookmarkEnd w:id="232"/>
      <w:bookmarkEnd w:id="233"/>
      <w:bookmarkEnd w:id="234"/>
      <w:bookmarkEnd w:id="235"/>
    </w:p>
    <w:p w:rsidR="00860A11" w:rsidRPr="00A353D6" w:rsidRDefault="00860A11" w:rsidP="00C2517E">
      <w:pPr>
        <w:pStyle w:val="HStandard"/>
        <w:rPr>
          <w:lang w:val="en-GB"/>
        </w:rPr>
      </w:pPr>
      <w:r w:rsidRPr="00A353D6">
        <w:rPr>
          <w:lang w:val="en-GB"/>
        </w:rPr>
        <w:t>In the observing phase the evaluators collect and aggregate all the necessary data and information identified in the previous structuring phase.</w:t>
      </w:r>
    </w:p>
    <w:p w:rsidR="00860A11" w:rsidRPr="00A353D6" w:rsidRDefault="00860A11" w:rsidP="00C2517E">
      <w:pPr>
        <w:pStyle w:val="HStandard"/>
        <w:rPr>
          <w:lang w:val="en-GB"/>
        </w:rPr>
      </w:pPr>
      <w:r w:rsidRPr="00A353D6">
        <w:rPr>
          <w:lang w:val="en-GB"/>
        </w:rPr>
        <w:t>During the observing phase the evaluators should go through the following steps (</w:t>
      </w:r>
      <w:r>
        <w:fldChar w:fldCharType="begin" w:fldLock="1"/>
      </w:r>
      <w:r w:rsidRPr="00A353D6">
        <w:rPr>
          <w:lang w:val="en-GB"/>
        </w:rPr>
        <w:instrText xml:space="preserve"> REF _Ref451784748 \r \h </w:instrText>
      </w:r>
      <w:r>
        <w:fldChar w:fldCharType="separate"/>
      </w:r>
      <w:r w:rsidRPr="00A353D6">
        <w:rPr>
          <w:lang w:val="en-GB"/>
        </w:rPr>
        <w:t>Figure 20</w:t>
      </w:r>
      <w:r>
        <w:fldChar w:fldCharType="end"/>
      </w:r>
      <w:r w:rsidRPr="00A353D6">
        <w:rPr>
          <w:lang w:val="en-GB"/>
        </w:rPr>
        <w:t>):</w:t>
      </w:r>
    </w:p>
    <w:p w:rsidR="00860A11" w:rsidRPr="00A353D6" w:rsidRDefault="00860A11" w:rsidP="00C2517E">
      <w:pPr>
        <w:pStyle w:val="Hlistbullet2"/>
        <w:rPr>
          <w:lang w:val="en-GB"/>
        </w:rPr>
      </w:pPr>
      <w:r w:rsidRPr="00A353D6">
        <w:rPr>
          <w:lang w:val="en-GB"/>
        </w:rPr>
        <w:t>Development and application of tools needed for the collection of quantitative and qualitative data</w:t>
      </w:r>
    </w:p>
    <w:p w:rsidR="00860A11" w:rsidRPr="00A353D6" w:rsidRDefault="00860A11" w:rsidP="00C2517E">
      <w:pPr>
        <w:pStyle w:val="Hlistbullet2"/>
        <w:rPr>
          <w:lang w:val="en-GB"/>
        </w:rPr>
      </w:pPr>
      <w:r w:rsidRPr="00A353D6">
        <w:rPr>
          <w:lang w:val="en-GB"/>
        </w:rPr>
        <w:t>Description of the process of NRN implementation</w:t>
      </w:r>
    </w:p>
    <w:p w:rsidR="00860A11" w:rsidRPr="008D0759" w:rsidRDefault="00860A11" w:rsidP="00C2517E">
      <w:pPr>
        <w:pStyle w:val="Hlistbullet2"/>
      </w:pPr>
      <w:r>
        <w:t>Consistency and completeness check</w:t>
      </w:r>
    </w:p>
    <w:p w:rsidR="00860A11" w:rsidRPr="008D0759" w:rsidRDefault="00860A11" w:rsidP="00C2517E">
      <w:pPr>
        <w:pStyle w:val="HHeadingfigures"/>
      </w:pPr>
      <w:bookmarkStart w:id="236" w:name="_Toc436383169"/>
      <w:bookmarkStart w:id="237" w:name="_Toc436140077"/>
      <w:bookmarkStart w:id="238" w:name="_Toc451781939"/>
      <w:bookmarkStart w:id="239" w:name="_Ref451784748"/>
      <w:r>
        <w:t>The observing phase</w:t>
      </w:r>
      <w:bookmarkEnd w:id="236"/>
      <w:bookmarkEnd w:id="237"/>
      <w:bookmarkEnd w:id="238"/>
      <w:bookmarkEnd w:id="239"/>
    </w:p>
    <w:p w:rsidR="00860A11" w:rsidRPr="008D0759" w:rsidRDefault="00860A11" w:rsidP="00320BBA">
      <w:pPr>
        <w:jc w:val="center"/>
      </w:pPr>
      <w:r>
        <w:rPr>
          <w:noProof/>
          <w:lang w:eastAsia="en-GB"/>
        </w:rPr>
        <w:drawing>
          <wp:inline distT="0" distB="0" distL="0" distR="0" wp14:anchorId="771BA35B" wp14:editId="7A56CD25">
            <wp:extent cx="5731510" cy="2755900"/>
            <wp:effectExtent l="0" t="0" r="254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serving.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31510" cy="2755900"/>
                    </a:xfrm>
                    <a:prstGeom prst="rect">
                      <a:avLst/>
                    </a:prstGeom>
                  </pic:spPr>
                </pic:pic>
              </a:graphicData>
            </a:graphic>
          </wp:inline>
        </w:drawing>
      </w:r>
    </w:p>
    <w:p w:rsidR="00860A11" w:rsidRPr="008D0759" w:rsidRDefault="00860A11" w:rsidP="00320BBA">
      <w:pPr>
        <w:pStyle w:val="HSource"/>
      </w:pPr>
      <w:r>
        <w:t>Source: Helpdesk du Réseau européen d'évaluation du développement rural 2016</w:t>
      </w:r>
    </w:p>
    <w:p w:rsidR="00860A11" w:rsidRPr="000A700F" w:rsidRDefault="00860A11" w:rsidP="00320535">
      <w:pPr>
        <w:pStyle w:val="HHeading3"/>
        <w:rPr>
          <w:highlight w:val="yellow"/>
        </w:rPr>
      </w:pPr>
      <w:bookmarkStart w:id="240" w:name="_Toc433481235"/>
      <w:bookmarkStart w:id="241" w:name="_Toc443491686"/>
      <w:bookmarkStart w:id="242" w:name="_Toc453079770"/>
      <w:bookmarkEnd w:id="240"/>
      <w:r>
        <w:rPr>
          <w:highlight w:val="yellow"/>
        </w:rPr>
        <w:lastRenderedPageBreak/>
        <w:t>Développement et application des outils nécessaires à la collecte des données quantitatives et qualitatives</w:t>
      </w:r>
      <w:bookmarkEnd w:id="241"/>
      <w:bookmarkEnd w:id="242"/>
    </w:p>
    <w:p w:rsidR="00860A11" w:rsidRPr="00A353D6" w:rsidRDefault="00860A11" w:rsidP="00C2517E">
      <w:pPr>
        <w:pStyle w:val="HStandard"/>
        <w:rPr>
          <w:lang w:val="en-GB"/>
        </w:rPr>
      </w:pPr>
      <w:r w:rsidRPr="00A353D6">
        <w:rPr>
          <w:lang w:val="en-GB"/>
        </w:rPr>
        <w:t xml:space="preserve">The monitoring system will provide the basic quantitative data with respect to output indicators for NRNs. For further programme-specific NRN-related output, result and impact indicators, a combination of qualitative information and quantitative data will be collected. Due to the nature of NRN activities, the majority of information will consist of qualitative inputs, such as opinions and perceptions of rural actors and qualitative assessments by the evaluator. </w:t>
      </w:r>
    </w:p>
    <w:p w:rsidR="00860A11" w:rsidRPr="00A353D6" w:rsidRDefault="00860A11" w:rsidP="00C2517E">
      <w:pPr>
        <w:pStyle w:val="HStandard"/>
        <w:rPr>
          <w:lang w:val="en-GB"/>
        </w:rPr>
      </w:pPr>
      <w:r w:rsidRPr="00A353D6">
        <w:rPr>
          <w:lang w:val="en-GB"/>
        </w:rPr>
        <w:t>Let us take the example of fostering innovation in rural areas (one of the objectives of NRNs). The participation of innovation project partners in NRN activities does not necessarily imply a direct cause-effect relationship between participation in the network and the emergence of new products and markets, processes or forms of organization. Therefore, the opinions of rural actors and experts with a broader knowledge of the sectorial and territorial specificities may shed light on the actual contribution of NRN activities to the observed changes in the programme area.</w:t>
      </w:r>
    </w:p>
    <w:p w:rsidR="00860A11" w:rsidRPr="00A353D6" w:rsidRDefault="00860A11" w:rsidP="00C2517E">
      <w:pPr>
        <w:pStyle w:val="HStandard"/>
        <w:rPr>
          <w:lang w:val="en-GB"/>
        </w:rPr>
      </w:pPr>
      <w:r w:rsidRPr="00A353D6">
        <w:rPr>
          <w:lang w:val="en-GB"/>
        </w:rPr>
        <w:t>Notwithstanding the high complexity of phenomena linked to network interventions it will be useful to break it into manageable chunks. In many cases the NRN(P) strategy or action plan foresees thematic divisions, which can in principle be followed in the observing and analysis phases of the evaluation</w:t>
      </w:r>
      <w:r w:rsidRPr="00A353D6">
        <w:rPr>
          <w:rFonts w:ascii="ZWAdobeF" w:hAnsi="ZWAdobeF"/>
          <w:color w:val="auto"/>
          <w:sz w:val="2"/>
          <w:lang w:val="en-GB"/>
        </w:rPr>
        <w:t>114F</w:t>
      </w:r>
      <w:r>
        <w:rPr>
          <w:rStyle w:val="FootnoteReference"/>
        </w:rPr>
        <w:footnoteReference w:id="115"/>
      </w:r>
      <w:r w:rsidRPr="00A353D6">
        <w:rPr>
          <w:lang w:val="en-GB"/>
        </w:rPr>
        <w:t xml:space="preserve">. If the thematic clustering of the NRN(P) action plan is not sufficiently discernible or practicable for the evaluation, the evaluator has to design a proper partition. </w:t>
      </w:r>
    </w:p>
    <w:p w:rsidR="00860A11" w:rsidRPr="00A353D6" w:rsidRDefault="00860A11" w:rsidP="00320BBA">
      <w:pPr>
        <w:pStyle w:val="HStandard"/>
        <w:rPr>
          <w:lang w:val="en-GB"/>
        </w:rPr>
      </w:pPr>
      <w:r w:rsidRPr="00A353D6">
        <w:rPr>
          <w:lang w:val="en-GB"/>
        </w:rPr>
        <w:t xml:space="preserve">The recommended data and information collected for each group of indicators are presented in </w:t>
      </w:r>
      <w:r>
        <w:fldChar w:fldCharType="begin" w:fldLock="1"/>
      </w:r>
      <w:r w:rsidRPr="00A353D6">
        <w:rPr>
          <w:lang w:val="en-GB"/>
        </w:rPr>
        <w:instrText xml:space="preserve"> REF _Ref451785067 \r \h </w:instrText>
      </w:r>
      <w:r>
        <w:fldChar w:fldCharType="separate"/>
      </w:r>
      <w:r w:rsidRPr="00A353D6">
        <w:rPr>
          <w:lang w:val="en-GB"/>
        </w:rPr>
        <w:t>Table 13</w:t>
      </w:r>
      <w:r>
        <w:fldChar w:fldCharType="end"/>
      </w:r>
      <w:r w:rsidRPr="00A353D6">
        <w:rPr>
          <w:lang w:val="en-GB"/>
        </w:rPr>
        <w:t>.</w:t>
      </w:r>
    </w:p>
    <w:p w:rsidR="00860A11" w:rsidRPr="000A700F" w:rsidRDefault="00860A11" w:rsidP="00C2517E">
      <w:pPr>
        <w:pStyle w:val="HHeadingtables"/>
        <w:rPr>
          <w:highlight w:val="yellow"/>
        </w:rPr>
      </w:pPr>
      <w:bookmarkStart w:id="243" w:name="_Toc436140069"/>
      <w:bookmarkStart w:id="244" w:name="_Toc436383155"/>
      <w:bookmarkStart w:id="245" w:name="_Toc451781917"/>
      <w:bookmarkStart w:id="246" w:name="_Ref451785067"/>
      <w:r>
        <w:rPr>
          <w:highlight w:val="yellow"/>
        </w:rPr>
        <w:t xml:space="preserve">Données et informations à recueillir pour l'évaluation du RRN </w:t>
      </w:r>
      <w:bookmarkEnd w:id="243"/>
      <w:bookmarkEnd w:id="244"/>
      <w:r>
        <w:rPr>
          <w:highlight w:val="yellow"/>
        </w:rPr>
        <w:t>, en fonction des méthodes utilisées</w:t>
      </w:r>
      <w:bookmarkEnd w:id="245"/>
      <w:bookmarkEnd w:id="246"/>
    </w:p>
    <w:tbl>
      <w:tblPr>
        <w:tblStyle w:val="Mriekatabuky1"/>
        <w:tblW w:w="9077"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718"/>
        <w:gridCol w:w="7359"/>
      </w:tblGrid>
      <w:tr w:rsidR="00860A11" w:rsidRPr="000A700F" w:rsidTr="004C05DD">
        <w:tc>
          <w:tcPr>
            <w:tcW w:w="1718" w:type="dxa"/>
            <w:shd w:val="clear" w:color="auto" w:fill="E7E6E6" w:themeFill="background2"/>
            <w:vAlign w:val="center"/>
          </w:tcPr>
          <w:p w:rsidR="00860A11" w:rsidRPr="000A700F" w:rsidRDefault="00860A11" w:rsidP="00C2517E">
            <w:pPr>
              <w:pStyle w:val="Htableleftbolt"/>
              <w:jc w:val="center"/>
              <w:rPr>
                <w:color w:val="5B9BD5" w:themeColor="accent1"/>
                <w:highlight w:val="yellow"/>
              </w:rPr>
            </w:pPr>
            <w:r>
              <w:rPr>
                <w:color w:val="5B9BD5" w:themeColor="accent1"/>
                <w:highlight w:val="yellow"/>
              </w:rPr>
              <w:t>Groupes d'indicateurs</w:t>
            </w:r>
          </w:p>
        </w:tc>
        <w:tc>
          <w:tcPr>
            <w:tcW w:w="7359" w:type="dxa"/>
            <w:shd w:val="clear" w:color="auto" w:fill="E7E6E6" w:themeFill="background2"/>
          </w:tcPr>
          <w:p w:rsidR="00860A11" w:rsidRPr="000A700F" w:rsidRDefault="00860A11" w:rsidP="00C2517E">
            <w:pPr>
              <w:pStyle w:val="Htableleftbolt"/>
              <w:jc w:val="center"/>
              <w:rPr>
                <w:color w:val="5B9BD5" w:themeColor="accent1"/>
                <w:highlight w:val="yellow"/>
              </w:rPr>
            </w:pPr>
            <w:r>
              <w:rPr>
                <w:color w:val="5B9BD5" w:themeColor="accent1"/>
                <w:highlight w:val="yellow"/>
              </w:rPr>
              <w:t xml:space="preserve">Outils existants et recommandés pour la collecte de données et d’informations </w:t>
            </w:r>
          </w:p>
        </w:tc>
      </w:tr>
      <w:tr w:rsidR="00860A11" w:rsidRPr="000A700F" w:rsidTr="004C05DD">
        <w:tc>
          <w:tcPr>
            <w:tcW w:w="1718" w:type="dxa"/>
            <w:shd w:val="clear" w:color="auto" w:fill="auto"/>
            <w:vAlign w:val="center"/>
          </w:tcPr>
          <w:p w:rsidR="00860A11" w:rsidRPr="000A700F" w:rsidRDefault="00860A11" w:rsidP="004C05DD">
            <w:pPr>
              <w:pStyle w:val="Htableleft"/>
              <w:rPr>
                <w:color w:val="576C88" w:themeColor="text2" w:themeTint="D9"/>
                <w:highlight w:val="yellow"/>
              </w:rPr>
            </w:pPr>
            <w:r>
              <w:rPr>
                <w:color w:val="576C88" w:themeColor="text2" w:themeTint="D9"/>
                <w:highlight w:val="yellow"/>
              </w:rPr>
              <w:t>Indicateurs d'intrants</w:t>
            </w:r>
          </w:p>
        </w:tc>
        <w:tc>
          <w:tcPr>
            <w:tcW w:w="7359" w:type="dxa"/>
            <w:shd w:val="clear" w:color="auto" w:fill="auto"/>
          </w:tcPr>
          <w:p w:rsidR="00860A11" w:rsidRPr="000A700F" w:rsidRDefault="00860A11" w:rsidP="004C05DD">
            <w:pPr>
              <w:pStyle w:val="Htableleft"/>
              <w:spacing w:before="0" w:after="0" w:line="240" w:lineRule="atLeast"/>
              <w:rPr>
                <w:color w:val="576C88" w:themeColor="text2" w:themeTint="D9"/>
                <w:highlight w:val="yellow"/>
              </w:rPr>
            </w:pPr>
            <w:r>
              <w:rPr>
                <w:color w:val="576C88" w:themeColor="text2" w:themeTint="D9"/>
                <w:highlight w:val="yellow"/>
              </w:rPr>
              <w:t xml:space="preserve">Disponible : Les indicateurs d'intrants sont liés au financement du PDR/PSRRN pour les activités du RRN. </w:t>
            </w:r>
          </w:p>
          <w:p w:rsidR="00860A11" w:rsidRPr="000A700F" w:rsidRDefault="00860A11" w:rsidP="00947DF6">
            <w:pPr>
              <w:pStyle w:val="Htableleft"/>
              <w:spacing w:before="0" w:after="0" w:line="240" w:lineRule="atLeast"/>
              <w:rPr>
                <w:color w:val="576C88" w:themeColor="text2" w:themeTint="D9"/>
                <w:highlight w:val="yellow"/>
              </w:rPr>
            </w:pPr>
            <w:r>
              <w:rPr>
                <w:color w:val="576C88" w:themeColor="text2" w:themeTint="D9"/>
                <w:highlight w:val="yellow"/>
              </w:rPr>
              <w:t>Les données sont recueillies à partir des systèmes de suivi financier existants.</w:t>
            </w:r>
          </w:p>
        </w:tc>
      </w:tr>
      <w:tr w:rsidR="00860A11" w:rsidRPr="000A700F" w:rsidTr="004C05DD">
        <w:tc>
          <w:tcPr>
            <w:tcW w:w="1718" w:type="dxa"/>
            <w:shd w:val="clear" w:color="auto" w:fill="auto"/>
            <w:vAlign w:val="center"/>
          </w:tcPr>
          <w:p w:rsidR="00860A11" w:rsidRPr="000A700F" w:rsidRDefault="00860A11" w:rsidP="004C05DD">
            <w:pPr>
              <w:pStyle w:val="Htableleft"/>
              <w:rPr>
                <w:color w:val="576C88" w:themeColor="text2" w:themeTint="D9"/>
                <w:highlight w:val="yellow"/>
              </w:rPr>
            </w:pPr>
            <w:r>
              <w:rPr>
                <w:color w:val="576C88" w:themeColor="text2" w:themeTint="D9"/>
                <w:highlight w:val="yellow"/>
              </w:rPr>
              <w:t xml:space="preserve">Les indicateurs de réalisations </w:t>
            </w:r>
          </w:p>
        </w:tc>
        <w:tc>
          <w:tcPr>
            <w:tcW w:w="7359" w:type="dxa"/>
            <w:shd w:val="clear" w:color="auto" w:fill="auto"/>
          </w:tcPr>
          <w:p w:rsidR="00860A11" w:rsidRPr="000A700F" w:rsidRDefault="00860A11" w:rsidP="004C05DD">
            <w:pPr>
              <w:pStyle w:val="Htableleft"/>
              <w:spacing w:before="0" w:after="0" w:line="240" w:lineRule="atLeast"/>
              <w:rPr>
                <w:color w:val="576C88" w:themeColor="text2" w:themeTint="D9"/>
                <w:highlight w:val="yellow"/>
              </w:rPr>
            </w:pPr>
            <w:r>
              <w:rPr>
                <w:color w:val="576C88" w:themeColor="text2" w:themeTint="D9"/>
                <w:highlight w:val="yellow"/>
              </w:rPr>
              <w:t>Disponible: Les données de trois indicateurs communs de réalisations à partir du système de suivi (bases de données d'exploitation).</w:t>
            </w:r>
          </w:p>
          <w:p w:rsidR="00860A11" w:rsidRPr="000A700F" w:rsidRDefault="00860A11" w:rsidP="004C05DD">
            <w:pPr>
              <w:pStyle w:val="Htableleft"/>
              <w:spacing w:before="0" w:after="0" w:line="240" w:lineRule="atLeast"/>
              <w:rPr>
                <w:color w:val="576C88" w:themeColor="text2" w:themeTint="D9"/>
                <w:highlight w:val="yellow"/>
              </w:rPr>
            </w:pPr>
            <w:r>
              <w:rPr>
                <w:color w:val="576C88" w:themeColor="text2" w:themeTint="D9"/>
                <w:highlight w:val="yellow"/>
              </w:rPr>
              <w:t>Conseillé:</w:t>
            </w:r>
          </w:p>
          <w:p w:rsidR="00860A11" w:rsidRPr="000A700F" w:rsidRDefault="00860A11" w:rsidP="004C05DD">
            <w:pPr>
              <w:pStyle w:val="Htablebullet"/>
              <w:spacing w:before="0" w:after="0" w:line="240" w:lineRule="atLeast"/>
              <w:rPr>
                <w:color w:val="576C88" w:themeColor="text2" w:themeTint="D9"/>
                <w:highlight w:val="yellow"/>
              </w:rPr>
            </w:pPr>
            <w:r>
              <w:rPr>
                <w:color w:val="576C88" w:themeColor="text2" w:themeTint="D9"/>
                <w:highlight w:val="yellow"/>
              </w:rPr>
              <w:t xml:space="preserve">Le suivi des données ventilées, par type (par exemple: par domaine thématique comme l'innovation, la communication, l'environnement, l’exploitation forestière, etc.), </w:t>
            </w:r>
          </w:p>
          <w:p w:rsidR="00860A11" w:rsidRPr="000A700F" w:rsidRDefault="00860A11" w:rsidP="004C05DD">
            <w:pPr>
              <w:pStyle w:val="Htablebullet"/>
              <w:spacing w:before="0" w:after="0" w:line="240" w:lineRule="atLeast"/>
              <w:rPr>
                <w:color w:val="576C88" w:themeColor="text2" w:themeTint="D9"/>
                <w:highlight w:val="yellow"/>
              </w:rPr>
            </w:pPr>
            <w:r>
              <w:rPr>
                <w:color w:val="576C88" w:themeColor="text2" w:themeTint="D9"/>
                <w:highlight w:val="yellow"/>
              </w:rPr>
              <w:t xml:space="preserve">Les outils de communication, par type (par exemple: les publications, bulletins d'information, événements, matériel promotionnel, etc.), </w:t>
            </w:r>
          </w:p>
          <w:p w:rsidR="00860A11" w:rsidRPr="000A700F" w:rsidRDefault="00860A11" w:rsidP="004C05DD">
            <w:pPr>
              <w:pStyle w:val="Htablebullet"/>
              <w:spacing w:before="0" w:after="0" w:line="240" w:lineRule="atLeast"/>
              <w:rPr>
                <w:color w:val="576C88" w:themeColor="text2" w:themeTint="D9"/>
                <w:highlight w:val="yellow"/>
              </w:rPr>
            </w:pPr>
            <w:r>
              <w:rPr>
                <w:color w:val="576C88" w:themeColor="text2" w:themeTint="D9"/>
                <w:highlight w:val="yellow"/>
              </w:rPr>
              <w:t>Les activités du REDR auxquelles le RRN a participé, classées par type (événements, ateliers, conférences, etc.),</w:t>
            </w:r>
          </w:p>
          <w:p w:rsidR="00860A11" w:rsidRPr="000A700F" w:rsidRDefault="00860A11" w:rsidP="004C05DD">
            <w:pPr>
              <w:pStyle w:val="Htablebullet"/>
              <w:spacing w:before="0" w:after="0" w:line="240" w:lineRule="atLeast"/>
              <w:rPr>
                <w:color w:val="576C88" w:themeColor="text2" w:themeTint="D9"/>
                <w:highlight w:val="yellow"/>
              </w:rPr>
            </w:pPr>
            <w:r>
              <w:rPr>
                <w:color w:val="576C88" w:themeColor="text2" w:themeTint="D9"/>
                <w:highlight w:val="yellow"/>
              </w:rPr>
              <w:t>Les données et informations recueillies dans le cadre d'autres études d'accompagnement (monographies, études de cas, collaboration avec des universités / des écoles).</w:t>
            </w:r>
          </w:p>
        </w:tc>
      </w:tr>
      <w:tr w:rsidR="00860A11" w:rsidRPr="000A700F" w:rsidTr="004C05DD">
        <w:tc>
          <w:tcPr>
            <w:tcW w:w="1718" w:type="dxa"/>
            <w:shd w:val="clear" w:color="auto" w:fill="auto"/>
            <w:vAlign w:val="center"/>
          </w:tcPr>
          <w:p w:rsidR="00860A11" w:rsidRPr="000A700F" w:rsidRDefault="00860A11" w:rsidP="004C05DD">
            <w:pPr>
              <w:pStyle w:val="Htableleft"/>
              <w:rPr>
                <w:color w:val="576C88" w:themeColor="text2" w:themeTint="D9"/>
                <w:highlight w:val="yellow"/>
              </w:rPr>
            </w:pPr>
            <w:r>
              <w:rPr>
                <w:color w:val="576C88" w:themeColor="text2" w:themeTint="D9"/>
                <w:highlight w:val="yellow"/>
              </w:rPr>
              <w:t xml:space="preserve">Indicateurs de résultat </w:t>
            </w:r>
          </w:p>
        </w:tc>
        <w:tc>
          <w:tcPr>
            <w:tcW w:w="7359" w:type="dxa"/>
            <w:shd w:val="clear" w:color="auto" w:fill="auto"/>
          </w:tcPr>
          <w:p w:rsidR="00860A11" w:rsidRPr="000A700F" w:rsidRDefault="00860A11" w:rsidP="004C05DD">
            <w:pPr>
              <w:pStyle w:val="Htableleft"/>
              <w:spacing w:before="0" w:after="0" w:line="240" w:lineRule="atLeast"/>
              <w:rPr>
                <w:color w:val="576C88" w:themeColor="text2" w:themeTint="D9"/>
                <w:highlight w:val="yellow"/>
              </w:rPr>
            </w:pPr>
            <w:r>
              <w:rPr>
                <w:color w:val="576C88" w:themeColor="text2" w:themeTint="D9"/>
                <w:highlight w:val="yellow"/>
              </w:rPr>
              <w:t xml:space="preserve">Éventuellement disponible pour d'autres indicateurs de résultats (élaborés pour répondre à la question d'évaluation commune) et  des indicateurs de résultats spécifiques au programme de RRN pour mesurer les résultats du RRN liés aux changements de comportement des acteurs du RRN:  </w:t>
            </w:r>
          </w:p>
          <w:p w:rsidR="00860A11" w:rsidRPr="000A700F" w:rsidRDefault="00860A11" w:rsidP="004C05DD">
            <w:pPr>
              <w:pStyle w:val="Htablebullet"/>
              <w:spacing w:before="0" w:after="0" w:line="240" w:lineRule="atLeast"/>
              <w:rPr>
                <w:color w:val="576C88" w:themeColor="text2" w:themeTint="D9"/>
                <w:highlight w:val="yellow"/>
              </w:rPr>
            </w:pPr>
            <w:r>
              <w:rPr>
                <w:color w:val="576C88" w:themeColor="text2" w:themeTint="D9"/>
                <w:highlight w:val="yellow"/>
              </w:rPr>
              <w:lastRenderedPageBreak/>
              <w:t>des données quantitatives; par exemple des projets et des partenariats pour les chaînes alimentaires locales établies sur la base des recommandations de travail thématique du RRN.</w:t>
            </w:r>
          </w:p>
          <w:p w:rsidR="00860A11" w:rsidRPr="000A700F" w:rsidRDefault="00860A11" w:rsidP="004C05DD">
            <w:pPr>
              <w:pStyle w:val="Htablebullet"/>
              <w:spacing w:line="240" w:lineRule="atLeast"/>
              <w:rPr>
                <w:color w:val="576C88" w:themeColor="text2" w:themeTint="D9"/>
                <w:highlight w:val="yellow"/>
              </w:rPr>
            </w:pPr>
            <w:r>
              <w:rPr>
                <w:color w:val="576C88" w:themeColor="text2" w:themeTint="D9"/>
                <w:highlight w:val="yellow"/>
              </w:rPr>
              <w:t>des informations qualitatives; par exemple la prise de conscience des questions politiques clés soulevées.</w:t>
            </w:r>
          </w:p>
          <w:p w:rsidR="00860A11" w:rsidRPr="000A700F" w:rsidRDefault="00860A11" w:rsidP="004C05DD">
            <w:pPr>
              <w:pStyle w:val="Htablebullet"/>
              <w:numPr>
                <w:ilvl w:val="0"/>
                <w:numId w:val="0"/>
              </w:numPr>
              <w:spacing w:before="0" w:after="0" w:line="240" w:lineRule="atLeast"/>
              <w:ind w:left="360"/>
              <w:rPr>
                <w:color w:val="576C88" w:themeColor="text2" w:themeTint="D9"/>
                <w:highlight w:val="yellow"/>
              </w:rPr>
            </w:pPr>
            <w:r>
              <w:rPr>
                <w:color w:val="576C88" w:themeColor="text2" w:themeTint="D9"/>
                <w:highlight w:val="yellow"/>
              </w:rPr>
              <w:t>(voir aussi</w:t>
            </w:r>
            <w:r>
              <w:t xml:space="preserve"> </w:t>
            </w:r>
            <w:r>
              <w:rPr>
                <w:b/>
                <w:color w:val="E7E6E6" w:themeColor="background2"/>
                <w:highlight w:val="yellow"/>
              </w:rPr>
              <w:t xml:space="preserve">PARTIE </w:t>
            </w:r>
            <w:r>
              <w:rPr>
                <w:color w:val="576C88" w:themeColor="text2" w:themeTint="D9"/>
                <w:highlight w:val="yellow"/>
              </w:rPr>
              <w:t>III,</w:t>
            </w:r>
            <w:r>
              <w:t xml:space="preserve"> </w:t>
            </w:r>
            <w:r>
              <w:rPr>
                <w:color w:val="576C88" w:themeColor="text2" w:themeTint="D9"/>
                <w:highlight w:val="yellow"/>
              </w:rPr>
              <w:t xml:space="preserve">exemples </w:t>
            </w:r>
            <w:r>
              <w:t xml:space="preserve">de la </w:t>
            </w:r>
            <w:r>
              <w:rPr>
                <w:color w:val="576C88" w:themeColor="text2" w:themeTint="D9"/>
                <w:highlight w:val="yellow"/>
              </w:rPr>
              <w:t xml:space="preserve">chaîne de résultats et d’impacts du RRN: </w:t>
            </w:r>
          </w:p>
          <w:p w:rsidR="00860A11" w:rsidRPr="000A700F" w:rsidRDefault="00860A11" w:rsidP="004C05DD">
            <w:pPr>
              <w:pStyle w:val="Htableleft"/>
              <w:spacing w:before="0" w:after="0" w:line="240" w:lineRule="atLeast"/>
              <w:rPr>
                <w:color w:val="576C88" w:themeColor="text2" w:themeTint="D9"/>
                <w:highlight w:val="yellow"/>
              </w:rPr>
            </w:pPr>
            <w:r>
              <w:rPr>
                <w:color w:val="576C88" w:themeColor="text2" w:themeTint="D9"/>
                <w:highlight w:val="yellow"/>
              </w:rPr>
              <w:t>Conseillé:</w:t>
            </w:r>
          </w:p>
          <w:p w:rsidR="00860A11" w:rsidRPr="000A700F" w:rsidRDefault="00860A11" w:rsidP="004C05DD">
            <w:pPr>
              <w:pStyle w:val="Htablebullet"/>
              <w:spacing w:before="0" w:after="0" w:line="240" w:lineRule="atLeast"/>
              <w:rPr>
                <w:color w:val="576C88" w:themeColor="text2" w:themeTint="D9"/>
                <w:highlight w:val="yellow"/>
              </w:rPr>
            </w:pPr>
            <w:r>
              <w:rPr>
                <w:color w:val="576C88" w:themeColor="text2" w:themeTint="D9"/>
                <w:highlight w:val="yellow"/>
              </w:rPr>
              <w:t>La collecte de données quantitatives peut faire partie du système de suivi.</w:t>
            </w:r>
          </w:p>
          <w:p w:rsidR="00860A11" w:rsidRPr="000A700F" w:rsidRDefault="00860A11" w:rsidP="004C05DD">
            <w:pPr>
              <w:pStyle w:val="Htablebullet"/>
              <w:spacing w:before="0" w:after="0" w:line="240" w:lineRule="atLeast"/>
              <w:rPr>
                <w:color w:val="576C88" w:themeColor="text2" w:themeTint="D9"/>
                <w:highlight w:val="yellow"/>
              </w:rPr>
            </w:pPr>
            <w:r>
              <w:rPr>
                <w:color w:val="576C88" w:themeColor="text2" w:themeTint="D9"/>
                <w:highlight w:val="yellow"/>
              </w:rPr>
              <w:t xml:space="preserve">Les informations qualitatives peuvent être recueillies sur une base ad hoc, au moyen d'enquêtes de satisfaction auprès des experts, des participants et des non-participants aux activités du RRN, grâce à des entretiens approfondis, des groupes de discussion, et des auto-évaluations périodiques du RRN. </w:t>
            </w:r>
          </w:p>
          <w:p w:rsidR="00860A11" w:rsidRPr="000A700F" w:rsidRDefault="00860A11" w:rsidP="00922106">
            <w:pPr>
              <w:pStyle w:val="Htablebullet"/>
              <w:spacing w:before="0" w:after="0" w:line="240" w:lineRule="atLeast"/>
              <w:rPr>
                <w:color w:val="576C88" w:themeColor="text2" w:themeTint="D9"/>
                <w:highlight w:val="yellow"/>
              </w:rPr>
            </w:pPr>
            <w:r>
              <w:rPr>
                <w:color w:val="576C88" w:themeColor="text2" w:themeTint="D9"/>
                <w:highlight w:val="yellow"/>
              </w:rPr>
              <w:t>Les données et informations recueillies dans le cadre d'autres études d'accompagnement (monographies, études de cas, collaboration avec les universités / écoles).</w:t>
            </w:r>
          </w:p>
        </w:tc>
      </w:tr>
      <w:tr w:rsidR="00860A11" w:rsidRPr="008D0759" w:rsidTr="004C05DD">
        <w:tc>
          <w:tcPr>
            <w:tcW w:w="1718" w:type="dxa"/>
            <w:shd w:val="clear" w:color="auto" w:fill="auto"/>
            <w:vAlign w:val="center"/>
          </w:tcPr>
          <w:p w:rsidR="00860A11" w:rsidRPr="000A700F" w:rsidDel="00091BD6" w:rsidRDefault="00860A11" w:rsidP="004C05DD">
            <w:pPr>
              <w:pStyle w:val="Htableleft"/>
              <w:rPr>
                <w:color w:val="576C88" w:themeColor="text2" w:themeTint="D9"/>
                <w:highlight w:val="yellow"/>
              </w:rPr>
            </w:pPr>
            <w:r>
              <w:rPr>
                <w:color w:val="576C88" w:themeColor="text2" w:themeTint="D9"/>
                <w:highlight w:val="yellow"/>
              </w:rPr>
              <w:lastRenderedPageBreak/>
              <w:t>Indicateurs d'impact</w:t>
            </w:r>
          </w:p>
        </w:tc>
        <w:tc>
          <w:tcPr>
            <w:tcW w:w="7359" w:type="dxa"/>
            <w:shd w:val="clear" w:color="auto" w:fill="auto"/>
          </w:tcPr>
          <w:p w:rsidR="00860A11" w:rsidRPr="000A700F" w:rsidRDefault="00860A11" w:rsidP="004C05DD">
            <w:pPr>
              <w:pStyle w:val="Htableleft"/>
              <w:spacing w:before="0" w:after="0" w:line="240" w:lineRule="atLeast"/>
              <w:rPr>
                <w:color w:val="576C88" w:themeColor="text2" w:themeTint="D9"/>
                <w:highlight w:val="yellow"/>
              </w:rPr>
            </w:pPr>
            <w:r>
              <w:rPr>
                <w:color w:val="576C88" w:themeColor="text2" w:themeTint="D9"/>
                <w:highlight w:val="yellow"/>
              </w:rPr>
              <w:t>Indicateurs d'impact supplémentaires  et spécifiques du programme de RRN pour mesurer les impacts du RRN liés à:</w:t>
            </w:r>
          </w:p>
          <w:p w:rsidR="00860A11" w:rsidRPr="000A700F" w:rsidRDefault="00860A11" w:rsidP="004C05DD">
            <w:pPr>
              <w:pStyle w:val="Htablebullet"/>
              <w:spacing w:before="0" w:after="0" w:line="240" w:lineRule="atLeast"/>
              <w:rPr>
                <w:color w:val="576C88" w:themeColor="text2" w:themeTint="D9"/>
                <w:highlight w:val="yellow"/>
              </w:rPr>
            </w:pPr>
            <w:r>
              <w:rPr>
                <w:color w:val="576C88" w:themeColor="text2" w:themeTint="D9"/>
                <w:highlight w:val="yellow"/>
              </w:rPr>
              <w:t>la contribution du RRN aux résultats du PDR, qui seront principalement de nature quantitative, par exemple le nombre de nouveaux produits issus de projets innovants (principalement des indicateurs supplémentaires !);</w:t>
            </w:r>
          </w:p>
          <w:p w:rsidR="00860A11" w:rsidRPr="000A700F" w:rsidRDefault="00860A11" w:rsidP="004C05DD">
            <w:pPr>
              <w:pStyle w:val="Htablebullet"/>
              <w:spacing w:before="0" w:after="0" w:line="240" w:lineRule="atLeast"/>
              <w:rPr>
                <w:color w:val="576C88" w:themeColor="text2" w:themeTint="D9"/>
                <w:highlight w:val="yellow"/>
              </w:rPr>
            </w:pPr>
            <w:r>
              <w:rPr>
                <w:color w:val="576C88" w:themeColor="text2" w:themeTint="D9"/>
                <w:highlight w:val="yellow"/>
              </w:rPr>
              <w:t>au capital humain et social issu des RRN dans les zones rurales, qui sera principalement de nature qualitative (par exemple, le degré d'amélioration de la gestion du PDR grâce aux activités du RRN, ou le degré d'amélioration de la coopération dans les zones rurales grâce aux activités du RRN) (principalement  les indicateurs spécifiques du programme!).</w:t>
            </w:r>
          </w:p>
          <w:p w:rsidR="00860A11" w:rsidRPr="000A700F" w:rsidRDefault="00860A11" w:rsidP="004C05DD">
            <w:pPr>
              <w:pStyle w:val="Htablebullet"/>
              <w:numPr>
                <w:ilvl w:val="0"/>
                <w:numId w:val="0"/>
              </w:numPr>
              <w:spacing w:before="0" w:after="0" w:line="240" w:lineRule="atLeast"/>
              <w:ind w:left="360"/>
              <w:rPr>
                <w:color w:val="576C88" w:themeColor="text2" w:themeTint="D9"/>
                <w:highlight w:val="yellow"/>
              </w:rPr>
            </w:pPr>
            <w:r>
              <w:rPr>
                <w:color w:val="576C88" w:themeColor="text2" w:themeTint="D9"/>
                <w:highlight w:val="yellow"/>
              </w:rPr>
              <w:t>(voir aussi</w:t>
            </w:r>
            <w:r>
              <w:t xml:space="preserve"> </w:t>
            </w:r>
            <w:r>
              <w:rPr>
                <w:b/>
                <w:color w:val="E7E6E6" w:themeColor="background2"/>
                <w:highlight w:val="yellow"/>
              </w:rPr>
              <w:t xml:space="preserve">PARTIE </w:t>
            </w:r>
            <w:r>
              <w:rPr>
                <w:color w:val="576C88" w:themeColor="text2" w:themeTint="D9"/>
                <w:highlight w:val="yellow"/>
              </w:rPr>
              <w:t>III,</w:t>
            </w:r>
            <w:r>
              <w:t xml:space="preserve"> </w:t>
            </w:r>
            <w:r>
              <w:rPr>
                <w:color w:val="576C88" w:themeColor="text2" w:themeTint="D9"/>
                <w:highlight w:val="yellow"/>
              </w:rPr>
              <w:t xml:space="preserve">exemples </w:t>
            </w:r>
            <w:r>
              <w:t xml:space="preserve">de la </w:t>
            </w:r>
            <w:r>
              <w:rPr>
                <w:color w:val="576C88" w:themeColor="text2" w:themeTint="D9"/>
                <w:highlight w:val="yellow"/>
              </w:rPr>
              <w:t xml:space="preserve">chaîne de résultats et d’impacts du RRN: </w:t>
            </w:r>
          </w:p>
          <w:p w:rsidR="00860A11" w:rsidRPr="000A700F" w:rsidRDefault="00860A11" w:rsidP="004C05DD">
            <w:pPr>
              <w:pStyle w:val="Htableleft"/>
              <w:spacing w:before="0" w:after="0" w:line="240" w:lineRule="atLeast"/>
              <w:rPr>
                <w:color w:val="576C88" w:themeColor="text2" w:themeTint="D9"/>
                <w:highlight w:val="yellow"/>
              </w:rPr>
            </w:pPr>
            <w:r>
              <w:rPr>
                <w:color w:val="576C88" w:themeColor="text2" w:themeTint="D9"/>
                <w:highlight w:val="yellow"/>
              </w:rPr>
              <w:t>Conseillé:</w:t>
            </w:r>
          </w:p>
          <w:p w:rsidR="00860A11" w:rsidRPr="000A700F" w:rsidRDefault="00860A11" w:rsidP="004C05DD">
            <w:pPr>
              <w:pStyle w:val="Htablebullet"/>
              <w:spacing w:before="0" w:after="0" w:line="240" w:lineRule="atLeast"/>
              <w:rPr>
                <w:color w:val="576C88" w:themeColor="text2" w:themeTint="D9"/>
                <w:highlight w:val="yellow"/>
              </w:rPr>
            </w:pPr>
            <w:r>
              <w:rPr>
                <w:color w:val="576C88" w:themeColor="text2" w:themeTint="D9"/>
                <w:highlight w:val="yellow"/>
              </w:rPr>
              <w:t xml:space="preserve">Les principaux outils pour capter les données et les informations comprennent les sondages, les entretiens et les groupes de discussion. Les groupes de discussion, sont particulièrement appropriés pour la collecte de données sur les effets nets du RRN, car ils peuvent  être composés de participants et de non-participants aux activités du RRN. </w:t>
            </w:r>
          </w:p>
          <w:p w:rsidR="00860A11" w:rsidRPr="000A700F" w:rsidRDefault="00860A11" w:rsidP="004C05DD">
            <w:pPr>
              <w:pStyle w:val="Htablebullet"/>
              <w:spacing w:before="0" w:after="0" w:line="240" w:lineRule="atLeast"/>
              <w:rPr>
                <w:color w:val="576C88" w:themeColor="text2" w:themeTint="D9"/>
                <w:highlight w:val="yellow"/>
              </w:rPr>
            </w:pPr>
            <w:r>
              <w:rPr>
                <w:color w:val="576C88" w:themeColor="text2" w:themeTint="D9"/>
                <w:highlight w:val="yellow"/>
              </w:rPr>
              <w:t>Les données et informations recueillies dans le cadre d'autres études d'accompagnement (monographies, études de cas, collaboration avec des universités / des écoles).</w:t>
            </w:r>
          </w:p>
        </w:tc>
      </w:tr>
    </w:tbl>
    <w:p w:rsidR="00860A11" w:rsidRPr="00A353D6" w:rsidRDefault="00860A11" w:rsidP="000A3387">
      <w:pPr>
        <w:pStyle w:val="HStandard"/>
        <w:rPr>
          <w:lang w:val="en-GB"/>
        </w:rPr>
      </w:pPr>
      <w:r w:rsidRPr="00A353D6">
        <w:rPr>
          <w:lang w:val="en-GB"/>
        </w:rPr>
        <w:t>It is recommended to conduct counterfactuals for both NRN results and impacts when two conditions are fulfilled: (i) when a determinable group of beneficiaries and non-beneficiaries, or an applicable algorithm to differentiate between degrees of involvement of beneficiaries exists; (ii) when a recognisable difference in outcomes (behavioural changes) can be clearly attributed to the NRN intervention. It is important to ensure the baselines data and information.</w:t>
      </w:r>
      <w:bookmarkStart w:id="247" w:name="_Toc443491687"/>
      <w:bookmarkEnd w:id="247"/>
    </w:p>
    <w:p w:rsidR="00860A11" w:rsidRPr="00A353D6" w:rsidRDefault="00860A11" w:rsidP="00320535">
      <w:pPr>
        <w:pStyle w:val="HHeading3"/>
        <w:rPr>
          <w:lang w:val="en-GB"/>
        </w:rPr>
      </w:pPr>
      <w:bookmarkStart w:id="248" w:name="_Toc443491688"/>
      <w:bookmarkStart w:id="249" w:name="_Toc453079771"/>
      <w:r w:rsidRPr="00A353D6">
        <w:rPr>
          <w:lang w:val="en-GB"/>
        </w:rPr>
        <w:t>Description of the process of NRN implementation</w:t>
      </w:r>
      <w:bookmarkEnd w:id="248"/>
      <w:bookmarkEnd w:id="249"/>
    </w:p>
    <w:p w:rsidR="00860A11" w:rsidRPr="00A353D6" w:rsidRDefault="00860A11" w:rsidP="000A3387">
      <w:pPr>
        <w:pStyle w:val="HStandard"/>
        <w:rPr>
          <w:lang w:val="en-GB"/>
        </w:rPr>
      </w:pPr>
      <w:r w:rsidRPr="00A353D6">
        <w:rPr>
          <w:lang w:val="en-GB"/>
        </w:rPr>
        <w:t>Evaluators should also recall and analyse the process of implementation of the NRN(P) intervention, with active participation of NRN stakeholders, contributors and beneficiaries. This reflection should take into account the relational aspects of NRN(P)s (communication links and channels, issues concerning differences in the access to information and resources, reach out and retreat, shrinking and growth, critical incidents, etc.), as well as managerial aspects such as budgetary issues and the financial and physical execution of NRN activities. This reflection should be underpinned by adequate information on the subjects discussed, e.g. the written documentation and information raised from interviews held during the initial phase of NRN(P) evaluation with the MA and NSU representatives and other core network members.</w:t>
      </w:r>
    </w:p>
    <w:p w:rsidR="00860A11" w:rsidRPr="008D0759" w:rsidRDefault="00860A11" w:rsidP="00320535">
      <w:pPr>
        <w:pStyle w:val="HHeading3"/>
      </w:pPr>
      <w:bookmarkStart w:id="250" w:name="_Toc443491689"/>
      <w:bookmarkStart w:id="251" w:name="_Toc453079772"/>
      <w:r>
        <w:lastRenderedPageBreak/>
        <w:t>Consistency and completeness check</w:t>
      </w:r>
      <w:bookmarkEnd w:id="250"/>
      <w:bookmarkEnd w:id="251"/>
    </w:p>
    <w:p w:rsidR="00860A11" w:rsidRPr="008D0759" w:rsidRDefault="00860A11" w:rsidP="000A3387">
      <w:pPr>
        <w:pStyle w:val="HStandard"/>
      </w:pPr>
      <w:r w:rsidRPr="00A353D6">
        <w:rPr>
          <w:lang w:val="en-GB"/>
        </w:rPr>
        <w:t xml:space="preserve">The collected data and information should be scrupulously checked. </w:t>
      </w:r>
      <w:r>
        <w:t>Key questions are:</w:t>
      </w:r>
    </w:p>
    <w:p w:rsidR="00860A11" w:rsidRPr="00A353D6" w:rsidRDefault="00860A11" w:rsidP="000A3387">
      <w:pPr>
        <w:pStyle w:val="Hlistbullet2"/>
        <w:rPr>
          <w:lang w:val="en-GB"/>
        </w:rPr>
      </w:pPr>
      <w:bookmarkStart w:id="252" w:name="_Toc434744521"/>
      <w:r w:rsidRPr="00A353D6">
        <w:rPr>
          <w:lang w:val="en-GB"/>
        </w:rPr>
        <w:t>Is the collected data sufficient to answer the evaluation questions to the extent required for the respective evaluation task (AIR 2017, AIR 2019, ex post evaluation or other, and stand-alone NRN evaluations)?</w:t>
      </w:r>
      <w:bookmarkEnd w:id="252"/>
    </w:p>
    <w:p w:rsidR="00860A11" w:rsidRPr="00A353D6" w:rsidRDefault="00860A11" w:rsidP="000A3387">
      <w:pPr>
        <w:pStyle w:val="Hlistbullet2"/>
        <w:rPr>
          <w:lang w:val="en-GB"/>
        </w:rPr>
      </w:pPr>
      <w:bookmarkStart w:id="253" w:name="_Toc434744522"/>
      <w:r w:rsidRPr="00A353D6">
        <w:rPr>
          <w:lang w:val="en-GB"/>
        </w:rPr>
        <w:t>Is there sufficient redundancy in the database (for data on output indicators and if developed, any data on other indicators) in order to fill possible gaps with information from other sources (= triangulation)?</w:t>
      </w:r>
      <w:bookmarkEnd w:id="253"/>
    </w:p>
    <w:p w:rsidR="00860A11" w:rsidRPr="00A353D6" w:rsidRDefault="00860A11" w:rsidP="000A3387">
      <w:pPr>
        <w:pStyle w:val="Hlistbullet2"/>
        <w:rPr>
          <w:lang w:val="en-GB"/>
        </w:rPr>
      </w:pPr>
      <w:r w:rsidRPr="00A353D6">
        <w:rPr>
          <w:lang w:val="en-GB"/>
        </w:rPr>
        <w:t>Is there sufficient qualitative data and information available given the highly intangible nature of the expected results and impacts?</w:t>
      </w:r>
    </w:p>
    <w:p w:rsidR="00860A11" w:rsidRPr="00A353D6" w:rsidRDefault="00860A11" w:rsidP="000A3387">
      <w:pPr>
        <w:pStyle w:val="Hlistbullet2"/>
        <w:rPr>
          <w:lang w:val="en-GB"/>
        </w:rPr>
      </w:pPr>
      <w:bookmarkStart w:id="254" w:name="_Toc434744523"/>
      <w:r w:rsidRPr="00A353D6">
        <w:rPr>
          <w:lang w:val="en-GB"/>
        </w:rPr>
        <w:t>Are the information sources reliable?</w:t>
      </w:r>
      <w:bookmarkEnd w:id="254"/>
    </w:p>
    <w:p w:rsidR="00860A11" w:rsidRPr="00A353D6" w:rsidRDefault="00860A11" w:rsidP="000A3387">
      <w:pPr>
        <w:pStyle w:val="HStandard"/>
        <w:rPr>
          <w:lang w:val="en-GB"/>
        </w:rPr>
      </w:pPr>
      <w:r w:rsidRPr="00A353D6">
        <w:rPr>
          <w:lang w:val="en-GB"/>
        </w:rPr>
        <w:t xml:space="preserve">If it turns out that it is necessary to collect additional data and information from sources which have not been considered from the outset, there should be enough flexibility to go back to the structuring phase and investigate for additional data. This loop-wise movement is indicated by the green double-headed arrow in </w:t>
      </w:r>
      <w:r>
        <w:fldChar w:fldCharType="begin" w:fldLock="1"/>
      </w:r>
      <w:r w:rsidRPr="00A353D6">
        <w:rPr>
          <w:lang w:val="en-GB"/>
        </w:rPr>
        <w:instrText xml:space="preserve"> REF _Ref440033578 \r \h </w:instrText>
      </w:r>
      <w:r>
        <w:fldChar w:fldCharType="separate"/>
      </w:r>
      <w:r w:rsidRPr="00A353D6">
        <w:rPr>
          <w:lang w:val="en-GB"/>
        </w:rPr>
        <w:t>Figure 21</w:t>
      </w:r>
      <w:r>
        <w:fldChar w:fldCharType="end"/>
      </w:r>
      <w:r w:rsidRPr="00A353D6">
        <w:rPr>
          <w:lang w:val="en-GB"/>
        </w:rPr>
        <w:t>. However, such loops require additional time and budget reserves to be accounted for in the overall evaluation architecture.</w:t>
      </w:r>
    </w:p>
    <w:p w:rsidR="00860A11" w:rsidRPr="008D0759" w:rsidRDefault="00860A11" w:rsidP="000A3387">
      <w:pPr>
        <w:pStyle w:val="HHeadingfigures"/>
      </w:pPr>
      <w:bookmarkStart w:id="255" w:name="_Ref439933603"/>
      <w:bookmarkStart w:id="256" w:name="_Ref440033578"/>
      <w:bookmarkStart w:id="257" w:name="_Toc451781940"/>
      <w:r>
        <w:t>A</w:t>
      </w:r>
      <w:bookmarkEnd w:id="255"/>
      <w:r>
        <w:t>dvancing loopwise</w:t>
      </w:r>
      <w:bookmarkEnd w:id="256"/>
      <w:bookmarkEnd w:id="257"/>
    </w:p>
    <w:p w:rsidR="00860A11" w:rsidRPr="008D0759" w:rsidRDefault="00860A11" w:rsidP="00320BBA">
      <w:pPr>
        <w:pStyle w:val="HStandard"/>
        <w:spacing w:after="0"/>
        <w:jc w:val="center"/>
      </w:pPr>
      <w:r>
        <w:rPr>
          <w:noProof/>
          <w:lang w:val="en-GB" w:eastAsia="en-GB" w:bidi="ar-SA"/>
        </w:rPr>
        <w:drawing>
          <wp:inline distT="0" distB="0" distL="0" distR="0" wp14:anchorId="6F0904A4" wp14:editId="4803FFB0">
            <wp:extent cx="4575135" cy="1620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Eval_Process.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575135" cy="1620000"/>
                    </a:xfrm>
                    <a:prstGeom prst="rect">
                      <a:avLst/>
                    </a:prstGeom>
                  </pic:spPr>
                </pic:pic>
              </a:graphicData>
            </a:graphic>
          </wp:inline>
        </w:drawing>
      </w:r>
    </w:p>
    <w:p w:rsidR="00860A11" w:rsidRPr="00A353D6" w:rsidRDefault="00860A11" w:rsidP="00320BBA">
      <w:pPr>
        <w:pStyle w:val="HSource"/>
        <w:rPr>
          <w:lang w:val="en-GB"/>
        </w:rPr>
      </w:pPr>
      <w:r w:rsidRPr="00A353D6">
        <w:rPr>
          <w:lang w:val="en-GB"/>
        </w:rPr>
        <w:t>Source: European Evaluation Helpdesk for Rural Development, 2016</w:t>
      </w:r>
    </w:p>
    <w:p w:rsidR="00860A11" w:rsidRPr="00A353D6" w:rsidRDefault="00860A11" w:rsidP="000A3387">
      <w:pPr>
        <w:pStyle w:val="HStandard"/>
        <w:rPr>
          <w:lang w:val="en-GB"/>
        </w:rPr>
      </w:pPr>
      <w:r w:rsidRPr="00A353D6">
        <w:rPr>
          <w:lang w:val="en-GB"/>
        </w:rPr>
        <w:t xml:space="preserve">In practice, budgetary and time restrictions will limit this flexibility throughout the whole process. The most important thing is to keep this possibility open for the first two phases (where the green double-headed arrow is set in </w:t>
      </w:r>
      <w:r>
        <w:fldChar w:fldCharType="begin" w:fldLock="1"/>
      </w:r>
      <w:r w:rsidRPr="00A353D6">
        <w:rPr>
          <w:lang w:val="en-GB"/>
        </w:rPr>
        <w:instrText xml:space="preserve"> REF _Ref440033578 \r \h </w:instrText>
      </w:r>
      <w:r>
        <w:fldChar w:fldCharType="separate"/>
      </w:r>
      <w:r w:rsidRPr="00A353D6">
        <w:rPr>
          <w:lang w:val="en-GB"/>
        </w:rPr>
        <w:t>Figure 21</w:t>
      </w:r>
      <w:r>
        <w:fldChar w:fldCharType="end"/>
      </w:r>
      <w:r w:rsidRPr="00A353D6">
        <w:rPr>
          <w:lang w:val="en-GB"/>
        </w:rPr>
        <w:t>). In other words: If new, unforeseen facts surface, there should be room to readjust the evaluation setup accordingly.</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860A11" w:rsidRPr="002809CE" w:rsidTr="000A3387">
        <w:tc>
          <w:tcPr>
            <w:tcW w:w="9016" w:type="dxa"/>
            <w:shd w:val="clear" w:color="auto" w:fill="F5F4F4" w:themeFill="background2" w:themeFillTint="66"/>
          </w:tcPr>
          <w:p w:rsidR="00860A11" w:rsidRPr="000A700F" w:rsidRDefault="00860A11" w:rsidP="000A3387">
            <w:pPr>
              <w:pStyle w:val="HStandard"/>
              <w:rPr>
                <w:highlight w:val="yellow"/>
              </w:rPr>
            </w:pPr>
            <w:r>
              <w:rPr>
                <w:highlight w:val="yellow"/>
              </w:rPr>
              <w:t>Questions directrices pour la phase d'observation:</w:t>
            </w:r>
          </w:p>
          <w:p w:rsidR="00860A11" w:rsidRPr="000A700F" w:rsidRDefault="00860A11" w:rsidP="00860A11">
            <w:pPr>
              <w:pStyle w:val="Hlistbullet2"/>
              <w:rPr>
                <w:highlight w:val="yellow"/>
              </w:rPr>
            </w:pPr>
            <w:r>
              <w:rPr>
                <w:highlight w:val="yellow"/>
              </w:rPr>
              <w:t>Quelles sont les données existantes et quelles données doit-on générer au cours du processus d'évaluation?</w:t>
            </w:r>
          </w:p>
          <w:p w:rsidR="00860A11" w:rsidRPr="000A700F" w:rsidRDefault="00860A11" w:rsidP="00860A11">
            <w:pPr>
              <w:pStyle w:val="Hlistbullet2"/>
              <w:rPr>
                <w:highlight w:val="yellow"/>
              </w:rPr>
            </w:pPr>
            <w:r>
              <w:rPr>
                <w:highlight w:val="yellow"/>
              </w:rPr>
              <w:t>Quelles sont les données les plus importantes pour que la collecte de données soit réalisable en termes de temps et de coût?</w:t>
            </w:r>
          </w:p>
          <w:p w:rsidR="00860A11" w:rsidRPr="000A700F" w:rsidRDefault="00860A11" w:rsidP="00860A11">
            <w:pPr>
              <w:pStyle w:val="Hlistbullet2"/>
              <w:rPr>
                <w:highlight w:val="yellow"/>
              </w:rPr>
            </w:pPr>
            <w:r>
              <w:rPr>
                <w:highlight w:val="yellow"/>
              </w:rPr>
              <w:t>Y a- t-il suffisamment de redondance dans les données pour pouvoir confirmer les principales conclusions à partir de différentes sources empiriques?</w:t>
            </w:r>
          </w:p>
          <w:p w:rsidR="00860A11" w:rsidRPr="000A700F" w:rsidRDefault="00860A11" w:rsidP="00860A11">
            <w:pPr>
              <w:pStyle w:val="Hlistbullet2"/>
              <w:rPr>
                <w:highlight w:val="yellow"/>
              </w:rPr>
            </w:pPr>
            <w:r>
              <w:rPr>
                <w:highlight w:val="yellow"/>
              </w:rPr>
              <w:t>A-t-on fait tout ce qui est possible pour éviter les observations biaisées (biaisées dans la sélection, les réponses et les effets de halo...)?</w:t>
            </w:r>
          </w:p>
          <w:p w:rsidR="00860A11" w:rsidRPr="000A700F" w:rsidRDefault="00860A11" w:rsidP="00860A11">
            <w:pPr>
              <w:pStyle w:val="Hlistbullet2"/>
              <w:rPr>
                <w:highlight w:val="yellow"/>
              </w:rPr>
            </w:pPr>
            <w:r>
              <w:rPr>
                <w:highlight w:val="yellow"/>
              </w:rPr>
              <w:t>Quelle pourrait être la raison de deux résultats contradictoires? Se pourrait-il qu'une seule conclusion soit vraie, ou les deux, ou aucune des deux?</w:t>
            </w:r>
          </w:p>
        </w:tc>
      </w:tr>
    </w:tbl>
    <w:p w:rsidR="00860A11" w:rsidRPr="000A700F" w:rsidRDefault="00860A11" w:rsidP="00D35287">
      <w:pPr>
        <w:pStyle w:val="HHeading5"/>
        <w:rPr>
          <w:highlight w:val="yellow"/>
        </w:rPr>
      </w:pPr>
      <w:r>
        <w:rPr>
          <w:highlight w:val="yellow"/>
        </w:rPr>
        <w:lastRenderedPageBreak/>
        <w:t>À faire et ne pas faire</w:t>
      </w:r>
    </w:p>
    <w:tbl>
      <w:tblPr>
        <w:tblStyle w:val="LightList-Accent5"/>
        <w:tblW w:w="0" w:type="auto"/>
        <w:tblLook w:val="04A0" w:firstRow="1" w:lastRow="0" w:firstColumn="1" w:lastColumn="0" w:noHBand="0" w:noVBand="1"/>
      </w:tblPr>
      <w:tblGrid>
        <w:gridCol w:w="4506"/>
        <w:gridCol w:w="4500"/>
      </w:tblGrid>
      <w:tr w:rsidR="00860A11" w:rsidRPr="000A700F"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860A11" w:rsidRPr="000A700F" w:rsidRDefault="00860A11" w:rsidP="000A3387">
            <w:pPr>
              <w:pStyle w:val="HHeading5"/>
              <w:jc w:val="center"/>
              <w:rPr>
                <w:highlight w:val="yellow"/>
              </w:rPr>
            </w:pPr>
            <w:r>
              <w:rPr>
                <w:noProof/>
                <w:highlight w:val="yellow"/>
                <w:lang w:val="en-GB" w:eastAsia="en-GB" w:bidi="ar-SA"/>
              </w:rPr>
              <w:drawing>
                <wp:inline distT="0" distB="0" distL="0" distR="0" wp14:anchorId="5C74E35E" wp14:editId="0B438496">
                  <wp:extent cx="360000" cy="360000"/>
                  <wp:effectExtent l="0" t="0" r="254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860A11" w:rsidRPr="000A700F" w:rsidRDefault="00860A11" w:rsidP="000A3387">
            <w:pPr>
              <w:pStyle w:val="HHeading5"/>
              <w:jc w:val="center"/>
              <w:cnfStyle w:val="100000000000" w:firstRow="1" w:lastRow="0" w:firstColumn="0" w:lastColumn="0" w:oddVBand="0" w:evenVBand="0" w:oddHBand="0" w:evenHBand="0" w:firstRowFirstColumn="0" w:firstRowLastColumn="0" w:lastRowFirstColumn="0" w:lastRowLastColumn="0"/>
              <w:rPr>
                <w:highlight w:val="yellow"/>
              </w:rPr>
            </w:pPr>
            <w:r>
              <w:rPr>
                <w:noProof/>
                <w:highlight w:val="yellow"/>
                <w:lang w:val="en-GB" w:eastAsia="en-GB" w:bidi="ar-SA"/>
              </w:rPr>
              <w:drawing>
                <wp:inline distT="0" distB="0" distL="0" distR="0" wp14:anchorId="38423680" wp14:editId="5F319554">
                  <wp:extent cx="360000" cy="360000"/>
                  <wp:effectExtent l="0" t="0" r="254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860A11" w:rsidRPr="008D0759"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860A11" w:rsidRPr="000A700F" w:rsidRDefault="00860A11"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Déterminer les domaines dans lesquels une analyse contre-factuelle est possible et se préparer en conséquence (par exemple en identifiant les groupes de contrôle ou au moins un algorithme de différenciation en établissant la ligne de base).</w:t>
            </w:r>
          </w:p>
          <w:p w:rsidR="00860A11" w:rsidRPr="000A700F" w:rsidRDefault="00860A11" w:rsidP="000A3387">
            <w:pPr>
              <w:pStyle w:val="HStandard"/>
              <w:spacing w:before="120" w:line="240" w:lineRule="atLeast"/>
              <w:rPr>
                <w:b w:val="0"/>
                <w:color w:val="FFC000" w:themeColor="accent4"/>
                <w:sz w:val="18"/>
                <w:szCs w:val="18"/>
                <w:highlight w:val="yellow"/>
              </w:rPr>
            </w:pPr>
            <w:r>
              <w:t xml:space="preserve">Utiliser </w:t>
            </w:r>
            <w:r>
              <w:rPr>
                <w:b w:val="0"/>
                <w:color w:val="FFC000" w:themeColor="accent4"/>
                <w:sz w:val="18"/>
                <w:highlight w:val="yellow"/>
              </w:rPr>
              <w:t>différentes sources d'information (qualitatives et quantitatives, internes et externes, émiques</w:t>
            </w:r>
            <w:r>
              <w:t xml:space="preserve"> </w:t>
            </w:r>
            <w:r>
              <w:rPr>
                <w:rFonts w:ascii="ZWAdobeF" w:hAnsi="ZWAdobeF"/>
                <w:b w:val="0"/>
                <w:color w:val="auto"/>
                <w:sz w:val="2"/>
                <w:highlight w:val="yellow"/>
              </w:rPr>
              <w:t>115F</w:t>
            </w:r>
            <w:r>
              <w:rPr>
                <w:rStyle w:val="FootnoteReference"/>
                <w:highlight w:val="yellow"/>
              </w:rPr>
              <w:footnoteReference w:id="116"/>
            </w:r>
            <w:r>
              <w:t xml:space="preserve"> </w:t>
            </w:r>
            <w:r>
              <w:rPr>
                <w:b w:val="0"/>
                <w:color w:val="FFC000" w:themeColor="accent4"/>
                <w:sz w:val="18"/>
                <w:highlight w:val="yellow"/>
              </w:rPr>
              <w:t>et étiques</w:t>
            </w:r>
            <w:r>
              <w:rPr>
                <w:rFonts w:ascii="ZWAdobeF" w:hAnsi="ZWAdobeF"/>
                <w:b w:val="0"/>
                <w:color w:val="auto"/>
                <w:sz w:val="2"/>
                <w:highlight w:val="yellow"/>
              </w:rPr>
              <w:t xml:space="preserve">116F </w:t>
            </w:r>
            <w:r>
              <w:rPr>
                <w:rStyle w:val="FootnoteReference"/>
                <w:highlight w:val="yellow"/>
              </w:rPr>
              <w:footnoteReference w:id="117"/>
            </w:r>
            <w:r>
              <w:t xml:space="preserve"> </w:t>
            </w:r>
            <w:r>
              <w:rPr>
                <w:b w:val="0"/>
                <w:color w:val="FFC000" w:themeColor="accent4"/>
                <w:sz w:val="18"/>
                <w:highlight w:val="yellow"/>
              </w:rPr>
              <w:t>).</w:t>
            </w:r>
          </w:p>
          <w:p w:rsidR="00860A11" w:rsidRPr="000A700F" w:rsidRDefault="00860A11"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Restructurer le processus d'évaluation, si des questions inattendues nécessitant des investigations complémentaires surgissent .</w:t>
            </w:r>
          </w:p>
          <w:p w:rsidR="00860A11" w:rsidRPr="000A700F" w:rsidRDefault="00860A11" w:rsidP="000A3387">
            <w:pPr>
              <w:pStyle w:val="HStandard"/>
              <w:rPr>
                <w:color w:val="FFC000" w:themeColor="accent4"/>
                <w:sz w:val="18"/>
                <w:szCs w:val="18"/>
                <w:highlight w:val="yellow"/>
              </w:rPr>
            </w:pPr>
            <w:r>
              <w:rPr>
                <w:b w:val="0"/>
                <w:color w:val="FFC000" w:themeColor="accent4"/>
                <w:sz w:val="18"/>
                <w:highlight w:val="yellow"/>
              </w:rPr>
              <w:t>Vérifier l’étendue et le degré des contradictions entre les données produites et les résultats. Regarder au-delà de ces contradictions apparentes.</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860A11" w:rsidRPr="000A700F" w:rsidRDefault="00860A11" w:rsidP="000A3387">
            <w:pPr>
              <w:pStyle w:val="HStandard"/>
              <w:spacing w:before="120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Se contenter d’une source unique d'informations pour toute question thématique.</w:t>
            </w:r>
          </w:p>
          <w:p w:rsidR="00860A11" w:rsidRPr="000A700F" w:rsidRDefault="00860A11" w:rsidP="000A338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 xml:space="preserve">Faire un copier-coller de l'auto-description des activités du RRN sans rien changer et ne pas faire de différence entre les questions plus ou moins pertinentes.  </w:t>
            </w:r>
          </w:p>
          <w:p w:rsidR="00860A11" w:rsidRPr="008D0759" w:rsidRDefault="00860A11" w:rsidP="00134196">
            <w:pPr>
              <w:pStyle w:val="HStandard"/>
              <w:cnfStyle w:val="000000100000" w:firstRow="0" w:lastRow="0" w:firstColumn="0" w:lastColumn="0" w:oddVBand="0" w:evenVBand="0" w:oddHBand="1" w:evenHBand="0" w:firstRowFirstColumn="0" w:firstRowLastColumn="0" w:lastRowFirstColumn="0" w:lastRowLastColumn="0"/>
              <w:rPr>
                <w:color w:val="ED7D31" w:themeColor="accent2"/>
                <w:sz w:val="18"/>
                <w:szCs w:val="18"/>
              </w:rPr>
            </w:pPr>
            <w:r>
              <w:rPr>
                <w:color w:val="ED7D31" w:themeColor="accent2"/>
                <w:sz w:val="18"/>
                <w:highlight w:val="yellow"/>
              </w:rPr>
              <w:t xml:space="preserve">Cacher et ne pas diffuser les données jugées peu fiables. </w:t>
            </w:r>
            <w:r>
              <w:rPr>
                <w:color w:val="ED7D31" w:themeColor="accent2"/>
                <w:sz w:val="18"/>
              </w:rPr>
              <w:t xml:space="preserve">  </w:t>
            </w:r>
          </w:p>
        </w:tc>
      </w:tr>
    </w:tbl>
    <w:p w:rsidR="00860A11" w:rsidRPr="008D0759" w:rsidRDefault="00860A11" w:rsidP="00D35287">
      <w:pPr>
        <w:pStyle w:val="HHeading5"/>
      </w:pPr>
      <w:r>
        <w:t>Further reading</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72"/>
      </w:tblGrid>
      <w:tr w:rsidR="00860A11" w:rsidRPr="008D0759" w:rsidTr="00112F30">
        <w:tc>
          <w:tcPr>
            <w:tcW w:w="9072" w:type="dxa"/>
            <w:shd w:val="clear" w:color="auto" w:fill="F5F4F4" w:themeFill="background2" w:themeFillTint="66"/>
          </w:tcPr>
          <w:p w:rsidR="00860A11" w:rsidRPr="00A353D6" w:rsidRDefault="00860A11" w:rsidP="00112F30">
            <w:pPr>
              <w:pStyle w:val="HStandard"/>
              <w:spacing w:line="240" w:lineRule="atLeast"/>
              <w:rPr>
                <w:sz w:val="16"/>
                <w:szCs w:val="16"/>
                <w:lang w:val="en-GB"/>
              </w:rPr>
            </w:pPr>
            <w:r w:rsidRPr="00A353D6">
              <w:rPr>
                <w:sz w:val="16"/>
                <w:lang w:val="en-GB"/>
              </w:rPr>
              <w:t>Concerning the assessment of impacts:</w:t>
            </w:r>
          </w:p>
          <w:p w:rsidR="00860A11" w:rsidRPr="00A353D6" w:rsidRDefault="00860A11" w:rsidP="00112F30">
            <w:pPr>
              <w:pStyle w:val="HStandard"/>
              <w:spacing w:line="240" w:lineRule="atLeast"/>
              <w:rPr>
                <w:sz w:val="16"/>
                <w:szCs w:val="16"/>
                <w:lang w:val="en-GB"/>
              </w:rPr>
            </w:pPr>
            <w:r w:rsidRPr="00A353D6">
              <w:rPr>
                <w:sz w:val="16"/>
                <w:lang w:val="en-GB"/>
              </w:rPr>
              <w:t>Working Paper of the Rural Evaluation Helpdesk (July 2010): Approaches for assessing the impacts of the Rural Development Programmes in the context of multiple intervening factors, p. 26 ff.</w:t>
            </w:r>
          </w:p>
          <w:p w:rsidR="00860A11" w:rsidRPr="00A353D6" w:rsidRDefault="00860A11" w:rsidP="00112F30">
            <w:pPr>
              <w:pStyle w:val="HStandard"/>
              <w:spacing w:line="240" w:lineRule="atLeast"/>
              <w:rPr>
                <w:sz w:val="16"/>
                <w:szCs w:val="16"/>
                <w:lang w:val="en-GB"/>
              </w:rPr>
            </w:pPr>
            <w:r w:rsidRPr="00A353D6">
              <w:rPr>
                <w:sz w:val="16"/>
                <w:lang w:val="en-GB"/>
              </w:rPr>
              <w:t>On bias in evaluation (the source is from the US Centres of Disease Control and Prevention and deals with health themes, but it is very useful for social research in general):</w:t>
            </w:r>
          </w:p>
          <w:p w:rsidR="00860A11" w:rsidRPr="008D0759" w:rsidRDefault="00860A11" w:rsidP="00112F30">
            <w:pPr>
              <w:pStyle w:val="HStandard"/>
              <w:spacing w:line="240" w:lineRule="atLeast"/>
              <w:rPr>
                <w:sz w:val="16"/>
                <w:szCs w:val="16"/>
              </w:rPr>
            </w:pPr>
            <w:r w:rsidRPr="00A353D6">
              <w:rPr>
                <w:sz w:val="16"/>
                <w:lang w:val="en-GB"/>
              </w:rPr>
              <w:t xml:space="preserve">Bernard C.K.Choi and Anita W.P.Pak (Jan 2005): A Catalog of Biases in Questionnaires. </w:t>
            </w:r>
            <w:hyperlink r:id="rId52">
              <w:r>
                <w:rPr>
                  <w:rStyle w:val="Hyperlink"/>
                  <w:sz w:val="16"/>
                </w:rPr>
                <w:t>http://www.cdc.gov/pcd/issues/2005/jan/04_0050.htm</w:t>
              </w:r>
            </w:hyperlink>
            <w:r>
              <w:rPr>
                <w:sz w:val="16"/>
              </w:rPr>
              <w:t xml:space="preserve"> </w:t>
            </w:r>
          </w:p>
        </w:tc>
      </w:tr>
    </w:tbl>
    <w:p w:rsidR="00860A11" w:rsidRPr="000A700F" w:rsidRDefault="00860A11" w:rsidP="00320535">
      <w:pPr>
        <w:pStyle w:val="HHeading2"/>
        <w:rPr>
          <w:highlight w:val="yellow"/>
        </w:rPr>
      </w:pPr>
      <w:bookmarkStart w:id="258" w:name="_Toc434744524"/>
      <w:bookmarkStart w:id="259" w:name="_Toc436140063"/>
      <w:bookmarkStart w:id="260" w:name="_Toc443491690"/>
      <w:bookmarkStart w:id="261" w:name="_Toc453079773"/>
      <w:r>
        <w:rPr>
          <w:highlight w:val="yellow"/>
        </w:rPr>
        <w:t xml:space="preserve">PHASE D'ANALYSE </w:t>
      </w:r>
      <w:bookmarkEnd w:id="258"/>
      <w:bookmarkEnd w:id="259"/>
      <w:r>
        <w:rPr>
          <w:highlight w:val="yellow"/>
        </w:rPr>
        <w:t>: Examen des informations disponibles</w:t>
      </w:r>
      <w:bookmarkEnd w:id="260"/>
      <w:bookmarkEnd w:id="261"/>
    </w:p>
    <w:p w:rsidR="00860A11" w:rsidRPr="00A353D6" w:rsidRDefault="00860A11" w:rsidP="00112F30">
      <w:pPr>
        <w:pStyle w:val="HStandard"/>
        <w:rPr>
          <w:lang w:val="en-GB"/>
        </w:rPr>
      </w:pPr>
      <w:r w:rsidRPr="00A353D6">
        <w:rPr>
          <w:lang w:val="en-GB"/>
        </w:rPr>
        <w:t>In the analysing phase, all available information is systematically processed and synthesized. Different tools and techniques are applied to measure outputs, results and impacts against objectives and targets. Ideally, in this phase the main task would be to separate the effects of the NRN interventions from the host of other possible influences on the outcomes. This means to analyse the collected qualitative and quantitative evidence, and assess the NRN’s achievements towards objectives and effects in the form of net values of result indicators (in 2017 and 2019) and impact indicators (in 2019 and in the ex post evaluation).</w:t>
      </w:r>
      <w:r w:rsidRPr="00A353D6">
        <w:rPr>
          <w:rFonts w:ascii="ZWAdobeF" w:hAnsi="ZWAdobeF"/>
          <w:color w:val="auto"/>
          <w:sz w:val="2"/>
          <w:lang w:val="en-GB"/>
        </w:rPr>
        <w:t>117F</w:t>
      </w:r>
      <w:r>
        <w:rPr>
          <w:rStyle w:val="FootnoteReference"/>
        </w:rPr>
        <w:footnoteReference w:id="118"/>
      </w:r>
    </w:p>
    <w:p w:rsidR="00860A11" w:rsidRPr="00A353D6" w:rsidRDefault="00860A11" w:rsidP="00112F30">
      <w:pPr>
        <w:pStyle w:val="HStandard"/>
        <w:rPr>
          <w:lang w:val="en-GB"/>
        </w:rPr>
      </w:pPr>
      <w:r w:rsidRPr="00A353D6">
        <w:rPr>
          <w:lang w:val="en-GB"/>
        </w:rPr>
        <w:t>In any case the evaluators try to answer the question: “To what extent did the change happen due to the NRN intervention?”</w:t>
      </w:r>
    </w:p>
    <w:p w:rsidR="00860A11" w:rsidRPr="00A353D6" w:rsidRDefault="00860A11" w:rsidP="00112F30">
      <w:pPr>
        <w:pStyle w:val="HStandard"/>
        <w:rPr>
          <w:lang w:val="en-GB"/>
        </w:rPr>
      </w:pPr>
      <w:r w:rsidRPr="00A353D6">
        <w:rPr>
          <w:lang w:val="en-GB"/>
        </w:rPr>
        <w:t>The evaluator’s task in the analysis of NRN effects is to establish a logical series of steps that enable the analysis of the data and information collected during the observing phase.</w:t>
      </w:r>
    </w:p>
    <w:p w:rsidR="00860A11" w:rsidRPr="008D0759" w:rsidRDefault="00860A11" w:rsidP="00112F30">
      <w:pPr>
        <w:pStyle w:val="HHeadingfigures"/>
      </w:pPr>
      <w:bookmarkStart w:id="262" w:name="_Toc436383170"/>
      <w:bookmarkStart w:id="263" w:name="_Toc436140078"/>
      <w:bookmarkStart w:id="264" w:name="_Toc451781941"/>
      <w:r>
        <w:t>The analysing phase</w:t>
      </w:r>
      <w:bookmarkEnd w:id="262"/>
      <w:bookmarkEnd w:id="263"/>
      <w:bookmarkEnd w:id="264"/>
    </w:p>
    <w:p w:rsidR="00860A11" w:rsidRPr="008D0759" w:rsidRDefault="00860A11" w:rsidP="00112F30">
      <w:pPr>
        <w:jc w:val="center"/>
      </w:pPr>
      <w:r>
        <w:rPr>
          <w:noProof/>
          <w:lang w:eastAsia="en-GB"/>
        </w:rPr>
        <w:lastRenderedPageBreak/>
        <w:drawing>
          <wp:inline distT="0" distB="0" distL="0" distR="0" wp14:anchorId="0C3AA6A3" wp14:editId="41177D01">
            <wp:extent cx="5091163" cy="2448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nalysing.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091163" cy="2448000"/>
                    </a:xfrm>
                    <a:prstGeom prst="rect">
                      <a:avLst/>
                    </a:prstGeom>
                  </pic:spPr>
                </pic:pic>
              </a:graphicData>
            </a:graphic>
          </wp:inline>
        </w:drawing>
      </w:r>
    </w:p>
    <w:p w:rsidR="00860A11" w:rsidRPr="008D0759" w:rsidRDefault="00860A11" w:rsidP="00320BBA">
      <w:pPr>
        <w:pStyle w:val="HSource"/>
      </w:pPr>
      <w:r>
        <w:t>Source: Helpdesk du Réseau européen d'évaluation du développement rural 2016</w:t>
      </w:r>
    </w:p>
    <w:p w:rsidR="00860A11" w:rsidRPr="00A353D6" w:rsidRDefault="00860A11" w:rsidP="00320535">
      <w:pPr>
        <w:pStyle w:val="HHeading3"/>
        <w:rPr>
          <w:lang w:val="en-GB"/>
        </w:rPr>
      </w:pPr>
      <w:bookmarkStart w:id="265" w:name="_Toc433481250"/>
      <w:bookmarkStart w:id="266" w:name="_Toc433718156"/>
      <w:bookmarkStart w:id="267" w:name="_Toc434744530"/>
      <w:bookmarkStart w:id="268" w:name="_Toc443491691"/>
      <w:bookmarkStart w:id="269" w:name="_Toc453079774"/>
      <w:r w:rsidRPr="00A353D6">
        <w:rPr>
          <w:lang w:val="en-GB"/>
        </w:rPr>
        <w:t>Introductory qualitative analysis and formulation of testable hypotheses</w:t>
      </w:r>
      <w:bookmarkEnd w:id="265"/>
      <w:bookmarkEnd w:id="266"/>
      <w:bookmarkEnd w:id="267"/>
      <w:bookmarkEnd w:id="268"/>
      <w:bookmarkEnd w:id="269"/>
    </w:p>
    <w:p w:rsidR="00860A11" w:rsidRPr="00A353D6" w:rsidRDefault="00860A11" w:rsidP="00112F30">
      <w:pPr>
        <w:pStyle w:val="HStandard"/>
        <w:rPr>
          <w:lang w:val="en-GB"/>
        </w:rPr>
      </w:pPr>
      <w:r w:rsidRPr="00A353D6">
        <w:rPr>
          <w:lang w:val="en-GB"/>
        </w:rPr>
        <w:t xml:space="preserve">A preliminary qualitative analysis should be carried out at the beginning of an evaluation process in order to reflect on various possible expected or unexpected, positive or negative effects of the NRN. The main aim of this introductory qualitative analysis should be the formulation of hypotheses on potential effects, most notably those which, in view of the RD stakeholders and policy makers, are expected to make the biggest “change” in comparison with a situation “without” the NRN interventions. </w:t>
      </w:r>
    </w:p>
    <w:p w:rsidR="00860A11" w:rsidRPr="00A353D6" w:rsidRDefault="00860A11" w:rsidP="00112F30">
      <w:pPr>
        <w:pStyle w:val="HStandard"/>
        <w:rPr>
          <w:lang w:val="en-GB"/>
        </w:rPr>
      </w:pPr>
      <w:r w:rsidRPr="00A353D6">
        <w:rPr>
          <w:lang w:val="en-GB"/>
        </w:rPr>
        <w:t>The provision of stakeholders’, beneficiaries’ and associated experts’ perspectives on the NRN’s performance is valuable, particularly with regard to unintended or indirect effects.</w:t>
      </w:r>
    </w:p>
    <w:p w:rsidR="00860A11" w:rsidRPr="00A353D6" w:rsidRDefault="00860A11" w:rsidP="00112F30">
      <w:pPr>
        <w:pStyle w:val="HStandard"/>
        <w:rPr>
          <w:lang w:val="en-GB"/>
        </w:rPr>
      </w:pPr>
      <w:r w:rsidRPr="00A353D6">
        <w:rPr>
          <w:lang w:val="en-GB"/>
        </w:rPr>
        <w:t>This step will culminate in the formulation of testable hypotheses based on the single common evaluation question for NRNs and its related judgment criteria, and on the NRN-specific evaluation questions and judgment criteria.</w:t>
      </w:r>
    </w:p>
    <w:p w:rsidR="00860A11" w:rsidRPr="008D0759" w:rsidRDefault="00860A11" w:rsidP="00320535">
      <w:pPr>
        <w:pStyle w:val="HHeading3"/>
        <w:rPr>
          <w:rFonts w:eastAsia="Calibri"/>
        </w:rPr>
      </w:pPr>
      <w:bookmarkStart w:id="270" w:name="_Toc443491692"/>
      <w:bookmarkStart w:id="271" w:name="_Toc433481251"/>
      <w:bookmarkStart w:id="272" w:name="_Toc433718157"/>
      <w:bookmarkStart w:id="273" w:name="_Toc434744531"/>
      <w:bookmarkStart w:id="274" w:name="_Toc443491693"/>
      <w:bookmarkStart w:id="275" w:name="_Toc453079775"/>
      <w:bookmarkEnd w:id="270"/>
      <w:r>
        <w:t>Testing and verification of hypotheses</w:t>
      </w:r>
      <w:bookmarkEnd w:id="271"/>
      <w:bookmarkEnd w:id="272"/>
      <w:bookmarkEnd w:id="273"/>
      <w:bookmarkEnd w:id="274"/>
      <w:bookmarkEnd w:id="275"/>
    </w:p>
    <w:p w:rsidR="00860A11" w:rsidRPr="00A353D6" w:rsidRDefault="00860A11" w:rsidP="00112F30">
      <w:pPr>
        <w:pStyle w:val="HStandard"/>
        <w:rPr>
          <w:rFonts w:eastAsia="Calibri"/>
          <w:lang w:val="en-GB"/>
        </w:rPr>
      </w:pPr>
      <w:r w:rsidRPr="00A353D6">
        <w:rPr>
          <w:lang w:val="en-GB"/>
        </w:rPr>
        <w:t>Under this step, the above hypotheses are empirically tested using various methods to obtain different perspectives on the same phenomena. For NRN evaluation, where most of the data and information will be of qualitative nature, it is important to use this information to analyse expected or unexpected, positive or negative aspects of NRN effects. This step is the first attempt to test the theory of change behind the intervention logic, the assumptions which are symbolised by the arrows leading from inputs to outputs, from outputs to results, and from results to impacts.</w:t>
      </w:r>
    </w:p>
    <w:p w:rsidR="00860A11" w:rsidRPr="00A353D6" w:rsidRDefault="00860A11" w:rsidP="00112F30">
      <w:pPr>
        <w:pStyle w:val="HStandard"/>
        <w:rPr>
          <w:rFonts w:eastAsia="Calibri"/>
          <w:lang w:val="en-GB"/>
        </w:rPr>
      </w:pPr>
      <w:r w:rsidRPr="00A353D6">
        <w:rPr>
          <w:lang w:val="en-GB"/>
        </w:rPr>
        <w:t xml:space="preserve">As explained before, NRN results are linked to the changes in NRN stakeholders´ behaviour, while NRN impacts are expected, on one hand, to contribute to RDP results and, on the other, to generate changes in the human and social capital in rural areas, which also might affect the RDP impacts (See </w:t>
      </w:r>
      <w:r>
        <w:rPr>
          <w:rFonts w:eastAsia="Calibri"/>
        </w:rPr>
        <w:fldChar w:fldCharType="begin" w:fldLock="1"/>
      </w:r>
      <w:r w:rsidRPr="00A353D6">
        <w:rPr>
          <w:rFonts w:eastAsia="Calibri"/>
          <w:lang w:val="en-GB"/>
        </w:rPr>
        <w:instrText xml:space="preserve"> REF _Ref451784787 \r \h </w:instrText>
      </w:r>
      <w:r>
        <w:rPr>
          <w:rFonts w:eastAsia="Calibri"/>
        </w:rPr>
      </w:r>
      <w:r>
        <w:rPr>
          <w:rFonts w:eastAsia="Calibri"/>
        </w:rPr>
        <w:fldChar w:fldCharType="separate"/>
      </w:r>
      <w:r w:rsidRPr="00A353D6">
        <w:rPr>
          <w:rFonts w:eastAsia="Calibri"/>
          <w:lang w:val="en-GB"/>
        </w:rPr>
        <w:t>Figure 8</w:t>
      </w:r>
      <w:r>
        <w:rPr>
          <w:rFonts w:eastAsia="Calibri"/>
        </w:rPr>
        <w:fldChar w:fldCharType="end"/>
      </w:r>
      <w:r w:rsidRPr="00A353D6">
        <w:rPr>
          <w:lang w:val="en-GB"/>
        </w:rPr>
        <w:t xml:space="preserve"> in chapter 1.4.2).</w:t>
      </w:r>
    </w:p>
    <w:p w:rsidR="00860A11" w:rsidRPr="00A353D6" w:rsidRDefault="00860A11" w:rsidP="00112F30">
      <w:pPr>
        <w:pStyle w:val="HStandard"/>
        <w:rPr>
          <w:rFonts w:eastAsia="Calibri"/>
          <w:lang w:val="en-GB"/>
        </w:rPr>
      </w:pPr>
      <w:r w:rsidRPr="00A353D6">
        <w:rPr>
          <w:lang w:val="en-GB"/>
        </w:rPr>
        <w:t xml:space="preserve">While the NRN’s contribution to the RDP’s results can be appraised in a more straightforward fashion via the NRN’s direct and indirect beneficiaries, the analysis of behavioural changes, and in general changes in human and social capital, is specifically subject to biases (the researcher’s cognitive filters, the social desirability of certain answers, respondents’ hidden agenda, etc.). It is therefore recommended not only to differentiate between actors invited to participate as internal and external observers, but also to attribute specific roles to members of the evaluation team: as participating observers and outside observers (although we know that there is no such thing as a genuinely “neutral” </w:t>
      </w:r>
      <w:r w:rsidRPr="00A353D6">
        <w:rPr>
          <w:lang w:val="en-GB"/>
        </w:rPr>
        <w:lastRenderedPageBreak/>
        <w:t>observation point). This can be very helpful in focus group settings, validating the preliminary evaluation outcomes.</w:t>
      </w:r>
    </w:p>
    <w:p w:rsidR="00860A11" w:rsidRPr="00A353D6" w:rsidRDefault="00860A11" w:rsidP="00112F30">
      <w:pPr>
        <w:pStyle w:val="Heading6"/>
        <w:rPr>
          <w:lang w:val="en-GB"/>
        </w:rPr>
      </w:pPr>
      <w:r w:rsidRPr="00A353D6">
        <w:rPr>
          <w:lang w:val="en-GB"/>
        </w:rPr>
        <w:t>Who is an ‘actor’?</w:t>
      </w:r>
    </w:p>
    <w:p w:rsidR="00860A11" w:rsidRPr="00A353D6" w:rsidRDefault="00860A11" w:rsidP="00112F30">
      <w:pPr>
        <w:pStyle w:val="HStandard"/>
        <w:rPr>
          <w:lang w:val="en-GB"/>
        </w:rPr>
      </w:pPr>
      <w:r w:rsidRPr="00A353D6">
        <w:rPr>
          <w:lang w:val="en-GB"/>
        </w:rPr>
        <w:t>Changes in human and social capital can only be investigated by social analysis. A crude distinction between social actors in the realm of RDP networking would identify stakeholders and beneficiaries as actors on whom the investigation should focus. But this distinction is not sufficient for a sound analysis of the results and impacts of social interventions.</w:t>
      </w:r>
    </w:p>
    <w:p w:rsidR="00860A11" w:rsidRPr="00A353D6" w:rsidRDefault="00860A11" w:rsidP="00112F30">
      <w:pPr>
        <w:pStyle w:val="HStandard"/>
        <w:rPr>
          <w:lang w:val="en-GB"/>
        </w:rPr>
      </w:pPr>
      <w:r w:rsidRPr="00A353D6">
        <w:rPr>
          <w:lang w:val="en-GB"/>
        </w:rPr>
        <w:t>The methodology of Critical Systems Heuristics may help us to make a better choice of actors (when it comes to selecting interview partners, focus group participants, etc.) for evaluation purposes.</w:t>
      </w:r>
    </w:p>
    <w:p w:rsidR="00860A11" w:rsidRPr="00A353D6" w:rsidRDefault="00860A11" w:rsidP="00112F30">
      <w:pPr>
        <w:pStyle w:val="HStandard"/>
        <w:rPr>
          <w:lang w:val="en-GB"/>
        </w:rPr>
      </w:pPr>
      <w:r w:rsidRPr="00A353D6">
        <w:rPr>
          <w:lang w:val="en-GB"/>
        </w:rPr>
        <w:t xml:space="preserve">Critical Systems Heuristics, originally developed by Werner Ulrich and Martin Reynolds, distinguishes between: </w:t>
      </w:r>
    </w:p>
    <w:p w:rsidR="00860A11" w:rsidRPr="00A353D6" w:rsidRDefault="00860A11" w:rsidP="00112F30">
      <w:pPr>
        <w:pStyle w:val="Hlistbullet2"/>
        <w:rPr>
          <w:lang w:val="en-GB"/>
        </w:rPr>
      </w:pPr>
      <w:r w:rsidRPr="00A353D6">
        <w:rPr>
          <w:b/>
          <w:lang w:val="en-GB"/>
        </w:rPr>
        <w:t>Clients</w:t>
      </w:r>
      <w:r w:rsidRPr="00A353D6">
        <w:rPr>
          <w:lang w:val="en-GB"/>
        </w:rPr>
        <w:t xml:space="preserve"> (in our terminology ‘beneficiaries’); they are the sources of motivation for any Rural Development Programme; they stand for the purpose of RDPs/NRN(P)s.</w:t>
      </w:r>
    </w:p>
    <w:p w:rsidR="00860A11" w:rsidRPr="00A353D6" w:rsidRDefault="00860A11" w:rsidP="00112F30">
      <w:pPr>
        <w:pStyle w:val="Hlistbullet2"/>
        <w:rPr>
          <w:lang w:val="en-GB"/>
        </w:rPr>
      </w:pPr>
      <w:r w:rsidRPr="00A353D6">
        <w:rPr>
          <w:b/>
          <w:lang w:val="en-GB"/>
        </w:rPr>
        <w:t>Decision-makers</w:t>
      </w:r>
      <w:r w:rsidRPr="00A353D6">
        <w:rPr>
          <w:lang w:val="en-GB"/>
        </w:rPr>
        <w:t xml:space="preserve"> (usually addressed as ‘stakeholders’); they are the sources of power in the design, implementation and evaluation of any Rural Development Programme; they stand for the provision of resources of RDPs/NRN(P)s.</w:t>
      </w:r>
    </w:p>
    <w:p w:rsidR="00860A11" w:rsidRPr="00A353D6" w:rsidRDefault="00860A11" w:rsidP="00112F30">
      <w:pPr>
        <w:pStyle w:val="Hlistbullet2"/>
        <w:rPr>
          <w:lang w:val="en-GB"/>
        </w:rPr>
      </w:pPr>
      <w:r w:rsidRPr="00A353D6">
        <w:rPr>
          <w:b/>
          <w:lang w:val="en-GB"/>
        </w:rPr>
        <w:t xml:space="preserve">Professionals </w:t>
      </w:r>
      <w:r w:rsidRPr="00A353D6">
        <w:rPr>
          <w:lang w:val="en-GB"/>
        </w:rPr>
        <w:t>(mostly addressed as ‘experts’, but also as ‘stakeholders’); they are the sources and hubs of knowledge; they stand for the expertise (in terms of content and strategizing) necessary to make the RDPs/NRN(P)s work. Many actors which will multiply the knowledge/skills can be found within this category</w:t>
      </w:r>
      <w:r w:rsidRPr="00A353D6">
        <w:rPr>
          <w:rFonts w:ascii="ZWAdobeF" w:hAnsi="ZWAdobeF"/>
          <w:color w:val="auto"/>
          <w:sz w:val="2"/>
          <w:lang w:val="en-GB"/>
        </w:rPr>
        <w:t>118F</w:t>
      </w:r>
      <w:r>
        <w:rPr>
          <w:rStyle w:val="FootnoteReference"/>
        </w:rPr>
        <w:footnoteReference w:id="119"/>
      </w:r>
      <w:r w:rsidRPr="00A353D6">
        <w:rPr>
          <w:lang w:val="en-GB"/>
        </w:rPr>
        <w:t>, although they also play a role among the others.</w:t>
      </w:r>
    </w:p>
    <w:p w:rsidR="00860A11" w:rsidRPr="00A353D6" w:rsidRDefault="00860A11" w:rsidP="00112F30">
      <w:pPr>
        <w:pStyle w:val="Hlistbullet2"/>
        <w:rPr>
          <w:lang w:val="en-GB"/>
        </w:rPr>
      </w:pPr>
      <w:r w:rsidRPr="00A353D6">
        <w:rPr>
          <w:b/>
          <w:lang w:val="en-GB"/>
        </w:rPr>
        <w:t>Witnesses</w:t>
      </w:r>
      <w:r w:rsidRPr="00A353D6">
        <w:rPr>
          <w:lang w:val="en-GB"/>
        </w:rPr>
        <w:t xml:space="preserve"> (anyone not included in the former groups, but part of the wider system, e.g. taxpayers, food consumers, rural dwellers, etc.); they provide legitimacy against the backdrop of the society as a whole and of higher societal principles; they connect the specific results to the long-term perspective, the probability of lasting changes (impact level).</w:t>
      </w:r>
    </w:p>
    <w:p w:rsidR="00860A11" w:rsidRPr="00A353D6" w:rsidRDefault="00860A11" w:rsidP="00320535">
      <w:pPr>
        <w:pStyle w:val="HHeading3"/>
        <w:rPr>
          <w:lang w:val="en-GB"/>
        </w:rPr>
      </w:pPr>
      <w:bookmarkStart w:id="276" w:name="_Toc443491694"/>
      <w:bookmarkStart w:id="277" w:name="_Toc433481252"/>
      <w:bookmarkStart w:id="278" w:name="_Toc433718158"/>
      <w:bookmarkStart w:id="279" w:name="_Toc434744532"/>
      <w:bookmarkStart w:id="280" w:name="_Toc443491695"/>
      <w:bookmarkStart w:id="281" w:name="_Toc453079776"/>
      <w:bookmarkEnd w:id="276"/>
      <w:r w:rsidRPr="00A353D6">
        <w:rPr>
          <w:lang w:val="en-GB"/>
        </w:rPr>
        <w:t>Identifying net results of NRN interventions</w:t>
      </w:r>
      <w:bookmarkEnd w:id="277"/>
      <w:bookmarkEnd w:id="278"/>
      <w:bookmarkEnd w:id="279"/>
      <w:bookmarkEnd w:id="280"/>
      <w:bookmarkEnd w:id="281"/>
    </w:p>
    <w:p w:rsidR="00860A11" w:rsidRPr="00A353D6" w:rsidRDefault="00860A11" w:rsidP="00112F30">
      <w:pPr>
        <w:pStyle w:val="HStandard"/>
        <w:rPr>
          <w:lang w:val="en-GB"/>
        </w:rPr>
      </w:pPr>
      <w:r w:rsidRPr="00A353D6">
        <w:rPr>
          <w:lang w:val="en-GB"/>
        </w:rPr>
        <w:t>Whenever possible, the results and impacts of NRN interventions should be expressed in net terms, which means after taking into account the effects that cannot be attributed to the NRN activities, and by taking into account indirect effects</w:t>
      </w:r>
      <w:r w:rsidRPr="00A353D6">
        <w:rPr>
          <w:rFonts w:ascii="ZWAdobeF" w:hAnsi="ZWAdobeF"/>
          <w:color w:val="auto"/>
          <w:sz w:val="2"/>
          <w:lang w:val="en-GB"/>
        </w:rPr>
        <w:t>119F</w:t>
      </w:r>
      <w:r>
        <w:rPr>
          <w:rStyle w:val="FootnoteReference"/>
        </w:rPr>
        <w:footnoteReference w:id="120"/>
      </w:r>
      <w:r w:rsidRPr="00A353D6">
        <w:rPr>
          <w:lang w:val="en-GB"/>
        </w:rPr>
        <w:t xml:space="preserve"> (e.g. multiplier effects of activities which go beyond the group of direct and indirect NRN beneficiaries). The evaluator should specify in detail what elements have been accounted for when calculating programme net effects. </w:t>
      </w:r>
    </w:p>
    <w:p w:rsidR="00860A11" w:rsidRPr="00A353D6" w:rsidRDefault="00860A11" w:rsidP="00112F30">
      <w:pPr>
        <w:pStyle w:val="HStandard"/>
        <w:rPr>
          <w:rFonts w:eastAsia="Calibri"/>
          <w:lang w:val="en-GB"/>
        </w:rPr>
      </w:pPr>
      <w:r w:rsidRPr="00A353D6">
        <w:rPr>
          <w:lang w:val="en-GB"/>
        </w:rPr>
        <w:t>Counterfactuals are the recommended approach for netting out NRN effects, although its use is rather limited for several NRN interventions, often relying on qualitative information and conducted in a  simulative way, e.g. using specific focus group settings, such as MAPP method</w:t>
      </w:r>
      <w:r w:rsidRPr="00A353D6">
        <w:rPr>
          <w:rFonts w:ascii="ZWAdobeF" w:hAnsi="ZWAdobeF"/>
          <w:color w:val="auto"/>
          <w:sz w:val="2"/>
          <w:lang w:val="en-GB"/>
        </w:rPr>
        <w:t>120F</w:t>
      </w:r>
      <w:r>
        <w:rPr>
          <w:rStyle w:val="FootnoteReference"/>
        </w:rPr>
        <w:footnoteReference w:id="121"/>
      </w:r>
      <w:r w:rsidRPr="00A353D6">
        <w:rPr>
          <w:lang w:val="en-GB"/>
        </w:rPr>
        <w:t xml:space="preserve">. These focus groups would involve representatives of beneficiaries and non-beneficiaries and relevant institutional stakeholders whose knowledge may be relevant for an estimation of the net impacts, taking into consideration the NRN indirect effects, intended or unintended ones, and the wider context of rural development. Horizontal CAP objectives should be considered as well, looking at the complementarities with other networking-type interventions (e.g. EIP OPs; ERDF smart specialisation programme).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860A11" w:rsidRPr="008D0759" w:rsidTr="00112F30">
        <w:tc>
          <w:tcPr>
            <w:tcW w:w="9016" w:type="dxa"/>
            <w:shd w:val="clear" w:color="auto" w:fill="F5F4F4" w:themeFill="background2" w:themeFillTint="66"/>
          </w:tcPr>
          <w:p w:rsidR="00860A11" w:rsidRPr="000A700F" w:rsidRDefault="00860A11" w:rsidP="00112F30">
            <w:pPr>
              <w:pStyle w:val="HStandard"/>
              <w:rPr>
                <w:highlight w:val="yellow"/>
              </w:rPr>
            </w:pPr>
            <w:r>
              <w:rPr>
                <w:highlight w:val="yellow"/>
              </w:rPr>
              <w:t>Questions directrices pour la phase d'analyse:</w:t>
            </w:r>
          </w:p>
          <w:p w:rsidR="00860A11" w:rsidRPr="000A700F" w:rsidRDefault="00860A11" w:rsidP="00860A11">
            <w:pPr>
              <w:pStyle w:val="Hlistbullet2"/>
              <w:rPr>
                <w:highlight w:val="yellow"/>
              </w:rPr>
            </w:pPr>
            <w:r>
              <w:rPr>
                <w:highlight w:val="yellow"/>
              </w:rPr>
              <w:lastRenderedPageBreak/>
              <w:t xml:space="preserve">Comment évaluer la contribution du RRN aux objectifs de la politique de développement rural?  </w:t>
            </w:r>
          </w:p>
          <w:p w:rsidR="00860A11" w:rsidRPr="000A700F" w:rsidRDefault="00860A11" w:rsidP="00860A11">
            <w:pPr>
              <w:pStyle w:val="Hlistbullet2"/>
              <w:rPr>
                <w:highlight w:val="yellow"/>
              </w:rPr>
            </w:pPr>
            <w:r>
              <w:rPr>
                <w:highlight w:val="yellow"/>
              </w:rPr>
              <w:t>Comment attribuer aux interventions du RRN les changements observés dans le capital humain et social au niveau individuel, organisationnel et sociétal? (par exemple changements de comportement, de connaissances et compétences, de capacités de mise en réseau et de communication, de gouvernance des zones rurales, etc.)?</w:t>
            </w:r>
          </w:p>
          <w:p w:rsidR="00860A11" w:rsidRPr="000A700F" w:rsidRDefault="00860A11" w:rsidP="00860A11">
            <w:pPr>
              <w:pStyle w:val="Hlistbullet2"/>
              <w:rPr>
                <w:highlight w:val="yellow"/>
              </w:rPr>
            </w:pPr>
            <w:r>
              <w:rPr>
                <w:highlight w:val="yellow"/>
              </w:rPr>
              <w:t>Quelles sont les principales différences entre la théorie du changement sous-jacente  à la logique d'intervention et comment les choses se révèlent-elles dans la réalité?</w:t>
            </w:r>
          </w:p>
          <w:p w:rsidR="00860A11" w:rsidRPr="000A700F" w:rsidRDefault="00860A11" w:rsidP="00860A11">
            <w:pPr>
              <w:pStyle w:val="Hlistbullet2"/>
              <w:rPr>
                <w:highlight w:val="yellow"/>
              </w:rPr>
            </w:pPr>
            <w:r>
              <w:rPr>
                <w:highlight w:val="yellow"/>
              </w:rPr>
              <w:t>Quels sont les effets involontaires des interventions du RRN? Lesquelles sont souhaitables et lesquelles ne le sont pas? Comment peut-on les découvrir et expliquer leur présence?</w:t>
            </w:r>
          </w:p>
        </w:tc>
      </w:tr>
    </w:tbl>
    <w:p w:rsidR="00860A11" w:rsidRPr="000A700F" w:rsidRDefault="00860A11" w:rsidP="00D35287">
      <w:pPr>
        <w:pStyle w:val="HHeading5"/>
        <w:rPr>
          <w:highlight w:val="yellow"/>
        </w:rPr>
      </w:pPr>
      <w:r>
        <w:rPr>
          <w:highlight w:val="yellow"/>
        </w:rPr>
        <w:lastRenderedPageBreak/>
        <w:t xml:space="preserve">À faire et ne pas faire </w:t>
      </w:r>
    </w:p>
    <w:tbl>
      <w:tblPr>
        <w:tblStyle w:val="LightList-Accent5"/>
        <w:tblW w:w="0" w:type="auto"/>
        <w:tblLook w:val="04A0" w:firstRow="1" w:lastRow="0" w:firstColumn="1" w:lastColumn="0" w:noHBand="0" w:noVBand="1"/>
      </w:tblPr>
      <w:tblGrid>
        <w:gridCol w:w="4504"/>
        <w:gridCol w:w="4502"/>
      </w:tblGrid>
      <w:tr w:rsidR="00860A11" w:rsidRPr="000A700F" w:rsidTr="00445E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860A11" w:rsidRPr="000A700F" w:rsidRDefault="00860A11" w:rsidP="00445E97">
            <w:pPr>
              <w:pStyle w:val="HHeading5"/>
              <w:jc w:val="center"/>
              <w:rPr>
                <w:highlight w:val="yellow"/>
              </w:rPr>
            </w:pPr>
            <w:r>
              <w:rPr>
                <w:noProof/>
                <w:highlight w:val="yellow"/>
                <w:lang w:val="en-GB" w:eastAsia="en-GB" w:bidi="ar-SA"/>
              </w:rPr>
              <w:drawing>
                <wp:inline distT="0" distB="0" distL="0" distR="0" wp14:anchorId="3D235546" wp14:editId="0F8B23F7">
                  <wp:extent cx="360000" cy="360000"/>
                  <wp:effectExtent l="0" t="0" r="254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860A11" w:rsidRPr="000A700F" w:rsidRDefault="00860A11" w:rsidP="00445E97">
            <w:pPr>
              <w:pStyle w:val="HHeading5"/>
              <w:jc w:val="center"/>
              <w:cnfStyle w:val="100000000000" w:firstRow="1" w:lastRow="0" w:firstColumn="0" w:lastColumn="0" w:oddVBand="0" w:evenVBand="0" w:oddHBand="0" w:evenHBand="0" w:firstRowFirstColumn="0" w:firstRowLastColumn="0" w:lastRowFirstColumn="0" w:lastRowLastColumn="0"/>
              <w:rPr>
                <w:highlight w:val="yellow"/>
              </w:rPr>
            </w:pPr>
            <w:r>
              <w:rPr>
                <w:noProof/>
                <w:highlight w:val="yellow"/>
                <w:lang w:val="en-GB" w:eastAsia="en-GB" w:bidi="ar-SA"/>
              </w:rPr>
              <w:drawing>
                <wp:inline distT="0" distB="0" distL="0" distR="0" wp14:anchorId="67EF83C9" wp14:editId="6A9F93AD">
                  <wp:extent cx="360000" cy="360000"/>
                  <wp:effectExtent l="0" t="0" r="254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860A11" w:rsidRPr="008D0759" w:rsidTr="00445E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860A11" w:rsidRPr="000A700F" w:rsidRDefault="00860A11"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 xml:space="preserve">Utiliser la logique d'intervention et poser les questions d'évaluation en toile de fond pour les hypothèses. </w:t>
            </w:r>
          </w:p>
          <w:p w:rsidR="00860A11" w:rsidRPr="000A700F" w:rsidRDefault="00860A11"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 xml:space="preserve">Tenir compte de la contribution du RRN à la réalisation des objectifs de la politique rurale. </w:t>
            </w:r>
          </w:p>
          <w:p w:rsidR="00860A11" w:rsidRPr="000A700F" w:rsidRDefault="00860A11"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Se concentrer sur les changements  du capital humain et social, c’est-à-dire du comportement des partenaires limitrophes et les effets induits.</w:t>
            </w:r>
          </w:p>
          <w:p w:rsidR="00860A11" w:rsidRPr="000A700F" w:rsidRDefault="00860A11"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Considérer l'analyse contre-factuelle comme un outil important  pour attribuer les changements observés à l'intervention  du RRN.</w:t>
            </w:r>
          </w:p>
          <w:p w:rsidR="00860A11" w:rsidRPr="000A700F" w:rsidRDefault="00860A11" w:rsidP="00445E97">
            <w:pPr>
              <w:pStyle w:val="HStandard"/>
              <w:rPr>
                <w:color w:val="FFC000" w:themeColor="accent4"/>
                <w:highlight w:val="yellow"/>
              </w:rPr>
            </w:pPr>
            <w:r>
              <w:rPr>
                <w:b w:val="0"/>
                <w:color w:val="FFC000" w:themeColor="accent4"/>
                <w:sz w:val="18"/>
                <w:highlight w:val="yellow"/>
              </w:rPr>
              <w:t>Même si l'analyse contre-factuelle n’est pas possible, essayer de s’en approcher en posant des questions appropriées et en utilisant des sources multiples pour évaluer les résultats et impacts du RRN.</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860A11" w:rsidRPr="000A700F" w:rsidRDefault="00860A11"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Ne compter que sur sa propre interprétation des faits.</w:t>
            </w:r>
          </w:p>
          <w:p w:rsidR="00860A11" w:rsidRPr="000A700F" w:rsidRDefault="00860A11"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Conclure sur les résultats obtenus avec une seule méthode.</w:t>
            </w:r>
          </w:p>
          <w:p w:rsidR="00860A11" w:rsidRPr="000A700F" w:rsidRDefault="00860A11"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 xml:space="preserve">Ne poser les questions d'évaluation que de manière mécanique, sans approfondir les informations. </w:t>
            </w:r>
          </w:p>
          <w:p w:rsidR="00860A11" w:rsidRPr="008D0759" w:rsidRDefault="00860A11" w:rsidP="00445E97">
            <w:pPr>
              <w:pStyle w:val="HStandard"/>
              <w:cnfStyle w:val="000000100000" w:firstRow="0" w:lastRow="0" w:firstColumn="0" w:lastColumn="0" w:oddVBand="0" w:evenVBand="0" w:oddHBand="1" w:evenHBand="0" w:firstRowFirstColumn="0" w:firstRowLastColumn="0" w:lastRowFirstColumn="0" w:lastRowLastColumn="0"/>
              <w:rPr>
                <w:color w:val="ED7D31" w:themeColor="accent2"/>
              </w:rPr>
            </w:pPr>
            <w:r>
              <w:rPr>
                <w:color w:val="ED7D31" w:themeColor="accent2"/>
                <w:sz w:val="18"/>
                <w:highlight w:val="yellow"/>
              </w:rPr>
              <w:t>Ne procéder qu’à une comparaison avant-après, sans même parler des autres facteurs.</w:t>
            </w:r>
          </w:p>
        </w:tc>
      </w:tr>
    </w:tbl>
    <w:p w:rsidR="00860A11" w:rsidRPr="008D0759" w:rsidRDefault="00860A11" w:rsidP="00D35287">
      <w:pPr>
        <w:pStyle w:val="HHeading5"/>
      </w:pPr>
      <w:r>
        <w:t>Further reading</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F5F4F4" w:themeFill="background2" w:themeFillTint="66"/>
        <w:tblLook w:val="04A0" w:firstRow="1" w:lastRow="0" w:firstColumn="1" w:lastColumn="0" w:noHBand="0" w:noVBand="1"/>
      </w:tblPr>
      <w:tblGrid>
        <w:gridCol w:w="9072"/>
      </w:tblGrid>
      <w:tr w:rsidR="00860A11" w:rsidRPr="00E37021" w:rsidTr="00112F30">
        <w:tc>
          <w:tcPr>
            <w:tcW w:w="9918" w:type="dxa"/>
            <w:shd w:val="clear" w:color="auto" w:fill="F5F4F4" w:themeFill="background2" w:themeFillTint="66"/>
          </w:tcPr>
          <w:p w:rsidR="00860A11" w:rsidRPr="00A353D6" w:rsidRDefault="00860A11" w:rsidP="00112F30">
            <w:pPr>
              <w:pStyle w:val="HStandard"/>
              <w:rPr>
                <w:sz w:val="16"/>
                <w:szCs w:val="16"/>
                <w:lang w:val="en-GB"/>
              </w:rPr>
            </w:pPr>
            <w:r w:rsidRPr="00A353D6">
              <w:rPr>
                <w:sz w:val="16"/>
                <w:lang w:val="en-GB"/>
              </w:rPr>
              <w:t>EU Rural Evaluation Helpdesk: Working Paper on Approaches for assessing the impacts of the Rural Development Programmes in the context of multiple intervening factors. March 2010. Chapter 3.3.3.3 starting on page 31 specifically deals with ‘possibilities to deal with apparent non-availability of control groups’.</w:t>
            </w:r>
          </w:p>
          <w:p w:rsidR="00860A11" w:rsidRPr="00A353D6" w:rsidRDefault="00860A11" w:rsidP="00112F30">
            <w:pPr>
              <w:pStyle w:val="HStandard"/>
              <w:rPr>
                <w:sz w:val="16"/>
                <w:szCs w:val="16"/>
                <w:lang w:val="en-GB"/>
              </w:rPr>
            </w:pPr>
            <w:r w:rsidRPr="00A353D6">
              <w:rPr>
                <w:sz w:val="16"/>
                <w:lang w:val="en-GB"/>
              </w:rPr>
              <w:t xml:space="preserve">There is a brief description of the Critical Systems Heuristics approach on the BetterEvaluation website: </w:t>
            </w:r>
            <w:hyperlink r:id="rId54">
              <w:r w:rsidRPr="00A353D6">
                <w:rPr>
                  <w:rStyle w:val="Hyperlink"/>
                  <w:sz w:val="16"/>
                  <w:lang w:val="en-GB"/>
                </w:rPr>
                <w:t>http://betterevaluation.org/plan/approach/critical_system_heuristics</w:t>
              </w:r>
            </w:hyperlink>
            <w:r w:rsidRPr="00A353D6">
              <w:rPr>
                <w:sz w:val="16"/>
                <w:lang w:val="en-GB"/>
              </w:rPr>
              <w:t xml:space="preserve"> </w:t>
            </w:r>
          </w:p>
          <w:p w:rsidR="00860A11" w:rsidRPr="00A353D6" w:rsidRDefault="00860A11" w:rsidP="00112F30">
            <w:pPr>
              <w:pStyle w:val="HStandard"/>
              <w:rPr>
                <w:sz w:val="16"/>
                <w:szCs w:val="16"/>
                <w:lang w:val="en-GB"/>
              </w:rPr>
            </w:pPr>
            <w:r w:rsidRPr="00A353D6">
              <w:rPr>
                <w:sz w:val="16"/>
                <w:lang w:val="en-GB"/>
              </w:rPr>
              <w:t xml:space="preserve">For the basics of the CSH approach see: </w:t>
            </w:r>
            <w:r w:rsidRPr="00A353D6">
              <w:rPr>
                <w:color w:val="000000"/>
                <w:sz w:val="16"/>
                <w:lang w:val="en-GB"/>
              </w:rPr>
              <w:t>Reynolds, M (2007). “Evaluation based on critical systems heuristics.” In Using Systems Concepts in Evaluation: An Expert Anthology, edited by Bob Williams and Iraj Imam, 101-122. Point Reyes, CA: EdgePress. Available online at: </w:t>
            </w:r>
            <w:hyperlink r:id="rId55">
              <w:r w:rsidRPr="00A353D6">
                <w:rPr>
                  <w:rStyle w:val="Hyperlink"/>
                  <w:sz w:val="16"/>
                  <w:lang w:val="en-GB"/>
                </w:rPr>
                <w:t>http://oro.open.ac.uk/3464/</w:t>
              </w:r>
            </w:hyperlink>
          </w:p>
        </w:tc>
      </w:tr>
    </w:tbl>
    <w:p w:rsidR="00860A11" w:rsidRPr="000A700F" w:rsidRDefault="00860A11" w:rsidP="00320535">
      <w:pPr>
        <w:pStyle w:val="HHeading2"/>
        <w:rPr>
          <w:highlight w:val="yellow"/>
        </w:rPr>
      </w:pPr>
      <w:bookmarkStart w:id="282" w:name="_Toc433481253"/>
      <w:bookmarkStart w:id="283" w:name="_Toc433718159"/>
      <w:bookmarkStart w:id="284" w:name="_Toc434744533"/>
      <w:bookmarkStart w:id="285" w:name="_Toc433481254"/>
      <w:bookmarkStart w:id="286" w:name="_Toc433718160"/>
      <w:bookmarkStart w:id="287" w:name="_Toc434744534"/>
      <w:bookmarkStart w:id="288" w:name="_Toc433481255"/>
      <w:bookmarkStart w:id="289" w:name="_Toc433718161"/>
      <w:bookmarkStart w:id="290" w:name="_Toc434744535"/>
      <w:bookmarkStart w:id="291" w:name="_Toc433481256"/>
      <w:bookmarkStart w:id="292" w:name="_Toc433718162"/>
      <w:bookmarkStart w:id="293" w:name="_Toc434744536"/>
      <w:bookmarkStart w:id="294" w:name="_Toc433481257"/>
      <w:bookmarkStart w:id="295" w:name="_Toc433718163"/>
      <w:bookmarkStart w:id="296" w:name="_Toc434744537"/>
      <w:bookmarkStart w:id="297" w:name="_Toc433481258"/>
      <w:bookmarkStart w:id="298" w:name="_Toc433718164"/>
      <w:bookmarkStart w:id="299" w:name="_Toc434744538"/>
      <w:bookmarkStart w:id="300" w:name="_Toc433481259"/>
      <w:bookmarkStart w:id="301" w:name="_Toc433718165"/>
      <w:bookmarkStart w:id="302" w:name="_Toc434744539"/>
      <w:bookmarkStart w:id="303" w:name="_Toc434744638"/>
      <w:bookmarkStart w:id="304" w:name="_Toc436140064"/>
      <w:bookmarkStart w:id="305" w:name="_Toc443491696"/>
      <w:bookmarkStart w:id="306" w:name="_Toc453079777"/>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r>
        <w:rPr>
          <w:highlight w:val="yellow"/>
        </w:rPr>
        <w:t>JUGEMENT: Réponses aux questions d'évaluation</w:t>
      </w:r>
      <w:bookmarkEnd w:id="303"/>
      <w:bookmarkEnd w:id="304"/>
      <w:bookmarkEnd w:id="305"/>
      <w:bookmarkEnd w:id="306"/>
    </w:p>
    <w:p w:rsidR="00860A11" w:rsidRPr="00A353D6" w:rsidRDefault="00860A11" w:rsidP="00112F30">
      <w:pPr>
        <w:pStyle w:val="HStandard"/>
        <w:rPr>
          <w:lang w:val="en-GB"/>
        </w:rPr>
      </w:pPr>
      <w:r w:rsidRPr="00A353D6">
        <w:rPr>
          <w:lang w:val="en-GB"/>
        </w:rPr>
        <w:t xml:space="preserve">In the judging phase, the evaluator interprets evaluation findings, answers all evaluation questions and draws conclusions from the analysis regarding the judgement criteria defined in the structuring phase. In any event, the answers to the evaluation questions should be accompanied by a critical discussion of the evidence of findings. The answers to evaluation questions, conclusions and recommendations </w:t>
      </w:r>
      <w:r w:rsidRPr="00A353D6">
        <w:rPr>
          <w:lang w:val="en-GB"/>
        </w:rPr>
        <w:lastRenderedPageBreak/>
        <w:t xml:space="preserve">relate inter alia to the NRN(P) achievements and added value, the functioning and processes of NRNs. The answer to each evaluation question must reflect the common indicators, any additional NRN-specific indicators and any additional qualitative information obtained on the implementation of the NRN’s activities through the evaluation process. In all types of NRN evaluations, the evaluation needs to consider the NRN action plan or the NRNP evaluation plan and the context within which NRN activities are implemented. </w:t>
      </w:r>
    </w:p>
    <w:p w:rsidR="00860A11" w:rsidRPr="00A353D6" w:rsidRDefault="00860A11" w:rsidP="00112F30">
      <w:pPr>
        <w:pStyle w:val="HStandard"/>
        <w:rPr>
          <w:lang w:val="en-GB"/>
        </w:rPr>
      </w:pPr>
      <w:r w:rsidRPr="00A353D6">
        <w:rPr>
          <w:lang w:val="en-GB"/>
        </w:rPr>
        <w:t>The judgment should include a critical discussion of furthering and hindering factors. If certain activities have not delivered the expected results and impacts, an analysis of the reasons is necessary.</w:t>
      </w:r>
    </w:p>
    <w:p w:rsidR="00860A11" w:rsidRPr="00A353D6" w:rsidRDefault="00860A11" w:rsidP="00112F30">
      <w:pPr>
        <w:pStyle w:val="HStandard"/>
        <w:rPr>
          <w:lang w:val="en-GB"/>
        </w:rPr>
      </w:pPr>
      <w:r w:rsidRPr="00A353D6">
        <w:rPr>
          <w:lang w:val="en-GB"/>
        </w:rPr>
        <w:t>During this phase, evaluators have to accomplish four steps:</w:t>
      </w:r>
    </w:p>
    <w:p w:rsidR="00860A11" w:rsidRPr="00A353D6" w:rsidRDefault="00860A11" w:rsidP="00112F30">
      <w:pPr>
        <w:pStyle w:val="Hlistbullet2"/>
        <w:rPr>
          <w:lang w:val="en-GB"/>
        </w:rPr>
      </w:pPr>
      <w:r w:rsidRPr="00A353D6">
        <w:rPr>
          <w:lang w:val="en-GB"/>
        </w:rPr>
        <w:t>Judge on the effectiveness and efficiency of the NSU and NRN(P) activities and the degree to which the NRN(P) contributed to achieving rural development policy/RDP objectives and their own objectives;</w:t>
      </w:r>
    </w:p>
    <w:p w:rsidR="00860A11" w:rsidRPr="00A353D6" w:rsidRDefault="00860A11" w:rsidP="00112F30">
      <w:pPr>
        <w:pStyle w:val="Hlistbullet2"/>
        <w:rPr>
          <w:lang w:val="en-GB"/>
        </w:rPr>
      </w:pPr>
      <w:r w:rsidRPr="00A353D6">
        <w:rPr>
          <w:lang w:val="en-GB"/>
        </w:rPr>
        <w:t>Identify the factors which contributed to the success or failure in achieving the NRN’s objectives;</w:t>
      </w:r>
    </w:p>
    <w:p w:rsidR="00860A11" w:rsidRPr="00A353D6" w:rsidRDefault="00860A11" w:rsidP="00112F30">
      <w:pPr>
        <w:pStyle w:val="Hlistbullet2"/>
        <w:rPr>
          <w:lang w:val="en-GB"/>
        </w:rPr>
      </w:pPr>
      <w:r w:rsidRPr="00A353D6">
        <w:rPr>
          <w:lang w:val="en-GB"/>
        </w:rPr>
        <w:t>Answer all evaluation questions (common and NRN-specific);</w:t>
      </w:r>
    </w:p>
    <w:p w:rsidR="00860A11" w:rsidRPr="00A353D6" w:rsidRDefault="00860A11" w:rsidP="00112F30">
      <w:pPr>
        <w:pStyle w:val="Hlistbullet2"/>
        <w:rPr>
          <w:lang w:val="en-GB"/>
        </w:rPr>
      </w:pPr>
      <w:r w:rsidRPr="00A353D6">
        <w:rPr>
          <w:lang w:val="en-GB"/>
        </w:rPr>
        <w:t>Draft conclusions and recommendations based on the findings, including proposing possible adjustments necessary to improve the design, content and implementation of NRN activities.</w:t>
      </w:r>
    </w:p>
    <w:p w:rsidR="00860A11" w:rsidRPr="008D0759" w:rsidRDefault="00860A11" w:rsidP="00112F30">
      <w:pPr>
        <w:pStyle w:val="HHeadingfigures"/>
      </w:pPr>
      <w:bookmarkStart w:id="307" w:name="_Toc436383171"/>
      <w:bookmarkStart w:id="308" w:name="_Toc436140079"/>
      <w:bookmarkStart w:id="309" w:name="_Toc451781942"/>
      <w:bookmarkStart w:id="310" w:name="_Ref451784802"/>
      <w:r>
        <w:t>The judging phase</w:t>
      </w:r>
      <w:bookmarkEnd w:id="307"/>
      <w:bookmarkEnd w:id="308"/>
      <w:bookmarkEnd w:id="309"/>
      <w:bookmarkEnd w:id="310"/>
    </w:p>
    <w:p w:rsidR="00860A11" w:rsidRPr="008D0759" w:rsidRDefault="00860A11" w:rsidP="00C0080B">
      <w:pPr>
        <w:jc w:val="center"/>
      </w:pPr>
      <w:r>
        <w:rPr>
          <w:rFonts w:eastAsia="Arial Unicode MS"/>
          <w:noProof/>
          <w:lang w:eastAsia="en-GB"/>
        </w:rPr>
        <w:drawing>
          <wp:inline distT="0" distB="0" distL="0" distR="0" wp14:anchorId="06F15600" wp14:editId="737D0507">
            <wp:extent cx="5731510" cy="2613025"/>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Judging.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31510" cy="2613025"/>
                    </a:xfrm>
                    <a:prstGeom prst="rect">
                      <a:avLst/>
                    </a:prstGeom>
                  </pic:spPr>
                </pic:pic>
              </a:graphicData>
            </a:graphic>
          </wp:inline>
        </w:drawing>
      </w:r>
    </w:p>
    <w:p w:rsidR="00860A11" w:rsidRPr="00A353D6" w:rsidRDefault="00860A11" w:rsidP="00320BBA">
      <w:pPr>
        <w:pStyle w:val="HSource"/>
        <w:rPr>
          <w:lang w:val="en-GB"/>
        </w:rPr>
      </w:pPr>
      <w:r w:rsidRPr="00A353D6">
        <w:rPr>
          <w:lang w:val="en-GB"/>
        </w:rPr>
        <w:t>Source: European Evaluation Helpdesk for Rural Development, 2016</w:t>
      </w:r>
    </w:p>
    <w:p w:rsidR="00860A11" w:rsidRPr="00A353D6" w:rsidRDefault="00860A11" w:rsidP="00112F30">
      <w:pPr>
        <w:pStyle w:val="HStandard"/>
        <w:rPr>
          <w:lang w:val="en-GB"/>
        </w:rPr>
      </w:pPr>
      <w:r w:rsidRPr="00A353D6">
        <w:rPr>
          <w:lang w:val="en-GB"/>
        </w:rPr>
        <w:t>The judging phase delivers answers to:</w:t>
      </w:r>
    </w:p>
    <w:p w:rsidR="00860A11" w:rsidRPr="00A353D6" w:rsidRDefault="00860A11" w:rsidP="00112F30">
      <w:pPr>
        <w:pStyle w:val="Hlistbullet2"/>
        <w:rPr>
          <w:lang w:val="en-GB"/>
        </w:rPr>
      </w:pPr>
      <w:r w:rsidRPr="00A353D6">
        <w:rPr>
          <w:lang w:val="en-GB"/>
        </w:rPr>
        <w:t>the common evaluation question addressing the NRN’s activities: “To what extent has the national rural network contributed to achieving the objectives laid down in Regulation (EU) No 1305/2013, Art.54 (2)”?</w:t>
      </w:r>
      <w:r w:rsidRPr="00A353D6">
        <w:rPr>
          <w:rFonts w:ascii="ZWAdobeF" w:hAnsi="ZWAdobeF"/>
          <w:color w:val="auto"/>
          <w:sz w:val="2"/>
          <w:lang w:val="en-GB"/>
        </w:rPr>
        <w:t>121F</w:t>
      </w:r>
      <w:r>
        <w:rPr>
          <w:rStyle w:val="FootnoteReference"/>
        </w:rPr>
        <w:footnoteReference w:id="122"/>
      </w:r>
    </w:p>
    <w:p w:rsidR="00860A11" w:rsidRPr="00A353D6" w:rsidRDefault="00860A11" w:rsidP="00112F30">
      <w:pPr>
        <w:pStyle w:val="Hlistbullet2"/>
        <w:rPr>
          <w:lang w:val="en-GB"/>
        </w:rPr>
      </w:pPr>
      <w:r w:rsidRPr="00A353D6">
        <w:rPr>
          <w:lang w:val="en-GB"/>
        </w:rPr>
        <w:t>NRN-related programme-specific evaluation questions formulated by the NSU and/or Managing Authority (with or without collaboration with NRN stakeholders) in the preparatory phase or by the evaluators in agreement with the NSU/MA during the structuring phase.</w:t>
      </w:r>
    </w:p>
    <w:p w:rsidR="00860A11" w:rsidRPr="00A353D6" w:rsidRDefault="00860A11" w:rsidP="005F5B2D">
      <w:pPr>
        <w:pStyle w:val="HStandard"/>
        <w:rPr>
          <w:lang w:val="en-GB"/>
        </w:rPr>
      </w:pPr>
      <w:r>
        <w:lastRenderedPageBreak/>
        <w:fldChar w:fldCharType="begin" w:fldLock="1"/>
      </w:r>
      <w:r w:rsidRPr="00A353D6">
        <w:rPr>
          <w:lang w:val="en-GB"/>
        </w:rPr>
        <w:instrText xml:space="preserve"> REF _Ref451784802 \r \h </w:instrText>
      </w:r>
      <w:r>
        <w:fldChar w:fldCharType="separate"/>
      </w:r>
      <w:r w:rsidRPr="00A353D6">
        <w:rPr>
          <w:lang w:val="en-GB"/>
        </w:rPr>
        <w:t>Figure 23</w:t>
      </w:r>
      <w:r>
        <w:fldChar w:fldCharType="end"/>
      </w:r>
      <w:r w:rsidRPr="00A353D6">
        <w:rPr>
          <w:lang w:val="en-GB"/>
        </w:rPr>
        <w:t xml:space="preserve"> shows how the findings are clustered to answer the evaluation questions and feed into conclusions and recommendations. The inferred, i.e. aggregated findings relate to the policy objectives for the NRN.</w:t>
      </w:r>
    </w:p>
    <w:p w:rsidR="00860A11" w:rsidRPr="00A353D6" w:rsidRDefault="00860A11">
      <w:pPr>
        <w:spacing w:after="0" w:line="240" w:lineRule="auto"/>
        <w:rPr>
          <w:rFonts w:cs="Arial"/>
          <w:color w:val="576C88" w:themeColor="text2" w:themeTint="D9"/>
          <w:sz w:val="20"/>
          <w:szCs w:val="20"/>
        </w:rPr>
      </w:pPr>
      <w:r w:rsidRPr="00A353D6">
        <w:br w:type="page"/>
      </w:r>
    </w:p>
    <w:p w:rsidR="00860A11" w:rsidRPr="00A353D6" w:rsidRDefault="00860A11" w:rsidP="005F5B2D">
      <w:pPr>
        <w:pStyle w:val="HHeadingfigures"/>
        <w:rPr>
          <w:lang w:val="en-GB"/>
        </w:rPr>
      </w:pPr>
      <w:bookmarkStart w:id="311" w:name="_Ref436138850"/>
      <w:bookmarkStart w:id="312" w:name="_Toc436140080"/>
      <w:bookmarkStart w:id="313" w:name="_Toc436383172"/>
      <w:bookmarkStart w:id="314" w:name="_Toc451781943"/>
      <w:r w:rsidRPr="00A353D6">
        <w:rPr>
          <w:lang w:val="en-GB"/>
        </w:rPr>
        <w:lastRenderedPageBreak/>
        <w:t>Transparent inference ladder from findings to conclusions and recommendations</w:t>
      </w:r>
      <w:bookmarkEnd w:id="311"/>
      <w:bookmarkEnd w:id="312"/>
      <w:bookmarkEnd w:id="313"/>
      <w:bookmarkEnd w:id="314"/>
    </w:p>
    <w:p w:rsidR="00860A11" w:rsidRPr="008D0759" w:rsidRDefault="00860A11" w:rsidP="00320BBA">
      <w:r>
        <w:rPr>
          <w:noProof/>
          <w:lang w:eastAsia="en-GB"/>
        </w:rPr>
        <w:drawing>
          <wp:inline distT="0" distB="0" distL="0" distR="0" wp14:anchorId="1E36E53E" wp14:editId="3B052D34">
            <wp:extent cx="5731510" cy="3226435"/>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erence.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31510" cy="3226435"/>
                    </a:xfrm>
                    <a:prstGeom prst="rect">
                      <a:avLst/>
                    </a:prstGeom>
                  </pic:spPr>
                </pic:pic>
              </a:graphicData>
            </a:graphic>
          </wp:inline>
        </w:drawing>
      </w:r>
    </w:p>
    <w:p w:rsidR="00860A11" w:rsidRPr="00A353D6" w:rsidRDefault="00860A11" w:rsidP="00320BBA">
      <w:pPr>
        <w:pStyle w:val="HSource"/>
        <w:rPr>
          <w:lang w:val="en-GB"/>
        </w:rPr>
      </w:pPr>
      <w:r w:rsidRPr="00A353D6">
        <w:rPr>
          <w:lang w:val="en-GB"/>
        </w:rPr>
        <w:t>Source: European Evaluation Helpdesk for Rural Development, 2016</w:t>
      </w:r>
    </w:p>
    <w:p w:rsidR="00860A11" w:rsidRPr="00A353D6" w:rsidRDefault="00860A11" w:rsidP="005133B2">
      <w:pPr>
        <w:pStyle w:val="HHeading3"/>
        <w:rPr>
          <w:lang w:val="en-GB"/>
        </w:rPr>
      </w:pPr>
      <w:bookmarkStart w:id="315" w:name="_Toc433481360"/>
      <w:bookmarkStart w:id="316" w:name="_Toc443491698"/>
      <w:bookmarkStart w:id="317" w:name="_Toc453079778"/>
      <w:r w:rsidRPr="00A353D6">
        <w:rPr>
          <w:lang w:val="en-GB"/>
        </w:rPr>
        <w:t>Judge on effectiveness and efficiency of the NRN, results/</w:t>
      </w:r>
      <w:bookmarkEnd w:id="315"/>
      <w:r w:rsidRPr="00A353D6">
        <w:rPr>
          <w:lang w:val="en-GB"/>
        </w:rPr>
        <w:t>impacts and the degree of achievement of objectives</w:t>
      </w:r>
      <w:bookmarkEnd w:id="316"/>
      <w:bookmarkEnd w:id="317"/>
    </w:p>
    <w:p w:rsidR="00860A11" w:rsidRPr="00A353D6" w:rsidRDefault="00860A11" w:rsidP="005F5B2D">
      <w:pPr>
        <w:pStyle w:val="HStandard"/>
        <w:rPr>
          <w:lang w:val="en-GB"/>
        </w:rPr>
      </w:pPr>
      <w:r w:rsidRPr="00A353D6">
        <w:rPr>
          <w:lang w:val="en-GB"/>
        </w:rPr>
        <w:t>The various findings on the effectiveness of network activities towards NRN related policy objectives (programme, national, EU), NRN results/impacts and on the efficiency of the NRN in terms of achieving the best value for money are interpreted and judged upon.</w:t>
      </w:r>
    </w:p>
    <w:p w:rsidR="00860A11" w:rsidRPr="00A353D6" w:rsidRDefault="00860A11" w:rsidP="005133B2">
      <w:pPr>
        <w:pStyle w:val="HHeading3"/>
        <w:rPr>
          <w:lang w:val="en-GB"/>
        </w:rPr>
      </w:pPr>
      <w:bookmarkStart w:id="318" w:name="_Toc433481362"/>
      <w:bookmarkStart w:id="319" w:name="_Toc433718265"/>
      <w:bookmarkStart w:id="320" w:name="_Toc434744639"/>
      <w:bookmarkStart w:id="321" w:name="_Toc443491699"/>
      <w:bookmarkStart w:id="322" w:name="_Toc453079779"/>
      <w:r w:rsidRPr="00A353D6">
        <w:rPr>
          <w:lang w:val="en-GB"/>
        </w:rPr>
        <w:t>Identify factors of success and failure</w:t>
      </w:r>
      <w:bookmarkEnd w:id="318"/>
      <w:bookmarkEnd w:id="319"/>
      <w:bookmarkEnd w:id="320"/>
      <w:bookmarkEnd w:id="321"/>
      <w:bookmarkEnd w:id="322"/>
    </w:p>
    <w:p w:rsidR="00860A11" w:rsidRPr="00A353D6" w:rsidRDefault="00860A11" w:rsidP="00320BBA">
      <w:pPr>
        <w:pStyle w:val="HStandard"/>
        <w:spacing w:after="0"/>
        <w:rPr>
          <w:lang w:val="en-GB"/>
        </w:rPr>
      </w:pPr>
      <w:bookmarkStart w:id="323" w:name="_Toc433718266"/>
      <w:bookmarkStart w:id="324" w:name="_Toc434744640"/>
      <w:r w:rsidRPr="00A353D6">
        <w:rPr>
          <w:lang w:val="en-GB"/>
        </w:rPr>
        <w:t>If the previous step has brought forth answers to the question: “What has been achieved? What has not been achieved?”, the main learning value of the next step consists of exploring the question: “How has it been achieved?” or “Why has it not been achieved?”  Questions like these address the links (i.e. the arrows) connecting the outputs, results and impacts in the intervention logic. The arrows stand for more or less explicit assumptions on how the NRN’s beneficiaries/target groups would make use of the output, or on the ways the results achieved by beneficiaries/target groups would take effect in the context of the rural society. They have already been put under scrutiny in the analysing phase. Now, in the judgment phase, it is the time to point out to what extent the findings confirm or contradict these assumptions, and to elicit the identified factors of success and failure</w:t>
      </w:r>
      <w:bookmarkEnd w:id="323"/>
      <w:r w:rsidRPr="00A353D6">
        <w:rPr>
          <w:lang w:val="en-GB"/>
        </w:rPr>
        <w:t>: Lessons for the future.</w:t>
      </w:r>
      <w:bookmarkEnd w:id="324"/>
    </w:p>
    <w:p w:rsidR="00860A11" w:rsidRPr="008D0759" w:rsidRDefault="00860A11" w:rsidP="005133B2">
      <w:pPr>
        <w:pStyle w:val="HHeading3"/>
      </w:pPr>
      <w:bookmarkStart w:id="325" w:name="_Toc443491700"/>
      <w:bookmarkStart w:id="326" w:name="_Toc443491701"/>
      <w:bookmarkStart w:id="327" w:name="_Toc453079780"/>
      <w:bookmarkEnd w:id="325"/>
      <w:r>
        <w:t>Answer all evaluation questions</w:t>
      </w:r>
      <w:bookmarkEnd w:id="326"/>
      <w:bookmarkEnd w:id="327"/>
    </w:p>
    <w:p w:rsidR="00860A11" w:rsidRPr="00A353D6" w:rsidRDefault="00860A11" w:rsidP="005F5B2D">
      <w:pPr>
        <w:pStyle w:val="HStandard"/>
        <w:rPr>
          <w:lang w:val="en-GB"/>
        </w:rPr>
      </w:pPr>
      <w:r w:rsidRPr="00A353D6">
        <w:rPr>
          <w:lang w:val="en-GB"/>
        </w:rPr>
        <w:t xml:space="preserve">The evaluation findings provide the basis for answering the common and programme-specific NRN-related evaluation questions. </w:t>
      </w:r>
    </w:p>
    <w:p w:rsidR="00860A11" w:rsidRPr="00A353D6" w:rsidRDefault="00860A11" w:rsidP="005F5B2D">
      <w:pPr>
        <w:pStyle w:val="HStandard"/>
        <w:rPr>
          <w:lang w:val="en-GB"/>
        </w:rPr>
      </w:pPr>
      <w:r w:rsidRPr="00A353D6">
        <w:rPr>
          <w:lang w:val="en-GB"/>
        </w:rPr>
        <w:t xml:space="preserve">In the case of NRNs embedded in RDPs, the evaluation findings can also show how the NRN has contributed to the achievement of rural development objectives in terms of focus areas and priority levels. These findings might be used while answering other non NRN related evaluation questions. For example, the CEQ addressing Focus Area 2a: “To what extent have RDP interventions contributed to improving the economic performance, restructuring and modernization of supported farms in particular </w:t>
      </w:r>
      <w:r w:rsidRPr="00A353D6">
        <w:rPr>
          <w:lang w:val="en-GB"/>
        </w:rPr>
        <w:lastRenderedPageBreak/>
        <w:t xml:space="preserve">through increasing their market participation and agricultural diversification?” can be related to the interventions of the NRN geared towards fostering innovation and increasing access to markets. </w:t>
      </w:r>
    </w:p>
    <w:p w:rsidR="00860A11" w:rsidRPr="00A353D6" w:rsidRDefault="00860A11" w:rsidP="005F5B2D">
      <w:pPr>
        <w:pStyle w:val="HStandard"/>
        <w:rPr>
          <w:lang w:val="en-GB"/>
        </w:rPr>
      </w:pPr>
      <w:r w:rsidRPr="00A353D6">
        <w:rPr>
          <w:lang w:val="en-GB"/>
        </w:rPr>
        <w:t>To make it easier to track the derivation of the answers to the EQs, it is recommended to present the findings using a table with three columns. The upper column exhibits the respective evaluation question, in the central column the means to answer the evaluation question should be explained, and in the bottom column the answer to the evaluation question is placed.</w:t>
      </w:r>
    </w:p>
    <w:p w:rsidR="00860A11" w:rsidRPr="00A353D6" w:rsidRDefault="00860A11" w:rsidP="005F5B2D">
      <w:pPr>
        <w:pStyle w:val="HHeadingtables"/>
        <w:rPr>
          <w:lang w:val="en-GB"/>
        </w:rPr>
      </w:pPr>
      <w:bookmarkStart w:id="328" w:name="_Toc451781918"/>
      <w:r w:rsidRPr="00A353D6">
        <w:rPr>
          <w:lang w:val="en-GB"/>
        </w:rPr>
        <w:t>Depicting the answers to evaluation questions</w:t>
      </w:r>
      <w:bookmarkEnd w:id="328"/>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016"/>
      </w:tblGrid>
      <w:tr w:rsidR="00860A11" w:rsidRPr="008D0759" w:rsidTr="005F5B2D">
        <w:trPr>
          <w:trHeight w:val="390"/>
        </w:trPr>
        <w:tc>
          <w:tcPr>
            <w:tcW w:w="9016" w:type="dxa"/>
          </w:tcPr>
          <w:p w:rsidR="00860A11" w:rsidRPr="008D0759" w:rsidRDefault="00860A11" w:rsidP="004C05DD">
            <w:r>
              <w:t>Evaluation Question</w:t>
            </w:r>
          </w:p>
        </w:tc>
      </w:tr>
      <w:tr w:rsidR="00860A11" w:rsidRPr="00E37021" w:rsidTr="005F5B2D">
        <w:trPr>
          <w:trHeight w:val="390"/>
        </w:trPr>
        <w:tc>
          <w:tcPr>
            <w:tcW w:w="9016" w:type="dxa"/>
          </w:tcPr>
          <w:p w:rsidR="00860A11" w:rsidRPr="00A353D6" w:rsidRDefault="00860A11" w:rsidP="004C05DD">
            <w:pPr>
              <w:rPr>
                <w:lang w:val="en-GB"/>
              </w:rPr>
            </w:pPr>
            <w:r w:rsidRPr="00A353D6">
              <w:rPr>
                <w:lang w:val="en-GB"/>
              </w:rPr>
              <w:t>Means to answer the evaluation question, e.g. information sources, indicators used, outcomes of qualitative research, etc.</w:t>
            </w:r>
          </w:p>
        </w:tc>
      </w:tr>
      <w:tr w:rsidR="00860A11" w:rsidRPr="00E37021" w:rsidTr="005F5B2D">
        <w:tc>
          <w:tcPr>
            <w:tcW w:w="9016" w:type="dxa"/>
          </w:tcPr>
          <w:p w:rsidR="00860A11" w:rsidRPr="00A353D6" w:rsidRDefault="00860A11" w:rsidP="004C05DD">
            <w:pPr>
              <w:rPr>
                <w:lang w:val="en-GB"/>
              </w:rPr>
            </w:pPr>
            <w:r w:rsidRPr="00A353D6">
              <w:rPr>
                <w:lang w:val="en-GB"/>
              </w:rPr>
              <w:t>Answer to the evaluation question</w:t>
            </w:r>
          </w:p>
        </w:tc>
      </w:tr>
    </w:tbl>
    <w:p w:rsidR="00860A11" w:rsidRPr="00A353D6" w:rsidRDefault="00860A11" w:rsidP="005F5B2D">
      <w:pPr>
        <w:pStyle w:val="HStandard"/>
        <w:rPr>
          <w:lang w:val="en-GB"/>
        </w:rPr>
      </w:pPr>
      <w:bookmarkStart w:id="329" w:name="_Toc433481363"/>
      <w:bookmarkStart w:id="330" w:name="_Toc433718267"/>
      <w:bookmarkStart w:id="331" w:name="_Toc434744641"/>
      <w:bookmarkStart w:id="332" w:name="_Toc443491703"/>
      <w:r w:rsidRPr="00A353D6">
        <w:rPr>
          <w:lang w:val="en-GB"/>
        </w:rPr>
        <w:t>In the AIRs 2017 and 2019, the MA will use the SFC template to answer each evaluation question, in a similar structure as the table above.</w:t>
      </w:r>
    </w:p>
    <w:p w:rsidR="00860A11" w:rsidRPr="008D0759" w:rsidRDefault="00860A11" w:rsidP="005133B2">
      <w:pPr>
        <w:pStyle w:val="HHeading3"/>
      </w:pPr>
      <w:bookmarkStart w:id="333" w:name="_Toc453079781"/>
      <w:r>
        <w:t>Draft conclusions and recommendations</w:t>
      </w:r>
      <w:bookmarkEnd w:id="329"/>
      <w:bookmarkEnd w:id="330"/>
      <w:bookmarkEnd w:id="331"/>
      <w:bookmarkEnd w:id="332"/>
      <w:bookmarkEnd w:id="333"/>
    </w:p>
    <w:p w:rsidR="00860A11" w:rsidRPr="00A353D6" w:rsidRDefault="00860A11" w:rsidP="005F5B2D">
      <w:pPr>
        <w:pStyle w:val="HStandard"/>
        <w:rPr>
          <w:lang w:val="en-GB"/>
        </w:rPr>
      </w:pPr>
      <w:r w:rsidRPr="00A353D6">
        <w:rPr>
          <w:lang w:val="en-GB"/>
        </w:rPr>
        <w:t xml:space="preserve">The findings and answers to the evaluation questions constitute the basis for the conclusions which lead to recommendations to the MA, NSU and other NRN stakeholders to improve the NRN activities and overall performance.  </w:t>
      </w:r>
    </w:p>
    <w:p w:rsidR="00860A11" w:rsidRPr="00A353D6" w:rsidRDefault="00860A11" w:rsidP="005F5B2D">
      <w:pPr>
        <w:pStyle w:val="HStandard"/>
        <w:rPr>
          <w:lang w:val="en-GB"/>
        </w:rPr>
      </w:pPr>
      <w:r w:rsidRPr="00A353D6">
        <w:rPr>
          <w:lang w:val="en-GB"/>
        </w:rPr>
        <w:t>The answers to the evaluation questions are published in the enhanced AIRs 2017 and 2019. In the   ex post evaluation reports, and other reports envisaged by programme authorities conclusions and recommendations are also published. A possible format for the succinct presentation of evaluation results is shown below (</w:t>
      </w:r>
      <w:r>
        <w:fldChar w:fldCharType="begin" w:fldLock="1"/>
      </w:r>
      <w:r w:rsidRPr="00A353D6">
        <w:rPr>
          <w:lang w:val="en-GB"/>
        </w:rPr>
        <w:instrText xml:space="preserve"> REF _Ref451785094 \r \h </w:instrText>
      </w:r>
      <w:r>
        <w:fldChar w:fldCharType="separate"/>
      </w:r>
      <w:r w:rsidRPr="00A353D6">
        <w:rPr>
          <w:lang w:val="en-GB"/>
        </w:rPr>
        <w:t>Table 15</w:t>
      </w:r>
      <w:r>
        <w:fldChar w:fldCharType="end"/>
      </w:r>
      <w:r w:rsidRPr="00A353D6">
        <w:rPr>
          <w:lang w:val="en-GB"/>
        </w:rPr>
        <w:t>).</w:t>
      </w:r>
    </w:p>
    <w:p w:rsidR="00860A11" w:rsidRPr="00A353D6" w:rsidRDefault="00860A11" w:rsidP="005F5B2D">
      <w:pPr>
        <w:pStyle w:val="HHeadingtables"/>
        <w:rPr>
          <w:lang w:val="en-GB"/>
        </w:rPr>
      </w:pPr>
      <w:bookmarkStart w:id="334" w:name="_Toc436140070"/>
      <w:bookmarkStart w:id="335" w:name="_Toc436383156"/>
      <w:bookmarkStart w:id="336" w:name="_Ref440055456"/>
      <w:bookmarkStart w:id="337" w:name="_Toc451781919"/>
      <w:bookmarkStart w:id="338" w:name="_Ref451785094"/>
      <w:r w:rsidRPr="00A353D6">
        <w:rPr>
          <w:lang w:val="en-GB"/>
        </w:rPr>
        <w:t>Proposed structure for summarising findings, conclusions and recommendations consistently</w:t>
      </w:r>
      <w:bookmarkEnd w:id="334"/>
      <w:bookmarkEnd w:id="335"/>
      <w:bookmarkEnd w:id="336"/>
      <w:bookmarkEnd w:id="337"/>
      <w:bookmarkEnd w:id="338"/>
    </w:p>
    <w:tbl>
      <w:tblPr>
        <w:tblStyle w:val="TableGrid"/>
        <w:tblW w:w="907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111"/>
        <w:gridCol w:w="2261"/>
        <w:gridCol w:w="1971"/>
        <w:gridCol w:w="2729"/>
      </w:tblGrid>
      <w:tr w:rsidR="00860A11" w:rsidRPr="008D0759" w:rsidTr="004C05DD">
        <w:tc>
          <w:tcPr>
            <w:tcW w:w="2252" w:type="dxa"/>
            <w:shd w:val="clear" w:color="auto" w:fill="E7E6E6" w:themeFill="background2"/>
          </w:tcPr>
          <w:p w:rsidR="00860A11" w:rsidRPr="008D0759" w:rsidRDefault="00860A11" w:rsidP="005F5B2D">
            <w:pPr>
              <w:pStyle w:val="Htableleftbolt"/>
              <w:jc w:val="center"/>
              <w:rPr>
                <w:color w:val="5B9BD5" w:themeColor="accent1"/>
              </w:rPr>
            </w:pPr>
            <w:r>
              <w:rPr>
                <w:color w:val="5B9BD5" w:themeColor="accent1"/>
              </w:rPr>
              <w:t>Major evaluation finding</w:t>
            </w:r>
          </w:p>
        </w:tc>
        <w:tc>
          <w:tcPr>
            <w:tcW w:w="2421" w:type="dxa"/>
            <w:shd w:val="clear" w:color="auto" w:fill="E7E6E6" w:themeFill="background2"/>
          </w:tcPr>
          <w:p w:rsidR="00860A11" w:rsidRPr="00A353D6" w:rsidRDefault="00860A11" w:rsidP="005F5B2D">
            <w:pPr>
              <w:pStyle w:val="Htableleftbolt"/>
              <w:jc w:val="center"/>
              <w:rPr>
                <w:color w:val="5B9BD5" w:themeColor="accent1"/>
                <w:lang w:val="en-GB"/>
              </w:rPr>
            </w:pPr>
            <w:r w:rsidRPr="00A353D6">
              <w:rPr>
                <w:color w:val="5B9BD5" w:themeColor="accent1"/>
                <w:lang w:val="en-GB"/>
              </w:rPr>
              <w:t>Answer to relevant evaluation question</w:t>
            </w:r>
          </w:p>
        </w:tc>
        <w:tc>
          <w:tcPr>
            <w:tcW w:w="2083" w:type="dxa"/>
            <w:shd w:val="clear" w:color="auto" w:fill="E7E6E6" w:themeFill="background2"/>
          </w:tcPr>
          <w:p w:rsidR="00860A11" w:rsidRPr="008D0759" w:rsidRDefault="00860A11" w:rsidP="005F5B2D">
            <w:pPr>
              <w:pStyle w:val="Htableleftbolt"/>
              <w:jc w:val="center"/>
              <w:rPr>
                <w:color w:val="5B9BD5" w:themeColor="accent1"/>
              </w:rPr>
            </w:pPr>
            <w:r>
              <w:rPr>
                <w:color w:val="5B9BD5" w:themeColor="accent1"/>
              </w:rPr>
              <w:t>Conclusion</w:t>
            </w:r>
          </w:p>
        </w:tc>
        <w:tc>
          <w:tcPr>
            <w:tcW w:w="2878" w:type="dxa"/>
            <w:shd w:val="clear" w:color="auto" w:fill="E7E6E6" w:themeFill="background2"/>
          </w:tcPr>
          <w:p w:rsidR="00860A11" w:rsidRPr="008D0759" w:rsidRDefault="00860A11" w:rsidP="005F5B2D">
            <w:pPr>
              <w:pStyle w:val="Htableleftbolt"/>
              <w:jc w:val="center"/>
              <w:rPr>
                <w:color w:val="5B9BD5" w:themeColor="accent1"/>
              </w:rPr>
            </w:pPr>
            <w:r>
              <w:rPr>
                <w:color w:val="5B9BD5" w:themeColor="accent1"/>
              </w:rPr>
              <w:t>Recommendation for future NRNs</w:t>
            </w:r>
          </w:p>
        </w:tc>
      </w:tr>
      <w:tr w:rsidR="00860A11" w:rsidRPr="008D0759" w:rsidTr="004C05DD">
        <w:tc>
          <w:tcPr>
            <w:tcW w:w="2252" w:type="dxa"/>
            <w:shd w:val="clear" w:color="auto" w:fill="auto"/>
          </w:tcPr>
          <w:p w:rsidR="00860A11" w:rsidRPr="008D0759" w:rsidRDefault="00860A11" w:rsidP="004C05DD">
            <w:pPr>
              <w:pStyle w:val="Htableleft"/>
              <w:rPr>
                <w:color w:val="576C88" w:themeColor="text2" w:themeTint="D9"/>
              </w:rPr>
            </w:pPr>
          </w:p>
        </w:tc>
        <w:tc>
          <w:tcPr>
            <w:tcW w:w="2421" w:type="dxa"/>
            <w:shd w:val="clear" w:color="auto" w:fill="auto"/>
          </w:tcPr>
          <w:p w:rsidR="00860A11" w:rsidRPr="008D0759" w:rsidRDefault="00860A11" w:rsidP="004C05DD">
            <w:pPr>
              <w:pStyle w:val="Htableleft"/>
              <w:rPr>
                <w:color w:val="576C88" w:themeColor="text2" w:themeTint="D9"/>
              </w:rPr>
            </w:pPr>
          </w:p>
        </w:tc>
        <w:tc>
          <w:tcPr>
            <w:tcW w:w="2083" w:type="dxa"/>
            <w:shd w:val="clear" w:color="auto" w:fill="auto"/>
          </w:tcPr>
          <w:p w:rsidR="00860A11" w:rsidRPr="008D0759" w:rsidRDefault="00860A11" w:rsidP="004C05DD">
            <w:pPr>
              <w:pStyle w:val="Htableleft"/>
              <w:rPr>
                <w:color w:val="576C88" w:themeColor="text2" w:themeTint="D9"/>
              </w:rPr>
            </w:pPr>
          </w:p>
        </w:tc>
        <w:tc>
          <w:tcPr>
            <w:tcW w:w="2878" w:type="dxa"/>
            <w:shd w:val="clear" w:color="auto" w:fill="auto"/>
          </w:tcPr>
          <w:p w:rsidR="00860A11" w:rsidRPr="008D0759" w:rsidRDefault="00860A11" w:rsidP="004C05DD">
            <w:pPr>
              <w:pStyle w:val="Htableleft"/>
              <w:rPr>
                <w:color w:val="576C88" w:themeColor="text2" w:themeTint="D9"/>
              </w:rPr>
            </w:pPr>
          </w:p>
        </w:tc>
      </w:tr>
      <w:tr w:rsidR="00860A11" w:rsidRPr="008D0759" w:rsidTr="004C05DD">
        <w:tc>
          <w:tcPr>
            <w:tcW w:w="2252" w:type="dxa"/>
            <w:shd w:val="clear" w:color="auto" w:fill="auto"/>
          </w:tcPr>
          <w:p w:rsidR="00860A11" w:rsidRPr="008D0759" w:rsidRDefault="00860A11" w:rsidP="004C05DD">
            <w:pPr>
              <w:pStyle w:val="Htableleft"/>
              <w:rPr>
                <w:color w:val="576C88" w:themeColor="text2" w:themeTint="D9"/>
              </w:rPr>
            </w:pPr>
          </w:p>
        </w:tc>
        <w:tc>
          <w:tcPr>
            <w:tcW w:w="2421" w:type="dxa"/>
            <w:shd w:val="clear" w:color="auto" w:fill="auto"/>
          </w:tcPr>
          <w:p w:rsidR="00860A11" w:rsidRPr="008D0759" w:rsidRDefault="00860A11" w:rsidP="004C05DD">
            <w:pPr>
              <w:pStyle w:val="Htableleft"/>
              <w:rPr>
                <w:color w:val="576C88" w:themeColor="text2" w:themeTint="D9"/>
              </w:rPr>
            </w:pPr>
          </w:p>
        </w:tc>
        <w:tc>
          <w:tcPr>
            <w:tcW w:w="2083" w:type="dxa"/>
            <w:shd w:val="clear" w:color="auto" w:fill="auto"/>
          </w:tcPr>
          <w:p w:rsidR="00860A11" w:rsidRPr="008D0759" w:rsidRDefault="00860A11" w:rsidP="004C05DD">
            <w:pPr>
              <w:pStyle w:val="Htableleft"/>
              <w:rPr>
                <w:color w:val="576C88" w:themeColor="text2" w:themeTint="D9"/>
              </w:rPr>
            </w:pPr>
          </w:p>
        </w:tc>
        <w:tc>
          <w:tcPr>
            <w:tcW w:w="2878" w:type="dxa"/>
            <w:shd w:val="clear" w:color="auto" w:fill="auto"/>
          </w:tcPr>
          <w:p w:rsidR="00860A11" w:rsidRPr="008D0759" w:rsidRDefault="00860A11" w:rsidP="004C05DD">
            <w:pPr>
              <w:pStyle w:val="Htableleft"/>
              <w:rPr>
                <w:color w:val="576C88" w:themeColor="text2" w:themeTint="D9"/>
              </w:rPr>
            </w:pPr>
          </w:p>
        </w:tc>
      </w:tr>
    </w:tbl>
    <w:p w:rsidR="00860A11" w:rsidRPr="008D0759" w:rsidRDefault="00860A11" w:rsidP="00320BBA"/>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860A11" w:rsidRPr="008D0759" w:rsidTr="005F5B2D">
        <w:tc>
          <w:tcPr>
            <w:tcW w:w="9016" w:type="dxa"/>
            <w:shd w:val="clear" w:color="auto" w:fill="F5F4F4" w:themeFill="background2" w:themeFillTint="66"/>
          </w:tcPr>
          <w:p w:rsidR="00860A11" w:rsidRPr="000A700F" w:rsidRDefault="00860A11" w:rsidP="005F5B2D">
            <w:pPr>
              <w:pStyle w:val="HStandard"/>
              <w:rPr>
                <w:highlight w:val="yellow"/>
              </w:rPr>
            </w:pPr>
            <w:r>
              <w:rPr>
                <w:highlight w:val="yellow"/>
              </w:rPr>
              <w:t>Questions directrices pour la phase de jugement:</w:t>
            </w:r>
          </w:p>
          <w:p w:rsidR="00860A11" w:rsidRPr="000A700F" w:rsidRDefault="00860A11" w:rsidP="00860A11">
            <w:pPr>
              <w:pStyle w:val="Hlistbullet2"/>
              <w:rPr>
                <w:highlight w:val="yellow"/>
              </w:rPr>
            </w:pPr>
            <w:r>
              <w:rPr>
                <w:highlight w:val="yellow"/>
              </w:rPr>
              <w:t>Dans quelle mesure a-t-on trouvé des réponses pertinentes à toutes les questions d'évaluation?</w:t>
            </w:r>
          </w:p>
          <w:p w:rsidR="00860A11" w:rsidRPr="000A700F" w:rsidRDefault="00860A11" w:rsidP="00860A11">
            <w:pPr>
              <w:pStyle w:val="Hlistbullet2"/>
              <w:rPr>
                <w:highlight w:val="yellow"/>
              </w:rPr>
            </w:pPr>
            <w:r>
              <w:rPr>
                <w:highlight w:val="yellow"/>
              </w:rPr>
              <w:t>Dans quelle mesure les éléments de preuve recueillis ont-ils apporté des réponses fiables pour l'apprentissage politique?</w:t>
            </w:r>
          </w:p>
          <w:p w:rsidR="00860A11" w:rsidRPr="000A700F" w:rsidRDefault="00860A11" w:rsidP="00860A11">
            <w:pPr>
              <w:pStyle w:val="Hlistbullet2"/>
              <w:rPr>
                <w:highlight w:val="yellow"/>
              </w:rPr>
            </w:pPr>
            <w:r>
              <w:rPr>
                <w:highlight w:val="yellow"/>
              </w:rPr>
              <w:t>Quelles questions devront être approfondies par d'autres études et évaluations?</w:t>
            </w:r>
          </w:p>
          <w:p w:rsidR="00860A11" w:rsidRPr="000A700F" w:rsidRDefault="00860A11" w:rsidP="00860A11">
            <w:pPr>
              <w:pStyle w:val="Hlistbullet2"/>
              <w:rPr>
                <w:highlight w:val="yellow"/>
              </w:rPr>
            </w:pPr>
            <w:r>
              <w:rPr>
                <w:highlight w:val="yellow"/>
              </w:rPr>
              <w:t>Quels sont les points qu'il est possible d'exploiter pour améliorer la performance, l'efficacité et l'efficience du réseau?</w:t>
            </w:r>
          </w:p>
          <w:p w:rsidR="00860A11" w:rsidRPr="000A700F" w:rsidRDefault="00860A11" w:rsidP="00860A11">
            <w:pPr>
              <w:pStyle w:val="Hlistbullet2"/>
              <w:rPr>
                <w:highlight w:val="yellow"/>
              </w:rPr>
            </w:pPr>
            <w:r>
              <w:rPr>
                <w:highlight w:val="yellow"/>
              </w:rPr>
              <w:t>Qui doit faire quoi pour améliorer la performance de la NSU et les contributions du RRN au développement rural, y compris les objectifs horizontaux de la PAC?</w:t>
            </w:r>
          </w:p>
          <w:p w:rsidR="00860A11" w:rsidRPr="000A700F" w:rsidRDefault="00860A11" w:rsidP="00860A11">
            <w:pPr>
              <w:pStyle w:val="Hlistbullet2"/>
              <w:rPr>
                <w:highlight w:val="yellow"/>
              </w:rPr>
            </w:pPr>
            <w:r>
              <w:rPr>
                <w:highlight w:val="yellow"/>
              </w:rPr>
              <w:t>Dans quelle mesure le RRN doit-il consolider les avantages produits par  un capital social et humain amélioré à long terme?</w:t>
            </w:r>
          </w:p>
        </w:tc>
      </w:tr>
    </w:tbl>
    <w:p w:rsidR="00860A11" w:rsidRPr="000A700F" w:rsidRDefault="00860A11" w:rsidP="00D35287">
      <w:pPr>
        <w:pStyle w:val="HHeading5"/>
        <w:rPr>
          <w:highlight w:val="yellow"/>
        </w:rPr>
      </w:pPr>
      <w:r>
        <w:rPr>
          <w:highlight w:val="yellow"/>
        </w:rPr>
        <w:lastRenderedPageBreak/>
        <w:t xml:space="preserve">À faire et ne pas faire </w:t>
      </w:r>
    </w:p>
    <w:tbl>
      <w:tblPr>
        <w:tblStyle w:val="LightList-Accent5"/>
        <w:tblW w:w="0" w:type="auto"/>
        <w:tblLook w:val="04A0" w:firstRow="1" w:lastRow="0" w:firstColumn="1" w:lastColumn="0" w:noHBand="0" w:noVBand="1"/>
      </w:tblPr>
      <w:tblGrid>
        <w:gridCol w:w="4503"/>
        <w:gridCol w:w="4503"/>
      </w:tblGrid>
      <w:tr w:rsidR="00860A11" w:rsidRPr="000A700F" w:rsidTr="00445E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860A11" w:rsidRPr="000A700F" w:rsidRDefault="00860A11" w:rsidP="00445E97">
            <w:pPr>
              <w:pStyle w:val="HHeading5"/>
              <w:jc w:val="center"/>
              <w:rPr>
                <w:highlight w:val="yellow"/>
              </w:rPr>
            </w:pPr>
            <w:r>
              <w:rPr>
                <w:noProof/>
                <w:highlight w:val="yellow"/>
                <w:lang w:val="en-GB" w:eastAsia="en-GB" w:bidi="ar-SA"/>
              </w:rPr>
              <w:drawing>
                <wp:inline distT="0" distB="0" distL="0" distR="0" wp14:anchorId="50A3E7C6" wp14:editId="3AFF8680">
                  <wp:extent cx="360000" cy="360000"/>
                  <wp:effectExtent l="0" t="0" r="254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860A11" w:rsidRPr="000A700F" w:rsidRDefault="00860A11" w:rsidP="00445E97">
            <w:pPr>
              <w:pStyle w:val="HHeading5"/>
              <w:jc w:val="center"/>
              <w:cnfStyle w:val="100000000000" w:firstRow="1" w:lastRow="0" w:firstColumn="0" w:lastColumn="0" w:oddVBand="0" w:evenVBand="0" w:oddHBand="0" w:evenHBand="0" w:firstRowFirstColumn="0" w:firstRowLastColumn="0" w:lastRowFirstColumn="0" w:lastRowLastColumn="0"/>
              <w:rPr>
                <w:highlight w:val="yellow"/>
              </w:rPr>
            </w:pPr>
            <w:r>
              <w:rPr>
                <w:noProof/>
                <w:highlight w:val="yellow"/>
                <w:lang w:val="en-GB" w:eastAsia="en-GB" w:bidi="ar-SA"/>
              </w:rPr>
              <w:drawing>
                <wp:inline distT="0" distB="0" distL="0" distR="0" wp14:anchorId="77D7A1BB" wp14:editId="26647CD8">
                  <wp:extent cx="360000" cy="360000"/>
                  <wp:effectExtent l="0" t="0" r="254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860A11" w:rsidRPr="008D0759" w:rsidTr="00445E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860A11" w:rsidRPr="000A700F" w:rsidRDefault="00860A11"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Essayer d'identifier, à partir du point de vue extérieur (étique), les tendances dominantes dans les interactions sociales observées, et d’exploiter le trésor que constituent les témoignages (émique) provenant des entretiens ou des groupes de discussion.</w:t>
            </w:r>
          </w:p>
          <w:p w:rsidR="00860A11" w:rsidRPr="000A700F" w:rsidRDefault="00860A11"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Poser toutes les questions d'évaluation mais répondre aussi à des questions non posées, au cas où quelque chose de pertinent, voire de surprenant, en ressortirait.</w:t>
            </w:r>
          </w:p>
          <w:p w:rsidR="00860A11" w:rsidRPr="000A700F" w:rsidRDefault="00860A11"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Tirer des conclusions de l'évaluation sur la pertinence de l’intervention, la productivité, l'efficacité, les résultats, les impacts et la durabilité, et préciser le degré de validité et de fiabilité de ces conclusions.</w:t>
            </w:r>
          </w:p>
          <w:p w:rsidR="00860A11" w:rsidRPr="000A700F" w:rsidRDefault="00860A11"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Formuler des recommandations à l’attention de chaque acteur et être aussi pratique et réaliste que possible.</w:t>
            </w:r>
          </w:p>
          <w:p w:rsidR="00860A11" w:rsidRPr="000A700F" w:rsidRDefault="00860A11" w:rsidP="00445E97">
            <w:pPr>
              <w:pStyle w:val="HStandard"/>
              <w:rPr>
                <w:color w:val="FFC000" w:themeColor="accent4"/>
                <w:highlight w:val="yellow"/>
              </w:rPr>
            </w:pPr>
            <w:r>
              <w:rPr>
                <w:b w:val="0"/>
                <w:color w:val="FFC000" w:themeColor="accent4"/>
                <w:sz w:val="18"/>
                <w:highlight w:val="yellow"/>
              </w:rPr>
              <w:t>Inclure les différents acteurs dans l'interprétation des résultats et dans les discussions sur les conclusions et les recommandations de l'évaluation.</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860A11" w:rsidRPr="000A700F" w:rsidRDefault="00860A11"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 xml:space="preserve">Répondre aux questions d'évaluation uniquement sur la base des hypothèses des évaluateurs sans collecte de preuves. </w:t>
            </w:r>
          </w:p>
          <w:p w:rsidR="00860A11" w:rsidRPr="000A700F" w:rsidRDefault="00860A11"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Mélanger les conclusions fiables et  imprécises pour répondre aux questions d'évaluation.</w:t>
            </w:r>
          </w:p>
          <w:p w:rsidR="00860A11" w:rsidRPr="000A700F" w:rsidRDefault="00860A11"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Proposer des truismes tous usages sans approfondir les caractéristiques spécifiques et le potentiel du RRN.</w:t>
            </w:r>
          </w:p>
          <w:p w:rsidR="00860A11" w:rsidRPr="000A700F" w:rsidRDefault="00860A11"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Répondre aux questions d'évaluation sans tenir compte des effets imprévus.</w:t>
            </w:r>
          </w:p>
          <w:p w:rsidR="00860A11" w:rsidRPr="008D0759" w:rsidRDefault="00860A11" w:rsidP="00445E97">
            <w:pPr>
              <w:pStyle w:val="HStandard"/>
              <w:cnfStyle w:val="000000100000" w:firstRow="0" w:lastRow="0" w:firstColumn="0" w:lastColumn="0" w:oddVBand="0" w:evenVBand="0" w:oddHBand="1" w:evenHBand="0" w:firstRowFirstColumn="0" w:firstRowLastColumn="0" w:lastRowFirstColumn="0" w:lastRowLastColumn="0"/>
              <w:rPr>
                <w:color w:val="ED7D31" w:themeColor="accent2"/>
              </w:rPr>
            </w:pPr>
            <w:r>
              <w:rPr>
                <w:color w:val="ED7D31" w:themeColor="accent2"/>
                <w:sz w:val="18"/>
                <w:highlight w:val="yellow"/>
              </w:rPr>
              <w:t>Ne faire que des recommandations génériques, en évitant de s'adresser spécifiquement aux parties prenantes et en contournant les sujets tabous.</w:t>
            </w:r>
          </w:p>
        </w:tc>
      </w:tr>
    </w:tbl>
    <w:p w:rsidR="00860A11" w:rsidRPr="008D0759" w:rsidRDefault="00860A11" w:rsidP="00D35287">
      <w:pPr>
        <w:pStyle w:val="HHeading5"/>
      </w:pPr>
      <w:r>
        <w:t>Further reading</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72"/>
      </w:tblGrid>
      <w:tr w:rsidR="00860A11" w:rsidRPr="008D0759" w:rsidTr="005F5B2D">
        <w:tc>
          <w:tcPr>
            <w:tcW w:w="9918" w:type="dxa"/>
            <w:shd w:val="clear" w:color="auto" w:fill="F5F4F4" w:themeFill="background2" w:themeFillTint="66"/>
          </w:tcPr>
          <w:p w:rsidR="00860A11" w:rsidRPr="008D0759" w:rsidRDefault="00860A11" w:rsidP="005F5B2D">
            <w:pPr>
              <w:pStyle w:val="HStandard"/>
              <w:rPr>
                <w:sz w:val="16"/>
                <w:szCs w:val="16"/>
              </w:rPr>
            </w:pPr>
            <w:r w:rsidRPr="00A353D6">
              <w:rPr>
                <w:sz w:val="16"/>
                <w:lang w:val="en-GB"/>
              </w:rPr>
              <w:t xml:space="preserve">Ray Pawson and Nick Tilley, 2004: Realist Evaluation. </w:t>
            </w:r>
            <w:hyperlink r:id="rId58">
              <w:r>
                <w:rPr>
                  <w:rStyle w:val="Hyperlink"/>
                  <w:sz w:val="16"/>
                </w:rPr>
                <w:t>http://www.communitymatters.com.au/RE_chapter.pdf</w:t>
              </w:r>
            </w:hyperlink>
            <w:r>
              <w:rPr>
                <w:sz w:val="16"/>
              </w:rPr>
              <w:t xml:space="preserve"> </w:t>
            </w:r>
          </w:p>
        </w:tc>
      </w:tr>
    </w:tbl>
    <w:p w:rsidR="00860A11" w:rsidRDefault="00860A11" w:rsidP="00320BBA">
      <w:pPr>
        <w:pStyle w:val="HStandard"/>
        <w:rPr>
          <w:rFonts w:eastAsia="Calibri"/>
        </w:rPr>
      </w:pPr>
    </w:p>
    <w:p w:rsidR="00860A11" w:rsidRDefault="00860A11">
      <w:pPr>
        <w:spacing w:after="0" w:line="240" w:lineRule="auto"/>
        <w:rPr>
          <w:rFonts w:eastAsia="Calibri" w:cs="Arial"/>
          <w:color w:val="576C88" w:themeColor="text2" w:themeTint="D9"/>
          <w:sz w:val="20"/>
          <w:szCs w:val="20"/>
        </w:rPr>
      </w:pPr>
      <w:r>
        <w:br w:type="page"/>
      </w:r>
    </w:p>
    <w:p w:rsidR="00860A11" w:rsidRPr="008D0759" w:rsidRDefault="00860A11" w:rsidP="00320BBA">
      <w:pPr>
        <w:pStyle w:val="HStandard"/>
        <w:rPr>
          <w:rFonts w:eastAsia="Calibri"/>
        </w:rPr>
      </w:pPr>
    </w:p>
    <w:p w:rsidR="00860A11" w:rsidRPr="000A700F" w:rsidRDefault="00860A11" w:rsidP="00C4370D">
      <w:pPr>
        <w:pStyle w:val="HHeading1"/>
        <w:rPr>
          <w:highlight w:val="yellow"/>
        </w:rPr>
      </w:pPr>
      <w:bookmarkStart w:id="339" w:name="_Toc453079782"/>
      <w:r>
        <w:rPr>
          <w:highlight w:val="yellow"/>
        </w:rPr>
        <w:lastRenderedPageBreak/>
        <w:t xml:space="preserve">PARTIE III - BOÎTE A OUTILS </w:t>
      </w:r>
      <w:bookmarkEnd w:id="339"/>
    </w:p>
    <w:p w:rsidR="00860A11" w:rsidRPr="000A700F" w:rsidRDefault="00860A11" w:rsidP="00501EAB">
      <w:pPr>
        <w:pStyle w:val="HHeading2"/>
        <w:tabs>
          <w:tab w:val="clear" w:pos="360"/>
        </w:tabs>
        <w:ind w:left="510" w:hanging="510"/>
        <w:rPr>
          <w:highlight w:val="yellow"/>
        </w:rPr>
      </w:pPr>
      <w:bookmarkStart w:id="340" w:name="_Toc453079783"/>
      <w:r>
        <w:rPr>
          <w:highlight w:val="yellow"/>
        </w:rPr>
        <w:t>Modèle indicatif pour les cahiers des charges de l'évaluation pendant la période de programmation</w:t>
      </w:r>
      <w:bookmarkEnd w:id="340"/>
    </w:p>
    <w:p w:rsidR="00860A11" w:rsidRPr="000A700F" w:rsidRDefault="00860A11" w:rsidP="00C4370D">
      <w:pPr>
        <w:pStyle w:val="HHeading5"/>
        <w:rPr>
          <w:highlight w:val="yellow"/>
        </w:rPr>
      </w:pPr>
      <w:r>
        <w:rPr>
          <w:highlight w:val="yellow"/>
        </w:rPr>
        <w:t>Introduction</w:t>
      </w:r>
    </w:p>
    <w:p w:rsidR="00860A11" w:rsidRPr="000A700F" w:rsidRDefault="00860A11" w:rsidP="00C4370D">
      <w:pPr>
        <w:pStyle w:val="HStandard"/>
        <w:rPr>
          <w:highlight w:val="yellow"/>
        </w:rPr>
      </w:pPr>
      <w:r>
        <w:rPr>
          <w:highlight w:val="yellow"/>
        </w:rPr>
        <w:t xml:space="preserve">Le cahier des charges pour l'évaluation du RRN est élaboré par l'autorité de gestion  et fournit des informations importantes pour les évaluateurs externes potentiels lors de l'appel d’offres. Le cahier des charges se réfère aux activités décrites dans le plan d'évaluation et aide à structurer l'évaluation du RRN qui devra être réalisée par les évaluateurs externes. Les évaluateurs externes font une offre répondant au cahier des charges. La combinaison de ces deux éléments (cahier des charges et offre) constitue la base du contrat de mission de l’évaluation. </w:t>
      </w:r>
    </w:p>
    <w:p w:rsidR="00860A11" w:rsidRPr="000A700F" w:rsidRDefault="00860A11" w:rsidP="00C4370D">
      <w:pPr>
        <w:pStyle w:val="HStandard"/>
        <w:rPr>
          <w:highlight w:val="yellow"/>
        </w:rPr>
      </w:pPr>
      <w:r>
        <w:rPr>
          <w:highlight w:val="yellow"/>
        </w:rPr>
        <w:t>Le cahier des charges pour l'évaluation du RRN précise les conditions de l’évaluation, les activités et les résultats attendus, et clarifie la façon dont les différentes parties travailleront ensemble. Il se compose habituellement d'une introduction générale pour le consultant, de prescriptions pour les exigences techniques et d’annexes diverses (comme les références aux documents clés, le questionnaire d'évaluation, les modèles de présentation du devis, le projet de contrat de service).</w:t>
      </w:r>
    </w:p>
    <w:p w:rsidR="00860A11" w:rsidRPr="000A700F" w:rsidRDefault="00860A11" w:rsidP="00C4370D">
      <w:pPr>
        <w:pStyle w:val="HStandard"/>
        <w:rPr>
          <w:highlight w:val="yellow"/>
        </w:rPr>
      </w:pPr>
      <w:r>
        <w:rPr>
          <w:highlight w:val="yellow"/>
        </w:rPr>
        <w:t xml:space="preserve">Le plan indicatif suivant fournit des recommandations pour élaborer le cahier des charges en vue de l'évaluation du RRN et en particulier ses parties techniques. Le cahier des charges est  élaboré en conformité avec les exigences du système commun de suivi et d'évaluation. Le cahier des charges peut faire référence à un programme de RRN ou l’évaluation autonome d'un RRN inclus dans un PDR unique. Si le RRN est inclus dans l'évaluation du PDR, il n'y a pas de cahier des charges séparé pour l'évaluation du RRN. </w:t>
      </w:r>
    </w:p>
    <w:p w:rsidR="00860A11" w:rsidRPr="000A700F" w:rsidRDefault="00860A11" w:rsidP="00C4370D">
      <w:pPr>
        <w:pStyle w:val="HStandard"/>
        <w:rPr>
          <w:highlight w:val="yellow"/>
        </w:rPr>
      </w:pPr>
      <w:r>
        <w:rPr>
          <w:highlight w:val="yellow"/>
        </w:rPr>
        <w:t>Les parties contractantes devront veiller à ce que le cahier des charges respecte les procédures d’octroi des marchés publics dans l'État membre. Les considérations techniques suivantes du cahier des charges devraient être prises en compte.</w:t>
      </w:r>
    </w:p>
    <w:p w:rsidR="00860A11" w:rsidRPr="000A700F" w:rsidRDefault="00860A11" w:rsidP="006A099F">
      <w:pPr>
        <w:pStyle w:val="HHeading5"/>
        <w:rPr>
          <w:highlight w:val="yellow"/>
        </w:rPr>
      </w:pPr>
      <w:bookmarkStart w:id="341" w:name="_Toc422307927"/>
      <w:r>
        <w:rPr>
          <w:highlight w:val="yellow"/>
        </w:rPr>
        <w:t>Contexte, objectif et objet de l'évaluation</w:t>
      </w:r>
      <w:bookmarkEnd w:id="341"/>
    </w:p>
    <w:p w:rsidR="00860A11" w:rsidRPr="000A700F" w:rsidRDefault="00860A11" w:rsidP="00C4370D">
      <w:pPr>
        <w:pStyle w:val="HStandard"/>
        <w:rPr>
          <w:highlight w:val="yellow"/>
        </w:rPr>
      </w:pPr>
      <w:r>
        <w:rPr>
          <w:highlight w:val="yellow"/>
        </w:rPr>
        <w:t>La première section doit énoncer les exigences réglementaires et le cadre de l'évaluation (par exemple, des références juridiques au niveau européen et national). Une description du contexte et de l'objectif de l'évaluation doit être fournie. L’objet de l'évaluation doit également être clarifié.</w:t>
      </w:r>
    </w:p>
    <w:p w:rsidR="00860A11" w:rsidRPr="000A700F" w:rsidRDefault="00860A11" w:rsidP="00C4370D">
      <w:pPr>
        <w:pStyle w:val="HStandard"/>
        <w:rPr>
          <w:i/>
          <w:highlight w:val="yellow"/>
        </w:rPr>
      </w:pPr>
      <w:r>
        <w:rPr>
          <w:i/>
          <w:highlight w:val="yellow"/>
        </w:rPr>
        <w:t>Exemple:</w:t>
      </w:r>
    </w:p>
    <w:p w:rsidR="00860A11" w:rsidRPr="000A700F" w:rsidRDefault="00860A11" w:rsidP="00C4370D">
      <w:pPr>
        <w:pStyle w:val="HStandard"/>
        <w:rPr>
          <w:i/>
          <w:highlight w:val="yellow"/>
        </w:rPr>
      </w:pPr>
      <w:r>
        <w:rPr>
          <w:i/>
          <w:highlight w:val="yellow"/>
        </w:rPr>
        <w:t>L’évaluation dans son ensemble et celle du réseau en particulier, sont renforcées dans la politique de développement rural pour la période 2014-2020. Une plus grande attention a été accordée à l'évaluation des réseaux et de la mise en réseau pour mieux comprendre les résultats et l'impact de ces activités.</w:t>
      </w:r>
    </w:p>
    <w:p w:rsidR="00860A11" w:rsidRPr="000A700F" w:rsidRDefault="00860A11" w:rsidP="00C4370D">
      <w:pPr>
        <w:pStyle w:val="HStandard"/>
        <w:rPr>
          <w:i/>
          <w:highlight w:val="yellow"/>
        </w:rPr>
      </w:pPr>
      <w:r>
        <w:rPr>
          <w:i/>
          <w:highlight w:val="yellow"/>
        </w:rPr>
        <w:t>Les principales exigences en matière d'évaluation du PDR pour la période de programmation 2014-2020 sont énoncées dans le règlement (UE) n° 1303/2013, aux articles 54 à 57 et dans le règlement (UE) n° 1305/2013, aux articles 76 à 79. Ce dernier comporte quatre objectifs généraux communs des RRN et un groupe commun d'actions que les réseaux doivent fournir.</w:t>
      </w:r>
    </w:p>
    <w:p w:rsidR="00860A11" w:rsidRPr="000A700F" w:rsidRDefault="00860A11" w:rsidP="00C4370D">
      <w:pPr>
        <w:pStyle w:val="HStandard"/>
        <w:rPr>
          <w:i/>
          <w:highlight w:val="yellow"/>
        </w:rPr>
      </w:pPr>
      <w:r>
        <w:rPr>
          <w:i/>
          <w:highlight w:val="yellow"/>
        </w:rPr>
        <w:t>Le règlement d'application de la Commission précise trois indicateurs communs de réalisations et un questionnaire d'évaluation commun (dans le cadre du système commun de suivi et d’évaluation). Les lignes directrices sur l'évaluation des RRN donnent des informations sur la façon d'élaborer des indicateurs supplémentaires et spécifiques à un programme du RRN.</w:t>
      </w:r>
    </w:p>
    <w:p w:rsidR="00860A11" w:rsidRPr="000A700F" w:rsidRDefault="00860A11" w:rsidP="00C4370D">
      <w:pPr>
        <w:pStyle w:val="HStandard"/>
        <w:rPr>
          <w:i/>
          <w:highlight w:val="yellow"/>
        </w:rPr>
      </w:pPr>
      <w:r>
        <w:rPr>
          <w:i/>
          <w:highlight w:val="yellow"/>
        </w:rPr>
        <w:lastRenderedPageBreak/>
        <w:t>Le plan d'évaluation du PDR a établi le RRN comme sujet d'évaluation majeur au cours de la période de programmation.</w:t>
      </w:r>
    </w:p>
    <w:p w:rsidR="00860A11" w:rsidRPr="000A700F" w:rsidRDefault="00860A11" w:rsidP="00C4370D">
      <w:pPr>
        <w:pStyle w:val="HStandard"/>
        <w:rPr>
          <w:i/>
          <w:highlight w:val="yellow"/>
        </w:rPr>
      </w:pPr>
      <w:r>
        <w:rPr>
          <w:i/>
          <w:highlight w:val="yellow"/>
        </w:rPr>
        <w:t>Le rôle et la nature spécifique du RRN en tant que réseau de mise en œuvre d’une politique devraient lui donner un rôle moteur pour améliorer l’efficacité du PDR. Le RRN devrait combler les lacunes dans les services offerts par d'autres institutions publiques ou privées et trouver des synergies avec d'autres réseaux au niveau national et européen. Comme le RRN est financé par le budget de l’assistance technique du PDR il est important de tirer le meilleur parti des ressources utilisées.</w:t>
      </w:r>
    </w:p>
    <w:p w:rsidR="00860A11" w:rsidRPr="000A700F" w:rsidRDefault="00860A11" w:rsidP="00C4370D">
      <w:pPr>
        <w:pStyle w:val="HStandard"/>
        <w:rPr>
          <w:i/>
          <w:highlight w:val="yellow"/>
        </w:rPr>
      </w:pPr>
      <w:r>
        <w:rPr>
          <w:i/>
          <w:highlight w:val="yellow"/>
        </w:rPr>
        <w:t>L'évaluation du RRN vise à démontrer les réalisations du secrétariat du réseau et de son réseau (groupe élargi de parties prenantes du RRN), d’évaluer ses résultats et impacts, son efficacité, sa productivité et sa pertinence et d’apporter un soutien mieux ciblé au développement rural.</w:t>
      </w:r>
    </w:p>
    <w:p w:rsidR="00860A11" w:rsidRPr="000A700F" w:rsidRDefault="00860A11" w:rsidP="00C4370D">
      <w:pPr>
        <w:pStyle w:val="HStandard"/>
        <w:rPr>
          <w:i/>
          <w:highlight w:val="yellow"/>
        </w:rPr>
      </w:pPr>
      <w:r>
        <w:rPr>
          <w:i/>
          <w:highlight w:val="yellow"/>
        </w:rPr>
        <w:t>L'évaluation devrait également contribuer à mettre à jour le plan d'action du RRN, pour répondre à des besoins qui changent pendant la mise en œuvre du PDR.</w:t>
      </w:r>
    </w:p>
    <w:p w:rsidR="00860A11" w:rsidRPr="000A700F" w:rsidRDefault="00860A11" w:rsidP="00C4370D">
      <w:pPr>
        <w:pStyle w:val="HStandard"/>
        <w:rPr>
          <w:i/>
          <w:highlight w:val="yellow"/>
        </w:rPr>
      </w:pPr>
      <w:r>
        <w:rPr>
          <w:i/>
          <w:highlight w:val="yellow"/>
        </w:rPr>
        <w:t>Le public cible de l'évaluation est le client et le cercle élargi des acteurs  concernés par le RRN.</w:t>
      </w:r>
    </w:p>
    <w:p w:rsidR="00860A11" w:rsidRPr="000A700F" w:rsidRDefault="00860A11" w:rsidP="00C4370D">
      <w:pPr>
        <w:pStyle w:val="HStandard"/>
        <w:rPr>
          <w:i/>
          <w:highlight w:val="yellow"/>
        </w:rPr>
      </w:pPr>
      <w:r>
        <w:rPr>
          <w:i/>
          <w:highlight w:val="yellow"/>
        </w:rPr>
        <w:t>L'évaluation peut être alimentée par l'auto-évaluation du RRN, outil important pour l’amélioration de la performance du RRN.</w:t>
      </w:r>
    </w:p>
    <w:p w:rsidR="00860A11" w:rsidRPr="000A700F" w:rsidRDefault="00860A11" w:rsidP="00C4370D">
      <w:pPr>
        <w:pStyle w:val="HStandard"/>
        <w:rPr>
          <w:i/>
          <w:highlight w:val="yellow"/>
        </w:rPr>
      </w:pPr>
      <w:r>
        <w:rPr>
          <w:i/>
          <w:highlight w:val="yellow"/>
        </w:rPr>
        <w:t>L'évaluation des résultats du RRN et les réponses au questionnaire d'évaluation commun sur le RRN sont attendues dans le rapport annuel d'exécution approfondi, présenté le 30 juin 2017. L'évaluation des impacts du RRN et la réponse au questionnaire d'évaluation commun du RRN seront incluses dans le rapport annuel d'exécution approfondi  présenté en 2019, et dans l'évaluation ex post, prévue pour le 31 décembre 2024.</w:t>
      </w:r>
    </w:p>
    <w:p w:rsidR="00860A11" w:rsidRPr="000A700F" w:rsidRDefault="00860A11" w:rsidP="006A099F">
      <w:pPr>
        <w:pStyle w:val="HHeading5"/>
        <w:rPr>
          <w:highlight w:val="yellow"/>
        </w:rPr>
      </w:pPr>
      <w:bookmarkStart w:id="342" w:name="_Toc422307928"/>
      <w:r>
        <w:rPr>
          <w:highlight w:val="yellow"/>
        </w:rPr>
        <w:t>Portée et tâches de l'évaluation du RRN</w:t>
      </w:r>
      <w:bookmarkEnd w:id="342"/>
      <w:r>
        <w:rPr>
          <w:highlight w:val="yellow"/>
        </w:rPr>
        <w:t xml:space="preserve"> </w:t>
      </w:r>
    </w:p>
    <w:p w:rsidR="00860A11" w:rsidRPr="000A700F" w:rsidRDefault="00860A11" w:rsidP="00C4370D">
      <w:pPr>
        <w:pStyle w:val="HStandard"/>
        <w:rPr>
          <w:highlight w:val="yellow"/>
        </w:rPr>
      </w:pPr>
      <w:r>
        <w:rPr>
          <w:highlight w:val="yellow"/>
        </w:rPr>
        <w:t>Dans cette section, le cahier des charges précise la portée et le contenu de l'évaluation en ligne avec les objectifs de l'évaluation. Les détails pourraient inclure la période d'examen, la couverture géographique et thématique de l'évaluation, les groupes cibles et les tâches à envisager. La portée de l'évaluation doit être réaliste compte tenu du temps et des ressources disponibles.</w:t>
      </w:r>
    </w:p>
    <w:p w:rsidR="00860A11" w:rsidRPr="000A700F" w:rsidRDefault="00860A11" w:rsidP="00C4370D">
      <w:pPr>
        <w:pStyle w:val="HStandard"/>
        <w:rPr>
          <w:i/>
          <w:highlight w:val="yellow"/>
        </w:rPr>
      </w:pPr>
      <w:r>
        <w:rPr>
          <w:i/>
          <w:highlight w:val="yellow"/>
        </w:rPr>
        <w:t>Exemple</w:t>
      </w:r>
    </w:p>
    <w:p w:rsidR="00860A11" w:rsidRPr="000A700F" w:rsidRDefault="00860A11" w:rsidP="00C4370D">
      <w:pPr>
        <w:pStyle w:val="HStandard"/>
        <w:rPr>
          <w:i/>
          <w:highlight w:val="yellow"/>
        </w:rPr>
      </w:pPr>
      <w:r>
        <w:rPr>
          <w:i/>
          <w:highlight w:val="yellow"/>
        </w:rPr>
        <w:t>L'objectif de cette étude d’évaluation très complète est de :</w:t>
      </w:r>
    </w:p>
    <w:p w:rsidR="00860A11" w:rsidRPr="000A700F" w:rsidRDefault="00860A11" w:rsidP="00C4370D">
      <w:pPr>
        <w:pStyle w:val="Hlistbullet2"/>
        <w:rPr>
          <w:i/>
          <w:highlight w:val="yellow"/>
        </w:rPr>
      </w:pPr>
      <w:r>
        <w:rPr>
          <w:i/>
          <w:highlight w:val="yellow"/>
        </w:rPr>
        <w:t xml:space="preserve">démontrer les réalisations du secrétariat du réseau, du RRN (un groupe élargi de membres du RRN) et des acteurs du réseau,  </w:t>
      </w:r>
    </w:p>
    <w:p w:rsidR="00860A11" w:rsidRPr="000A700F" w:rsidRDefault="00860A11" w:rsidP="00C4370D">
      <w:pPr>
        <w:pStyle w:val="Hlistbullet2"/>
        <w:rPr>
          <w:i/>
          <w:highlight w:val="yellow"/>
        </w:rPr>
      </w:pPr>
      <w:r>
        <w:rPr>
          <w:i/>
          <w:highlight w:val="yellow"/>
        </w:rPr>
        <w:t xml:space="preserve">évaluer ses résultats et impacts, son efficacité, sa productivité, sa pertinence et </w:t>
      </w:r>
    </w:p>
    <w:p w:rsidR="00860A11" w:rsidRPr="000A700F" w:rsidRDefault="00860A11" w:rsidP="00C4370D">
      <w:pPr>
        <w:pStyle w:val="Hlistbullet2"/>
        <w:rPr>
          <w:i/>
          <w:highlight w:val="yellow"/>
        </w:rPr>
      </w:pPr>
      <w:r>
        <w:rPr>
          <w:i/>
          <w:highlight w:val="yellow"/>
        </w:rPr>
        <w:t>contribuer à un soutien mieux orienté du développement rural;</w:t>
      </w:r>
    </w:p>
    <w:p w:rsidR="00860A11" w:rsidRPr="000A700F" w:rsidRDefault="00860A11" w:rsidP="00C4370D">
      <w:pPr>
        <w:pStyle w:val="HStandard"/>
        <w:rPr>
          <w:i/>
          <w:highlight w:val="yellow"/>
        </w:rPr>
      </w:pPr>
      <w:r>
        <w:rPr>
          <w:i/>
          <w:highlight w:val="yellow"/>
        </w:rPr>
        <w:t>Les principales tâches d'évaluation sont les suivantes:</w:t>
      </w:r>
    </w:p>
    <w:p w:rsidR="00860A11" w:rsidRPr="000A700F" w:rsidRDefault="00860A11" w:rsidP="00B51C05">
      <w:pPr>
        <w:pStyle w:val="Hlistbullet2"/>
        <w:rPr>
          <w:i/>
          <w:highlight w:val="yellow"/>
        </w:rPr>
      </w:pPr>
      <w:r>
        <w:rPr>
          <w:i/>
          <w:highlight w:val="yellow"/>
        </w:rPr>
        <w:t>évaluer la pertinence des interventions du réseau rural par rapport aux besoins et à l'évolution des conditions-cadres,</w:t>
      </w:r>
    </w:p>
    <w:p w:rsidR="00860A11" w:rsidRPr="000A700F" w:rsidRDefault="00860A11" w:rsidP="00B51C05">
      <w:pPr>
        <w:pStyle w:val="Hlistbullet2"/>
        <w:rPr>
          <w:i/>
          <w:highlight w:val="yellow"/>
        </w:rPr>
      </w:pPr>
      <w:r>
        <w:rPr>
          <w:i/>
          <w:highlight w:val="yellow"/>
        </w:rPr>
        <w:t xml:space="preserve">évaluer les performances, les résultats et les impacts des activités du RRN, les objectifs du RRN et les réalisations et contributions aux objectifs du PDR </w:t>
      </w:r>
    </w:p>
    <w:p w:rsidR="00860A11" w:rsidRPr="000A700F" w:rsidRDefault="00860A11" w:rsidP="00B51C05">
      <w:pPr>
        <w:pStyle w:val="Hlistbullet2"/>
        <w:rPr>
          <w:i/>
          <w:highlight w:val="yellow"/>
        </w:rPr>
      </w:pPr>
      <w:r>
        <w:rPr>
          <w:i/>
          <w:highlight w:val="yellow"/>
        </w:rPr>
        <w:t xml:space="preserve">élaborer des recommandations sur la manière d'améliorer la conception et la mise en œuvre du RRN, </w:t>
      </w:r>
    </w:p>
    <w:p w:rsidR="00860A11" w:rsidRPr="000A700F" w:rsidRDefault="00860A11" w:rsidP="00B51C05">
      <w:pPr>
        <w:pStyle w:val="Hlistbullet2"/>
        <w:rPr>
          <w:i/>
          <w:highlight w:val="yellow"/>
        </w:rPr>
      </w:pPr>
      <w:r>
        <w:rPr>
          <w:i/>
          <w:highlight w:val="yellow"/>
        </w:rPr>
        <w:t>proposer une approche efficace sur la façon d'améliorer le suivi et l'évaluation du RRN.</w:t>
      </w:r>
    </w:p>
    <w:p w:rsidR="00860A11" w:rsidRPr="000A700F" w:rsidRDefault="00860A11" w:rsidP="00B51C05">
      <w:pPr>
        <w:pStyle w:val="HStandard"/>
        <w:rPr>
          <w:i/>
          <w:highlight w:val="yellow"/>
        </w:rPr>
      </w:pPr>
      <w:r>
        <w:rPr>
          <w:i/>
          <w:highlight w:val="yellow"/>
        </w:rPr>
        <w:t>L'évaluation externe au cours de la période de programmation couvrira l'ensemble des activités du RRN de 2014 à 2020, du lancement du RRN jusqu'à son terme.</w:t>
      </w:r>
    </w:p>
    <w:p w:rsidR="00860A11" w:rsidRPr="000A700F" w:rsidRDefault="00860A11" w:rsidP="00B51C05">
      <w:pPr>
        <w:pStyle w:val="HStandard"/>
        <w:rPr>
          <w:i/>
          <w:highlight w:val="yellow"/>
        </w:rPr>
      </w:pPr>
      <w:r>
        <w:rPr>
          <w:i/>
          <w:highlight w:val="yellow"/>
        </w:rPr>
        <w:lastRenderedPageBreak/>
        <w:t>La couverture géographique correspond à tout le territoire couvert par le PDR. Les principales tâches d'évaluation doivent être réalisées en fonction des étapes d'évaluation (2017, 2019 et ex-post). Il est important de relier les activités d'évaluation à l'élaboration des politiques et au cycle des rapports. Cela permet de s’assurer que les résultats de l'évaluation sont livrés et communiqués à temps aux publics cibles concernés (client, groupe de pilotage des acteurs  du RRN, et Commission européenne).</w:t>
      </w:r>
    </w:p>
    <w:p w:rsidR="00860A11" w:rsidRPr="000A700F" w:rsidRDefault="00860A11" w:rsidP="00B51C05">
      <w:pPr>
        <w:pStyle w:val="HStandard"/>
        <w:rPr>
          <w:i/>
          <w:highlight w:val="yellow"/>
        </w:rPr>
      </w:pPr>
      <w:r>
        <w:rPr>
          <w:i/>
          <w:highlight w:val="yellow"/>
        </w:rPr>
        <w:t xml:space="preserve">Les rapports d'exécution annuels approfondis de 2017 et 2019 devraient mentionner au point 2 relatif à la gouvernance et aux activités d'évaluation du RRN menées dans le cadre de l'évaluation du RRN (incluse dans le PDR ou en tant qu’évaluation autonome), y compris les activités relatives à la collecte de données, la diffusion, la communication et le suivi des résultats de l'évaluation. </w:t>
      </w:r>
    </w:p>
    <w:p w:rsidR="00860A11" w:rsidRPr="000A700F" w:rsidRDefault="00860A11" w:rsidP="00B51C05">
      <w:pPr>
        <w:pStyle w:val="HStandard"/>
        <w:rPr>
          <w:i/>
          <w:highlight w:val="yellow"/>
        </w:rPr>
      </w:pPr>
      <w:r>
        <w:rPr>
          <w:i/>
          <w:highlight w:val="yellow"/>
        </w:rPr>
        <w:t xml:space="preserve">Le point 7 du rapport d'exécution annuel de 2017 fournit les informations sur les changements de contexte du RRN, les résultats du RRN (au moyen d'indicateurs supplémentaires et propres au  programme) et une réponse à la question d'évaluation commune n° 21 et à toutes les questions d'évaluation propres au programme provenant d’un État membre et se rapportant au RRN. Les évaluateurs doivent utiliser des indicateurs de résultats supplémentaires pour répondre à la question d'évaluation commune. Il convient de répondre aux questions du programme d'évaluation des RRN avec des indicateurs propres au programme RRN, également développés dans l'État membre (voir le chapitre 2.2.2 des lignes directrices). </w:t>
      </w:r>
    </w:p>
    <w:p w:rsidR="00860A11" w:rsidRPr="000A700F" w:rsidRDefault="00860A11" w:rsidP="00B51C05">
      <w:pPr>
        <w:pStyle w:val="HStandard"/>
        <w:rPr>
          <w:i/>
          <w:highlight w:val="yellow"/>
        </w:rPr>
      </w:pPr>
      <w:r>
        <w:rPr>
          <w:i/>
          <w:highlight w:val="yellow"/>
        </w:rPr>
        <w:t xml:space="preserve">Le point 7 du rapport d'exécution annuel approfondi de 2019 devrait, en plus des informations fournies dans le rapport de 2017, inclure aussi des informations sur les impacts du RRN, évalués avec des indicateurs d'impact - supplémentaires et spécifiques à un programme (voir chapitre 2.2.2 des lignes directrices). Les deux rapports devraient contenir des recommandations sur la façon d'optimiser les interventions du RRN. </w:t>
      </w:r>
    </w:p>
    <w:p w:rsidR="00860A11" w:rsidRPr="000A700F" w:rsidRDefault="00860A11" w:rsidP="00B51C05">
      <w:pPr>
        <w:pStyle w:val="HStandard"/>
        <w:rPr>
          <w:i/>
          <w:highlight w:val="yellow"/>
        </w:rPr>
      </w:pPr>
      <w:r>
        <w:rPr>
          <w:i/>
          <w:highlight w:val="yellow"/>
        </w:rPr>
        <w:t>L'évaluation ex post 2024 devrait inclure les résultats des évaluations sur les sujets suivants:</w:t>
      </w:r>
    </w:p>
    <w:p w:rsidR="00860A11" w:rsidRPr="000A700F" w:rsidRDefault="00860A11" w:rsidP="00B51C05">
      <w:pPr>
        <w:pStyle w:val="Hlistbullet2"/>
        <w:rPr>
          <w:i/>
          <w:highlight w:val="yellow"/>
        </w:rPr>
      </w:pPr>
      <w:r>
        <w:rPr>
          <w:i/>
          <w:highlight w:val="yellow"/>
        </w:rPr>
        <w:t>Impacts des activités du RRN, mécanismes à utiliser pour obtenir ces effets, attribution des changements du réseau et impacts inattendus</w:t>
      </w:r>
    </w:p>
    <w:p w:rsidR="00860A11" w:rsidRPr="000A700F" w:rsidRDefault="00860A11" w:rsidP="00B51C05">
      <w:pPr>
        <w:pStyle w:val="Hlistbullet2"/>
        <w:rPr>
          <w:i/>
          <w:highlight w:val="yellow"/>
        </w:rPr>
      </w:pPr>
      <w:r>
        <w:rPr>
          <w:i/>
          <w:highlight w:val="yellow"/>
        </w:rPr>
        <w:t>Recommandations sur la manière d’optimiser les activités et services futurs du RRN.</w:t>
      </w:r>
    </w:p>
    <w:p w:rsidR="00860A11" w:rsidRPr="000A700F" w:rsidRDefault="00860A11" w:rsidP="006A099F">
      <w:pPr>
        <w:pStyle w:val="HHeading5"/>
        <w:rPr>
          <w:highlight w:val="yellow"/>
        </w:rPr>
      </w:pPr>
      <w:bookmarkStart w:id="343" w:name="_Toc422307929"/>
      <w:r>
        <w:rPr>
          <w:highlight w:val="yellow"/>
        </w:rPr>
        <w:t>Questions d’évaluation</w:t>
      </w:r>
      <w:bookmarkEnd w:id="343"/>
      <w:r>
        <w:rPr>
          <w:highlight w:val="yellow"/>
        </w:rPr>
        <w:t xml:space="preserve"> </w:t>
      </w:r>
    </w:p>
    <w:p w:rsidR="00860A11" w:rsidRPr="000A700F" w:rsidRDefault="00860A11" w:rsidP="00B51C05">
      <w:pPr>
        <w:pStyle w:val="HStandard"/>
        <w:rPr>
          <w:highlight w:val="yellow"/>
        </w:rPr>
      </w:pPr>
      <w:r>
        <w:rPr>
          <w:highlight w:val="yellow"/>
        </w:rPr>
        <w:t xml:space="preserve">Les questions d'évaluation dans le cahier des charges précisent l'objet de l'évaluation et contribuent à cibler les activités d'évaluation. Le cahier des charges devrait préciser le type de questions d'évaluation auxquelles il faut répondre : </w:t>
      </w:r>
    </w:p>
    <w:p w:rsidR="00860A11" w:rsidRPr="000A700F" w:rsidRDefault="00860A11" w:rsidP="00860A11">
      <w:pPr>
        <w:pStyle w:val="Hlistabc"/>
        <w:numPr>
          <w:ilvl w:val="0"/>
          <w:numId w:val="19"/>
        </w:numPr>
        <w:rPr>
          <w:highlight w:val="yellow"/>
        </w:rPr>
      </w:pPr>
      <w:r>
        <w:rPr>
          <w:highlight w:val="yellow"/>
        </w:rPr>
        <w:t>La question d’évaluation commune n° 21</w:t>
      </w:r>
      <w:r>
        <w:rPr>
          <w:rFonts w:ascii="ZWAdobeF" w:hAnsi="ZWAdobeF"/>
          <w:color w:val="auto"/>
          <w:sz w:val="2"/>
          <w:highlight w:val="yellow"/>
        </w:rPr>
        <w:t>122F</w:t>
      </w:r>
      <w:r>
        <w:rPr>
          <w:rStyle w:val="FootnoteReference"/>
          <w:highlight w:val="yellow"/>
        </w:rPr>
        <w:footnoteReference w:id="123"/>
      </w:r>
      <w:r>
        <w:rPr>
          <w:highlight w:val="yellow"/>
        </w:rPr>
        <w:t xml:space="preserve"> est liée aux quatre objectifs globaux communs du RRN </w:t>
      </w:r>
    </w:p>
    <w:p w:rsidR="00860A11" w:rsidRPr="000A700F" w:rsidRDefault="00860A11" w:rsidP="00B51C05">
      <w:pPr>
        <w:pStyle w:val="Hlistabc2"/>
        <w:rPr>
          <w:highlight w:val="yellow"/>
        </w:rPr>
      </w:pPr>
      <w:r>
        <w:rPr>
          <w:highlight w:val="yellow"/>
        </w:rPr>
        <w:t xml:space="preserve">Les questions d'évaluation propres au programme  sont liées aux objectifs spécifiques du programme RRN tels que définis dans l'État membre. </w:t>
      </w:r>
    </w:p>
    <w:p w:rsidR="00860A11" w:rsidRPr="000A700F" w:rsidRDefault="00860A11" w:rsidP="00B51C05">
      <w:pPr>
        <w:pStyle w:val="HStandard"/>
        <w:rPr>
          <w:highlight w:val="yellow"/>
        </w:rPr>
      </w:pPr>
      <w:r>
        <w:rPr>
          <w:highlight w:val="yellow"/>
        </w:rPr>
        <w:t>Les questions d'évaluation définissent les questions clés à analyser dans une évaluation. Elles sont élaborées et hiérarchisées par l'autorité de gestion et d'autres parties prenantes. Pour chaque tâche d'évaluation (décrite dans la section précédente), il y aura une ou deux questions d'évaluation.</w:t>
      </w:r>
    </w:p>
    <w:p w:rsidR="00860A11" w:rsidRPr="000A700F" w:rsidRDefault="00860A11" w:rsidP="00B51C05">
      <w:pPr>
        <w:pStyle w:val="HStandard"/>
        <w:rPr>
          <w:highlight w:val="yellow"/>
        </w:rPr>
      </w:pPr>
      <w:r>
        <w:rPr>
          <w:highlight w:val="yellow"/>
        </w:rPr>
        <w:t xml:space="preserve">Les questions d'évaluation permettent de se concentrer et structurer l’évaluation; elles guident le processus de planification de l'évaluation, facilitent la prise de décisions concernant les méthodes d'évaluation à utiliser et alimentent la discussion sur la façon dont les résultats de l'évaluation peuvent être utilisés pour améliorer l’intervention. Les questions d'évaluation sont liées aux objectifs du RRN ou à un sujet particulier à évaluer. Les questions d'évaluation devraient être précisées avec des critères </w:t>
      </w:r>
      <w:r>
        <w:rPr>
          <w:highlight w:val="yellow"/>
        </w:rPr>
        <w:lastRenderedPageBreak/>
        <w:t xml:space="preserve">d’appréciation, liés à des indicateurs à utiliser pour répondre à ces questions. Les évaluateurs sont invités à proposer des critères d’appréciation et des indicateurs d’évaluation supplémentaires pour les questions d'évaluation existantes. Ils sont également invités à élaborer des questions d'évaluation plus spécifiques à un programme de RRN, si c’est utile pour la qualité de l'évaluation.  </w:t>
      </w:r>
    </w:p>
    <w:p w:rsidR="00860A11" w:rsidRPr="000A700F" w:rsidRDefault="00860A11" w:rsidP="00B51C05">
      <w:pPr>
        <w:pStyle w:val="HStandard"/>
        <w:rPr>
          <w:i/>
          <w:highlight w:val="yellow"/>
        </w:rPr>
      </w:pPr>
      <w:r>
        <w:rPr>
          <w:i/>
          <w:highlight w:val="yellow"/>
        </w:rPr>
        <w:t xml:space="preserve">Exemple de </w:t>
      </w:r>
      <w:r>
        <w:rPr>
          <w:b/>
          <w:i/>
          <w:highlight w:val="yellow"/>
        </w:rPr>
        <w:t>questions d'évaluation propres au programme de RRN, liées à</w:t>
      </w:r>
      <w:r>
        <w:rPr>
          <w:i/>
          <w:highlight w:val="yellow"/>
        </w:rPr>
        <w:t xml:space="preserve"> des </w:t>
      </w:r>
      <w:r>
        <w:rPr>
          <w:b/>
          <w:i/>
          <w:highlight w:val="yellow"/>
        </w:rPr>
        <w:t>objectifs spécifiques du programme de RRN.</w:t>
      </w:r>
    </w:p>
    <w:p w:rsidR="00860A11" w:rsidRPr="000A700F" w:rsidRDefault="00860A11" w:rsidP="00B51C05">
      <w:pPr>
        <w:pStyle w:val="HStandard"/>
        <w:rPr>
          <w:i/>
          <w:highlight w:val="yellow"/>
        </w:rPr>
      </w:pPr>
      <w:r>
        <w:rPr>
          <w:i/>
          <w:highlight w:val="yellow"/>
        </w:rPr>
        <w:t>L'objectif spécifique du programme de RRN est: «d'améliorer la coopération entre les acteurs dans les zones rurales grâce aux activités du RRN».</w:t>
      </w:r>
    </w:p>
    <w:p w:rsidR="00860A11" w:rsidRPr="000A700F" w:rsidRDefault="00860A11" w:rsidP="00B51C05">
      <w:pPr>
        <w:pStyle w:val="HStandard"/>
        <w:rPr>
          <w:i/>
          <w:highlight w:val="yellow"/>
        </w:rPr>
      </w:pPr>
      <w:r>
        <w:rPr>
          <w:i/>
          <w:highlight w:val="yellow"/>
        </w:rPr>
        <w:t xml:space="preserve">Question d'évaluation spécifique à un programme de RRN: «Dans quelle mesure les activités du RRN ont-elles contribué à améliorer la communication entre les acteurs dans les zones rurales?"  </w:t>
      </w:r>
    </w:p>
    <w:p w:rsidR="00860A11" w:rsidRPr="000A700F" w:rsidRDefault="00860A11" w:rsidP="00B51C05">
      <w:pPr>
        <w:pStyle w:val="HStandard"/>
        <w:rPr>
          <w:i/>
          <w:highlight w:val="yellow"/>
        </w:rPr>
      </w:pPr>
      <w:r>
        <w:rPr>
          <w:i/>
          <w:highlight w:val="yellow"/>
        </w:rPr>
        <w:t xml:space="preserve">Critères d’appréciation: La coopération entre les acteurs s’est améliorée </w:t>
      </w:r>
    </w:p>
    <w:p w:rsidR="00860A11" w:rsidRPr="000A700F" w:rsidRDefault="00860A11" w:rsidP="00B51C05">
      <w:pPr>
        <w:pStyle w:val="HStandard"/>
        <w:rPr>
          <w:i/>
          <w:highlight w:val="yellow"/>
        </w:rPr>
      </w:pPr>
      <w:r>
        <w:rPr>
          <w:i/>
          <w:highlight w:val="yellow"/>
        </w:rPr>
        <w:t>Indicateur: nombre de projets de coopération créés ou mis en œuvre suite aux activités du RRN.</w:t>
      </w:r>
    </w:p>
    <w:p w:rsidR="00860A11" w:rsidRPr="000A700F" w:rsidRDefault="00860A11" w:rsidP="00B51C05">
      <w:pPr>
        <w:pStyle w:val="HStandard"/>
        <w:rPr>
          <w:i/>
          <w:highlight w:val="yellow"/>
        </w:rPr>
      </w:pPr>
      <w:r>
        <w:rPr>
          <w:i/>
          <w:highlight w:val="yellow"/>
        </w:rPr>
        <w:t xml:space="preserve">Exemples de </w:t>
      </w:r>
      <w:r>
        <w:rPr>
          <w:b/>
          <w:i/>
          <w:highlight w:val="yellow"/>
        </w:rPr>
        <w:t>questions d'évaluation spécifiques à un programme liées à des sujets d'évaluation spécifiques:</w:t>
      </w:r>
    </w:p>
    <w:p w:rsidR="00860A11" w:rsidRPr="000A700F" w:rsidRDefault="00860A11" w:rsidP="00B51C05">
      <w:pPr>
        <w:pStyle w:val="HStandard"/>
        <w:rPr>
          <w:i/>
          <w:highlight w:val="yellow"/>
        </w:rPr>
      </w:pPr>
      <w:r>
        <w:rPr>
          <w:i/>
          <w:highlight w:val="yellow"/>
        </w:rPr>
        <w:t>Sujet: gouvernance et prestation du RRN</w:t>
      </w:r>
    </w:p>
    <w:p w:rsidR="00860A11" w:rsidRPr="000A700F" w:rsidRDefault="00860A11" w:rsidP="00B51C05">
      <w:pPr>
        <w:pStyle w:val="HStandard"/>
        <w:rPr>
          <w:i/>
          <w:highlight w:val="yellow"/>
        </w:rPr>
      </w:pPr>
      <w:r>
        <w:rPr>
          <w:i/>
          <w:highlight w:val="yellow"/>
        </w:rPr>
        <w:t>Question d'évaluation propre au programme RRN : «La gouvernance et les prestations du RRN sont-elles efficaces? »</w:t>
      </w:r>
    </w:p>
    <w:p w:rsidR="00860A11" w:rsidRPr="000A700F" w:rsidRDefault="00860A11" w:rsidP="00B51C05">
      <w:pPr>
        <w:pStyle w:val="HStandard"/>
        <w:rPr>
          <w:i/>
          <w:highlight w:val="yellow"/>
        </w:rPr>
      </w:pPr>
      <w:r>
        <w:rPr>
          <w:i/>
          <w:highlight w:val="yellow"/>
        </w:rPr>
        <w:t xml:space="preserve">Critères d’appréciation: La gouvernance et les prestations du RRN ont permis à grand nombre d'acteurs de participer aux activités du RRN </w:t>
      </w:r>
    </w:p>
    <w:p w:rsidR="00860A11" w:rsidRPr="000A700F" w:rsidRDefault="00860A11" w:rsidP="00B51C05">
      <w:pPr>
        <w:pStyle w:val="HStandard"/>
        <w:rPr>
          <w:i/>
          <w:highlight w:val="yellow"/>
        </w:rPr>
      </w:pPr>
      <w:r>
        <w:rPr>
          <w:i/>
          <w:highlight w:val="yellow"/>
        </w:rPr>
        <w:t xml:space="preserve">Indicateur: nombre d’acteurs, par type, participant aux activités du RRN </w:t>
      </w:r>
    </w:p>
    <w:p w:rsidR="00860A11" w:rsidRPr="000A700F" w:rsidRDefault="00860A11" w:rsidP="006A099F">
      <w:pPr>
        <w:pStyle w:val="HHeading5"/>
        <w:rPr>
          <w:highlight w:val="yellow"/>
        </w:rPr>
      </w:pPr>
      <w:bookmarkStart w:id="344" w:name="_Toc422307930"/>
      <w:r>
        <w:rPr>
          <w:highlight w:val="yellow"/>
        </w:rPr>
        <w:t>Approche méthodologique</w:t>
      </w:r>
      <w:bookmarkEnd w:id="344"/>
    </w:p>
    <w:p w:rsidR="00860A11" w:rsidRPr="000A700F" w:rsidRDefault="00860A11" w:rsidP="00B51C05">
      <w:pPr>
        <w:pStyle w:val="HStandard"/>
        <w:rPr>
          <w:highlight w:val="yellow"/>
        </w:rPr>
      </w:pPr>
      <w:r>
        <w:rPr>
          <w:highlight w:val="yellow"/>
        </w:rPr>
        <w:t xml:space="preserve">Le but de cette section est de préciser l’approche méthodologique de l’évaluation, soit en demandant aux soumissionnaires de l’appel d’offres de décrire dans leur offre, l’approche qu’ils proposent pour les sujets d'évaluation et les activités, soit en demandant que des méthodologies spécifiques soient utilisées par le sous-traitant. Il est généralement recommandé de laisser aux sous-traitants la flexibilité de proposer leur propre approche pour l'évaluation des réalisations, des résultats et des impacts du RRN et d’appliquer les méthodes qu'ils considèrent comme suffisamment fiables pour l'évaluation du RRN. L’approche et les méthodes doivent être décrites en détail dans l’offre du sous-traitant. Dans chaque cas, il est recommandé que les autorités de gestion développent des capacités  suffisantes pour juger de la qualité de l'approche et de la fiabilité de la méthode. </w:t>
      </w:r>
    </w:p>
    <w:p w:rsidR="00860A11" w:rsidRPr="000A700F" w:rsidRDefault="00860A11" w:rsidP="00B51C05">
      <w:pPr>
        <w:pStyle w:val="HStandard"/>
        <w:rPr>
          <w:i/>
          <w:highlight w:val="yellow"/>
        </w:rPr>
      </w:pPr>
      <w:r>
        <w:rPr>
          <w:i/>
          <w:highlight w:val="yellow"/>
        </w:rPr>
        <w:t>Exemple:</w:t>
      </w:r>
    </w:p>
    <w:p w:rsidR="00860A11" w:rsidRPr="000A700F" w:rsidRDefault="00860A11" w:rsidP="00B51C05">
      <w:pPr>
        <w:pStyle w:val="HStandard"/>
        <w:rPr>
          <w:i/>
          <w:highlight w:val="yellow"/>
        </w:rPr>
      </w:pPr>
      <w:r>
        <w:rPr>
          <w:i/>
          <w:highlight w:val="yellow"/>
        </w:rPr>
        <w:t>Il est important de reconnaître que les réseaux ruraux sont des exemples d'interventions «douces», dont les impacts sont souvent difficiles à déterminer dans le cadre d’une évaluation. Les méthodes suivantes peuvent être utilisées dans l'évaluation des programmes spécifiques du RRN:</w:t>
      </w:r>
    </w:p>
    <w:p w:rsidR="00860A11" w:rsidRPr="000A700F" w:rsidRDefault="00860A11" w:rsidP="00B51C05">
      <w:pPr>
        <w:pStyle w:val="Hlistbullet2"/>
        <w:rPr>
          <w:i/>
          <w:highlight w:val="yellow"/>
        </w:rPr>
      </w:pPr>
      <w:r>
        <w:rPr>
          <w:i/>
          <w:highlight w:val="yellow"/>
        </w:rPr>
        <w:t>Analyse des données de  suivi;</w:t>
      </w:r>
    </w:p>
    <w:p w:rsidR="00860A11" w:rsidRPr="000A700F" w:rsidRDefault="00860A11" w:rsidP="00B51C05">
      <w:pPr>
        <w:pStyle w:val="Hlistbullet2"/>
        <w:rPr>
          <w:i/>
          <w:highlight w:val="yellow"/>
        </w:rPr>
      </w:pPr>
      <w:r>
        <w:rPr>
          <w:i/>
          <w:highlight w:val="yellow"/>
        </w:rPr>
        <w:t>Approches fondées sur des théories pour choisir une logique d'intervention et d'évaluation (comme la théorie du changement) ;</w:t>
      </w:r>
    </w:p>
    <w:p w:rsidR="00860A11" w:rsidRPr="000A700F" w:rsidRDefault="00860A11" w:rsidP="00B51C05">
      <w:pPr>
        <w:pStyle w:val="Hlistbullet2"/>
        <w:rPr>
          <w:i/>
          <w:highlight w:val="yellow"/>
        </w:rPr>
      </w:pPr>
      <w:r>
        <w:t>Études de cas</w:t>
      </w:r>
      <w:r>
        <w:rPr>
          <w:rFonts w:ascii="ZWAdobeF" w:hAnsi="ZWAdobeF"/>
          <w:color w:val="auto"/>
          <w:sz w:val="2"/>
          <w:highlight w:val="yellow"/>
        </w:rPr>
        <w:t>123F</w:t>
      </w:r>
      <w:r>
        <w:rPr>
          <w:rStyle w:val="FootnoteReference"/>
          <w:highlight w:val="yellow"/>
        </w:rPr>
        <w:footnoteReference w:id="124"/>
      </w:r>
      <w:r>
        <w:rPr>
          <w:i/>
          <w:highlight w:val="yellow"/>
        </w:rPr>
        <w:t>;</w:t>
      </w:r>
    </w:p>
    <w:p w:rsidR="00860A11" w:rsidRPr="000A700F" w:rsidRDefault="00860A11" w:rsidP="00B51C05">
      <w:pPr>
        <w:pStyle w:val="Hlistbullet2"/>
        <w:rPr>
          <w:i/>
          <w:highlight w:val="yellow"/>
        </w:rPr>
      </w:pPr>
      <w:r>
        <w:rPr>
          <w:i/>
          <w:highlight w:val="yellow"/>
        </w:rPr>
        <w:lastRenderedPageBreak/>
        <w:t>Évaluation sur place par les participants, observations des participants à des événements;</w:t>
      </w:r>
    </w:p>
    <w:p w:rsidR="00860A11" w:rsidRPr="000A700F" w:rsidRDefault="00860A11" w:rsidP="00B51C05">
      <w:pPr>
        <w:pStyle w:val="Hlistbullet2"/>
        <w:rPr>
          <w:i/>
          <w:highlight w:val="yellow"/>
        </w:rPr>
      </w:pPr>
      <w:r>
        <w:rPr>
          <w:i/>
          <w:highlight w:val="yellow"/>
        </w:rPr>
        <w:t>Sondages sur un échantillon élargi d’acteurs;</w:t>
      </w:r>
    </w:p>
    <w:p w:rsidR="00860A11" w:rsidRPr="000A700F" w:rsidRDefault="00860A11" w:rsidP="00B51C05">
      <w:pPr>
        <w:pStyle w:val="Hlistbullet2"/>
        <w:rPr>
          <w:i/>
          <w:highlight w:val="yellow"/>
        </w:rPr>
      </w:pPr>
      <w:r>
        <w:rPr>
          <w:i/>
          <w:highlight w:val="yellow"/>
        </w:rPr>
        <w:t>Entretiens approfondis et</w:t>
      </w:r>
      <w:r>
        <w:t xml:space="preserve"> </w:t>
      </w:r>
      <w:r>
        <w:rPr>
          <w:i/>
          <w:highlight w:val="yellow"/>
        </w:rPr>
        <w:t>groupes de discussion</w:t>
      </w:r>
      <w:r>
        <w:rPr>
          <w:rStyle w:val="FootnoteReference"/>
          <w:highlight w:val="yellow"/>
        </w:rPr>
        <w:footnoteReference w:id="125"/>
      </w:r>
      <w:r>
        <w:rPr>
          <w:i/>
          <w:highlight w:val="yellow"/>
        </w:rPr>
        <w:t xml:space="preserve">; </w:t>
      </w:r>
    </w:p>
    <w:p w:rsidR="00860A11" w:rsidRPr="000A700F" w:rsidRDefault="00860A11" w:rsidP="00B51C05">
      <w:pPr>
        <w:pStyle w:val="Hlistbullet2"/>
        <w:rPr>
          <w:i/>
          <w:highlight w:val="yellow"/>
        </w:rPr>
      </w:pPr>
      <w:r>
        <w:rPr>
          <w:i/>
          <w:highlight w:val="yellow"/>
        </w:rPr>
        <w:t>Analyse des parties prenantes</w:t>
      </w:r>
      <w:r>
        <w:t xml:space="preserve"> </w:t>
      </w:r>
      <w:r>
        <w:rPr>
          <w:rFonts w:ascii="ZWAdobeF" w:hAnsi="ZWAdobeF"/>
          <w:color w:val="auto"/>
          <w:sz w:val="2"/>
          <w:highlight w:val="yellow"/>
        </w:rPr>
        <w:t xml:space="preserve"> </w:t>
      </w:r>
      <w:r>
        <w:rPr>
          <w:rStyle w:val="FootnoteReference"/>
          <w:highlight w:val="yellow"/>
        </w:rPr>
        <w:footnoteReference w:id="126"/>
      </w:r>
      <w:r>
        <w:rPr>
          <w:i/>
          <w:highlight w:val="yellow"/>
        </w:rPr>
        <w:t xml:space="preserve">; </w:t>
      </w:r>
    </w:p>
    <w:p w:rsidR="00860A11" w:rsidRPr="000A700F" w:rsidRDefault="00860A11" w:rsidP="00B51C05">
      <w:pPr>
        <w:pStyle w:val="Hlistbullet2"/>
        <w:rPr>
          <w:i/>
          <w:highlight w:val="yellow"/>
        </w:rPr>
      </w:pPr>
      <w:r>
        <w:rPr>
          <w:i/>
          <w:highlight w:val="yellow"/>
        </w:rPr>
        <w:t>Analyse de</w:t>
      </w:r>
      <w:r>
        <w:t xml:space="preserve"> la </w:t>
      </w:r>
      <w:r>
        <w:rPr>
          <w:i/>
          <w:highlight w:val="yellow"/>
        </w:rPr>
        <w:t>fonction du réseau</w:t>
      </w:r>
      <w:r>
        <w:t xml:space="preserve"> </w:t>
      </w:r>
      <w:r>
        <w:rPr>
          <w:rFonts w:ascii="ZWAdobeF" w:hAnsi="ZWAdobeF"/>
          <w:color w:val="auto"/>
          <w:sz w:val="2"/>
          <w:highlight w:val="yellow"/>
        </w:rPr>
        <w:t xml:space="preserve">126f </w:t>
      </w:r>
      <w:r>
        <w:rPr>
          <w:rStyle w:val="FootnoteReference"/>
          <w:highlight w:val="yellow"/>
        </w:rPr>
        <w:footnoteReference w:id="127"/>
      </w:r>
      <w:r>
        <w:rPr>
          <w:i/>
          <w:highlight w:val="yellow"/>
        </w:rPr>
        <w:t>;</w:t>
      </w:r>
    </w:p>
    <w:p w:rsidR="00860A11" w:rsidRPr="000A700F" w:rsidRDefault="00860A11" w:rsidP="00B51C05">
      <w:pPr>
        <w:pStyle w:val="Hlistbullet2"/>
        <w:rPr>
          <w:i/>
          <w:highlight w:val="yellow"/>
        </w:rPr>
      </w:pPr>
      <w:r>
        <w:rPr>
          <w:i/>
        </w:rPr>
        <w:t xml:space="preserve">Diagnostic des </w:t>
      </w:r>
      <w:r>
        <w:rPr>
          <w:i/>
          <w:highlight w:val="yellow"/>
        </w:rPr>
        <w:t xml:space="preserve">réseaux et des organisations </w:t>
      </w:r>
      <w:r>
        <w:t xml:space="preserve"> </w:t>
      </w:r>
      <w:r>
        <w:rPr>
          <w:rFonts w:ascii="ZWAdobeF" w:hAnsi="ZWAdobeF"/>
          <w:color w:val="auto"/>
          <w:sz w:val="2"/>
          <w:highlight w:val="yellow"/>
        </w:rPr>
        <w:t xml:space="preserve">127F </w:t>
      </w:r>
      <w:r>
        <w:rPr>
          <w:rStyle w:val="FootnoteReference"/>
          <w:highlight w:val="yellow"/>
        </w:rPr>
        <w:footnoteReference w:id="128"/>
      </w:r>
      <w:r>
        <w:rPr>
          <w:i/>
          <w:highlight w:val="yellow"/>
        </w:rPr>
        <w:t>;</w:t>
      </w:r>
    </w:p>
    <w:p w:rsidR="00860A11" w:rsidRPr="000A700F" w:rsidRDefault="00860A11" w:rsidP="00B51C05">
      <w:pPr>
        <w:pStyle w:val="Hlistbullet2"/>
        <w:rPr>
          <w:highlight w:val="yellow"/>
        </w:rPr>
      </w:pPr>
      <w:r>
        <w:t xml:space="preserve">Analyse du </w:t>
      </w:r>
      <w:r>
        <w:rPr>
          <w:i/>
          <w:highlight w:val="yellow"/>
        </w:rPr>
        <w:t xml:space="preserve">réseau social </w:t>
      </w:r>
      <w:r>
        <w:rPr>
          <w:rStyle w:val="FootnoteReference"/>
          <w:highlight w:val="yellow"/>
        </w:rPr>
        <w:footnoteReference w:id="129"/>
      </w:r>
      <w:r>
        <w:rPr>
          <w:i/>
          <w:highlight w:val="yellow"/>
        </w:rPr>
        <w:t>.</w:t>
      </w:r>
    </w:p>
    <w:p w:rsidR="00860A11" w:rsidRPr="000A700F" w:rsidRDefault="00860A11" w:rsidP="006A099F">
      <w:pPr>
        <w:pStyle w:val="HHeading5"/>
        <w:rPr>
          <w:highlight w:val="yellow"/>
        </w:rPr>
      </w:pPr>
      <w:bookmarkStart w:id="345" w:name="_Toc422307931"/>
      <w:r>
        <w:rPr>
          <w:highlight w:val="yellow"/>
        </w:rPr>
        <w:t>Sources d’informations</w:t>
      </w:r>
      <w:bookmarkEnd w:id="345"/>
    </w:p>
    <w:p w:rsidR="00860A11" w:rsidRPr="000A700F" w:rsidRDefault="00860A11" w:rsidP="00B51C05">
      <w:pPr>
        <w:pStyle w:val="H-Standard"/>
        <w:rPr>
          <w:highlight w:val="yellow"/>
        </w:rPr>
      </w:pPr>
      <w:r>
        <w:rPr>
          <w:highlight w:val="yellow"/>
        </w:rPr>
        <w:t>Le cahier des charges doit contenir un aperçu des sources de données et des informations disponibles en rapport avec la tâche d'évaluation. Cela comprend les informations spécifiques recueillies par le biais du système de suivi, d'autres bases de données et documents disponibles, des détails sur le détenteur des informations, comment elles peuvent être évaluées, les références à toute analyse et à tout travail de recherche pertinents réalisés antérieurement. Il est également utile de souligner les informations ou données qui ne sont pas disponibles et qui devront être recueillies par l'évaluateur. Cette information est également essentielle pour une évaluation réaliste de l'offre.</w:t>
      </w:r>
    </w:p>
    <w:p w:rsidR="00860A11" w:rsidRPr="000A700F" w:rsidRDefault="00860A11" w:rsidP="00B51C05">
      <w:pPr>
        <w:pStyle w:val="H-Standard"/>
        <w:rPr>
          <w:i/>
          <w:highlight w:val="yellow"/>
        </w:rPr>
      </w:pPr>
      <w:r>
        <w:rPr>
          <w:i/>
          <w:highlight w:val="yellow"/>
        </w:rPr>
        <w:t xml:space="preserve">Exemple de données et de sources d'information disponibles </w:t>
      </w:r>
    </w:p>
    <w:p w:rsidR="00860A11" w:rsidRPr="000A700F" w:rsidRDefault="00860A11" w:rsidP="00B51C05">
      <w:pPr>
        <w:pStyle w:val="Hlistbullet2"/>
        <w:rPr>
          <w:i/>
          <w:highlight w:val="yellow"/>
        </w:rPr>
      </w:pPr>
      <w:r>
        <w:rPr>
          <w:i/>
          <w:highlight w:val="yellow"/>
        </w:rPr>
        <w:t>Étude de faisabilité et évaluation des besoins pour mettre en œuvre le RRN,</w:t>
      </w:r>
    </w:p>
    <w:p w:rsidR="00860A11" w:rsidRPr="000A700F" w:rsidRDefault="00860A11" w:rsidP="00B51C05">
      <w:pPr>
        <w:pStyle w:val="Hlistbullet2"/>
        <w:rPr>
          <w:i/>
          <w:highlight w:val="yellow"/>
        </w:rPr>
      </w:pPr>
      <w:r>
        <w:rPr>
          <w:i/>
          <w:highlight w:val="yellow"/>
        </w:rPr>
        <w:t>Plan d'action du RRN, y compris le plan de renforcement des capacités et le plan de communication,</w:t>
      </w:r>
    </w:p>
    <w:p w:rsidR="00860A11" w:rsidRPr="000A700F" w:rsidRDefault="00860A11" w:rsidP="00B51C05">
      <w:pPr>
        <w:pStyle w:val="Hlistbullet2"/>
        <w:rPr>
          <w:i/>
          <w:highlight w:val="yellow"/>
        </w:rPr>
      </w:pPr>
      <w:r>
        <w:rPr>
          <w:i/>
          <w:highlight w:val="yellow"/>
        </w:rPr>
        <w:t>Données d'auto-évaluation du RRN,</w:t>
      </w:r>
    </w:p>
    <w:p w:rsidR="00860A11" w:rsidRPr="000A700F" w:rsidRDefault="00860A11" w:rsidP="00B51C05">
      <w:pPr>
        <w:pStyle w:val="Hlistbullet2"/>
        <w:rPr>
          <w:i/>
          <w:highlight w:val="yellow"/>
        </w:rPr>
      </w:pPr>
      <w:r>
        <w:rPr>
          <w:i/>
          <w:highlight w:val="yellow"/>
        </w:rPr>
        <w:t>Base de données du projet de RRN,</w:t>
      </w:r>
    </w:p>
    <w:p w:rsidR="00860A11" w:rsidRPr="000A700F" w:rsidRDefault="00860A11" w:rsidP="00B51C05">
      <w:pPr>
        <w:pStyle w:val="Hlistbullet2"/>
        <w:rPr>
          <w:i/>
          <w:highlight w:val="yellow"/>
        </w:rPr>
      </w:pPr>
      <w:r>
        <w:rPr>
          <w:i/>
          <w:highlight w:val="yellow"/>
        </w:rPr>
        <w:t>Informations sur le coût des activités du RRN,</w:t>
      </w:r>
    </w:p>
    <w:p w:rsidR="00860A11" w:rsidRPr="000A700F" w:rsidRDefault="00860A11" w:rsidP="00B51C05">
      <w:pPr>
        <w:pStyle w:val="Hlistbullet2"/>
        <w:rPr>
          <w:i/>
          <w:highlight w:val="yellow"/>
        </w:rPr>
      </w:pPr>
      <w:r>
        <w:rPr>
          <w:i/>
          <w:highlight w:val="yellow"/>
        </w:rPr>
        <w:t>Données de suivi du PDR (base de données opérationnelle),</w:t>
      </w:r>
    </w:p>
    <w:p w:rsidR="00860A11" w:rsidRPr="000A700F" w:rsidRDefault="00860A11" w:rsidP="00B51C05">
      <w:pPr>
        <w:pStyle w:val="Hlistbullet2"/>
        <w:rPr>
          <w:i/>
          <w:highlight w:val="yellow"/>
        </w:rPr>
      </w:pPr>
      <w:r>
        <w:rPr>
          <w:i/>
          <w:highlight w:val="yellow"/>
        </w:rPr>
        <w:t>Évaluation ex post du RRN pour la période de programmation 2007-2013</w:t>
      </w:r>
    </w:p>
    <w:p w:rsidR="00860A11" w:rsidRPr="000A700F" w:rsidRDefault="00860A11" w:rsidP="006A099F">
      <w:pPr>
        <w:pStyle w:val="HHeading5"/>
        <w:rPr>
          <w:highlight w:val="yellow"/>
        </w:rPr>
      </w:pPr>
      <w:bookmarkStart w:id="346" w:name="_Toc422307932"/>
      <w:r>
        <w:rPr>
          <w:highlight w:val="yellow"/>
        </w:rPr>
        <w:t>Calendrier et livrables</w:t>
      </w:r>
      <w:bookmarkEnd w:id="346"/>
    </w:p>
    <w:p w:rsidR="00860A11" w:rsidRPr="000A700F" w:rsidRDefault="00860A11" w:rsidP="00B51C05">
      <w:pPr>
        <w:pStyle w:val="H-Standard"/>
        <w:rPr>
          <w:highlight w:val="yellow"/>
        </w:rPr>
      </w:pPr>
      <w:r>
        <w:rPr>
          <w:highlight w:val="yellow"/>
        </w:rPr>
        <w:t>Le cahier des charges précise la durée du contrat d'évaluation et le calendrier des livrables. Il convient également de préciser les étapes et les délais pour les livrables. Le cahier des charges peut préciser le but et le public cible des principaux livrables.</w:t>
      </w:r>
    </w:p>
    <w:p w:rsidR="00860A11" w:rsidRPr="000A700F" w:rsidRDefault="00860A11" w:rsidP="00B51C05">
      <w:pPr>
        <w:pStyle w:val="H-Standard"/>
        <w:rPr>
          <w:highlight w:val="yellow"/>
        </w:rPr>
      </w:pPr>
      <w:r>
        <w:rPr>
          <w:highlight w:val="yellow"/>
        </w:rPr>
        <w:t xml:space="preserve">Les livrables attendus, leur longueur, format et contenu, doivent être soigneusement décrits (par exemple le contenu des rapports d'évaluation, la contribution aux rapports d'exécution annuels standards ou approfondis, synthèses courtes et autres livrables requis pour une diffusion plus large des résultats de l'évaluation. </w:t>
      </w:r>
    </w:p>
    <w:p w:rsidR="00860A11" w:rsidRPr="000A700F" w:rsidRDefault="00860A11" w:rsidP="00B51C05">
      <w:pPr>
        <w:pStyle w:val="H-Standard"/>
        <w:rPr>
          <w:highlight w:val="yellow"/>
        </w:rPr>
      </w:pPr>
      <w:r>
        <w:rPr>
          <w:highlight w:val="yellow"/>
        </w:rPr>
        <w:lastRenderedPageBreak/>
        <w:t>Un lien entre les résultats attendus et les paiements (provisoires) est fourni dans les modalités de facturation du cahier des charges.</w:t>
      </w:r>
    </w:p>
    <w:p w:rsidR="00860A11" w:rsidRPr="000A700F" w:rsidRDefault="00860A11" w:rsidP="00B51C05">
      <w:pPr>
        <w:pStyle w:val="H-Standard"/>
        <w:rPr>
          <w:i/>
          <w:highlight w:val="yellow"/>
        </w:rPr>
      </w:pPr>
      <w:r>
        <w:rPr>
          <w:i/>
          <w:highlight w:val="yellow"/>
        </w:rPr>
        <w:t>Exemple:</w:t>
      </w:r>
    </w:p>
    <w:tbl>
      <w:tblPr>
        <w:tblStyle w:val="TableGrid"/>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555"/>
        <w:gridCol w:w="2254"/>
        <w:gridCol w:w="3699"/>
      </w:tblGrid>
      <w:tr w:rsidR="00860A11" w:rsidRPr="000A700F" w:rsidTr="00754C47">
        <w:trPr>
          <w:tblHeader/>
          <w:jc w:val="center"/>
        </w:trPr>
        <w:tc>
          <w:tcPr>
            <w:tcW w:w="1555" w:type="dxa"/>
            <w:shd w:val="clear" w:color="auto" w:fill="E7E6E6" w:themeFill="background2"/>
          </w:tcPr>
          <w:p w:rsidR="00860A11" w:rsidRPr="000A700F" w:rsidRDefault="00860A11" w:rsidP="00B51C05">
            <w:pPr>
              <w:pStyle w:val="H-Standard"/>
              <w:jc w:val="center"/>
              <w:rPr>
                <w:b/>
                <w:i/>
                <w:color w:val="5B9BD5" w:themeColor="accent1"/>
                <w:sz w:val="18"/>
                <w:highlight w:val="yellow"/>
              </w:rPr>
            </w:pPr>
            <w:r>
              <w:rPr>
                <w:b/>
                <w:i/>
                <w:color w:val="5B9BD5" w:themeColor="accent1"/>
                <w:sz w:val="18"/>
                <w:highlight w:val="yellow"/>
              </w:rPr>
              <w:t>Calendrier</w:t>
            </w:r>
          </w:p>
        </w:tc>
        <w:tc>
          <w:tcPr>
            <w:tcW w:w="2254" w:type="dxa"/>
            <w:shd w:val="clear" w:color="auto" w:fill="E7E6E6" w:themeFill="background2"/>
          </w:tcPr>
          <w:p w:rsidR="00860A11" w:rsidRPr="000A700F" w:rsidRDefault="00860A11" w:rsidP="00B51C05">
            <w:pPr>
              <w:pStyle w:val="H-Standard"/>
              <w:jc w:val="center"/>
              <w:rPr>
                <w:b/>
                <w:i/>
                <w:color w:val="5B9BD5" w:themeColor="accent1"/>
                <w:sz w:val="18"/>
                <w:highlight w:val="yellow"/>
              </w:rPr>
            </w:pPr>
            <w:r>
              <w:rPr>
                <w:b/>
                <w:i/>
                <w:color w:val="5B9BD5" w:themeColor="accent1"/>
                <w:sz w:val="18"/>
                <w:highlight w:val="yellow"/>
              </w:rPr>
              <w:t>Livrable</w:t>
            </w:r>
          </w:p>
        </w:tc>
        <w:tc>
          <w:tcPr>
            <w:tcW w:w="3699" w:type="dxa"/>
            <w:shd w:val="clear" w:color="auto" w:fill="E7E6E6" w:themeFill="background2"/>
          </w:tcPr>
          <w:p w:rsidR="00860A11" w:rsidRPr="000A700F" w:rsidRDefault="00860A11" w:rsidP="00B51C05">
            <w:pPr>
              <w:pStyle w:val="H-Standard"/>
              <w:jc w:val="center"/>
              <w:rPr>
                <w:b/>
                <w:i/>
                <w:color w:val="5B9BD5" w:themeColor="accent1"/>
                <w:sz w:val="18"/>
                <w:highlight w:val="yellow"/>
              </w:rPr>
            </w:pPr>
            <w:r>
              <w:rPr>
                <w:b/>
                <w:i/>
                <w:color w:val="5B9BD5" w:themeColor="accent1"/>
                <w:sz w:val="18"/>
                <w:highlight w:val="yellow"/>
              </w:rPr>
              <w:t>Contenu du livrable</w:t>
            </w:r>
          </w:p>
        </w:tc>
      </w:tr>
      <w:tr w:rsidR="00860A11" w:rsidRPr="000A700F" w:rsidTr="00754C47">
        <w:trPr>
          <w:jc w:val="center"/>
        </w:trPr>
        <w:tc>
          <w:tcPr>
            <w:tcW w:w="1555" w:type="dxa"/>
          </w:tcPr>
          <w:p w:rsidR="00860A11" w:rsidRPr="000A700F" w:rsidRDefault="00860A11" w:rsidP="00445E97">
            <w:pPr>
              <w:pStyle w:val="H-Standard"/>
              <w:jc w:val="left"/>
              <w:rPr>
                <w:i/>
                <w:sz w:val="18"/>
                <w:highlight w:val="yellow"/>
              </w:rPr>
            </w:pPr>
            <w:r>
              <w:rPr>
                <w:i/>
                <w:sz w:val="18"/>
                <w:highlight w:val="yellow"/>
              </w:rPr>
              <w:t>Mars 2017</w:t>
            </w:r>
          </w:p>
        </w:tc>
        <w:tc>
          <w:tcPr>
            <w:tcW w:w="2254" w:type="dxa"/>
          </w:tcPr>
          <w:p w:rsidR="00860A11" w:rsidRPr="000A700F" w:rsidRDefault="00860A11" w:rsidP="00445E97">
            <w:pPr>
              <w:pStyle w:val="H-Standard"/>
              <w:jc w:val="left"/>
              <w:rPr>
                <w:i/>
                <w:sz w:val="18"/>
                <w:highlight w:val="yellow"/>
              </w:rPr>
            </w:pPr>
            <w:r>
              <w:rPr>
                <w:i/>
                <w:sz w:val="18"/>
                <w:highlight w:val="yellow"/>
              </w:rPr>
              <w:t>Premier rapport (max. 80 pages) approuvé par le groupe de pilotage</w:t>
            </w:r>
          </w:p>
          <w:p w:rsidR="00860A11" w:rsidRPr="000A700F" w:rsidRDefault="00860A11" w:rsidP="00445E97">
            <w:pPr>
              <w:pStyle w:val="H-Standard"/>
              <w:jc w:val="left"/>
              <w:rPr>
                <w:i/>
                <w:sz w:val="18"/>
                <w:highlight w:val="yellow"/>
              </w:rPr>
            </w:pPr>
            <w:r>
              <w:rPr>
                <w:i/>
                <w:sz w:val="18"/>
                <w:highlight w:val="yellow"/>
              </w:rPr>
              <w:t>Le premier rapport doit inclure un résumé de 4 pages max., des identifiants spécifiques sur la page de couverture et une clause de non responsabilité standard.</w:t>
            </w:r>
          </w:p>
          <w:p w:rsidR="00860A11" w:rsidRPr="000A700F" w:rsidRDefault="00860A11" w:rsidP="00B51C05">
            <w:pPr>
              <w:pStyle w:val="H-Standard"/>
              <w:jc w:val="left"/>
              <w:rPr>
                <w:i/>
                <w:sz w:val="18"/>
                <w:highlight w:val="yellow"/>
              </w:rPr>
            </w:pPr>
            <w:r>
              <w:rPr>
                <w:i/>
                <w:sz w:val="18"/>
                <w:highlight w:val="yellow"/>
              </w:rPr>
              <w:t>Le premier rapport sera publié en entier sur le site Web du PDR</w:t>
            </w:r>
          </w:p>
        </w:tc>
        <w:tc>
          <w:tcPr>
            <w:tcW w:w="3699" w:type="dxa"/>
          </w:tcPr>
          <w:p w:rsidR="00860A11" w:rsidRPr="000A700F" w:rsidRDefault="00860A11" w:rsidP="00445E97">
            <w:pPr>
              <w:pStyle w:val="H-Standard"/>
              <w:jc w:val="left"/>
              <w:rPr>
                <w:i/>
                <w:sz w:val="18"/>
                <w:highlight w:val="yellow"/>
              </w:rPr>
            </w:pPr>
            <w:r>
              <w:rPr>
                <w:i/>
                <w:sz w:val="18"/>
                <w:highlight w:val="yellow"/>
              </w:rPr>
              <w:t>Examen du cadre d'évaluation et disponibilité des sources de données, y compris l'auto-évaluation</w:t>
            </w:r>
          </w:p>
          <w:p w:rsidR="00860A11" w:rsidRPr="000A700F" w:rsidRDefault="00860A11" w:rsidP="00445E97">
            <w:pPr>
              <w:pStyle w:val="H-Standard"/>
              <w:jc w:val="left"/>
              <w:rPr>
                <w:i/>
                <w:sz w:val="18"/>
                <w:highlight w:val="yellow"/>
              </w:rPr>
            </w:pPr>
            <w:r>
              <w:rPr>
                <w:i/>
                <w:sz w:val="18"/>
                <w:highlight w:val="yellow"/>
              </w:rPr>
              <w:t>Examen du système de gouvernance et des prestations du RRN</w:t>
            </w:r>
          </w:p>
          <w:p w:rsidR="00860A11" w:rsidRPr="000A700F" w:rsidRDefault="00860A11" w:rsidP="00445E97">
            <w:pPr>
              <w:pStyle w:val="H-Standard"/>
              <w:jc w:val="left"/>
              <w:rPr>
                <w:i/>
                <w:sz w:val="18"/>
                <w:highlight w:val="yellow"/>
              </w:rPr>
            </w:pPr>
            <w:r>
              <w:rPr>
                <w:i/>
                <w:sz w:val="18"/>
                <w:highlight w:val="yellow"/>
              </w:rPr>
              <w:t>Examen de la pertinence des services et des activités du RRN envisagés</w:t>
            </w:r>
          </w:p>
          <w:p w:rsidR="00860A11" w:rsidRPr="000A700F" w:rsidRDefault="00860A11" w:rsidP="00445E97">
            <w:pPr>
              <w:pStyle w:val="H-Standard"/>
              <w:jc w:val="left"/>
              <w:rPr>
                <w:i/>
                <w:sz w:val="18"/>
                <w:highlight w:val="yellow"/>
              </w:rPr>
            </w:pPr>
            <w:r>
              <w:rPr>
                <w:i/>
                <w:sz w:val="18"/>
                <w:highlight w:val="yellow"/>
              </w:rPr>
              <w:t>Cohérence avec les autres réseaux au niveau national et européen</w:t>
            </w:r>
          </w:p>
          <w:p w:rsidR="00860A11" w:rsidRPr="000A700F" w:rsidRDefault="00860A11" w:rsidP="00445E97">
            <w:pPr>
              <w:pStyle w:val="H-Standard"/>
              <w:jc w:val="left"/>
              <w:rPr>
                <w:i/>
                <w:sz w:val="18"/>
                <w:highlight w:val="yellow"/>
              </w:rPr>
            </w:pPr>
            <w:r>
              <w:rPr>
                <w:i/>
                <w:sz w:val="18"/>
                <w:highlight w:val="yellow"/>
              </w:rPr>
              <w:t>Performance du RRN et  réalisations (tenant compte des indicateurs de réalisations du CMES)</w:t>
            </w:r>
          </w:p>
          <w:p w:rsidR="00860A11" w:rsidRPr="000A700F" w:rsidRDefault="00860A11" w:rsidP="00445E97">
            <w:pPr>
              <w:pStyle w:val="H-Standard"/>
              <w:jc w:val="left"/>
              <w:rPr>
                <w:i/>
                <w:sz w:val="18"/>
                <w:highlight w:val="yellow"/>
              </w:rPr>
            </w:pPr>
            <w:r>
              <w:rPr>
                <w:i/>
                <w:sz w:val="18"/>
                <w:highlight w:val="yellow"/>
              </w:rPr>
              <w:t>Recommandations sur la manière d’optimiser les services et les activités du RRN</w:t>
            </w:r>
          </w:p>
        </w:tc>
      </w:tr>
    </w:tbl>
    <w:p w:rsidR="00860A11" w:rsidRPr="000A700F" w:rsidRDefault="00860A11" w:rsidP="006A099F">
      <w:pPr>
        <w:pStyle w:val="HHeading5"/>
        <w:rPr>
          <w:highlight w:val="yellow"/>
        </w:rPr>
      </w:pPr>
      <w:bookmarkStart w:id="347" w:name="_Toc422307933"/>
      <w:r>
        <w:rPr>
          <w:highlight w:val="yellow"/>
        </w:rPr>
        <w:t>Gestion du contrat d’évaluation</w:t>
      </w:r>
      <w:bookmarkEnd w:id="347"/>
    </w:p>
    <w:p w:rsidR="00860A11" w:rsidRPr="000A700F" w:rsidRDefault="00860A11" w:rsidP="00B51C05">
      <w:pPr>
        <w:pStyle w:val="H-Standard"/>
        <w:rPr>
          <w:highlight w:val="yellow"/>
        </w:rPr>
      </w:pPr>
      <w:r>
        <w:rPr>
          <w:highlight w:val="yellow"/>
        </w:rPr>
        <w:t xml:space="preserve">Cette section décrit comment le contrat d'évaluation sera piloté et géré. S'il existe un groupe de pilotage de l'évaluation, le cahier des charges peut contenir la liste de ses membres et décrire leurs rôles spécifiques. </w:t>
      </w:r>
    </w:p>
    <w:p w:rsidR="00860A11" w:rsidRPr="000A700F" w:rsidRDefault="00860A11" w:rsidP="00B51C05">
      <w:pPr>
        <w:pStyle w:val="H-Standard"/>
        <w:rPr>
          <w:highlight w:val="yellow"/>
        </w:rPr>
      </w:pPr>
      <w:r>
        <w:rPr>
          <w:highlight w:val="yellow"/>
        </w:rPr>
        <w:t xml:space="preserve">Il devrait aussi préciser le mode de fonctionnement entre les évaluateurs et l’autorité contractante (personnes à contacter, fréquence des réunions, présentations à des groupes cibles spécifiques). </w:t>
      </w:r>
    </w:p>
    <w:p w:rsidR="00860A11" w:rsidRPr="000A700F" w:rsidRDefault="00860A11" w:rsidP="006A099F">
      <w:pPr>
        <w:pStyle w:val="HHeading5"/>
        <w:rPr>
          <w:highlight w:val="yellow"/>
        </w:rPr>
      </w:pPr>
      <w:bookmarkStart w:id="348" w:name="_Toc422307934"/>
      <w:r>
        <w:rPr>
          <w:highlight w:val="yellow"/>
        </w:rPr>
        <w:t>Budget</w:t>
      </w:r>
      <w:bookmarkEnd w:id="348"/>
    </w:p>
    <w:p w:rsidR="00860A11" w:rsidRPr="000A700F" w:rsidRDefault="00860A11" w:rsidP="00B51C05">
      <w:pPr>
        <w:pStyle w:val="H-Standard"/>
        <w:rPr>
          <w:highlight w:val="yellow"/>
        </w:rPr>
      </w:pPr>
      <w:r>
        <w:rPr>
          <w:highlight w:val="yellow"/>
        </w:rPr>
        <w:t xml:space="preserve">Les détails du budget du contrat d'évaluation devraient être précisés (les coûts d'achat des données font l’objet d’une liste séparée). Une bonne pratique voudrait que l’autorité contractante précise un budget maximal et minimal pour les  appels d'offres. Cela permet aux évaluateurs de faire des offres financièrement réalistes. </w:t>
      </w:r>
    </w:p>
    <w:p w:rsidR="00860A11" w:rsidRPr="000A700F" w:rsidRDefault="00860A11" w:rsidP="006A099F">
      <w:pPr>
        <w:pStyle w:val="HHeading5"/>
        <w:rPr>
          <w:highlight w:val="yellow"/>
        </w:rPr>
      </w:pPr>
      <w:bookmarkStart w:id="349" w:name="_Toc422307935"/>
      <w:r>
        <w:rPr>
          <w:highlight w:val="yellow"/>
        </w:rPr>
        <w:t>Qualification de l’équipe</w:t>
      </w:r>
      <w:bookmarkEnd w:id="349"/>
    </w:p>
    <w:p w:rsidR="00860A11" w:rsidRPr="000A700F" w:rsidRDefault="00860A11" w:rsidP="00B51C05">
      <w:pPr>
        <w:pStyle w:val="H-Standard"/>
        <w:rPr>
          <w:highlight w:val="yellow"/>
        </w:rPr>
      </w:pPr>
      <w:r>
        <w:rPr>
          <w:highlight w:val="yellow"/>
        </w:rPr>
        <w:t xml:space="preserve">Les impératifs concernant la qualification de l'équipe d'évaluation sont étroitement liés à la méthodologie imposée et aux besoins de la gestion de projet. Les qualifications requises pour les experts sont souvent précisées (par exemple: années d'expérience professionnelle, diplômes universitaires). Dans les cahiers des charges plus souples, on se borne à préciser les compétences et l'expérience nécessaire des membres de l'équipe d'évaluation, sans préciser les exigences spécifiques pour chaque poste. Cela donne plus de liberté au sous-traitant pour former une équipe qui fonctionne bien. </w:t>
      </w:r>
    </w:p>
    <w:p w:rsidR="00860A11" w:rsidRPr="000A700F" w:rsidRDefault="00860A11" w:rsidP="00873F38">
      <w:pPr>
        <w:pStyle w:val="HHeading5"/>
        <w:rPr>
          <w:highlight w:val="yellow"/>
        </w:rPr>
      </w:pPr>
      <w:bookmarkStart w:id="350" w:name="_Toc422307937"/>
      <w:bookmarkStart w:id="351" w:name="_Toc422307936"/>
      <w:r>
        <w:rPr>
          <w:highlight w:val="yellow"/>
        </w:rPr>
        <w:lastRenderedPageBreak/>
        <w:t>Critères d'exclusion, de sélection et d'attribution</w:t>
      </w:r>
      <w:bookmarkEnd w:id="350"/>
    </w:p>
    <w:p w:rsidR="00860A11" w:rsidRPr="000A700F" w:rsidRDefault="00860A11" w:rsidP="00873F38">
      <w:pPr>
        <w:pStyle w:val="H-Standard"/>
        <w:rPr>
          <w:highlight w:val="yellow"/>
        </w:rPr>
      </w:pPr>
      <w:r>
        <w:rPr>
          <w:highlight w:val="yellow"/>
        </w:rPr>
        <w:t>Le cahier des charges précise les critères de sélection des sous-traitants conformément à la législation nationale sur les achats publics. Les critères de sélection peuvent être divisés en trois groupes; critères d’exclusion, de sélection et d'attribution:</w:t>
      </w:r>
    </w:p>
    <w:p w:rsidR="00860A11" w:rsidRPr="000A700F" w:rsidRDefault="00860A11" w:rsidP="00873F38">
      <w:pPr>
        <w:pStyle w:val="H-Standard"/>
        <w:rPr>
          <w:highlight w:val="yellow"/>
        </w:rPr>
      </w:pPr>
      <w:r>
        <w:t xml:space="preserve">Les </w:t>
      </w:r>
      <w:r>
        <w:rPr>
          <w:b/>
          <w:highlight w:val="yellow"/>
        </w:rPr>
        <w:t>critères d'exclusion</w:t>
      </w:r>
      <w:r>
        <w:t xml:space="preserve"> </w:t>
      </w:r>
      <w:r>
        <w:rPr>
          <w:highlight w:val="yellow"/>
        </w:rPr>
        <w:t>se réfèrent à l'exclusion d'un sous-traitant en situation de faillite, coupable d’</w:t>
      </w:r>
      <w:r>
        <w:t xml:space="preserve">une </w:t>
      </w:r>
      <w:r>
        <w:rPr>
          <w:highlight w:val="yellow"/>
        </w:rPr>
        <w:t>faute professionnelle grave, ou n’ayant pas rempli</w:t>
      </w:r>
      <w:r>
        <w:t xml:space="preserve"> ses </w:t>
      </w:r>
      <w:r>
        <w:rPr>
          <w:highlight w:val="yellow"/>
        </w:rPr>
        <w:t>obligations</w:t>
      </w:r>
      <w:r>
        <w:t xml:space="preserve"> à l’</w:t>
      </w:r>
      <w:r>
        <w:rPr>
          <w:highlight w:val="yellow"/>
        </w:rPr>
        <w:t>égard</w:t>
      </w:r>
      <w:r>
        <w:t xml:space="preserve"> de </w:t>
      </w:r>
      <w:r>
        <w:rPr>
          <w:highlight w:val="yellow"/>
        </w:rPr>
        <w:t>l'administration fiscale, de la sécurité sociale, etc. Dans</w:t>
      </w:r>
      <w:r>
        <w:t xml:space="preserve"> la </w:t>
      </w:r>
      <w:r>
        <w:rPr>
          <w:highlight w:val="yellow"/>
        </w:rPr>
        <w:t>plupart</w:t>
      </w:r>
      <w:r>
        <w:t xml:space="preserve"> des </w:t>
      </w:r>
      <w:r>
        <w:rPr>
          <w:highlight w:val="yellow"/>
        </w:rPr>
        <w:t>cas</w:t>
      </w:r>
      <w:r>
        <w:t xml:space="preserve">, </w:t>
      </w:r>
      <w:r>
        <w:rPr>
          <w:highlight w:val="yellow"/>
        </w:rPr>
        <w:t xml:space="preserve">une simple «Déclaration sur l'honneur » suffit. En outre, la preuve que le sous-traitant n'a pas de conflit d'intérêts (par exemple s'il a été concerné par la mise en œuvre du PDR) peut être demandée. </w:t>
      </w:r>
    </w:p>
    <w:p w:rsidR="00860A11" w:rsidRPr="000A700F" w:rsidRDefault="00860A11" w:rsidP="00873F38">
      <w:pPr>
        <w:pStyle w:val="H-Standard"/>
        <w:rPr>
          <w:highlight w:val="yellow"/>
        </w:rPr>
      </w:pPr>
      <w:r>
        <w:t xml:space="preserve">Les </w:t>
      </w:r>
      <w:r>
        <w:rPr>
          <w:b/>
          <w:highlight w:val="yellow"/>
        </w:rPr>
        <w:t>critères de sélection</w:t>
      </w:r>
      <w:r>
        <w:t xml:space="preserve"> </w:t>
      </w:r>
      <w:r>
        <w:rPr>
          <w:highlight w:val="yellow"/>
        </w:rPr>
        <w:t>font généralement référence à</w:t>
      </w:r>
      <w:r>
        <w:t xml:space="preserve"> la </w:t>
      </w:r>
      <w:r>
        <w:rPr>
          <w:highlight w:val="yellow"/>
        </w:rPr>
        <w:t>situation judiciaire des sous-traitants  et</w:t>
      </w:r>
      <w:r>
        <w:t xml:space="preserve"> </w:t>
      </w:r>
      <w:r>
        <w:rPr>
          <w:highlight w:val="yellow"/>
        </w:rPr>
        <w:t xml:space="preserve">à leur solidité économique, financière, technique et professionnelle. Si la législation nationale le permet, l’autorité contractante peut se limiter à demander des copies des documents requis, alors que les originaux ne sont demandés qu’au soumissionnaire retenu. Cela permet de simplifier la procédure de l’appel d'offres. </w:t>
      </w:r>
    </w:p>
    <w:p w:rsidR="00860A11" w:rsidRPr="000A700F" w:rsidRDefault="00860A11" w:rsidP="00873F38">
      <w:pPr>
        <w:pStyle w:val="H-Standard"/>
        <w:rPr>
          <w:highlight w:val="yellow"/>
        </w:rPr>
      </w:pPr>
      <w:r>
        <w:rPr>
          <w:highlight w:val="yellow"/>
        </w:rPr>
        <w:t>En outre, les catégories d'experts et d’expertise sont décrites dans le cahier des charges, y compris le niveau de qualification et d'expérience professionnelle. Par exemple, dans le cas d'un modèle d'évaluation contre-factuelle, le cahier des charges impose un expert expérimenté dans ce domaine. La preuve de la qualification requise sera précisée, mais la demande d’une preuve formelle trop détaillée créera un fardeau administratif inutile pour les sous-traitants.</w:t>
      </w:r>
    </w:p>
    <w:p w:rsidR="00860A11" w:rsidRPr="000A700F" w:rsidRDefault="00860A11" w:rsidP="00873F38">
      <w:pPr>
        <w:pStyle w:val="H-Standard"/>
        <w:rPr>
          <w:highlight w:val="yellow"/>
        </w:rPr>
      </w:pPr>
      <w:r>
        <w:t xml:space="preserve">Les </w:t>
      </w:r>
      <w:r>
        <w:rPr>
          <w:b/>
          <w:highlight w:val="yellow"/>
        </w:rPr>
        <w:t>critères</w:t>
      </w:r>
      <w:r>
        <w:t xml:space="preserve"> d'</w:t>
      </w:r>
      <w:r>
        <w:rPr>
          <w:b/>
          <w:highlight w:val="yellow"/>
        </w:rPr>
        <w:t>attribution</w:t>
      </w:r>
      <w:r>
        <w:t xml:space="preserve"> </w:t>
      </w:r>
      <w:r>
        <w:rPr>
          <w:highlight w:val="yellow"/>
        </w:rPr>
        <w:t xml:space="preserve">font référence à la qualité technique et financière de l'offre. Outre le prix, ils se rapportent habituellement à la démarche d'évaluation proposée, la compréhension de la tâche, la méthodologie, les rôles des membres de l'équipe et l’ensemble de l'organisation et/ou la gestion des travaux. Si l’autorité contractante a une idée précise de ce qui constitue une bonne offre, son  jugement sera plus clair et - surtout - elle choisira la meilleure offre. </w:t>
      </w:r>
    </w:p>
    <w:p w:rsidR="00860A11" w:rsidRPr="000A700F" w:rsidRDefault="00860A11" w:rsidP="00873F38">
      <w:pPr>
        <w:pStyle w:val="H-Standard"/>
        <w:rPr>
          <w:highlight w:val="yellow"/>
        </w:rPr>
      </w:pPr>
      <w:r>
        <w:rPr>
          <w:highlight w:val="yellow"/>
        </w:rPr>
        <w:t>La clarté et la transparence de la pondération des critères d'attribution sont importantes, en particulier pour la pondération entre l'offre technique (contenu) et l'offre financière (prix). Il est important d'examiner attentivement si l'offre la plus basse est aussi la meilleure  d'un point de vue technique. Une pondération plus faible de l'offre financière permet généralement de choisir l’offre qui est techniquement la meilleure. Le ratio entre le contenu et le prix peut varier de 60/40 à 80/20. D’après des expériences récentes, il semblerait qu’une pondération de 20 à 25% sur le prix soit appropriée. En général, un tableau  récapitulatif des critères et des preuves correspondantes (précisant où ils se trouvent dans l'offre) facilite le processus d'évaluation.</w:t>
      </w:r>
    </w:p>
    <w:p w:rsidR="00860A11" w:rsidRPr="000A700F" w:rsidRDefault="00860A11" w:rsidP="006A099F">
      <w:pPr>
        <w:pStyle w:val="HHeading5"/>
        <w:rPr>
          <w:highlight w:val="yellow"/>
        </w:rPr>
      </w:pPr>
      <w:r>
        <w:rPr>
          <w:highlight w:val="yellow"/>
        </w:rPr>
        <w:t>Règles de soumission</w:t>
      </w:r>
      <w:bookmarkEnd w:id="351"/>
    </w:p>
    <w:p w:rsidR="00860A11" w:rsidRPr="000A700F" w:rsidRDefault="00860A11" w:rsidP="00B51C05">
      <w:pPr>
        <w:pStyle w:val="H-Standard"/>
        <w:rPr>
          <w:highlight w:val="yellow"/>
        </w:rPr>
      </w:pPr>
      <w:r>
        <w:rPr>
          <w:highlight w:val="yellow"/>
        </w:rPr>
        <w:t>Les informations concernant la soumission des offres comprennent:</w:t>
      </w:r>
    </w:p>
    <w:p w:rsidR="00860A11" w:rsidRPr="000A700F" w:rsidRDefault="00860A11" w:rsidP="00B51C05">
      <w:pPr>
        <w:pStyle w:val="Hlistbullet2"/>
        <w:rPr>
          <w:highlight w:val="yellow"/>
        </w:rPr>
      </w:pPr>
      <w:r>
        <w:rPr>
          <w:highlight w:val="yellow"/>
        </w:rPr>
        <w:t xml:space="preserve">Une date limite précise pour la soumission (date et heure précise, le cachet de la poste faisant foi ou le jour de livraison); </w:t>
      </w:r>
    </w:p>
    <w:p w:rsidR="00860A11" w:rsidRPr="000A700F" w:rsidRDefault="00860A11" w:rsidP="00B51C05">
      <w:pPr>
        <w:pStyle w:val="Hlistbullet2"/>
        <w:rPr>
          <w:highlight w:val="yellow"/>
        </w:rPr>
      </w:pPr>
      <w:r>
        <w:rPr>
          <w:highlight w:val="yellow"/>
        </w:rPr>
        <w:t>L'institution et l'adresse à laquelle l'offre doit être envoyée.</w:t>
      </w:r>
    </w:p>
    <w:p w:rsidR="00860A11" w:rsidRPr="008D0759" w:rsidRDefault="00860A11" w:rsidP="00B51C05">
      <w:pPr>
        <w:pStyle w:val="H-Standard"/>
      </w:pPr>
      <w:r>
        <w:rPr>
          <w:highlight w:val="yellow"/>
        </w:rPr>
        <w:t>Le cahier des charges précise également si les offres doivent être soumises dans une ou deux enveloppes (avec des parties financières distinctes ou des parties techniques anonymes), le nombre d'exemplaires demandés, la date d’ouverture des offres (si l'offre est publique), et l’adresse d’un contact pour  répondre aux questions concernant le cahier des charges.</w:t>
      </w:r>
    </w:p>
    <w:p w:rsidR="00860A11" w:rsidRPr="004636A8" w:rsidRDefault="00860A11" w:rsidP="00501EAB">
      <w:pPr>
        <w:pStyle w:val="HHeading2"/>
        <w:tabs>
          <w:tab w:val="clear" w:pos="360"/>
        </w:tabs>
        <w:ind w:left="510" w:hanging="510"/>
        <w:rPr>
          <w:lang w:val="en-GB"/>
        </w:rPr>
      </w:pPr>
      <w:bookmarkStart w:id="352" w:name="_Toc453079784"/>
      <w:r w:rsidRPr="004636A8">
        <w:rPr>
          <w:lang w:val="en-GB"/>
        </w:rPr>
        <w:lastRenderedPageBreak/>
        <w:t>Examples of output-result-impact chains for common groups of NRN actions</w:t>
      </w:r>
      <w:bookmarkEnd w:id="352"/>
      <w:r w:rsidRPr="004636A8">
        <w:rPr>
          <w:lang w:val="en-GB"/>
        </w:rPr>
        <w:t xml:space="preserve"> </w:t>
      </w:r>
    </w:p>
    <w:p w:rsidR="00860A11" w:rsidRPr="004636A8" w:rsidRDefault="00860A11" w:rsidP="007074C5">
      <w:pPr>
        <w:pStyle w:val="H-Standard"/>
        <w:rPr>
          <w:b/>
          <w:caps/>
          <w:lang w:val="en-GB"/>
        </w:rPr>
      </w:pPr>
      <w:r w:rsidRPr="004636A8">
        <w:rPr>
          <w:lang w:val="en-GB"/>
        </w:rPr>
        <w:t>In the simplest form, the intervention logic can start to be developed as a chain or ladder whose links or rungs are activities, outputs, results and impacts. Each chain link or ladder rung is occupied by one achievement. However, one achievement on one rung can lead to more than one achievement on the next rung. In the end, the results and impacts emerge through multiple causation.</w:t>
      </w:r>
    </w:p>
    <w:p w:rsidR="00860A11" w:rsidRPr="004636A8" w:rsidRDefault="00860A11" w:rsidP="007074C5">
      <w:pPr>
        <w:pStyle w:val="H-Standard"/>
        <w:rPr>
          <w:lang w:val="en-GB"/>
        </w:rPr>
      </w:pPr>
      <w:r w:rsidRPr="004636A8">
        <w:rPr>
          <w:lang w:val="en-GB"/>
        </w:rPr>
        <w:t>The following figures illustrate how a stakeholder in a Member State could develop the logical chain of the NRN outputs, results and impacts starting from each of the common group of actions</w:t>
      </w:r>
      <w:r w:rsidRPr="004636A8">
        <w:rPr>
          <w:rFonts w:ascii="ZWAdobeF" w:hAnsi="ZWAdobeF"/>
          <w:color w:val="auto"/>
          <w:sz w:val="2"/>
          <w:lang w:val="en-GB"/>
        </w:rPr>
        <w:t>129F</w:t>
      </w:r>
      <w:r>
        <w:rPr>
          <w:rStyle w:val="FootnoteReference"/>
        </w:rPr>
        <w:footnoteReference w:id="130"/>
      </w:r>
      <w:r w:rsidRPr="004636A8">
        <w:rPr>
          <w:lang w:val="en-GB"/>
        </w:rPr>
        <w:t xml:space="preserve"> and link them to the outputs directly produced with NSU activities, and later with results and impacts generated by the NRN. </w:t>
      </w:r>
    </w:p>
    <w:p w:rsidR="00860A11" w:rsidRPr="004636A8" w:rsidRDefault="00860A11" w:rsidP="007074C5">
      <w:pPr>
        <w:pStyle w:val="H-Standard"/>
        <w:rPr>
          <w:lang w:val="en-GB"/>
        </w:rPr>
      </w:pPr>
      <w:r w:rsidRPr="004636A8">
        <w:rPr>
          <w:lang w:val="en-GB"/>
        </w:rPr>
        <w:t xml:space="preserve">These chains can be used as the starting point for the development of specific NRN intervention logic, which must still be linked to the NRN common and programme specific objectives. </w:t>
      </w:r>
    </w:p>
    <w:p w:rsidR="00860A11" w:rsidRPr="004636A8" w:rsidRDefault="00860A11" w:rsidP="007074C5">
      <w:pPr>
        <w:pStyle w:val="H-Standard"/>
        <w:rPr>
          <w:lang w:val="en-GB"/>
        </w:rPr>
        <w:sectPr w:rsidR="00860A11" w:rsidRPr="004636A8" w:rsidSect="00434027">
          <w:headerReference w:type="default" r:id="rId59"/>
          <w:footerReference w:type="default" r:id="rId60"/>
          <w:headerReference w:type="first" r:id="rId61"/>
          <w:footerReference w:type="first" r:id="rId62"/>
          <w:pgSz w:w="11906" w:h="16838" w:code="9"/>
          <w:pgMar w:top="1440" w:right="1440" w:bottom="1440" w:left="1440" w:header="1134" w:footer="1021" w:gutter="0"/>
          <w:cols w:space="708"/>
          <w:titlePg/>
          <w:docGrid w:linePitch="360"/>
        </w:sectPr>
      </w:pPr>
    </w:p>
    <w:p w:rsidR="00860A11" w:rsidRPr="004636A8" w:rsidRDefault="00860A11" w:rsidP="003F6DD6">
      <w:pPr>
        <w:pStyle w:val="HHeadingfigures"/>
        <w:rPr>
          <w:lang w:val="en-GB"/>
        </w:rPr>
      </w:pPr>
      <w:bookmarkStart w:id="353" w:name="_Toc451781944"/>
      <w:r w:rsidRPr="004636A8">
        <w:rPr>
          <w:lang w:val="en-GB"/>
        </w:rPr>
        <w:lastRenderedPageBreak/>
        <w:t>Example of output-result-impact chain for collection of examples of projects, covering all RDP priorities</w:t>
      </w:r>
      <w:bookmarkEnd w:id="353"/>
      <w:r w:rsidRPr="004636A8">
        <w:rPr>
          <w:lang w:val="en-GB"/>
        </w:rPr>
        <w:t xml:space="preserve"> </w:t>
      </w:r>
    </w:p>
    <w:p w:rsidR="00860A11" w:rsidRPr="008D0759" w:rsidRDefault="00860A11" w:rsidP="00642574">
      <w:pPr>
        <w:pStyle w:val="HStandard"/>
        <w:jc w:val="center"/>
      </w:pPr>
      <w:r>
        <w:rPr>
          <w:noProof/>
          <w:lang w:val="en-GB" w:eastAsia="en-GB" w:bidi="ar-SA"/>
        </w:rPr>
        <w:drawing>
          <wp:inline distT="0" distB="0" distL="0" distR="0" wp14:anchorId="78163252" wp14:editId="06957B6A">
            <wp:extent cx="7805406" cy="4680000"/>
            <wp:effectExtent l="0" t="0" r="5715"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NRN_IL-ex1.jpg"/>
                    <pic:cNvPicPr/>
                  </pic:nvPicPr>
                  <pic:blipFill>
                    <a:blip r:embed="rId63">
                      <a:extLst>
                        <a:ext uri="{28A0092B-C50C-407E-A947-70E740481C1C}">
                          <a14:useLocalDpi xmlns:a14="http://schemas.microsoft.com/office/drawing/2010/main" val="0"/>
                        </a:ext>
                      </a:extLst>
                    </a:blip>
                    <a:stretch>
                      <a:fillRect/>
                    </a:stretch>
                  </pic:blipFill>
                  <pic:spPr>
                    <a:xfrm>
                      <a:off x="0" y="0"/>
                      <a:ext cx="7805406" cy="4680000"/>
                    </a:xfrm>
                    <a:prstGeom prst="rect">
                      <a:avLst/>
                    </a:prstGeom>
                  </pic:spPr>
                </pic:pic>
              </a:graphicData>
            </a:graphic>
          </wp:inline>
        </w:drawing>
      </w:r>
    </w:p>
    <w:p w:rsidR="00860A11" w:rsidRPr="008D0759" w:rsidRDefault="00860A11">
      <w:pPr>
        <w:spacing w:after="0" w:line="240" w:lineRule="auto"/>
        <w:rPr>
          <w:rFonts w:cs="Arial"/>
          <w:color w:val="576C88" w:themeColor="text2" w:themeTint="D9"/>
          <w:sz w:val="20"/>
          <w:szCs w:val="20"/>
        </w:rPr>
      </w:pPr>
      <w:r>
        <w:br w:type="page"/>
      </w:r>
    </w:p>
    <w:p w:rsidR="00860A11" w:rsidRPr="004636A8" w:rsidRDefault="00860A11" w:rsidP="00DD0375">
      <w:pPr>
        <w:pStyle w:val="HHeadingfigures"/>
        <w:rPr>
          <w:caps/>
          <w:lang w:val="en-GB"/>
        </w:rPr>
      </w:pPr>
      <w:bookmarkStart w:id="354" w:name="_Toc451781945"/>
      <w:r w:rsidRPr="004636A8">
        <w:rPr>
          <w:lang w:val="en-GB"/>
        </w:rPr>
        <w:lastRenderedPageBreak/>
        <w:t>Example of output-result-impact chain for facilitation of thematic and analytical exchanges between RD stakeholders, sharing and dissemination of findings.</w:t>
      </w:r>
      <w:bookmarkEnd w:id="354"/>
    </w:p>
    <w:p w:rsidR="00860A11" w:rsidRPr="008D0759" w:rsidRDefault="00860A11" w:rsidP="00DD0375">
      <w:pPr>
        <w:pStyle w:val="H-Standard"/>
        <w:jc w:val="center"/>
      </w:pPr>
      <w:r>
        <w:rPr>
          <w:noProof/>
          <w:lang w:val="en-GB" w:eastAsia="en-GB" w:bidi="ar-SA"/>
        </w:rPr>
        <w:drawing>
          <wp:inline distT="0" distB="0" distL="0" distR="0" wp14:anchorId="2FAC3C4B" wp14:editId="7D91D838">
            <wp:extent cx="7741031" cy="4680000"/>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RN_IL-ex2.jpg"/>
                    <pic:cNvPicPr/>
                  </pic:nvPicPr>
                  <pic:blipFill>
                    <a:blip r:embed="rId64">
                      <a:extLst>
                        <a:ext uri="{28A0092B-C50C-407E-A947-70E740481C1C}">
                          <a14:useLocalDpi xmlns:a14="http://schemas.microsoft.com/office/drawing/2010/main" val="0"/>
                        </a:ext>
                      </a:extLst>
                    </a:blip>
                    <a:stretch>
                      <a:fillRect/>
                    </a:stretch>
                  </pic:blipFill>
                  <pic:spPr>
                    <a:xfrm>
                      <a:off x="0" y="0"/>
                      <a:ext cx="7741031" cy="4680000"/>
                    </a:xfrm>
                    <a:prstGeom prst="rect">
                      <a:avLst/>
                    </a:prstGeom>
                  </pic:spPr>
                </pic:pic>
              </a:graphicData>
            </a:graphic>
          </wp:inline>
        </w:drawing>
      </w:r>
    </w:p>
    <w:p w:rsidR="00860A11" w:rsidRPr="008D0759" w:rsidRDefault="00860A11">
      <w:pPr>
        <w:spacing w:after="0" w:line="240" w:lineRule="auto"/>
        <w:rPr>
          <w:rFonts w:cs="Arial"/>
          <w:color w:val="000000" w:themeColor="text1" w:themeShade="BF"/>
          <w:sz w:val="20"/>
          <w:szCs w:val="18"/>
        </w:rPr>
      </w:pPr>
      <w:r>
        <w:br w:type="page"/>
      </w:r>
    </w:p>
    <w:p w:rsidR="00860A11" w:rsidRPr="004636A8" w:rsidRDefault="00860A11" w:rsidP="00DD0375">
      <w:pPr>
        <w:pStyle w:val="HHeadingfigures"/>
        <w:rPr>
          <w:caps/>
          <w:lang w:val="en-GB"/>
        </w:rPr>
      </w:pPr>
      <w:bookmarkStart w:id="355" w:name="_Toc451781946"/>
      <w:r w:rsidRPr="004636A8">
        <w:rPr>
          <w:lang w:val="en-GB"/>
        </w:rPr>
        <w:lastRenderedPageBreak/>
        <w:t>Example of output-result-impact chain for provision of training and networking of LAGs and in particular of Technical Assistance for inter-territorial and transnational cooperation, facilitation of cooperation among LAGs and search for partners</w:t>
      </w:r>
      <w:bookmarkEnd w:id="355"/>
    </w:p>
    <w:p w:rsidR="00860A11" w:rsidRPr="008D0759" w:rsidRDefault="00860A11" w:rsidP="002E488C">
      <w:pPr>
        <w:pStyle w:val="H-Standard"/>
        <w:jc w:val="center"/>
      </w:pPr>
      <w:r>
        <w:rPr>
          <w:noProof/>
          <w:lang w:val="en-GB" w:eastAsia="en-GB" w:bidi="ar-SA"/>
        </w:rPr>
        <w:drawing>
          <wp:inline distT="0" distB="0" distL="0" distR="0" wp14:anchorId="5F20C76A" wp14:editId="078F1D14">
            <wp:extent cx="7440789" cy="4680000"/>
            <wp:effectExtent l="0" t="0" r="8255"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NRN_IL-ex3.jpg"/>
                    <pic:cNvPicPr/>
                  </pic:nvPicPr>
                  <pic:blipFill>
                    <a:blip r:embed="rId65">
                      <a:extLst>
                        <a:ext uri="{28A0092B-C50C-407E-A947-70E740481C1C}">
                          <a14:useLocalDpi xmlns:a14="http://schemas.microsoft.com/office/drawing/2010/main" val="0"/>
                        </a:ext>
                      </a:extLst>
                    </a:blip>
                    <a:stretch>
                      <a:fillRect/>
                    </a:stretch>
                  </pic:blipFill>
                  <pic:spPr>
                    <a:xfrm>
                      <a:off x="0" y="0"/>
                      <a:ext cx="7440789" cy="4680000"/>
                    </a:xfrm>
                    <a:prstGeom prst="rect">
                      <a:avLst/>
                    </a:prstGeom>
                  </pic:spPr>
                </pic:pic>
              </a:graphicData>
            </a:graphic>
          </wp:inline>
        </w:drawing>
      </w:r>
    </w:p>
    <w:p w:rsidR="00860A11" w:rsidRPr="008D0759" w:rsidRDefault="00860A11">
      <w:pPr>
        <w:spacing w:after="0" w:line="240" w:lineRule="auto"/>
        <w:rPr>
          <w:rFonts w:cs="Arial"/>
          <w:color w:val="000000" w:themeColor="text1" w:themeShade="BF"/>
          <w:sz w:val="20"/>
          <w:szCs w:val="18"/>
        </w:rPr>
      </w:pPr>
      <w:r>
        <w:br w:type="page"/>
      </w:r>
    </w:p>
    <w:p w:rsidR="00860A11" w:rsidRPr="004636A8" w:rsidRDefault="00860A11" w:rsidP="0081762A">
      <w:pPr>
        <w:pStyle w:val="HHeadingfigures"/>
        <w:rPr>
          <w:caps/>
          <w:lang w:val="en-GB"/>
        </w:rPr>
      </w:pPr>
      <w:bookmarkStart w:id="356" w:name="_Toc451781947"/>
      <w:r w:rsidRPr="004636A8">
        <w:rPr>
          <w:lang w:val="en-GB"/>
        </w:rPr>
        <w:lastRenderedPageBreak/>
        <w:t>Example of output-result-impact chain for provision of networking for advisors and innovation support services</w:t>
      </w:r>
      <w:bookmarkEnd w:id="356"/>
    </w:p>
    <w:p w:rsidR="00860A11" w:rsidRPr="008D0759" w:rsidRDefault="00860A11" w:rsidP="0081762A">
      <w:pPr>
        <w:pStyle w:val="H-Standard"/>
        <w:jc w:val="center"/>
      </w:pPr>
      <w:r>
        <w:rPr>
          <w:noProof/>
          <w:lang w:val="en-GB" w:eastAsia="en-GB" w:bidi="ar-SA"/>
        </w:rPr>
        <w:drawing>
          <wp:inline distT="0" distB="0" distL="0" distR="0" wp14:anchorId="185B4D81" wp14:editId="01B8FB0D">
            <wp:extent cx="7627449" cy="4680000"/>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NRN_IL-ex4.jpg"/>
                    <pic:cNvPicPr/>
                  </pic:nvPicPr>
                  <pic:blipFill>
                    <a:blip r:embed="rId66">
                      <a:extLst>
                        <a:ext uri="{28A0092B-C50C-407E-A947-70E740481C1C}">
                          <a14:useLocalDpi xmlns:a14="http://schemas.microsoft.com/office/drawing/2010/main" val="0"/>
                        </a:ext>
                      </a:extLst>
                    </a:blip>
                    <a:stretch>
                      <a:fillRect/>
                    </a:stretch>
                  </pic:blipFill>
                  <pic:spPr>
                    <a:xfrm>
                      <a:off x="0" y="0"/>
                      <a:ext cx="7627449" cy="4680000"/>
                    </a:xfrm>
                    <a:prstGeom prst="rect">
                      <a:avLst/>
                    </a:prstGeom>
                  </pic:spPr>
                </pic:pic>
              </a:graphicData>
            </a:graphic>
          </wp:inline>
        </w:drawing>
      </w:r>
    </w:p>
    <w:p w:rsidR="00860A11" w:rsidRPr="008D0759" w:rsidRDefault="00860A11">
      <w:pPr>
        <w:spacing w:after="0" w:line="240" w:lineRule="auto"/>
        <w:rPr>
          <w:rFonts w:cs="Arial"/>
          <w:color w:val="000000" w:themeColor="text1" w:themeShade="BF"/>
          <w:sz w:val="20"/>
          <w:szCs w:val="18"/>
        </w:rPr>
      </w:pPr>
      <w:r>
        <w:br w:type="page"/>
      </w:r>
    </w:p>
    <w:p w:rsidR="00860A11" w:rsidRPr="004636A8" w:rsidRDefault="00860A11" w:rsidP="00ED7BA1">
      <w:pPr>
        <w:pStyle w:val="HHeadingfigures"/>
        <w:rPr>
          <w:caps/>
          <w:lang w:val="en-GB"/>
        </w:rPr>
      </w:pPr>
      <w:bookmarkStart w:id="357" w:name="_Toc451781948"/>
      <w:r w:rsidRPr="004636A8">
        <w:rPr>
          <w:lang w:val="en-GB"/>
        </w:rPr>
        <w:lastRenderedPageBreak/>
        <w:t>Example of output-result-impact chain for sharing ad dissemination of monitoring and evaluation findings</w:t>
      </w:r>
      <w:bookmarkEnd w:id="357"/>
      <w:r w:rsidRPr="004636A8">
        <w:rPr>
          <w:lang w:val="en-GB"/>
        </w:rPr>
        <w:t xml:space="preserve"> </w:t>
      </w:r>
    </w:p>
    <w:p w:rsidR="00860A11" w:rsidRPr="008D0759" w:rsidRDefault="00860A11" w:rsidP="005A2FE3">
      <w:pPr>
        <w:pStyle w:val="HStandard"/>
        <w:jc w:val="center"/>
      </w:pPr>
      <w:r>
        <w:rPr>
          <w:noProof/>
          <w:lang w:val="en-GB" w:eastAsia="en-GB" w:bidi="ar-SA"/>
        </w:rPr>
        <w:drawing>
          <wp:inline distT="0" distB="0" distL="0" distR="0" wp14:anchorId="3083C324" wp14:editId="49E2165E">
            <wp:extent cx="8820912" cy="4401312"/>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NRN_IL-ex5.jpg"/>
                    <pic:cNvPicPr/>
                  </pic:nvPicPr>
                  <pic:blipFill>
                    <a:blip r:embed="rId67">
                      <a:extLst>
                        <a:ext uri="{28A0092B-C50C-407E-A947-70E740481C1C}">
                          <a14:useLocalDpi xmlns:a14="http://schemas.microsoft.com/office/drawing/2010/main" val="0"/>
                        </a:ext>
                      </a:extLst>
                    </a:blip>
                    <a:stretch>
                      <a:fillRect/>
                    </a:stretch>
                  </pic:blipFill>
                  <pic:spPr>
                    <a:xfrm>
                      <a:off x="0" y="0"/>
                      <a:ext cx="8820912" cy="4401312"/>
                    </a:xfrm>
                    <a:prstGeom prst="rect">
                      <a:avLst/>
                    </a:prstGeom>
                  </pic:spPr>
                </pic:pic>
              </a:graphicData>
            </a:graphic>
          </wp:inline>
        </w:drawing>
      </w:r>
    </w:p>
    <w:p w:rsidR="00860A11" w:rsidRPr="008D0759" w:rsidRDefault="00860A11">
      <w:pPr>
        <w:spacing w:after="0" w:line="240" w:lineRule="auto"/>
        <w:rPr>
          <w:rFonts w:cs="Arial"/>
          <w:color w:val="576C88" w:themeColor="text2" w:themeTint="D9"/>
          <w:sz w:val="20"/>
          <w:szCs w:val="20"/>
        </w:rPr>
      </w:pPr>
      <w:r>
        <w:br w:type="page"/>
      </w:r>
    </w:p>
    <w:p w:rsidR="00860A11" w:rsidRPr="004636A8" w:rsidRDefault="00860A11" w:rsidP="00D22512">
      <w:pPr>
        <w:pStyle w:val="HHeadingfigures"/>
        <w:rPr>
          <w:lang w:val="en-GB"/>
        </w:rPr>
      </w:pPr>
      <w:bookmarkStart w:id="358" w:name="_Toc451781949"/>
      <w:r w:rsidRPr="004636A8">
        <w:rPr>
          <w:lang w:val="en-GB"/>
        </w:rPr>
        <w:lastRenderedPageBreak/>
        <w:t>Example of output-result-impact chain for communication plan including publicity and information concerning the Rural Development Programme in agreement with the Managing Authorities and information and communication activities aimed at a broader public.</w:t>
      </w:r>
      <w:bookmarkEnd w:id="358"/>
    </w:p>
    <w:p w:rsidR="00860A11" w:rsidRPr="008D0759" w:rsidRDefault="00860A11" w:rsidP="00D22512">
      <w:pPr>
        <w:pStyle w:val="HStandard"/>
        <w:jc w:val="center"/>
      </w:pPr>
      <w:r>
        <w:rPr>
          <w:noProof/>
          <w:lang w:val="en-GB" w:eastAsia="en-GB" w:bidi="ar-SA"/>
        </w:rPr>
        <w:drawing>
          <wp:inline distT="0" distB="0" distL="0" distR="0" wp14:anchorId="67FE6C99" wp14:editId="30474568">
            <wp:extent cx="8820912" cy="4187952"/>
            <wp:effectExtent l="0" t="0" r="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NRN_IL-ex6.jpg"/>
                    <pic:cNvPicPr/>
                  </pic:nvPicPr>
                  <pic:blipFill>
                    <a:blip r:embed="rId68">
                      <a:extLst>
                        <a:ext uri="{28A0092B-C50C-407E-A947-70E740481C1C}">
                          <a14:useLocalDpi xmlns:a14="http://schemas.microsoft.com/office/drawing/2010/main" val="0"/>
                        </a:ext>
                      </a:extLst>
                    </a:blip>
                    <a:stretch>
                      <a:fillRect/>
                    </a:stretch>
                  </pic:blipFill>
                  <pic:spPr>
                    <a:xfrm>
                      <a:off x="0" y="0"/>
                      <a:ext cx="8820912" cy="4187952"/>
                    </a:xfrm>
                    <a:prstGeom prst="rect">
                      <a:avLst/>
                    </a:prstGeom>
                  </pic:spPr>
                </pic:pic>
              </a:graphicData>
            </a:graphic>
          </wp:inline>
        </w:drawing>
      </w:r>
    </w:p>
    <w:p w:rsidR="00860A11" w:rsidRPr="008D0759" w:rsidRDefault="00860A11">
      <w:pPr>
        <w:spacing w:after="0" w:line="240" w:lineRule="auto"/>
        <w:rPr>
          <w:rFonts w:cs="Arial"/>
          <w:color w:val="576C88" w:themeColor="text2" w:themeTint="D9"/>
          <w:sz w:val="20"/>
          <w:szCs w:val="20"/>
        </w:rPr>
      </w:pPr>
      <w:r>
        <w:br w:type="page"/>
      </w:r>
    </w:p>
    <w:p w:rsidR="00860A11" w:rsidRPr="004636A8" w:rsidRDefault="00860A11" w:rsidP="000535E7">
      <w:pPr>
        <w:pStyle w:val="HHeadingfigures"/>
        <w:rPr>
          <w:lang w:val="en-GB"/>
        </w:rPr>
      </w:pPr>
      <w:bookmarkStart w:id="359" w:name="_Toc451781950"/>
      <w:r w:rsidRPr="004636A8">
        <w:rPr>
          <w:lang w:val="en-GB"/>
        </w:rPr>
        <w:lastRenderedPageBreak/>
        <w:t>Example of output-result-impact chain for participation in and contribution to the European network for rural development</w:t>
      </w:r>
      <w:bookmarkEnd w:id="359"/>
    </w:p>
    <w:p w:rsidR="00860A11" w:rsidRPr="008D0759" w:rsidRDefault="00860A11" w:rsidP="00193902">
      <w:pPr>
        <w:pStyle w:val="HStandard"/>
        <w:jc w:val="center"/>
      </w:pPr>
      <w:r>
        <w:rPr>
          <w:noProof/>
          <w:lang w:val="en-GB" w:eastAsia="en-GB" w:bidi="ar-SA"/>
        </w:rPr>
        <w:drawing>
          <wp:inline distT="0" distB="0" distL="0" distR="0" wp14:anchorId="0306EF01" wp14:editId="5C8B910E">
            <wp:extent cx="8833104" cy="3852672"/>
            <wp:effectExtent l="0" t="0" r="635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NRN_IL-ex7.jpg"/>
                    <pic:cNvPicPr/>
                  </pic:nvPicPr>
                  <pic:blipFill>
                    <a:blip r:embed="rId69">
                      <a:extLst>
                        <a:ext uri="{28A0092B-C50C-407E-A947-70E740481C1C}">
                          <a14:useLocalDpi xmlns:a14="http://schemas.microsoft.com/office/drawing/2010/main" val="0"/>
                        </a:ext>
                      </a:extLst>
                    </a:blip>
                    <a:stretch>
                      <a:fillRect/>
                    </a:stretch>
                  </pic:blipFill>
                  <pic:spPr>
                    <a:xfrm>
                      <a:off x="0" y="0"/>
                      <a:ext cx="8833104" cy="3852672"/>
                    </a:xfrm>
                    <a:prstGeom prst="rect">
                      <a:avLst/>
                    </a:prstGeom>
                  </pic:spPr>
                </pic:pic>
              </a:graphicData>
            </a:graphic>
          </wp:inline>
        </w:drawing>
      </w:r>
    </w:p>
    <w:p w:rsidR="00860A11" w:rsidRPr="008D0759" w:rsidRDefault="00860A11" w:rsidP="000535E7">
      <w:pPr>
        <w:pStyle w:val="HStandard"/>
      </w:pPr>
    </w:p>
    <w:p w:rsidR="00860A11" w:rsidRPr="007046A4" w:rsidRDefault="00860A11" w:rsidP="000535E7">
      <w:pPr>
        <w:pStyle w:val="HStandard"/>
        <w:rPr>
          <w:highlight w:val="yellow"/>
        </w:rPr>
        <w:sectPr w:rsidR="00860A11" w:rsidRPr="007046A4" w:rsidSect="007074C5">
          <w:pgSz w:w="16838" w:h="11906" w:orient="landscape" w:code="9"/>
          <w:pgMar w:top="1440" w:right="1440" w:bottom="1440" w:left="1440" w:header="1134" w:footer="1021" w:gutter="0"/>
          <w:cols w:space="708"/>
          <w:titlePg/>
          <w:docGrid w:linePitch="360"/>
        </w:sectPr>
      </w:pPr>
    </w:p>
    <w:p w:rsidR="00860A11" w:rsidRPr="000A700F" w:rsidRDefault="00860A11" w:rsidP="00501EAB">
      <w:pPr>
        <w:pStyle w:val="HHeading2"/>
        <w:tabs>
          <w:tab w:val="clear" w:pos="360"/>
        </w:tabs>
        <w:ind w:left="510" w:hanging="510"/>
        <w:rPr>
          <w:highlight w:val="yellow"/>
        </w:rPr>
      </w:pPr>
      <w:bookmarkStart w:id="360" w:name="_Toc453079785"/>
      <w:r>
        <w:rPr>
          <w:highlight w:val="yellow"/>
        </w:rPr>
        <w:lastRenderedPageBreak/>
        <w:t>Glossaire</w:t>
      </w:r>
      <w:bookmarkEnd w:id="360"/>
    </w:p>
    <w:p w:rsidR="00860A11" w:rsidRPr="000A700F" w:rsidRDefault="00860A11" w:rsidP="00A63707">
      <w:pPr>
        <w:spacing w:before="240" w:after="240"/>
        <w:ind w:left="363"/>
        <w:rPr>
          <w:rFonts w:cs="Arial"/>
          <w:b/>
          <w:color w:val="E7E6E6" w:themeColor="background2"/>
          <w:sz w:val="20"/>
          <w:szCs w:val="20"/>
          <w:highlight w:val="yellow"/>
        </w:rPr>
        <w:sectPr w:rsidR="00860A11" w:rsidRPr="000A700F" w:rsidSect="000535E7">
          <w:pgSz w:w="11906" w:h="16838" w:code="9"/>
          <w:pgMar w:top="1440" w:right="1440" w:bottom="1440" w:left="1440" w:header="1134" w:footer="1021" w:gutter="0"/>
          <w:cols w:space="708"/>
          <w:titlePg/>
          <w:docGrid w:linePitch="360"/>
        </w:sectPr>
      </w:pPr>
    </w:p>
    <w:p w:rsidR="00860A11" w:rsidRPr="000A700F" w:rsidRDefault="00860A11" w:rsidP="00A63707">
      <w:pPr>
        <w:spacing w:before="240" w:after="240"/>
        <w:ind w:left="363"/>
        <w:rPr>
          <w:rFonts w:cs="Arial"/>
          <w:b/>
          <w:color w:val="E7E6E6" w:themeColor="background2"/>
          <w:sz w:val="24"/>
          <w:highlight w:val="yellow"/>
        </w:rPr>
      </w:pPr>
      <w:r>
        <w:rPr>
          <w:b/>
          <w:color w:val="E7E6E6" w:themeColor="background2"/>
          <w:sz w:val="24"/>
          <w:highlight w:val="yellow"/>
        </w:rPr>
        <w:t>Indicateurs communs</w:t>
      </w:r>
    </w:p>
    <w:p w:rsidR="00860A11" w:rsidRPr="000A700F" w:rsidRDefault="00860A11" w:rsidP="00A63707">
      <w:pPr>
        <w:spacing w:before="240" w:after="240"/>
        <w:ind w:left="363"/>
        <w:rPr>
          <w:rFonts w:cs="Arial"/>
          <w:szCs w:val="18"/>
          <w:highlight w:val="yellow"/>
        </w:rPr>
      </w:pPr>
      <w:r>
        <w:rPr>
          <w:color w:val="576C88" w:themeColor="text2" w:themeTint="D9"/>
          <w:highlight w:val="yellow"/>
        </w:rPr>
        <w:t>Un indicateur est un facteur (ou une variable) quantitatif ou qualitatif qui constitue un moyen simple et fiable d’évaluation des réalisations, des changements liés à une intervention, ou d’aide à l’évaluation de la performance d'un acteur du développement. Dans le cadre de la politique de développement rural, l'ensemble des indicateurs communs, obligatoires dans tous les États membres, sert à mesurer les réalisations et les changements au niveau du PDR et au niveau européen.</w:t>
      </w:r>
    </w:p>
    <w:p w:rsidR="00860A11" w:rsidRPr="000A700F" w:rsidRDefault="00860A11" w:rsidP="00A63707">
      <w:pPr>
        <w:spacing w:before="240" w:after="240"/>
        <w:ind w:left="363"/>
        <w:rPr>
          <w:rFonts w:cs="Arial"/>
          <w:b/>
          <w:color w:val="E7E6E6" w:themeColor="background2"/>
          <w:sz w:val="24"/>
          <w:highlight w:val="yellow"/>
        </w:rPr>
      </w:pPr>
      <w:r>
        <w:rPr>
          <w:b/>
          <w:color w:val="E7E6E6" w:themeColor="background2"/>
          <w:sz w:val="24"/>
          <w:highlight w:val="yellow"/>
        </w:rPr>
        <w:t>Système commun de suivi et d'évaluation</w:t>
      </w:r>
    </w:p>
    <w:p w:rsidR="00860A11" w:rsidRPr="000A700F" w:rsidRDefault="00860A11" w:rsidP="00A63707">
      <w:pPr>
        <w:spacing w:before="240" w:after="240"/>
        <w:ind w:left="363"/>
        <w:rPr>
          <w:rFonts w:cs="Arial"/>
          <w:szCs w:val="18"/>
          <w:highlight w:val="yellow"/>
        </w:rPr>
      </w:pPr>
      <w:r>
        <w:rPr>
          <w:color w:val="576C88" w:themeColor="text2" w:themeTint="D9"/>
          <w:highlight w:val="yellow"/>
        </w:rPr>
        <w:t>Système de collecte d'informations à intervalles réguliers facilitant la rédaction de rapports de suivi, l'analyse et l'évaluation de la performance du programme grâce aux méthodes d'évaluation. Le système couvre toutes les activités de suivi et d'évaluation, y compris la gouvernance du système lui-même. Le système de suivi et d'évaluation est coordonné par l'autorité de gestion. Il est à la base de la communication des résultats de l'évaluation interne et externe. Dans les règlements sur le développement rural, le terme décrit de manière précise un système commun, mis au point par la Commission et les États membres, dont le but est de montrer les progrès et les réalisations, d’évaluer l'impact, l'efficacité, la productivité et la pertinence des interventions politiques dans le développement rural. Il contient un nombre limité d'indicateurs communs relatifs au contexte, aux réalisations, aux résultats et aux impacts des programmes.</w:t>
      </w:r>
    </w:p>
    <w:p w:rsidR="00860A11" w:rsidRPr="000A700F" w:rsidRDefault="00860A11" w:rsidP="00A63707">
      <w:pPr>
        <w:spacing w:before="240" w:after="240"/>
        <w:ind w:left="363"/>
        <w:rPr>
          <w:rFonts w:cs="Arial"/>
          <w:b/>
          <w:color w:val="E7E6E6" w:themeColor="background2"/>
          <w:sz w:val="24"/>
          <w:highlight w:val="yellow"/>
        </w:rPr>
      </w:pPr>
      <w:r>
        <w:rPr>
          <w:b/>
          <w:color w:val="E7E6E6" w:themeColor="background2"/>
          <w:sz w:val="24"/>
          <w:highlight w:val="yellow"/>
        </w:rPr>
        <w:t>Cohérence</w:t>
      </w:r>
    </w:p>
    <w:p w:rsidR="00860A11" w:rsidRPr="000A700F" w:rsidRDefault="00860A11" w:rsidP="00A63707">
      <w:pPr>
        <w:spacing w:before="240" w:after="240"/>
        <w:ind w:left="363"/>
        <w:rPr>
          <w:rFonts w:cs="Arial"/>
          <w:szCs w:val="18"/>
          <w:highlight w:val="yellow"/>
        </w:rPr>
      </w:pPr>
      <w:r>
        <w:rPr>
          <w:color w:val="576C88" w:themeColor="text2" w:themeTint="D9"/>
          <w:highlight w:val="yellow"/>
        </w:rPr>
        <w:t>Harmonie, compatibilité, correspondance et uniformité entre les différentes parties d'un ensemble complexe. Dans les textes juridiques et les documents de travail européens, elle est souvent utilisée comme synonyme du mot « logique ». Il existe deux types de cohérence : verticale et horizontale. La cohérence verticale se réfère à la correspondance entre les différents objectifs de la même intervention. La cohérence horizontale renvoie à la correspondance entre les résultats attendus à chaque niveau (réalisations, résultats, impacts) et les objectifs fixés aux niveaux respectifs (objectifs généraux, opérationnels, spécifiques).</w:t>
      </w:r>
    </w:p>
    <w:p w:rsidR="00860A11" w:rsidRPr="000A700F" w:rsidRDefault="00860A11" w:rsidP="00A63707">
      <w:pPr>
        <w:spacing w:before="240" w:after="240"/>
        <w:ind w:left="363"/>
        <w:rPr>
          <w:rFonts w:cs="Arial"/>
          <w:b/>
          <w:color w:val="E7E6E6" w:themeColor="background2"/>
          <w:sz w:val="24"/>
          <w:highlight w:val="yellow"/>
        </w:rPr>
      </w:pPr>
      <w:r>
        <w:rPr>
          <w:b/>
          <w:color w:val="E7E6E6" w:themeColor="background2"/>
          <w:sz w:val="24"/>
          <w:highlight w:val="yellow"/>
        </w:rPr>
        <w:t>Indicateur de contexte</w:t>
      </w:r>
    </w:p>
    <w:p w:rsidR="00860A11" w:rsidRPr="000A700F" w:rsidRDefault="00860A11" w:rsidP="00A63707">
      <w:pPr>
        <w:spacing w:before="240" w:after="240"/>
        <w:ind w:left="363"/>
        <w:rPr>
          <w:rFonts w:cs="Arial"/>
          <w:sz w:val="20"/>
          <w:szCs w:val="20"/>
          <w:highlight w:val="yellow"/>
        </w:rPr>
      </w:pPr>
      <w:r>
        <w:rPr>
          <w:color w:val="576C88" w:themeColor="text2" w:themeTint="D9"/>
          <w:highlight w:val="yellow"/>
        </w:rPr>
        <w:t>Il fournit des informations sur les aspects pertinents de l'environnement extérieur susceptibles d'influencer la conception et la performance de la politique, comme le PIB par habitant, le taux de chômage et la qualité de l'eau.</w:t>
      </w:r>
    </w:p>
    <w:p w:rsidR="00860A11" w:rsidRPr="000A700F" w:rsidRDefault="00860A11" w:rsidP="00A63707">
      <w:pPr>
        <w:spacing w:before="240" w:after="240"/>
        <w:ind w:left="363"/>
        <w:rPr>
          <w:rFonts w:cs="Arial"/>
          <w:b/>
          <w:color w:val="E7E6E6" w:themeColor="background2"/>
          <w:sz w:val="24"/>
          <w:highlight w:val="yellow"/>
        </w:rPr>
      </w:pPr>
      <w:r>
        <w:rPr>
          <w:b/>
          <w:color w:val="E7E6E6" w:themeColor="background2"/>
          <w:sz w:val="24"/>
          <w:highlight w:val="yellow"/>
        </w:rPr>
        <w:t>Situation contre-factuelle:</w:t>
      </w:r>
    </w:p>
    <w:p w:rsidR="00860A11" w:rsidRPr="000A700F" w:rsidRDefault="00860A11" w:rsidP="00A63707">
      <w:pPr>
        <w:spacing w:before="240" w:after="240"/>
        <w:ind w:left="363"/>
        <w:rPr>
          <w:rFonts w:cs="Arial"/>
          <w:szCs w:val="18"/>
          <w:highlight w:val="yellow"/>
        </w:rPr>
      </w:pPr>
      <w:r>
        <w:rPr>
          <w:color w:val="576C88" w:themeColor="text2" w:themeTint="D9"/>
          <w:highlight w:val="yellow"/>
        </w:rPr>
        <w:t>Situation qui aurait prévalu en l'absence d'une intervention publique, aussi appelée situation «policy-off». En comparant les situations hypothétiques et réelles, il est possible de déterminer les effets nets de l'intervention publique. Divers outils peuvent être utilisés pour modéliser une situation contre-factuelle: analyse «shift-share»,  groupes de comparaison, simulation avec des modèles économétriques, etc. Au départ, la situation réelle et la situation contre-factuelle sont identiques. Si l'intervention est efficace, elles divergent.</w:t>
      </w:r>
    </w:p>
    <w:p w:rsidR="00860A11" w:rsidRPr="000A700F" w:rsidRDefault="00860A11" w:rsidP="00A63707">
      <w:pPr>
        <w:spacing w:before="240" w:after="240"/>
        <w:ind w:left="363"/>
        <w:rPr>
          <w:rFonts w:cs="Arial"/>
          <w:b/>
          <w:color w:val="E7E6E6" w:themeColor="background2"/>
          <w:sz w:val="24"/>
          <w:highlight w:val="yellow"/>
        </w:rPr>
      </w:pPr>
      <w:r>
        <w:rPr>
          <w:b/>
          <w:color w:val="E7E6E6" w:themeColor="background2"/>
          <w:sz w:val="24"/>
          <w:highlight w:val="yellow"/>
        </w:rPr>
        <w:t>Efficacité</w:t>
      </w:r>
    </w:p>
    <w:p w:rsidR="00860A11" w:rsidRPr="000A700F" w:rsidRDefault="00860A11" w:rsidP="00A63707">
      <w:pPr>
        <w:spacing w:before="240" w:after="240"/>
        <w:ind w:left="363"/>
        <w:rPr>
          <w:rFonts w:cs="Arial"/>
          <w:szCs w:val="18"/>
          <w:highlight w:val="yellow"/>
        </w:rPr>
      </w:pPr>
      <w:r>
        <w:rPr>
          <w:color w:val="576C88" w:themeColor="text2" w:themeTint="D9"/>
          <w:highlight w:val="yellow"/>
        </w:rPr>
        <w:lastRenderedPageBreak/>
        <w:t>Mesure dans laquelle les objectifs de l’intervention sont atteints. Un indicateur d'efficacité est calculé en rapportant une réalisation, un résultat ou un indicateur d'impact à un objectif quantifié.</w:t>
      </w:r>
    </w:p>
    <w:p w:rsidR="00860A11" w:rsidRPr="000A700F" w:rsidRDefault="00860A11" w:rsidP="00A63707">
      <w:pPr>
        <w:spacing w:before="240" w:after="240"/>
        <w:ind w:left="363"/>
        <w:rPr>
          <w:rFonts w:cs="Arial"/>
          <w:b/>
          <w:color w:val="E7E6E6" w:themeColor="background2"/>
          <w:sz w:val="24"/>
          <w:highlight w:val="yellow"/>
        </w:rPr>
      </w:pPr>
      <w:r>
        <w:rPr>
          <w:b/>
          <w:color w:val="E7E6E6" w:themeColor="background2"/>
          <w:sz w:val="24"/>
          <w:highlight w:val="yellow"/>
        </w:rPr>
        <w:t>Productivité</w:t>
      </w:r>
    </w:p>
    <w:p w:rsidR="00860A11" w:rsidRPr="000A700F" w:rsidRDefault="00860A11" w:rsidP="00A63707">
      <w:pPr>
        <w:spacing w:before="240" w:after="240"/>
        <w:ind w:left="363"/>
        <w:rPr>
          <w:rFonts w:cs="Arial"/>
          <w:szCs w:val="18"/>
          <w:highlight w:val="yellow"/>
        </w:rPr>
      </w:pPr>
      <w:r>
        <w:rPr>
          <w:color w:val="576C88" w:themeColor="text2" w:themeTint="D9"/>
          <w:highlight w:val="yellow"/>
        </w:rPr>
        <w:t xml:space="preserve">Relation optimisée dans l’intervention, entre les ressources utilisées et les résultats obtenus dans la poursuite d'un objectif donné. La productivité porte sur la question de savoir si les autres effets auraient pu être obtenus avec le même budget ou à un coût moindre. Un indicateur de productivité est calculé en divisant les ressources budgétaires mobilisées par la quantité d'effets </w:t>
      </w:r>
      <w:r>
        <w:rPr>
          <w:highlight w:val="yellow"/>
        </w:rPr>
        <w:t>obtenus.</w:t>
      </w:r>
    </w:p>
    <w:p w:rsidR="00860A11" w:rsidRPr="000A700F" w:rsidRDefault="00860A11" w:rsidP="00A63707">
      <w:pPr>
        <w:spacing w:before="240" w:after="240"/>
        <w:ind w:left="363"/>
        <w:rPr>
          <w:rFonts w:cs="Arial"/>
          <w:b/>
          <w:color w:val="E7E6E6" w:themeColor="background2"/>
          <w:sz w:val="24"/>
          <w:highlight w:val="yellow"/>
        </w:rPr>
      </w:pPr>
      <w:r>
        <w:rPr>
          <w:b/>
          <w:color w:val="E7E6E6" w:themeColor="background2"/>
          <w:sz w:val="24"/>
          <w:highlight w:val="yellow"/>
        </w:rPr>
        <w:t>Plan d'évaluation</w:t>
      </w:r>
    </w:p>
    <w:p w:rsidR="00860A11" w:rsidRPr="000A700F" w:rsidRDefault="00860A11" w:rsidP="00A63707">
      <w:pPr>
        <w:spacing w:before="240" w:after="240"/>
        <w:ind w:left="363"/>
        <w:rPr>
          <w:rFonts w:cs="Arial"/>
          <w:szCs w:val="18"/>
          <w:highlight w:val="yellow"/>
        </w:rPr>
      </w:pPr>
      <w:r>
        <w:rPr>
          <w:color w:val="576C88" w:themeColor="text2" w:themeTint="D9"/>
          <w:highlight w:val="yellow"/>
        </w:rPr>
        <w:t>Il définit les activités d'évaluation, y compris les arrangements institutionnels (gouvernance de l’évaluation) et les dispositions de gestion (gestion de l'évaluation) pendant toute la période de mise en œuvre du programme. Pour la période de programmation 2014-2020, les autorités de gestion des programmes engagés au titre des cinq fonds couverts par le cadre stratégique commun doivent élaborer un plan d'évaluation. Pour le développement rural, le plan d'évaluation sera inclus dans chaque PDR et devra être conforme aux exigences minimales de l'acte d'exécution.</w:t>
      </w:r>
    </w:p>
    <w:p w:rsidR="00860A11" w:rsidRPr="000A700F" w:rsidRDefault="00860A11" w:rsidP="00A63707">
      <w:pPr>
        <w:spacing w:before="240" w:after="240"/>
        <w:ind w:left="363"/>
        <w:rPr>
          <w:rFonts w:cs="Arial"/>
          <w:b/>
          <w:color w:val="E7E6E6" w:themeColor="background2"/>
          <w:sz w:val="24"/>
          <w:highlight w:val="yellow"/>
        </w:rPr>
      </w:pPr>
    </w:p>
    <w:p w:rsidR="00860A11" w:rsidRPr="000A700F" w:rsidRDefault="00860A11" w:rsidP="00A63707">
      <w:pPr>
        <w:spacing w:after="0" w:line="240" w:lineRule="auto"/>
        <w:ind w:left="363"/>
        <w:rPr>
          <w:rFonts w:cs="Arial"/>
          <w:b/>
          <w:color w:val="E7E6E6" w:themeColor="background2"/>
          <w:sz w:val="24"/>
          <w:highlight w:val="yellow"/>
        </w:rPr>
      </w:pPr>
      <w:r>
        <w:br w:type="page"/>
      </w:r>
      <w:r>
        <w:rPr>
          <w:b/>
          <w:color w:val="E7E6E6" w:themeColor="background2"/>
          <w:sz w:val="24"/>
          <w:highlight w:val="yellow"/>
        </w:rPr>
        <w:lastRenderedPageBreak/>
        <w:t>Questionnaire d'évaluation</w:t>
      </w:r>
    </w:p>
    <w:p w:rsidR="00860A11" w:rsidRPr="000A700F" w:rsidRDefault="00860A11" w:rsidP="00A63707">
      <w:pPr>
        <w:spacing w:before="240" w:after="240"/>
        <w:ind w:left="363"/>
        <w:rPr>
          <w:rFonts w:cs="Arial"/>
          <w:szCs w:val="18"/>
          <w:highlight w:val="yellow"/>
        </w:rPr>
      </w:pPr>
      <w:r>
        <w:rPr>
          <w:color w:val="576C88" w:themeColor="text2" w:themeTint="D9"/>
          <w:highlight w:val="yellow"/>
        </w:rPr>
        <w:t>Questionnaire auquel les évaluateurs doivent répondre. Ce sont les questions habituellement posées par les commanditaires de l’évaluation. Les questions d'évaluation figurent normalement dans le cahier des charges des projets d'évaluation. Dans le cas de l'évaluation d’un programme de développement rural, les questions d'évaluation font partie des lignes directrices communes. Les questions d'évaluation ont trois dimensions: descriptive (qu’est-ce qui est arrivé?), causale (dans quelle mesure ce qui est arrivé a vraiment eu un effet sur l'intervention?) et normative (l'effet est-il satisfaisant?).</w:t>
      </w:r>
    </w:p>
    <w:p w:rsidR="00860A11" w:rsidRPr="000A700F" w:rsidRDefault="00860A11" w:rsidP="00A63707">
      <w:pPr>
        <w:spacing w:before="240" w:after="240"/>
        <w:ind w:left="363"/>
        <w:rPr>
          <w:rFonts w:cs="Arial"/>
          <w:b/>
          <w:color w:val="E7E6E6" w:themeColor="background2"/>
          <w:sz w:val="24"/>
          <w:highlight w:val="yellow"/>
        </w:rPr>
      </w:pPr>
      <w:r>
        <w:rPr>
          <w:b/>
          <w:color w:val="E7E6E6" w:themeColor="background2"/>
          <w:sz w:val="24"/>
          <w:highlight w:val="yellow"/>
        </w:rPr>
        <w:t>Sujet d'évaluation</w:t>
      </w:r>
    </w:p>
    <w:p w:rsidR="00860A11" w:rsidRPr="000A700F" w:rsidRDefault="00860A11" w:rsidP="00A63707">
      <w:pPr>
        <w:spacing w:before="240" w:after="240"/>
        <w:ind w:left="363"/>
        <w:rPr>
          <w:rFonts w:cs="Arial"/>
          <w:szCs w:val="18"/>
          <w:highlight w:val="yellow"/>
        </w:rPr>
      </w:pPr>
      <w:r>
        <w:rPr>
          <w:color w:val="576C88" w:themeColor="text2" w:themeTint="D9"/>
          <w:highlight w:val="yellow"/>
        </w:rPr>
        <w:t>Sujet spécifique faisant l’objet  d'une évaluation particulière. Par exemple: les priorités de développement rural et les secteurs d’intérêt, ou les questions transversales.</w:t>
      </w:r>
    </w:p>
    <w:p w:rsidR="00860A11" w:rsidRPr="000A700F" w:rsidRDefault="00860A11" w:rsidP="00A63707">
      <w:pPr>
        <w:spacing w:before="240" w:after="240"/>
        <w:ind w:left="363"/>
        <w:rPr>
          <w:rFonts w:cs="Arial"/>
          <w:b/>
          <w:color w:val="E7E6E6" w:themeColor="background2"/>
          <w:sz w:val="24"/>
          <w:highlight w:val="yellow"/>
        </w:rPr>
      </w:pPr>
      <w:r>
        <w:rPr>
          <w:b/>
          <w:color w:val="E7E6E6" w:themeColor="background2"/>
          <w:sz w:val="24"/>
          <w:highlight w:val="yellow"/>
        </w:rPr>
        <w:t>Évaluation ex ante</w:t>
      </w:r>
    </w:p>
    <w:p w:rsidR="00860A11" w:rsidRPr="000A700F" w:rsidRDefault="00860A11" w:rsidP="00A63707">
      <w:pPr>
        <w:spacing w:before="240" w:after="240"/>
        <w:ind w:left="363"/>
        <w:rPr>
          <w:rFonts w:cs="Arial"/>
          <w:szCs w:val="18"/>
          <w:highlight w:val="yellow"/>
        </w:rPr>
      </w:pPr>
      <w:r>
        <w:rPr>
          <w:color w:val="576C88" w:themeColor="text2" w:themeTint="D9"/>
          <w:highlight w:val="yellow"/>
        </w:rPr>
        <w:t xml:space="preserve">Évaluation réalisée avant la mise en œuvre du programme. Son but est de recueillir des informations et de faire des analyses pour veiller à ce qu'une intervention soit  la plus pertinente et cohérente possible. Ces conclusions sont censées être intégrées lors de la prise de décisions. L'évaluation ex ante concerne surtout l'analyse du contexte, mais elle peut être aussi une occasion de préciser les mécanismes d'intervention par rapport  à ce qui existe déjà. Elle fournit aux autorités compétentes une évaluation préalable permettant de savoir si les questions de développement ont été correctement diagnostiquées, si la stratégie et les objectifs proposés sont </w:t>
      </w:r>
      <w:r>
        <w:rPr>
          <w:color w:val="576C88" w:themeColor="text2" w:themeTint="D9"/>
          <w:highlight w:val="yellow"/>
        </w:rPr>
        <w:t>pertinents,  ou s’il y a des incohérences entre ceux-ci concernant  les politiques et les lignes directrices communautaires, si les impacts attendus sont réalistes, etc. De plus, elle  sert  de base au suivi et  aux évaluations futures en veillant à ce que les objectifs soient explicites et - si possible - quantifiés. Dans l'accomplissement de ces fonctions, l'évaluation ex ante soutient la préparation des propositions pour des actions communautaires nouvelles ou renouvelées. Son but est de veiller à ce que les objectifs de la politique soient mis en œuvre avec succès, que le coût des moyens utilisés soit justifié, et que le terrain soit préparé pour des évaluations fiables à mi-parcours et ex post.</w:t>
      </w:r>
    </w:p>
    <w:p w:rsidR="00860A11" w:rsidRPr="000A700F" w:rsidRDefault="00860A11" w:rsidP="00A63707">
      <w:pPr>
        <w:spacing w:before="240" w:after="240"/>
        <w:ind w:left="363"/>
        <w:rPr>
          <w:rFonts w:cs="Arial"/>
          <w:b/>
          <w:color w:val="E7E6E6" w:themeColor="background2"/>
          <w:sz w:val="24"/>
          <w:highlight w:val="yellow"/>
        </w:rPr>
      </w:pPr>
      <w:r>
        <w:rPr>
          <w:b/>
          <w:color w:val="E7E6E6" w:themeColor="background2"/>
          <w:sz w:val="24"/>
          <w:highlight w:val="yellow"/>
        </w:rPr>
        <w:t>Évaluation ex post</w:t>
      </w:r>
    </w:p>
    <w:p w:rsidR="00860A11" w:rsidRPr="000A700F" w:rsidRDefault="00860A11" w:rsidP="00A63707">
      <w:pPr>
        <w:spacing w:before="240" w:after="240"/>
        <w:ind w:left="363"/>
        <w:rPr>
          <w:rFonts w:cs="Arial"/>
          <w:szCs w:val="18"/>
          <w:highlight w:val="yellow"/>
        </w:rPr>
      </w:pPr>
      <w:r>
        <w:rPr>
          <w:color w:val="576C88" w:themeColor="text2" w:themeTint="D9"/>
          <w:highlight w:val="yellow"/>
        </w:rPr>
        <w:t>Évaluation qui récapitule et  permet de juger une intervention quand elle est terminée. Elle rend compte de l'utilisation des ressources et de la réalisation des effets prévus et imprévus. Elle cherche à comprendre les facteurs de réussite ou d'échec des programmes. Elle essaie aussi de tirer des conclusions pouvant être étendues à d'autres interventions. Pour que les impacts aient le temps de se matérialiser, les évaluations ex post doivent être réalisées un certain temps après la mise en œuvre.</w:t>
      </w:r>
    </w:p>
    <w:p w:rsidR="00860A11" w:rsidRPr="000A700F" w:rsidRDefault="00860A11" w:rsidP="00A63707">
      <w:pPr>
        <w:spacing w:before="240" w:after="240"/>
        <w:ind w:left="363"/>
        <w:rPr>
          <w:rFonts w:cs="Arial"/>
          <w:b/>
          <w:color w:val="E7E6E6" w:themeColor="background2"/>
          <w:sz w:val="24"/>
          <w:highlight w:val="yellow"/>
        </w:rPr>
      </w:pPr>
      <w:r>
        <w:rPr>
          <w:b/>
          <w:color w:val="E7E6E6" w:themeColor="background2"/>
          <w:sz w:val="24"/>
          <w:highlight w:val="yellow"/>
        </w:rPr>
        <w:t>Domaine prioritaire</w:t>
      </w:r>
    </w:p>
    <w:p w:rsidR="00860A11" w:rsidRPr="000A700F" w:rsidRDefault="00860A11" w:rsidP="00A63707">
      <w:pPr>
        <w:spacing w:before="240" w:after="240"/>
        <w:ind w:left="363"/>
        <w:rPr>
          <w:rFonts w:cs="Arial"/>
          <w:szCs w:val="18"/>
          <w:highlight w:val="yellow"/>
        </w:rPr>
      </w:pPr>
      <w:r>
        <w:rPr>
          <w:color w:val="576C88" w:themeColor="text2" w:themeTint="D9"/>
          <w:highlight w:val="yellow"/>
        </w:rPr>
        <w:t>Le sous-domaine de la politique visé par l'intervention. Les six priorités de l'Union pour le développement rural sont divisées en 18 domaines d'intervention opérationnelle afin de mieux structurer l'attribution des mesures et des interventions prévues.</w:t>
      </w:r>
    </w:p>
    <w:p w:rsidR="00860A11" w:rsidRPr="000A700F" w:rsidRDefault="00860A11" w:rsidP="00A63707">
      <w:pPr>
        <w:spacing w:before="240" w:after="240"/>
        <w:ind w:left="363"/>
        <w:rPr>
          <w:rFonts w:cs="Arial"/>
          <w:b/>
          <w:color w:val="E7E6E6" w:themeColor="background2"/>
          <w:sz w:val="24"/>
          <w:highlight w:val="yellow"/>
        </w:rPr>
      </w:pPr>
      <w:r>
        <w:rPr>
          <w:b/>
          <w:color w:val="E7E6E6" w:themeColor="background2"/>
          <w:sz w:val="24"/>
          <w:highlight w:val="yellow"/>
        </w:rPr>
        <w:t>Hiérarchie des objectifs</w:t>
      </w:r>
    </w:p>
    <w:p w:rsidR="00860A11" w:rsidRPr="000A700F" w:rsidRDefault="00860A11" w:rsidP="00A63707">
      <w:pPr>
        <w:spacing w:before="240" w:after="240"/>
        <w:ind w:left="363"/>
        <w:rPr>
          <w:rFonts w:cs="Arial"/>
          <w:szCs w:val="18"/>
          <w:highlight w:val="yellow"/>
        </w:rPr>
      </w:pPr>
      <w:r>
        <w:rPr>
          <w:color w:val="576C88" w:themeColor="text2" w:themeTint="D9"/>
          <w:highlight w:val="yellow"/>
        </w:rPr>
        <w:lastRenderedPageBreak/>
        <w:t>Cet outil aide à analyser et communiquer les objectifs du programme et montre comment les interventions contribuent aux objectifs globaux, intermédiaires et opérationnels. Elle organise ces objectifs en différents niveaux (objectifs, sous-objectifs) sous forme d'une hiérarchie ou d'une arborescence montrant les liens logiques entre les objectifs et leurs sous-objectifs. Elle présente de manière synthétique les différentes logiques d'intervention issues de la réglementation, qui relient les actions et les mesures individuelles aux objectifs généraux de l'intervention. Le règlement sur le développement rural contient également des objectifs horizontaux recoupant toutes les mesures du programme.</w:t>
      </w:r>
      <w:r>
        <w:rPr>
          <w:highlight w:val="yellow"/>
        </w:rPr>
        <w:t xml:space="preserve"> </w:t>
      </w:r>
    </w:p>
    <w:p w:rsidR="00860A11" w:rsidRPr="000A700F" w:rsidRDefault="00860A11" w:rsidP="00A63707">
      <w:pPr>
        <w:spacing w:before="240" w:after="240"/>
        <w:ind w:left="363"/>
        <w:rPr>
          <w:rFonts w:cs="Arial"/>
          <w:b/>
          <w:color w:val="E7E6E6" w:themeColor="background2"/>
          <w:sz w:val="24"/>
          <w:highlight w:val="yellow"/>
        </w:rPr>
      </w:pPr>
      <w:r>
        <w:rPr>
          <w:b/>
          <w:color w:val="E7E6E6" w:themeColor="background2"/>
          <w:sz w:val="24"/>
          <w:highlight w:val="yellow"/>
        </w:rPr>
        <w:t>Impacts</w:t>
      </w:r>
    </w:p>
    <w:p w:rsidR="00860A11" w:rsidRPr="000A700F" w:rsidRDefault="00860A11" w:rsidP="00A63707">
      <w:pPr>
        <w:spacing w:before="240" w:after="240"/>
        <w:ind w:left="363"/>
        <w:rPr>
          <w:rFonts w:cs="Arial"/>
          <w:szCs w:val="18"/>
          <w:highlight w:val="yellow"/>
        </w:rPr>
      </w:pPr>
      <w:r>
        <w:rPr>
          <w:color w:val="576C88" w:themeColor="text2" w:themeTint="D9"/>
          <w:highlight w:val="yellow"/>
        </w:rPr>
        <w:t>Effets d'une intervention durable sur le  moyen ou le long terme. Certains impacts apparaissent indirectement (comme l’augmentation du chiffre d'affaires des fournisseurs des entreprises aidées). D'autres impacts peuvent être observés au niveau macroéconomique ou macro-social (comme l'amélioration de l'image de la région bénéficiant de l’assistance). Ce sont des impacts généraux. Les impacts peuvent être positifs ou négatifs, attendus ou inattendus.</w:t>
      </w:r>
    </w:p>
    <w:p w:rsidR="00860A11" w:rsidRPr="000A700F" w:rsidRDefault="00860A11" w:rsidP="00A63707">
      <w:pPr>
        <w:spacing w:before="240" w:after="240"/>
        <w:ind w:left="363"/>
        <w:rPr>
          <w:rFonts w:cs="Arial"/>
          <w:b/>
          <w:color w:val="E7E6E6" w:themeColor="background2"/>
          <w:sz w:val="24"/>
          <w:highlight w:val="yellow"/>
        </w:rPr>
      </w:pPr>
      <w:r>
        <w:rPr>
          <w:b/>
          <w:color w:val="E7E6E6" w:themeColor="background2"/>
          <w:sz w:val="24"/>
          <w:highlight w:val="yellow"/>
        </w:rPr>
        <w:t>Logique d’intervention</w:t>
      </w:r>
    </w:p>
    <w:p w:rsidR="00860A11" w:rsidRPr="000A700F" w:rsidRDefault="00860A11" w:rsidP="00A63707">
      <w:pPr>
        <w:spacing w:before="240" w:after="240"/>
        <w:ind w:left="363"/>
        <w:rPr>
          <w:rFonts w:cs="Arial"/>
          <w:szCs w:val="18"/>
          <w:highlight w:val="yellow"/>
        </w:rPr>
      </w:pPr>
      <w:r>
        <w:rPr>
          <w:color w:val="576C88" w:themeColor="text2" w:themeTint="D9"/>
          <w:highlight w:val="yellow"/>
        </w:rPr>
        <w:t>C’est un instrument méthodologique qui crée un lien logique entre les objectifs du programme et les actions envisagées sur le terrain. Elle montre le lien conceptuel entre les intrants de l’intervention et ses réalisations puis, ses résultats et ses impacts par la suite. Ainsi une logique d'intervention permet d’évaluer une mesure et sa contribution à la réalisation de ses objectifs.</w:t>
      </w:r>
    </w:p>
    <w:p w:rsidR="00860A11" w:rsidRPr="000A700F" w:rsidRDefault="00860A11">
      <w:pPr>
        <w:spacing w:after="0" w:line="240" w:lineRule="auto"/>
        <w:rPr>
          <w:rFonts w:cs="Arial"/>
          <w:b/>
          <w:color w:val="E7E6E6" w:themeColor="background2"/>
          <w:sz w:val="24"/>
          <w:highlight w:val="yellow"/>
        </w:rPr>
      </w:pPr>
      <w:r>
        <w:br w:type="page"/>
      </w:r>
    </w:p>
    <w:p w:rsidR="00860A11" w:rsidRPr="000A700F" w:rsidRDefault="00860A11" w:rsidP="00A63707">
      <w:pPr>
        <w:spacing w:before="240" w:after="240"/>
        <w:ind w:left="360"/>
        <w:rPr>
          <w:rFonts w:cs="Arial"/>
          <w:b/>
          <w:color w:val="E7E6E6" w:themeColor="background2"/>
          <w:sz w:val="24"/>
          <w:highlight w:val="yellow"/>
        </w:rPr>
      </w:pPr>
      <w:r>
        <w:rPr>
          <w:b/>
          <w:color w:val="E7E6E6" w:themeColor="background2"/>
          <w:sz w:val="24"/>
          <w:highlight w:val="yellow"/>
        </w:rPr>
        <w:lastRenderedPageBreak/>
        <w:t>Critère d’appréciation</w:t>
      </w:r>
    </w:p>
    <w:p w:rsidR="00860A11" w:rsidRPr="000A700F" w:rsidRDefault="00860A11" w:rsidP="00A63707">
      <w:pPr>
        <w:spacing w:before="240" w:after="240"/>
        <w:ind w:left="360"/>
        <w:rPr>
          <w:rFonts w:cs="Arial"/>
          <w:szCs w:val="18"/>
          <w:highlight w:val="yellow"/>
        </w:rPr>
      </w:pPr>
      <w:r>
        <w:rPr>
          <w:color w:val="576C88" w:themeColor="text2" w:themeTint="D9"/>
          <w:highlight w:val="yellow"/>
        </w:rPr>
        <w:t>Il est aussi appelé critère d'évaluation et il vise un aspect de l'intervention après évaluation,  qui permettra d’évaluer ses mérites ou son succès. Les critères d’appréciation sont étroitement liés aux questions d'évaluation; le critère est utilisé pour répondre à une question d'évaluation. Un ou plusieurs critères d’appréciation sont établis selon chaque question.</w:t>
      </w:r>
      <w:r>
        <w:rPr>
          <w:highlight w:val="yellow"/>
        </w:rPr>
        <w:t xml:space="preserve"> </w:t>
      </w:r>
    </w:p>
    <w:p w:rsidR="00860A11" w:rsidRPr="000A700F" w:rsidRDefault="00860A11" w:rsidP="00A63707">
      <w:pPr>
        <w:spacing w:before="240" w:after="240"/>
        <w:ind w:left="363"/>
        <w:rPr>
          <w:rFonts w:cs="Arial"/>
          <w:b/>
          <w:color w:val="E7E6E6" w:themeColor="background2"/>
          <w:sz w:val="24"/>
          <w:highlight w:val="yellow"/>
        </w:rPr>
      </w:pPr>
      <w:r>
        <w:rPr>
          <w:b/>
          <w:color w:val="E7E6E6" w:themeColor="background2"/>
          <w:sz w:val="24"/>
          <w:highlight w:val="yellow"/>
        </w:rPr>
        <w:t>Réseaux ruraux nationaux</w:t>
      </w:r>
    </w:p>
    <w:p w:rsidR="00860A11" w:rsidRPr="000A700F" w:rsidRDefault="00860A11" w:rsidP="00A63707">
      <w:pPr>
        <w:spacing w:before="240" w:after="240"/>
        <w:ind w:left="363"/>
        <w:rPr>
          <w:rFonts w:cs="Arial"/>
          <w:szCs w:val="18"/>
          <w:highlight w:val="yellow"/>
        </w:rPr>
      </w:pPr>
      <w:r>
        <w:rPr>
          <w:color w:val="576C88" w:themeColor="text2" w:themeTint="D9"/>
          <w:highlight w:val="yellow"/>
        </w:rPr>
        <w:t>Les réseaux établis par les États membres pour regrouper des organisations et des administrations concernées par le développement rural pour:</w:t>
      </w:r>
    </w:p>
    <w:p w:rsidR="00860A11" w:rsidRPr="000A700F" w:rsidRDefault="00860A11" w:rsidP="009712DC">
      <w:pPr>
        <w:pStyle w:val="ListParagraph"/>
        <w:numPr>
          <w:ilvl w:val="0"/>
          <w:numId w:val="27"/>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accroître la participation des parties prenantes dans la mise en œuvre de la politique de développement rural;</w:t>
      </w:r>
    </w:p>
    <w:p w:rsidR="00860A11" w:rsidRPr="000A700F" w:rsidRDefault="00860A11" w:rsidP="009712DC">
      <w:pPr>
        <w:pStyle w:val="ListParagraph"/>
        <w:numPr>
          <w:ilvl w:val="0"/>
          <w:numId w:val="27"/>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améliorer la qualité des programmes de développement rural;</w:t>
      </w:r>
    </w:p>
    <w:p w:rsidR="00860A11" w:rsidRPr="000A700F" w:rsidRDefault="00860A11" w:rsidP="009712DC">
      <w:pPr>
        <w:pStyle w:val="ListParagraph"/>
        <w:numPr>
          <w:ilvl w:val="0"/>
          <w:numId w:val="27"/>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informer le grand public et les bénéficiaires potentiels de la politique de développement rural;</w:t>
      </w:r>
    </w:p>
    <w:p w:rsidR="00860A11" w:rsidRPr="000A700F" w:rsidRDefault="00860A11" w:rsidP="009712DC">
      <w:pPr>
        <w:pStyle w:val="ListParagraph"/>
        <w:numPr>
          <w:ilvl w:val="0"/>
          <w:numId w:val="27"/>
        </w:numPr>
        <w:spacing w:before="240" w:after="240"/>
        <w:ind w:left="709" w:hanging="357"/>
        <w:contextualSpacing w:val="0"/>
        <w:jc w:val="both"/>
        <w:rPr>
          <w:rFonts w:ascii="Arial" w:hAnsi="Arial" w:cs="Arial"/>
          <w:sz w:val="18"/>
          <w:szCs w:val="18"/>
          <w:highlight w:val="yellow"/>
        </w:rPr>
      </w:pPr>
      <w:r>
        <w:rPr>
          <w:rFonts w:ascii="Arial" w:hAnsi="Arial"/>
          <w:color w:val="576C88" w:themeColor="text2" w:themeTint="D9"/>
          <w:sz w:val="18"/>
          <w:highlight w:val="yellow"/>
        </w:rPr>
        <w:t>favoriser l'innovation dans l'agriculture.</w:t>
      </w:r>
    </w:p>
    <w:p w:rsidR="00860A11" w:rsidRPr="000A700F" w:rsidRDefault="00860A11" w:rsidP="00A63707">
      <w:pPr>
        <w:spacing w:before="240" w:after="240"/>
        <w:ind w:left="363"/>
        <w:rPr>
          <w:rFonts w:cs="Arial"/>
          <w:b/>
          <w:color w:val="E7E6E6" w:themeColor="background2"/>
          <w:sz w:val="24"/>
          <w:highlight w:val="yellow"/>
        </w:rPr>
      </w:pPr>
      <w:r>
        <w:rPr>
          <w:b/>
          <w:color w:val="E7E6E6" w:themeColor="background2"/>
          <w:sz w:val="24"/>
          <w:highlight w:val="yellow"/>
        </w:rPr>
        <w:t>Plan d’action du RRN</w:t>
      </w:r>
    </w:p>
    <w:p w:rsidR="00860A11" w:rsidRPr="000A700F" w:rsidRDefault="00860A11" w:rsidP="00A63707">
      <w:pPr>
        <w:spacing w:before="240" w:after="240"/>
        <w:ind w:left="363"/>
        <w:rPr>
          <w:rFonts w:cs="Arial"/>
          <w:szCs w:val="18"/>
          <w:highlight w:val="yellow"/>
        </w:rPr>
      </w:pPr>
      <w:r>
        <w:rPr>
          <w:color w:val="576C88" w:themeColor="text2" w:themeTint="D9"/>
          <w:highlight w:val="yellow"/>
        </w:rPr>
        <w:t>Un plan de RRN couvre au moins les activités concernant:</w:t>
      </w:r>
    </w:p>
    <w:p w:rsidR="00860A11" w:rsidRPr="000A700F" w:rsidRDefault="00860A11"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la collecte d'exemples de projets couvrant toutes les priorités des programmes de développement rural;</w:t>
      </w:r>
    </w:p>
    <w:p w:rsidR="00860A11" w:rsidRPr="000A700F" w:rsidRDefault="00860A11"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la facilitation des échanges thématiques et analytiques entre les acteurs du développement rural, le partage et la diffusion des résultats;</w:t>
      </w:r>
    </w:p>
    <w:p w:rsidR="00860A11" w:rsidRPr="000A700F" w:rsidRDefault="00860A11"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la formation et la mise en réseau de groupes d'action locale et en particulier l’assistance technique pour la coopération inter-territoriale et transnationale;</w:t>
      </w:r>
    </w:p>
    <w:p w:rsidR="00860A11" w:rsidRPr="000A700F" w:rsidRDefault="00860A11"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la mise en réseau des conseillers et des services de soutien à l'innovation;</w:t>
      </w:r>
    </w:p>
    <w:p w:rsidR="00860A11" w:rsidRPr="000A700F" w:rsidRDefault="00860A11"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le partage et la diffusion des résultats de suivi et d'évaluation;</w:t>
      </w:r>
    </w:p>
    <w:p w:rsidR="00860A11" w:rsidRPr="000A700F" w:rsidRDefault="00860A11"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la publicité et  l'information sur le développement rural;</w:t>
      </w:r>
    </w:p>
    <w:p w:rsidR="00860A11" w:rsidRPr="000A700F" w:rsidRDefault="00860A11" w:rsidP="009712DC">
      <w:pPr>
        <w:pStyle w:val="ListParagraph"/>
        <w:numPr>
          <w:ilvl w:val="1"/>
          <w:numId w:val="26"/>
        </w:numPr>
        <w:spacing w:before="240" w:after="240"/>
        <w:ind w:left="709" w:hanging="357"/>
        <w:contextualSpacing w:val="0"/>
        <w:jc w:val="both"/>
        <w:rPr>
          <w:rFonts w:ascii="Arial" w:hAnsi="Arial" w:cs="Arial"/>
          <w:sz w:val="18"/>
          <w:szCs w:val="18"/>
          <w:highlight w:val="yellow"/>
        </w:rPr>
      </w:pPr>
      <w:r>
        <w:rPr>
          <w:rFonts w:ascii="Arial" w:hAnsi="Arial"/>
          <w:color w:val="576C88" w:themeColor="text2" w:themeTint="D9"/>
          <w:sz w:val="18"/>
          <w:highlight w:val="yellow"/>
        </w:rPr>
        <w:t>la participation et la contribution au réseau européen pour le développement rural.</w:t>
      </w:r>
    </w:p>
    <w:p w:rsidR="00860A11" w:rsidRPr="000A700F" w:rsidRDefault="00860A11" w:rsidP="00A63707">
      <w:pPr>
        <w:spacing w:before="240" w:after="240"/>
        <w:ind w:left="363"/>
        <w:rPr>
          <w:rFonts w:cs="Arial"/>
          <w:b/>
          <w:color w:val="E7E6E6" w:themeColor="background2"/>
          <w:sz w:val="24"/>
          <w:highlight w:val="yellow"/>
        </w:rPr>
      </w:pPr>
      <w:r>
        <w:rPr>
          <w:b/>
          <w:color w:val="E7E6E6" w:themeColor="background2"/>
          <w:sz w:val="24"/>
          <w:highlight w:val="yellow"/>
        </w:rPr>
        <w:t>Programme spécifique du RRN</w:t>
      </w:r>
    </w:p>
    <w:p w:rsidR="00860A11" w:rsidRPr="000A700F" w:rsidRDefault="00860A11" w:rsidP="00A63707">
      <w:pPr>
        <w:spacing w:before="240" w:after="240"/>
        <w:ind w:left="363"/>
        <w:rPr>
          <w:rFonts w:cs="Arial"/>
          <w:szCs w:val="18"/>
          <w:highlight w:val="yellow"/>
        </w:rPr>
      </w:pPr>
      <w:r>
        <w:rPr>
          <w:color w:val="576C88" w:themeColor="text2" w:themeTint="D9"/>
          <w:highlight w:val="yellow"/>
        </w:rPr>
        <w:t>Dans les États membres qui ont des programmes régionaux, le  programme spécifique concerne la mise en place et le fonctionnement de leur réseau rural national.</w:t>
      </w:r>
    </w:p>
    <w:p w:rsidR="00860A11" w:rsidRPr="000A700F" w:rsidRDefault="00860A11" w:rsidP="00A63707">
      <w:pPr>
        <w:spacing w:before="240" w:after="240"/>
        <w:ind w:left="363"/>
        <w:rPr>
          <w:rFonts w:cs="Arial"/>
          <w:b/>
          <w:color w:val="E7E6E6" w:themeColor="background2"/>
          <w:sz w:val="24"/>
          <w:highlight w:val="yellow"/>
        </w:rPr>
      </w:pPr>
    </w:p>
    <w:p w:rsidR="00860A11" w:rsidRPr="000A700F" w:rsidRDefault="00860A11" w:rsidP="00A63707">
      <w:pPr>
        <w:spacing w:before="240" w:after="240"/>
        <w:ind w:left="363"/>
        <w:rPr>
          <w:rFonts w:cs="Arial"/>
          <w:b/>
          <w:color w:val="E7E6E6" w:themeColor="background2"/>
          <w:sz w:val="24"/>
          <w:highlight w:val="yellow"/>
        </w:rPr>
      </w:pPr>
      <w:r>
        <w:rPr>
          <w:b/>
          <w:color w:val="E7E6E6" w:themeColor="background2"/>
          <w:sz w:val="24"/>
          <w:highlight w:val="yellow"/>
        </w:rPr>
        <w:t>Objectif</w:t>
      </w:r>
    </w:p>
    <w:p w:rsidR="00860A11" w:rsidRPr="000A700F" w:rsidRDefault="00860A11" w:rsidP="00A63707">
      <w:pPr>
        <w:spacing w:before="240" w:after="240"/>
        <w:ind w:left="363"/>
        <w:rPr>
          <w:rFonts w:cs="Arial"/>
          <w:szCs w:val="18"/>
          <w:highlight w:val="yellow"/>
        </w:rPr>
      </w:pPr>
      <w:r>
        <w:rPr>
          <w:color w:val="576C88" w:themeColor="text2" w:themeTint="D9"/>
          <w:highlight w:val="yellow"/>
        </w:rPr>
        <w:t>Énoncé initial, clair et explicite, des effets attendus d’une intervention publique. Un objectif quantitatif est établi sous forme d'indicateurs ainsi qu’un objectif qualitatif sous forme de descripteurs, comme: 30% de toutes les réalisations doivent être terminées avant la fin de la troisième année; l'intervention publique doit d'abord bénéficier aux chômeurs de longue durée. Les objectifs spécifiques concernent les résultats et les impacts d'une intervention sur les bénéficiaires directs. Un objectif global correspond à l'objectif de l'intervention. Le but d'une intervention est de produire un impact évalué globalement, par exemple, la réduction des disparités régionales entre les niveaux de développement. Il peut y avoir aussi des objectifs intermédiaires. Les objectifs précisant les réalisations demandées, sont appelés objectifs opérationnels. Si les objectifs d'une intervention publique n'ont pas été clairement définis au préalable, l'évaluation peut les préciser par la suite. Dans ce cas, il est préférable de faire référence à des objectifs implicites. Les objectifs peuvent comprendre des cibles.</w:t>
      </w:r>
    </w:p>
    <w:p w:rsidR="00860A11" w:rsidRPr="000A700F" w:rsidRDefault="00860A11" w:rsidP="00A63707">
      <w:pPr>
        <w:spacing w:before="240" w:after="240"/>
        <w:ind w:left="363"/>
        <w:rPr>
          <w:rFonts w:cs="Arial"/>
          <w:b/>
          <w:color w:val="E7E6E6" w:themeColor="background2"/>
          <w:sz w:val="24"/>
          <w:highlight w:val="yellow"/>
        </w:rPr>
      </w:pPr>
      <w:r>
        <w:rPr>
          <w:b/>
          <w:color w:val="E7E6E6" w:themeColor="background2"/>
          <w:sz w:val="24"/>
          <w:highlight w:val="yellow"/>
        </w:rPr>
        <w:t>Réalisation</w:t>
      </w:r>
    </w:p>
    <w:p w:rsidR="00860A11" w:rsidRPr="000A700F" w:rsidRDefault="00860A11" w:rsidP="00A63707">
      <w:pPr>
        <w:spacing w:before="240" w:after="240"/>
        <w:ind w:left="363"/>
        <w:rPr>
          <w:rFonts w:cs="Arial"/>
          <w:szCs w:val="18"/>
          <w:highlight w:val="yellow"/>
        </w:rPr>
      </w:pPr>
      <w:r>
        <w:rPr>
          <w:color w:val="576C88" w:themeColor="text2" w:themeTint="D9"/>
          <w:highlight w:val="yellow"/>
        </w:rPr>
        <w:t xml:space="preserve">Action financée et accomplie (ou concrétisée) avec les fonds destinés à une intervention. Un promoteur de projet s’engage à produire une réalisation en </w:t>
      </w:r>
      <w:r>
        <w:rPr>
          <w:color w:val="576C88" w:themeColor="text2" w:themeTint="D9"/>
          <w:highlight w:val="yellow"/>
        </w:rPr>
        <w:lastRenderedPageBreak/>
        <w:t>échange du soutien accordé. Les réalisations peuvent être des équipements ou des travaux (comme la construction d'une route, un investissement agricole, un hébergement touristique). Elles peuvent aussi prendre la forme de services immatériels (formation, conseil, information).</w:t>
      </w:r>
    </w:p>
    <w:p w:rsidR="00860A11" w:rsidRPr="000A700F" w:rsidRDefault="00860A11" w:rsidP="00A63707">
      <w:pPr>
        <w:spacing w:before="240" w:after="240"/>
        <w:ind w:left="363"/>
        <w:rPr>
          <w:rFonts w:cs="Arial"/>
          <w:b/>
          <w:color w:val="E7E6E6" w:themeColor="background2"/>
          <w:sz w:val="24"/>
          <w:highlight w:val="yellow"/>
        </w:rPr>
      </w:pPr>
      <w:r>
        <w:rPr>
          <w:b/>
          <w:color w:val="E7E6E6" w:themeColor="background2"/>
          <w:sz w:val="24"/>
          <w:highlight w:val="yellow"/>
        </w:rPr>
        <w:t>Programme</w:t>
      </w:r>
    </w:p>
    <w:p w:rsidR="00860A11" w:rsidRPr="000A700F" w:rsidRDefault="00860A11" w:rsidP="00A63707">
      <w:pPr>
        <w:spacing w:before="240" w:after="240"/>
        <w:ind w:left="363"/>
        <w:rPr>
          <w:rFonts w:cs="Arial"/>
          <w:szCs w:val="18"/>
          <w:highlight w:val="yellow"/>
        </w:rPr>
      </w:pPr>
      <w:r>
        <w:rPr>
          <w:color w:val="576C88" w:themeColor="text2" w:themeTint="D9"/>
          <w:highlight w:val="yellow"/>
        </w:rPr>
        <w:t>Ensemble organisé d’interventions financières, organisationnelles et humaines mobilisées pour atteindre un objectif ou un ensemble d'objectifs dans une période donnée. Un programme est défini en termes de calendrier et de budget. Les objectifs du programme sont définis à l'avance; chaque fois qu’un effort doit être fait pour qu’il y ait une cohérence entre les objectifs.</w:t>
      </w:r>
    </w:p>
    <w:p w:rsidR="00860A11" w:rsidRPr="000A700F" w:rsidRDefault="00860A11" w:rsidP="009712DC">
      <w:pPr>
        <w:spacing w:before="240" w:after="240"/>
        <w:ind w:left="363"/>
        <w:rPr>
          <w:rFonts w:cs="Arial"/>
          <w:b/>
          <w:color w:val="E7E6E6" w:themeColor="background2"/>
          <w:sz w:val="24"/>
          <w:highlight w:val="yellow"/>
        </w:rPr>
      </w:pPr>
      <w:r>
        <w:rPr>
          <w:b/>
          <w:color w:val="E7E6E6" w:themeColor="background2"/>
          <w:sz w:val="24"/>
          <w:highlight w:val="yellow"/>
        </w:rPr>
        <w:t>Questions d'évaluation spécifiques à un programme:</w:t>
      </w:r>
    </w:p>
    <w:p w:rsidR="00860A11" w:rsidRPr="000A700F" w:rsidRDefault="00860A11" w:rsidP="00A63707">
      <w:pPr>
        <w:spacing w:before="240" w:after="240"/>
        <w:ind w:left="363"/>
        <w:rPr>
          <w:rFonts w:cs="Arial"/>
          <w:szCs w:val="18"/>
          <w:highlight w:val="yellow"/>
        </w:rPr>
      </w:pPr>
      <w:r>
        <w:rPr>
          <w:color w:val="576C88" w:themeColor="text2" w:themeTint="D9"/>
          <w:highlight w:val="yellow"/>
        </w:rPr>
        <w:t>Les questions d'évaluation spécifiques à un programme sont formulées en vue de l'évaluation d'un programme spécifique, pour  permettre une meilleure compréhension de la mise en œuvre globale de ce programme ou pour tenir compte de ses objectifs propres. Cependant, les questions d'évaluation «communes» s’appliquent à tous les programmes.</w:t>
      </w:r>
      <w:r>
        <w:rPr>
          <w:highlight w:val="yellow"/>
        </w:rPr>
        <w:t xml:space="preserve"> </w:t>
      </w:r>
    </w:p>
    <w:p w:rsidR="00860A11" w:rsidRPr="000A700F" w:rsidRDefault="00860A11" w:rsidP="00A63707">
      <w:pPr>
        <w:spacing w:before="240" w:after="240"/>
        <w:ind w:left="363"/>
        <w:rPr>
          <w:rFonts w:cs="Arial"/>
          <w:b/>
          <w:color w:val="E7E6E6" w:themeColor="background2"/>
          <w:sz w:val="24"/>
          <w:highlight w:val="yellow"/>
        </w:rPr>
      </w:pPr>
      <w:r>
        <w:rPr>
          <w:b/>
          <w:color w:val="E7E6E6" w:themeColor="background2"/>
          <w:sz w:val="24"/>
          <w:highlight w:val="yellow"/>
        </w:rPr>
        <w:t>Indicateurs spécifiques à un programme</w:t>
      </w:r>
    </w:p>
    <w:p w:rsidR="00860A11" w:rsidRPr="000A700F" w:rsidRDefault="00860A11" w:rsidP="00A63707">
      <w:pPr>
        <w:spacing w:before="240" w:after="240"/>
        <w:ind w:left="363"/>
        <w:rPr>
          <w:rFonts w:cs="Arial"/>
          <w:szCs w:val="18"/>
          <w:highlight w:val="yellow"/>
        </w:rPr>
      </w:pPr>
      <w:r>
        <w:rPr>
          <w:color w:val="576C88" w:themeColor="text2" w:themeTint="D9"/>
          <w:highlight w:val="yellow"/>
        </w:rPr>
        <w:t xml:space="preserve">Un indicateur est un facteur (ou une variable) quantitatif ou qualitatif qui constitue un moyen simple et fiable d’évaluation des réalisations, des changements liés à une intervention, ou d’aide à l’évaluation de la performance d'un acteur du développement. L'ensemble des indicateurs communs - </w:t>
      </w:r>
      <w:r>
        <w:rPr>
          <w:color w:val="576C88" w:themeColor="text2" w:themeTint="D9"/>
          <w:highlight w:val="yellow"/>
        </w:rPr>
        <w:t>obligatoires dans tous les États membres - sert à mesurer les réalisations et les changements au niveau du programme et au niveau européen. Comme les indicateurs communs peuvent ne pas révéler complètement  tous les effets des activités du programme, les autorités de gestion des États membres sont invitées à compléter le groupe d’indicateurs communs avec des d'indicateurs supplémentaires pour déterminer tous les effets escomptés d'un programme donné, surtout concernant les priorités nationales et les mesures propres au site. Ces indicateurs supplémentaires sont appelés indicateurs spécifiques à un programme.</w:t>
      </w:r>
      <w:r>
        <w:rPr>
          <w:highlight w:val="yellow"/>
        </w:rPr>
        <w:t xml:space="preserve"> </w:t>
      </w:r>
    </w:p>
    <w:p w:rsidR="00860A11" w:rsidRPr="000A700F" w:rsidRDefault="00860A11" w:rsidP="00A63707">
      <w:pPr>
        <w:spacing w:before="240" w:after="240"/>
        <w:ind w:left="363"/>
        <w:rPr>
          <w:rFonts w:cs="Arial"/>
          <w:b/>
          <w:color w:val="E7E6E6" w:themeColor="background2"/>
          <w:sz w:val="24"/>
          <w:highlight w:val="yellow"/>
        </w:rPr>
      </w:pPr>
      <w:r>
        <w:rPr>
          <w:b/>
          <w:color w:val="E7E6E6" w:themeColor="background2"/>
          <w:sz w:val="24"/>
          <w:highlight w:val="yellow"/>
        </w:rPr>
        <w:t>Pertinence</w:t>
      </w:r>
    </w:p>
    <w:p w:rsidR="00860A11" w:rsidRPr="000A700F" w:rsidRDefault="00860A11" w:rsidP="00A63707">
      <w:pPr>
        <w:spacing w:before="240" w:after="240"/>
        <w:ind w:left="363"/>
        <w:rPr>
          <w:rFonts w:cs="Arial"/>
          <w:szCs w:val="18"/>
          <w:highlight w:val="yellow"/>
        </w:rPr>
      </w:pPr>
      <w:r>
        <w:rPr>
          <w:color w:val="576C88" w:themeColor="text2" w:themeTint="D9"/>
          <w:highlight w:val="yellow"/>
        </w:rPr>
        <w:t>La mesure dans laquelle les objectifs de l'intervention correspondent aux besoins, aux problèmes et aux questions. Les questions de pertinence sont particulièrement importantes dans l'évaluation ex ante parce que l'accent est mis sur la stratégie choisie ou sa justification. Pour l'évaluation à mi-parcours, il est conseillé de vérifier si le contexte socio-économique a évolué comme prévu et si cette évolution remet en cause la pertinence d'un objectif initial particulier.</w:t>
      </w:r>
      <w:r>
        <w:rPr>
          <w:highlight w:val="yellow"/>
        </w:rPr>
        <w:t xml:space="preserve"> </w:t>
      </w:r>
    </w:p>
    <w:p w:rsidR="00860A11" w:rsidRPr="000A700F" w:rsidRDefault="00860A11" w:rsidP="00A63707">
      <w:pPr>
        <w:spacing w:before="240" w:after="240"/>
        <w:ind w:left="363"/>
        <w:rPr>
          <w:rFonts w:cs="Arial"/>
          <w:b/>
          <w:color w:val="E7E6E6" w:themeColor="background2"/>
          <w:sz w:val="24"/>
          <w:highlight w:val="yellow"/>
        </w:rPr>
      </w:pPr>
      <w:r>
        <w:rPr>
          <w:b/>
          <w:color w:val="E7E6E6" w:themeColor="background2"/>
          <w:sz w:val="24"/>
          <w:highlight w:val="yellow"/>
        </w:rPr>
        <w:t>Fiabilité</w:t>
      </w:r>
    </w:p>
    <w:p w:rsidR="00860A11" w:rsidRPr="000A700F" w:rsidRDefault="00860A11" w:rsidP="00A63707">
      <w:pPr>
        <w:spacing w:before="240" w:after="240"/>
        <w:ind w:left="363"/>
        <w:rPr>
          <w:rFonts w:cs="Arial"/>
          <w:szCs w:val="18"/>
          <w:highlight w:val="yellow"/>
        </w:rPr>
      </w:pPr>
      <w:r>
        <w:rPr>
          <w:color w:val="576C88" w:themeColor="text2" w:themeTint="D9"/>
          <w:highlight w:val="yellow"/>
        </w:rPr>
        <w:t>La qualité de la collecte des données d'évaluation lorsque le protocole utilisé permet d’obtenir des informations similaires lors d'observations répétées dans des conditions identiques. La fiabilité dépend du respect des règles d'échantillonnage, des outils utilisés pour la collecte et de l'enregistrement des informations quantitatives et qualitatives.</w:t>
      </w:r>
    </w:p>
    <w:p w:rsidR="00860A11" w:rsidRPr="000A700F" w:rsidRDefault="00860A11" w:rsidP="00A63707">
      <w:pPr>
        <w:spacing w:before="240" w:after="240"/>
        <w:ind w:left="363"/>
        <w:rPr>
          <w:rFonts w:cs="Arial"/>
          <w:b/>
          <w:color w:val="E7E6E6" w:themeColor="background2"/>
          <w:sz w:val="24"/>
          <w:highlight w:val="yellow"/>
        </w:rPr>
      </w:pPr>
      <w:r>
        <w:rPr>
          <w:b/>
          <w:color w:val="E7E6E6" w:themeColor="background2"/>
          <w:sz w:val="24"/>
          <w:highlight w:val="yellow"/>
        </w:rPr>
        <w:t>Résultat</w:t>
      </w:r>
    </w:p>
    <w:p w:rsidR="00860A11" w:rsidRPr="000A700F" w:rsidRDefault="00860A11" w:rsidP="00A63707">
      <w:pPr>
        <w:spacing w:before="240" w:after="240"/>
        <w:ind w:left="363"/>
        <w:rPr>
          <w:rFonts w:cs="Arial"/>
          <w:szCs w:val="18"/>
          <w:highlight w:val="yellow"/>
        </w:rPr>
      </w:pPr>
      <w:r>
        <w:rPr>
          <w:color w:val="576C88" w:themeColor="text2" w:themeTint="D9"/>
          <w:highlight w:val="yellow"/>
        </w:rPr>
        <w:lastRenderedPageBreak/>
        <w:t>Avantage (ou inconvénient)  obtenu par les bénéficiaires directs à la fin de leur participation à une intervention publique ou dès qu'un équipement  public est achevé. Les résultats peuvent être observés lorsque l'opérateur termine un projet et rend compte de la façon dont les fonds alloués ont été dépensés et gérés. À ce stade, il / elle peut montrer, par exemple, un meilleur accès par la construction d'une route, ou des entreprises satisfaites des conseils reçus. Les opérateurs peuvent  suivre les résultats régulièrement. Ils doivent adapter la mise en œuvre de l'intervention aux résultats obtenus.</w:t>
      </w:r>
      <w:r>
        <w:rPr>
          <w:highlight w:val="yellow"/>
        </w:rPr>
        <w:t xml:space="preserve">  </w:t>
      </w:r>
    </w:p>
    <w:p w:rsidR="00860A11" w:rsidRPr="000A700F" w:rsidRDefault="00860A11" w:rsidP="00A63707">
      <w:pPr>
        <w:spacing w:before="240" w:after="240"/>
        <w:ind w:left="363"/>
        <w:rPr>
          <w:rFonts w:cs="Arial"/>
          <w:b/>
          <w:color w:val="E7E6E6" w:themeColor="background2"/>
          <w:sz w:val="24"/>
          <w:highlight w:val="yellow"/>
        </w:rPr>
      </w:pPr>
      <w:r>
        <w:rPr>
          <w:b/>
          <w:color w:val="E7E6E6" w:themeColor="background2"/>
          <w:sz w:val="24"/>
          <w:highlight w:val="yellow"/>
        </w:rPr>
        <w:t>Rigueur</w:t>
      </w:r>
    </w:p>
    <w:p w:rsidR="00860A11" w:rsidRPr="000A700F" w:rsidRDefault="00860A11" w:rsidP="00A63707">
      <w:pPr>
        <w:spacing w:before="240" w:after="240"/>
        <w:ind w:left="363"/>
        <w:rPr>
          <w:rFonts w:cs="Arial"/>
          <w:szCs w:val="18"/>
          <w:highlight w:val="yellow"/>
        </w:rPr>
      </w:pPr>
      <w:r>
        <w:rPr>
          <w:color w:val="576C88" w:themeColor="text2" w:themeTint="D9"/>
          <w:highlight w:val="yellow"/>
        </w:rPr>
        <w:t>Dans le cadre de cette étude, une méthode «rigoureuse» est comprise comme une méthode présentée, appliquée et développée dans des revues scientifiques choisies. Une méthode plus rigoureuse, sera plus largement utilisée et acceptée dans la communauté scientifique ou la communauté des évaluateurs et sera décrite dans les manuels de méthodologie. Les méthodes pouvant être utilisées pour quantifier les effets induits sont considérées comme plus fiables que les autres.</w:t>
      </w:r>
    </w:p>
    <w:p w:rsidR="00860A11" w:rsidRPr="000A700F" w:rsidRDefault="00860A11" w:rsidP="00A63707">
      <w:pPr>
        <w:spacing w:before="240" w:after="240"/>
        <w:ind w:left="363"/>
        <w:rPr>
          <w:rFonts w:cs="Arial"/>
          <w:b/>
          <w:color w:val="E7E6E6" w:themeColor="background2"/>
          <w:sz w:val="24"/>
          <w:highlight w:val="yellow"/>
        </w:rPr>
      </w:pPr>
      <w:r>
        <w:rPr>
          <w:b/>
          <w:color w:val="E7E6E6" w:themeColor="background2"/>
          <w:sz w:val="24"/>
          <w:highlight w:val="yellow"/>
        </w:rPr>
        <w:t>Solidité</w:t>
      </w:r>
    </w:p>
    <w:p w:rsidR="00860A11" w:rsidRPr="000A700F" w:rsidRDefault="00860A11" w:rsidP="00A63707">
      <w:pPr>
        <w:spacing w:before="240" w:after="240"/>
        <w:ind w:left="363"/>
        <w:rPr>
          <w:rFonts w:cs="Arial"/>
          <w:szCs w:val="18"/>
          <w:highlight w:val="yellow"/>
        </w:rPr>
      </w:pPr>
      <w:r>
        <w:rPr>
          <w:color w:val="576C88" w:themeColor="text2" w:themeTint="D9"/>
          <w:highlight w:val="yellow"/>
        </w:rPr>
        <w:t xml:space="preserve">La solidité est définie de différentes manières dans la littérature sur l'évaluation. En économétrie, la solidité est utilisée dans différents contextes (comme des évaluateurs biaisés ou impartiaux, des sélections de modèles) et a donc des significations différentes en fonction du contexte. Dans le cadre de cette étude, la solidité est considérée comme élevée si les résultats sont stables et résistent à des changements mineurs mais voulus (comme une année </w:t>
      </w:r>
      <w:r>
        <w:rPr>
          <w:color w:val="576C88" w:themeColor="text2" w:themeTint="D9"/>
          <w:highlight w:val="yellow"/>
        </w:rPr>
        <w:t>supplémentaire d'observation, une variable explicative supplémentaire, un autre acteur, un autre évaluateur). Pour certaines méthodes, la solidité peut être testée avec des analyses de sensibilité.</w:t>
      </w:r>
    </w:p>
    <w:p w:rsidR="00860A11" w:rsidRPr="000A700F" w:rsidRDefault="00860A11" w:rsidP="00A63707">
      <w:pPr>
        <w:spacing w:before="240" w:after="240"/>
        <w:ind w:left="363"/>
        <w:rPr>
          <w:rFonts w:cs="Arial"/>
          <w:b/>
          <w:color w:val="E7E6E6" w:themeColor="background2"/>
          <w:sz w:val="24"/>
          <w:highlight w:val="yellow"/>
        </w:rPr>
      </w:pPr>
      <w:r>
        <w:rPr>
          <w:b/>
          <w:color w:val="E7E6E6" w:themeColor="background2"/>
          <w:sz w:val="24"/>
          <w:highlight w:val="yellow"/>
        </w:rPr>
        <w:t>Auto-évaluation</w:t>
      </w:r>
    </w:p>
    <w:p w:rsidR="00860A11" w:rsidRPr="000A700F" w:rsidRDefault="00860A11" w:rsidP="00A63707">
      <w:pPr>
        <w:spacing w:before="240" w:after="240"/>
        <w:ind w:left="363"/>
        <w:rPr>
          <w:rFonts w:cs="Arial"/>
          <w:szCs w:val="18"/>
          <w:highlight w:val="yellow"/>
        </w:rPr>
      </w:pPr>
      <w:r>
        <w:rPr>
          <w:color w:val="576C88" w:themeColor="text2" w:themeTint="D9"/>
          <w:highlight w:val="yellow"/>
        </w:rPr>
        <w:t>L'auto-évaluation est un processus de réflexion permanente, conçu et réalisé par ceux qui mettent en œuvre une intervention ou en font partie (comme les gestionnaires de programme, les bénéficiaires et les membres du réseau). Elle donne une vue de l'intérieur sur les activités et  se focalise sur la performance globale. Les intervenants analysent leur propre façon de faire et voient comment ils peuvent contribuer à la réalisation des objectifs et des buts convenus. La nature participative de l'auto-évaluation induit des effets d'apprentissage chez tous ceux qui y participent.</w:t>
      </w:r>
      <w:r>
        <w:rPr>
          <w:highlight w:val="yellow"/>
        </w:rPr>
        <w:t xml:space="preserve"> </w:t>
      </w:r>
    </w:p>
    <w:p w:rsidR="00860A11" w:rsidRPr="000A700F" w:rsidRDefault="00860A11" w:rsidP="00A63707">
      <w:pPr>
        <w:spacing w:before="240" w:after="240"/>
        <w:ind w:left="363"/>
        <w:rPr>
          <w:rFonts w:cs="Arial"/>
          <w:b/>
          <w:color w:val="E7E6E6" w:themeColor="background2"/>
          <w:sz w:val="24"/>
          <w:highlight w:val="yellow"/>
        </w:rPr>
      </w:pPr>
      <w:r>
        <w:rPr>
          <w:b/>
          <w:color w:val="E7E6E6" w:themeColor="background2"/>
          <w:sz w:val="24"/>
          <w:highlight w:val="yellow"/>
        </w:rPr>
        <w:t>Cahier des charges</w:t>
      </w:r>
    </w:p>
    <w:p w:rsidR="00860A11" w:rsidRPr="000A700F" w:rsidRDefault="00860A11" w:rsidP="00A63707">
      <w:pPr>
        <w:spacing w:before="240" w:after="240"/>
        <w:ind w:left="363"/>
        <w:rPr>
          <w:rFonts w:cs="Arial"/>
          <w:szCs w:val="18"/>
          <w:highlight w:val="yellow"/>
        </w:rPr>
      </w:pPr>
      <w:r>
        <w:rPr>
          <w:color w:val="576C88" w:themeColor="text2" w:themeTint="D9"/>
          <w:highlight w:val="yellow"/>
        </w:rPr>
        <w:t>Le cahier des charges précise les conditions dans lesquelles les tâches d'évaluation  environnementale stratégique seront menées, définit  les rôles et les responsabilités, et informe les évaluateurs potentiels / experts EES de ce qu’on attend en termes de contenu, processus et calendrier. Si elles sont clairement définies dans le cahier des charges, les réponses des candidats aux conditions formulées, peuvent être des indices révélateurs de leurs capacités.</w:t>
      </w:r>
    </w:p>
    <w:p w:rsidR="00860A11" w:rsidRPr="000A700F" w:rsidRDefault="00860A11" w:rsidP="00A63707">
      <w:pPr>
        <w:spacing w:before="240" w:after="240"/>
        <w:ind w:left="363"/>
        <w:rPr>
          <w:rFonts w:cs="Arial"/>
          <w:b/>
          <w:color w:val="E7E6E6" w:themeColor="background2"/>
          <w:sz w:val="24"/>
          <w:highlight w:val="yellow"/>
        </w:rPr>
      </w:pPr>
      <w:r>
        <w:rPr>
          <w:b/>
          <w:color w:val="E7E6E6" w:themeColor="background2"/>
          <w:sz w:val="24"/>
          <w:highlight w:val="yellow"/>
        </w:rPr>
        <w:t>Théorie du changement</w:t>
      </w:r>
    </w:p>
    <w:p w:rsidR="00860A11" w:rsidRPr="000A700F" w:rsidRDefault="00860A11" w:rsidP="00A63707">
      <w:pPr>
        <w:spacing w:before="240" w:after="240"/>
        <w:ind w:left="363"/>
        <w:rPr>
          <w:rFonts w:cs="Arial"/>
          <w:szCs w:val="18"/>
          <w:highlight w:val="yellow"/>
        </w:rPr>
      </w:pPr>
      <w:r>
        <w:rPr>
          <w:color w:val="576C88" w:themeColor="text2" w:themeTint="D9"/>
          <w:highlight w:val="yellow"/>
        </w:rPr>
        <w:t xml:space="preserve">«La théorie du changement» fréquemment utilisée dans les évaluations fondées sur une approche théorique, peut être décrite comme l'ensemble des hypothèses expliquant les petits pas menant à l'objectif à long terme, les </w:t>
      </w:r>
      <w:r>
        <w:rPr>
          <w:color w:val="576C88" w:themeColor="text2" w:themeTint="D9"/>
          <w:highlight w:val="yellow"/>
        </w:rPr>
        <w:lastRenderedPageBreak/>
        <w:t>rapports entre les activités politiques et les activités du programme et les résultats obtenus à chaque étape du processus. Dans une approche fondée sur la théorie du changement on s’intéresse aux théories des décideurs politiques, des gestionnaires de programmes ou d'autres parties prenantes, par exemple, une suite de postulats et d’hypothèses - empiriquement testables - logiquement reliés entre eux. Le postulat de départ affirme que les programmes sont fondés sur une théorie explicite ou implicite, expliquant comment et pourquoi le programme réussira. La principale caractéristique de l'évaluation fondée sur cette théorie est de fournir une chaîne de causalité explicite (ou «théorie du changement») reliant l'intervention à des effets spécifiques ; puis elle utilise cette chaîne causale pour guider la collecte de preuves et l'analyse de la contribution causale en développant des hypothèses qui peuvent être testées grâce à des comparaisons critiques.</w:t>
      </w:r>
    </w:p>
    <w:p w:rsidR="00860A11" w:rsidRPr="000A700F" w:rsidRDefault="00860A11" w:rsidP="00A63707">
      <w:pPr>
        <w:spacing w:before="240" w:after="240"/>
        <w:ind w:left="363"/>
        <w:rPr>
          <w:rFonts w:cs="Arial"/>
          <w:b/>
          <w:color w:val="E7E6E6" w:themeColor="background2"/>
          <w:sz w:val="24"/>
          <w:highlight w:val="yellow"/>
        </w:rPr>
      </w:pPr>
      <w:r>
        <w:rPr>
          <w:b/>
          <w:color w:val="E7E6E6" w:themeColor="background2"/>
          <w:sz w:val="24"/>
          <w:highlight w:val="yellow"/>
        </w:rPr>
        <w:t>Transparence</w:t>
      </w:r>
    </w:p>
    <w:p w:rsidR="00860A11" w:rsidRPr="000A700F" w:rsidRDefault="00860A11" w:rsidP="00A63707">
      <w:pPr>
        <w:spacing w:before="240" w:after="240"/>
        <w:ind w:left="363"/>
        <w:rPr>
          <w:rFonts w:cs="Arial"/>
          <w:szCs w:val="18"/>
          <w:highlight w:val="yellow"/>
        </w:rPr>
      </w:pPr>
      <w:r>
        <w:rPr>
          <w:color w:val="576C88" w:themeColor="text2" w:themeTint="D9"/>
          <w:highlight w:val="yellow"/>
        </w:rPr>
        <w:t>La transparence d'une méthode d'évaluation implique que les utilisateurs connaissent précisément ses principaux éléments, sa structure, ses paramètres, ses règles et ses réponses fonctionnelles. Un utilisateur peut donc vérifier si elles sont suivies. Une estimation valable du contre-factuel doit être fondée sur des règles d'attribution claires et transparentes.</w:t>
      </w:r>
    </w:p>
    <w:p w:rsidR="00860A11" w:rsidRPr="000A700F" w:rsidRDefault="00860A11" w:rsidP="00A63707">
      <w:pPr>
        <w:spacing w:before="240" w:after="240"/>
        <w:ind w:left="363"/>
        <w:rPr>
          <w:rFonts w:cs="Arial"/>
          <w:b/>
          <w:color w:val="E7E6E6" w:themeColor="background2"/>
          <w:sz w:val="24"/>
          <w:highlight w:val="yellow"/>
        </w:rPr>
      </w:pPr>
      <w:r>
        <w:rPr>
          <w:b/>
          <w:color w:val="E7E6E6" w:themeColor="background2"/>
          <w:sz w:val="24"/>
          <w:highlight w:val="yellow"/>
        </w:rPr>
        <w:t>Validité</w:t>
      </w:r>
    </w:p>
    <w:p w:rsidR="00860A11" w:rsidRDefault="00860A11" w:rsidP="00A63707">
      <w:pPr>
        <w:spacing w:before="240" w:after="240"/>
        <w:ind w:left="363"/>
        <w:rPr>
          <w:rFonts w:cs="Arial"/>
          <w:color w:val="576C88" w:themeColor="text2" w:themeTint="D9"/>
          <w:szCs w:val="18"/>
        </w:rPr>
      </w:pPr>
      <w:r>
        <w:rPr>
          <w:color w:val="576C88" w:themeColor="text2" w:themeTint="D9"/>
          <w:highlight w:val="yellow"/>
        </w:rPr>
        <w:t xml:space="preserve">Le terme peut faire référence à une validité interne, externe et convergente. «Validité interne»: Les résultats des méthodes non-empiriques sont valables si leur logique est solide. Les résultats des méthodes empiriques sont valables si la  </w:t>
      </w:r>
      <w:r>
        <w:rPr>
          <w:color w:val="576C88" w:themeColor="text2" w:themeTint="D9"/>
          <w:highlight w:val="yellow"/>
        </w:rPr>
        <w:t>logique est solide et  les faits prouvés. La solidité de la logique peut être plus facilement vérifiée avec un niveau élevé de transparence. La solidité factuelle est vérifiée si le résultat est identique au paramètre vrai qui, le plus souvent, ne peut pas être observé (voir contre-factuel). «La validité externe» est une mesure de la qualité de la recherche empirique. Dans le cas présent, «validité externe» signifie que les résultats obtenus à partir d'une étude de cas seront plus ou moins identiques si un programme similaire est en place dans un autre contexte. On a une «validité convergente» si les différentes méthodes utilisées pour répondre aux mêmes questions donnent des résultats similaires.</w:t>
      </w:r>
    </w:p>
    <w:p w:rsidR="00860A11" w:rsidRDefault="00860A11" w:rsidP="00A63707">
      <w:pPr>
        <w:spacing w:before="240" w:after="240"/>
        <w:ind w:left="363"/>
        <w:rPr>
          <w:rFonts w:cs="Arial"/>
          <w:szCs w:val="18"/>
        </w:rPr>
      </w:pPr>
    </w:p>
    <w:p w:rsidR="00860A11" w:rsidRDefault="00860A11" w:rsidP="00A63707">
      <w:pPr>
        <w:spacing w:before="240" w:after="240"/>
        <w:ind w:left="363"/>
        <w:rPr>
          <w:rFonts w:cs="Arial"/>
          <w:szCs w:val="18"/>
        </w:rPr>
      </w:pPr>
    </w:p>
    <w:p w:rsidR="00860A11" w:rsidRDefault="00860A11" w:rsidP="00A63707">
      <w:pPr>
        <w:spacing w:before="240" w:after="240"/>
        <w:ind w:left="363"/>
        <w:rPr>
          <w:rFonts w:cs="Arial"/>
          <w:szCs w:val="18"/>
        </w:rPr>
      </w:pPr>
    </w:p>
    <w:p w:rsidR="00860A11" w:rsidRDefault="00860A11" w:rsidP="00A63707">
      <w:pPr>
        <w:spacing w:before="240" w:after="240"/>
        <w:ind w:left="363"/>
        <w:rPr>
          <w:rFonts w:cs="Arial"/>
          <w:szCs w:val="18"/>
        </w:rPr>
      </w:pPr>
    </w:p>
    <w:p w:rsidR="00860A11" w:rsidRDefault="00860A11" w:rsidP="00A63707">
      <w:pPr>
        <w:spacing w:before="240" w:after="240"/>
        <w:ind w:left="363"/>
        <w:rPr>
          <w:rFonts w:cs="Arial"/>
          <w:szCs w:val="18"/>
        </w:rPr>
        <w:sectPr w:rsidR="00860A11" w:rsidSect="00502BFD">
          <w:type w:val="continuous"/>
          <w:pgSz w:w="11906" w:h="16838" w:code="9"/>
          <w:pgMar w:top="1440" w:right="1440" w:bottom="1440" w:left="1440" w:header="1134" w:footer="1021" w:gutter="0"/>
          <w:cols w:num="2" w:space="708"/>
          <w:titlePg/>
          <w:docGrid w:linePitch="360"/>
        </w:sectPr>
      </w:pPr>
    </w:p>
    <w:p w:rsidR="00860A11" w:rsidRDefault="00860A11">
      <w:pPr>
        <w:spacing w:after="0" w:line="240" w:lineRule="auto"/>
        <w:rPr>
          <w:rFonts w:cs="Arial"/>
          <w:szCs w:val="18"/>
        </w:rPr>
      </w:pPr>
      <w:r>
        <w:lastRenderedPageBreak/>
        <w:br w:type="page"/>
      </w:r>
    </w:p>
    <w:p w:rsidR="00860A11" w:rsidRDefault="00860A11" w:rsidP="00A63707">
      <w:pPr>
        <w:spacing w:before="240" w:after="240"/>
        <w:ind w:left="363"/>
        <w:rPr>
          <w:rFonts w:cs="Arial"/>
          <w:szCs w:val="18"/>
        </w:rPr>
      </w:pPr>
    </w:p>
    <w:p w:rsidR="00860A11" w:rsidRDefault="00860A11" w:rsidP="00A63707">
      <w:pPr>
        <w:spacing w:before="240" w:after="240"/>
        <w:ind w:left="363"/>
        <w:rPr>
          <w:rFonts w:cs="Arial"/>
          <w:szCs w:val="18"/>
        </w:rPr>
      </w:pPr>
    </w:p>
    <w:p w:rsidR="00860A11" w:rsidRDefault="00860A11" w:rsidP="00A63707">
      <w:pPr>
        <w:spacing w:before="240" w:after="240"/>
        <w:ind w:left="363"/>
        <w:rPr>
          <w:rFonts w:cs="Arial"/>
          <w:szCs w:val="18"/>
        </w:rPr>
        <w:sectPr w:rsidR="00860A11" w:rsidSect="00502BFD">
          <w:pgSz w:w="11906" w:h="16838" w:code="9"/>
          <w:pgMar w:top="1440" w:right="1440" w:bottom="1440" w:left="1440" w:header="1134" w:footer="1021" w:gutter="0"/>
          <w:cols w:num="2" w:space="708"/>
          <w:titlePg/>
          <w:docGrid w:linePitch="360"/>
        </w:sectPr>
      </w:pPr>
    </w:p>
    <w:p w:rsidR="00860A11" w:rsidRPr="009712DC" w:rsidRDefault="00860A11" w:rsidP="00A63707">
      <w:pPr>
        <w:spacing w:before="240" w:after="240"/>
        <w:ind w:left="363"/>
        <w:rPr>
          <w:rFonts w:cs="Arial"/>
          <w:szCs w:val="18"/>
        </w:rPr>
        <w:sectPr w:rsidR="00860A11" w:rsidRPr="009712DC" w:rsidSect="00502BFD">
          <w:type w:val="continuous"/>
          <w:pgSz w:w="11906" w:h="16838" w:code="9"/>
          <w:pgMar w:top="1440" w:right="1440" w:bottom="1440" w:left="1440" w:header="1134" w:footer="1021" w:gutter="0"/>
          <w:cols w:space="708"/>
          <w:titlePg/>
          <w:docGrid w:linePitch="360"/>
        </w:sectPr>
      </w:pPr>
    </w:p>
    <w:p w:rsidR="00860A11" w:rsidRDefault="00860A11">
      <w:pPr>
        <w:spacing w:after="0" w:line="240" w:lineRule="auto"/>
        <w:rPr>
          <w:rFonts w:cs="Arial"/>
          <w:color w:val="576C88" w:themeColor="text2" w:themeTint="D9"/>
          <w:sz w:val="20"/>
          <w:szCs w:val="20"/>
        </w:rPr>
        <w:sectPr w:rsidR="00860A11" w:rsidSect="00A63707">
          <w:type w:val="continuous"/>
          <w:pgSz w:w="11906" w:h="16838" w:code="9"/>
          <w:pgMar w:top="1440" w:right="1440" w:bottom="1440" w:left="1440" w:header="1134" w:footer="1021" w:gutter="0"/>
          <w:cols w:space="708"/>
          <w:titlePg/>
          <w:docGrid w:linePitch="360"/>
        </w:sectPr>
      </w:pPr>
    </w:p>
    <w:p w:rsidR="00860A11" w:rsidRDefault="00860A11">
      <w:pPr>
        <w:spacing w:after="0" w:line="240" w:lineRule="auto"/>
        <w:rPr>
          <w:rFonts w:cs="Arial"/>
          <w:color w:val="576C88" w:themeColor="text2" w:themeTint="D9"/>
          <w:sz w:val="20"/>
          <w:szCs w:val="20"/>
        </w:rPr>
      </w:pPr>
    </w:p>
    <w:p w:rsidR="00860A11" w:rsidRPr="008D0759" w:rsidRDefault="00860A11" w:rsidP="00923616">
      <w:pPr>
        <w:pStyle w:val="HStandard"/>
      </w:pPr>
    </w:p>
    <w:p w:rsidR="00860A11" w:rsidRPr="008D0759" w:rsidRDefault="00860A11" w:rsidP="00923616">
      <w:pPr>
        <w:pStyle w:val="HStandard"/>
        <w:sectPr w:rsidR="00860A11" w:rsidRPr="008D0759" w:rsidSect="00A63707">
          <w:type w:val="continuous"/>
          <w:pgSz w:w="11906" w:h="16838" w:code="9"/>
          <w:pgMar w:top="1440" w:right="1440" w:bottom="1440" w:left="1440" w:header="1134" w:footer="1021" w:gutter="0"/>
          <w:cols w:space="708"/>
          <w:titlePg/>
          <w:docGrid w:linePitch="360"/>
        </w:sectPr>
      </w:pPr>
    </w:p>
    <w:p w:rsidR="00860A11" w:rsidRPr="008D0759" w:rsidRDefault="00860A11">
      <w:pPr>
        <w:spacing w:after="0" w:line="240" w:lineRule="auto"/>
        <w:rPr>
          <w:rFonts w:cs="Arial"/>
        </w:rPr>
      </w:pPr>
      <w:r>
        <w:rPr>
          <w:rFonts w:cs="Arial"/>
          <w:noProof/>
          <w:lang w:eastAsia="en-GB"/>
        </w:rPr>
        <w:lastRenderedPageBreak/>
        <w:drawing>
          <wp:anchor distT="0" distB="0" distL="114300" distR="114300" simplePos="0" relativeHeight="251664384" behindDoc="0" locked="0" layoutInCell="1" allowOverlap="1" wp14:anchorId="037C7780" wp14:editId="590122AB">
            <wp:simplePos x="0" y="0"/>
            <wp:positionH relativeFrom="margin">
              <wp:align>center</wp:align>
            </wp:positionH>
            <wp:positionV relativeFrom="paragraph">
              <wp:posOffset>-1534795</wp:posOffset>
            </wp:positionV>
            <wp:extent cx="7409464" cy="10577015"/>
            <wp:effectExtent l="0" t="0" r="1270" b="0"/>
            <wp:wrapNone/>
            <wp:docPr id="3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emplate_Back_Orange.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7409464" cy="10577015"/>
                    </a:xfrm>
                    <a:prstGeom prst="rect">
                      <a:avLst/>
                    </a:prstGeom>
                  </pic:spPr>
                </pic:pic>
              </a:graphicData>
            </a:graphic>
          </wp:anchor>
        </w:drawing>
      </w:r>
    </w:p>
    <w:p w:rsidR="00860A11" w:rsidRPr="008D0759" w:rsidRDefault="00860A11" w:rsidP="00923616">
      <w:pPr>
        <w:pStyle w:val="HStandard"/>
      </w:pPr>
    </w:p>
    <w:p w:rsidR="00C23794" w:rsidRDefault="002744A4">
      <w:bookmarkStart w:id="361" w:name="_GoBack"/>
      <w:bookmarkEnd w:id="361"/>
    </w:p>
    <w:sectPr w:rsidR="00C23794" w:rsidSect="00457F3C">
      <w:headerReference w:type="default" r:id="rId71"/>
      <w:footerReference w:type="default" r:id="rId72"/>
      <w:headerReference w:type="first" r:id="rId73"/>
      <w:footerReference w:type="first" r:id="rId74"/>
      <w:pgSz w:w="11906" w:h="16838" w:code="9"/>
      <w:pgMar w:top="1440" w:right="1440" w:bottom="1440" w:left="1440" w:header="1134" w:footer="102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744A4" w:rsidRDefault="002744A4" w:rsidP="00860A11">
      <w:pPr>
        <w:spacing w:after="0" w:line="240" w:lineRule="auto"/>
      </w:pPr>
      <w:r>
        <w:separator/>
      </w:r>
    </w:p>
  </w:endnote>
  <w:endnote w:type="continuationSeparator" w:id="0">
    <w:p w:rsidR="002744A4" w:rsidRDefault="002744A4" w:rsidP="00860A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Helvetica LT Pro Light">
    <w:altName w:val="Corbel"/>
    <w:charset w:val="00"/>
    <w:family w:val="swiss"/>
    <w:pitch w:val="variable"/>
    <w:sig w:usb0="A00000AF" w:usb1="5000205A" w:usb2="00000000" w:usb3="00000000" w:csb0="00000093" w:csb1="00000000"/>
  </w:font>
  <w:font w:name="Helvetica LT Pro">
    <w:charset w:val="00"/>
    <w:family w:val="swiss"/>
    <w:pitch w:val="variable"/>
    <w:sig w:usb0="A00002AF" w:usb1="5000204A" w:usb2="00000000" w:usb3="00000000" w:csb0="00000097" w:csb1="00000000"/>
  </w:font>
  <w:font w:name="Tahoma">
    <w:panose1 w:val="020B0604030504040204"/>
    <w:charset w:val="00"/>
    <w:family w:val="swiss"/>
    <w:pitch w:val="variable"/>
    <w:sig w:usb0="E1002EFF" w:usb1="C000605B" w:usb2="00000029" w:usb3="00000000" w:csb0="000101FF" w:csb1="00000000"/>
  </w:font>
  <w:font w:name="EUAlbertina">
    <w:altName w:val="EU Albertina"/>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 w:name="Consolas">
    <w:panose1 w:val="020B0609020204030204"/>
    <w:charset w:val="00"/>
    <w:family w:val="modern"/>
    <w:pitch w:val="fixed"/>
    <w:sig w:usb0="E10002FF" w:usb1="4000FCFF" w:usb2="00000009" w:usb3="00000000" w:csb0="0000019F" w:csb1="00000000"/>
  </w:font>
  <w:font w:name="ZWAdobeF">
    <w:altName w:val="Times New Roman"/>
    <w:panose1 w:val="00000000000000000000"/>
    <w:charset w:val="00"/>
    <w:family w:val="auto"/>
    <w:pitch w:val="variable"/>
    <w:sig w:usb0="20002A85" w:usb1="00000000"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0A11" w:rsidRDefault="00860A11">
    <w:pPr>
      <w:pStyle w:val="Foote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r>
      <w:tab/>
    </w:r>
    <w:r>
      <w:rPr>
        <w:noProof/>
        <w:lang w:val="en-GB" w:eastAsia="en-GB" w:bidi="ar-SA"/>
      </w:rPr>
      <w:drawing>
        <wp:inline distT="0" distB="0" distL="0" distR="0" wp14:anchorId="3B42AFB9" wp14:editId="085C235A">
          <wp:extent cx="971550" cy="247650"/>
          <wp:effectExtent l="19050" t="0" r="0" b="0"/>
          <wp:docPr id="14" name="Bild 1" descr="Logokleinlinksun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kleinlinksunten"/>
                  <pic:cNvPicPr>
                    <a:picLocks noChangeAspect="1" noChangeArrowheads="1"/>
                  </pic:cNvPicPr>
                </pic:nvPicPr>
                <pic:blipFill>
                  <a:blip r:embed="rId1"/>
                  <a:srcRect/>
                  <a:stretch>
                    <a:fillRect/>
                  </a:stretch>
                </pic:blipFill>
                <pic:spPr bwMode="auto">
                  <a:xfrm>
                    <a:off x="0" y="0"/>
                    <a:ext cx="971550" cy="247650"/>
                  </a:xfrm>
                  <a:prstGeom prst="rect">
                    <a:avLst/>
                  </a:prstGeom>
                  <a:noFill/>
                  <a:ln w="9525">
                    <a:noFill/>
                    <a:miter lim="800000"/>
                    <a:headEnd/>
                    <a:tailEnd/>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0A11" w:rsidRPr="00A40754" w:rsidRDefault="00860A11"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22</w:t>
    </w:r>
    <w:r w:rsidRPr="00A40754">
      <w:rPr>
        <w:rStyle w:val="PageNumber"/>
        <w:rFonts w:ascii="Helvetica LT Pro Light" w:hAnsi="Helvetica LT Pro Light"/>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0A11" w:rsidRPr="00A40754" w:rsidRDefault="00860A11"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8</w:t>
    </w:r>
    <w:r w:rsidRPr="00A40754">
      <w:rPr>
        <w:rStyle w:val="PageNumber"/>
        <w:rFonts w:ascii="Helvetica LT Pro Light" w:hAnsi="Helvetica LT Pro Light"/>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0A11" w:rsidRPr="00A40754" w:rsidRDefault="00860A11"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34</w:t>
    </w:r>
    <w:r w:rsidRPr="00A40754">
      <w:rPr>
        <w:rStyle w:val="PageNumber"/>
        <w:rFonts w:ascii="Helvetica LT Pro Light" w:hAnsi="Helvetica LT Pro Light"/>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0A11" w:rsidRPr="00A40754" w:rsidRDefault="00860A11"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33</w:t>
    </w:r>
    <w:r w:rsidRPr="00A40754">
      <w:rPr>
        <w:rStyle w:val="PageNumber"/>
        <w:rFonts w:ascii="Helvetica LT Pro Light" w:hAnsi="Helvetica LT Pro Light"/>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0A11" w:rsidRPr="004733A5" w:rsidRDefault="00860A11" w:rsidP="00A40754">
    <w:pPr>
      <w:pStyle w:val="Footer"/>
      <w:rPr>
        <w:color w:val="262626" w:themeColor="text1" w:themeTint="D9"/>
      </w:rPr>
    </w:pPr>
    <w:r w:rsidRPr="004733A5">
      <w:rPr>
        <w:rStyle w:val="PageNumber"/>
        <w:rFonts w:ascii="Helvetica LT Pro Light" w:hAnsi="Helvetica LT Pro Light"/>
        <w:color w:val="262626" w:themeColor="text1" w:themeTint="D9"/>
      </w:rPr>
      <w:fldChar w:fldCharType="begin"/>
    </w:r>
    <w:r w:rsidRPr="004733A5">
      <w:rPr>
        <w:rStyle w:val="PageNumber"/>
        <w:rFonts w:ascii="Helvetica LT Pro Light" w:hAnsi="Helvetica LT Pro Light"/>
        <w:color w:val="262626" w:themeColor="text1" w:themeTint="D9"/>
      </w:rPr>
      <w:instrText xml:space="preserve"> PAGE </w:instrText>
    </w:r>
    <w:r w:rsidRPr="004733A5">
      <w:rPr>
        <w:rStyle w:val="PageNumber"/>
        <w:rFonts w:ascii="Helvetica LT Pro Light" w:hAnsi="Helvetica LT Pro Light"/>
        <w:color w:val="262626" w:themeColor="text1" w:themeTint="D9"/>
      </w:rPr>
      <w:fldChar w:fldCharType="separate"/>
    </w:r>
    <w:r>
      <w:rPr>
        <w:rStyle w:val="PageNumber"/>
        <w:rFonts w:ascii="Helvetica LT Pro Light" w:hAnsi="Helvetica LT Pro Light"/>
        <w:noProof/>
        <w:color w:val="262626" w:themeColor="text1" w:themeTint="D9"/>
      </w:rPr>
      <w:t>42</w:t>
    </w:r>
    <w:r w:rsidRPr="004733A5">
      <w:rPr>
        <w:rStyle w:val="PageNumber"/>
        <w:rFonts w:ascii="Helvetica LT Pro Light" w:hAnsi="Helvetica LT Pro Light"/>
        <w:color w:val="262626" w:themeColor="text1" w:themeTint="D9"/>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0A11" w:rsidRPr="00A40754" w:rsidRDefault="00860A11"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132</w:t>
    </w:r>
    <w:r w:rsidRPr="00A40754">
      <w:rPr>
        <w:rStyle w:val="PageNumber"/>
        <w:rFonts w:ascii="Helvetica LT Pro Light" w:hAnsi="Helvetica LT Pro Light"/>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7D33" w:rsidRPr="00150D5B" w:rsidRDefault="002744A4" w:rsidP="00150D5B">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7D33" w:rsidRPr="00150D5B" w:rsidRDefault="002744A4" w:rsidP="00150D5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744A4" w:rsidRDefault="002744A4" w:rsidP="00860A11">
      <w:pPr>
        <w:spacing w:after="0" w:line="240" w:lineRule="auto"/>
      </w:pPr>
      <w:r>
        <w:separator/>
      </w:r>
    </w:p>
  </w:footnote>
  <w:footnote w:type="continuationSeparator" w:id="0">
    <w:p w:rsidR="002744A4" w:rsidRDefault="002744A4" w:rsidP="00860A11">
      <w:pPr>
        <w:spacing w:after="0" w:line="240" w:lineRule="auto"/>
      </w:pPr>
      <w:r>
        <w:continuationSeparator/>
      </w:r>
    </w:p>
  </w:footnote>
  <w:footnote w:id="1">
    <w:p w:rsidR="00860A11" w:rsidRPr="004F4478" w:rsidRDefault="00860A11" w:rsidP="00790A04">
      <w:pPr>
        <w:pStyle w:val="FootnoteText"/>
        <w:rPr>
          <w:highlight w:val="yellow"/>
        </w:rPr>
      </w:pPr>
      <w:r>
        <w:rPr>
          <w:rStyle w:val="FootnoteReference"/>
        </w:rPr>
        <w:footnoteRef/>
      </w:r>
      <w:r>
        <w:t xml:space="preserve"> </w:t>
      </w:r>
      <w:r>
        <w:tab/>
      </w:r>
      <w:r>
        <w:rPr>
          <w:highlight w:val="yellow"/>
        </w:rPr>
        <w:t>Pour les États membres ayant des PDR régionaux</w:t>
      </w:r>
    </w:p>
  </w:footnote>
  <w:footnote w:id="2">
    <w:p w:rsidR="00860A11" w:rsidRPr="004F4478" w:rsidRDefault="00860A11" w:rsidP="00790A04">
      <w:pPr>
        <w:pStyle w:val="FootnoteText"/>
        <w:rPr>
          <w:highlight w:val="yellow"/>
        </w:rPr>
      </w:pPr>
      <w:r>
        <w:rPr>
          <w:rStyle w:val="FootnoteReference"/>
          <w:highlight w:val="yellow"/>
        </w:rPr>
        <w:footnoteRef/>
      </w:r>
      <w:r>
        <w:rPr>
          <w:highlight w:val="yellow"/>
        </w:rPr>
        <w:t xml:space="preserve"> </w:t>
      </w:r>
      <w:r>
        <w:tab/>
      </w:r>
      <w:r>
        <w:rPr>
          <w:highlight w:val="yellow"/>
        </w:rPr>
        <w:t>Règlement (UE) n°1305/2013, article 54.1</w:t>
      </w:r>
    </w:p>
  </w:footnote>
  <w:footnote w:id="3">
    <w:p w:rsidR="00860A11" w:rsidRPr="004F4478" w:rsidRDefault="00860A11" w:rsidP="00790A04">
      <w:pPr>
        <w:pStyle w:val="FootnoteText"/>
        <w:rPr>
          <w:highlight w:val="yellow"/>
        </w:rPr>
      </w:pPr>
      <w:r>
        <w:rPr>
          <w:rStyle w:val="FootnoteReference"/>
          <w:highlight w:val="yellow"/>
        </w:rPr>
        <w:footnoteRef/>
      </w:r>
      <w:r>
        <w:rPr>
          <w:highlight w:val="yellow"/>
        </w:rPr>
        <w:t xml:space="preserve"> </w:t>
      </w:r>
      <w:r>
        <w:tab/>
      </w:r>
      <w:r>
        <w:rPr>
          <w:highlight w:val="yellow"/>
        </w:rPr>
        <w:t>Règlement (UE) N°1303/2013, article 54</w:t>
      </w:r>
    </w:p>
  </w:footnote>
  <w:footnote w:id="4">
    <w:p w:rsidR="00860A11" w:rsidRPr="004F4478" w:rsidRDefault="00860A11" w:rsidP="00790A04">
      <w:pPr>
        <w:pStyle w:val="FootnoteText"/>
      </w:pPr>
      <w:r>
        <w:rPr>
          <w:rStyle w:val="FootnoteReference"/>
          <w:highlight w:val="yellow"/>
        </w:rPr>
        <w:footnoteRef/>
      </w:r>
      <w:r>
        <w:rPr>
          <w:highlight w:val="yellow"/>
        </w:rPr>
        <w:t xml:space="preserve"> </w:t>
      </w:r>
      <w:r>
        <w:tab/>
      </w:r>
      <w:hyperlink r:id="rId1">
        <w:r>
          <w:rPr>
            <w:highlight w:val="yellow"/>
          </w:rPr>
          <w:t>Lignes directrices Etablissement et mise en œuvre du plan d’évaluation des PDR</w:t>
        </w:r>
      </w:hyperlink>
      <w:r>
        <w:t xml:space="preserve"> 2014-2020, Helpdesk du Réseau européen d'évaluation du développement rural, Bruxelles, 2014 </w:t>
      </w:r>
    </w:p>
  </w:footnote>
  <w:footnote w:id="5">
    <w:p w:rsidR="00860A11" w:rsidRPr="004F4478" w:rsidRDefault="00860A11" w:rsidP="00E92B7B">
      <w:pPr>
        <w:pStyle w:val="FootnoteText"/>
        <w:rPr>
          <w:highlight w:val="yellow"/>
        </w:rPr>
      </w:pPr>
      <w:r>
        <w:rPr>
          <w:rStyle w:val="FootnoteReference"/>
        </w:rPr>
        <w:footnoteRef/>
      </w:r>
      <w:r>
        <w:t xml:space="preserve"> </w:t>
      </w:r>
      <w:r>
        <w:tab/>
      </w:r>
      <w:r>
        <w:rPr>
          <w:highlight w:val="yellow"/>
        </w:rPr>
        <w:t>Document de travail:</w:t>
      </w:r>
      <w:r>
        <w:t xml:space="preserve"> Questions d'évaluation communes pour le Programme de développement rural de la période 2014-2020, http://enrd.ec.europa.eu/en/evaluation-helpdesks-publications</w:t>
      </w:r>
    </w:p>
  </w:footnote>
  <w:footnote w:id="6">
    <w:p w:rsidR="00860A11" w:rsidRPr="0028109E" w:rsidRDefault="00860A11" w:rsidP="00E92B7B">
      <w:pPr>
        <w:pStyle w:val="FootnoteText"/>
        <w:rPr>
          <w:highlight w:val="yellow"/>
          <w:lang w:val="sk-SK"/>
        </w:rPr>
      </w:pPr>
      <w:r>
        <w:rPr>
          <w:rStyle w:val="FootnoteReference"/>
          <w:highlight w:val="yellow"/>
        </w:rPr>
        <w:footnoteRef/>
      </w:r>
      <w:r>
        <w:rPr>
          <w:highlight w:val="yellow"/>
        </w:rPr>
        <w:t xml:space="preserve"> </w:t>
      </w:r>
      <w:r>
        <w:tab/>
      </w:r>
      <w:r>
        <w:rPr>
          <w:highlight w:val="yellow"/>
        </w:rPr>
        <w:t>Règlement d’exécution (UE) n° 808/2014 de la Commission, article 14</w:t>
      </w:r>
    </w:p>
  </w:footnote>
  <w:footnote w:id="7">
    <w:p w:rsidR="00860A11" w:rsidRPr="004F4478" w:rsidRDefault="00860A11" w:rsidP="00E92B7B">
      <w:pPr>
        <w:pStyle w:val="FootnoteText"/>
        <w:rPr>
          <w:highlight w:val="yellow"/>
        </w:rPr>
      </w:pPr>
      <w:r>
        <w:rPr>
          <w:rStyle w:val="FootnoteReference"/>
          <w:highlight w:val="yellow"/>
        </w:rPr>
        <w:footnoteRef/>
      </w:r>
      <w:r>
        <w:rPr>
          <w:highlight w:val="yellow"/>
        </w:rPr>
        <w:t xml:space="preserve"> </w:t>
      </w:r>
      <w:r>
        <w:tab/>
      </w:r>
      <w:hyperlink r:id="rId2">
        <w:r>
          <w:rPr>
            <w:highlight w:val="yellow"/>
          </w:rPr>
          <w:t xml:space="preserve">Lignes directrices pour l'évaluation ex ante des PDR 2014-2020 et </w:t>
        </w:r>
        <w:hyperlink r:id="rId3"/>
        <w:r>
          <w:t xml:space="preserve">Lignes directrices </w:t>
        </w:r>
      </w:hyperlink>
      <w:r>
        <w:t>:</w:t>
      </w:r>
      <w:hyperlink r:id="rId4">
        <w:r>
          <w:rPr>
            <w:highlight w:val="yellow"/>
          </w:rPr>
          <w:t xml:space="preserve"> Établissement et mise en œuvre du plan d’évaluation des PDR pour la période 2014-2020</w:t>
        </w:r>
      </w:hyperlink>
      <w:hyperlink r:id="rId5"/>
    </w:p>
  </w:footnote>
  <w:footnote w:id="8">
    <w:p w:rsidR="00860A11" w:rsidRPr="004F4478" w:rsidRDefault="00860A11" w:rsidP="003E7D43">
      <w:pPr>
        <w:pStyle w:val="FootnoteText"/>
      </w:pPr>
      <w:r>
        <w:rPr>
          <w:rStyle w:val="FootnoteReference"/>
          <w:highlight w:val="yellow"/>
        </w:rPr>
        <w:footnoteRef/>
      </w:r>
      <w:r>
        <w:rPr>
          <w:highlight w:val="yellow"/>
        </w:rPr>
        <w:t xml:space="preserve"> </w:t>
      </w:r>
      <w:r>
        <w:tab/>
      </w:r>
      <w:r>
        <w:rPr>
          <w:highlight w:val="yellow"/>
        </w:rPr>
        <w:t>Le Sounding Board du groupe de travail thématique sur les lignes directrices du RRN était composé de représentants de la DG AGRI, du Groupe d'experts sur le suivi et l'évaluation de la PAC 2014-2020 et du Point de contact du REDR.</w:t>
      </w:r>
      <w:r>
        <w:t xml:space="preserve"> </w:t>
      </w:r>
    </w:p>
  </w:footnote>
  <w:footnote w:id="9">
    <w:p w:rsidR="00860A11" w:rsidRPr="004F4478" w:rsidRDefault="00860A11" w:rsidP="00923616">
      <w:pPr>
        <w:pStyle w:val="FootnoteText"/>
        <w:rPr>
          <w:highlight w:val="yellow"/>
        </w:rPr>
      </w:pPr>
      <w:r>
        <w:rPr>
          <w:rStyle w:val="FootnoteReference"/>
        </w:rPr>
        <w:footnoteRef/>
      </w:r>
      <w:r>
        <w:t xml:space="preserve"> </w:t>
      </w:r>
      <w:r>
        <w:tab/>
      </w:r>
      <w:r>
        <w:rPr>
          <w:highlight w:val="yellow"/>
        </w:rPr>
        <w:t>Roelofs, M. (2004), Critères d'évaluation de l'action publique au sein des réseaux, Cour des comptes des Pays-Bas, La Haye</w:t>
      </w:r>
    </w:p>
  </w:footnote>
  <w:footnote w:id="10">
    <w:p w:rsidR="00860A11" w:rsidRPr="004F4478" w:rsidRDefault="00860A11" w:rsidP="00923616">
      <w:pPr>
        <w:pStyle w:val="FootnoteText"/>
        <w:rPr>
          <w:rFonts w:cs="Arial"/>
          <w:szCs w:val="16"/>
          <w:highlight w:val="yellow"/>
        </w:rPr>
      </w:pPr>
      <w:r>
        <w:rPr>
          <w:rStyle w:val="FootnoteReference"/>
          <w:highlight w:val="yellow"/>
        </w:rPr>
        <w:footnoteRef/>
      </w:r>
      <w:r>
        <w:rPr>
          <w:highlight w:val="yellow"/>
        </w:rPr>
        <w:t xml:space="preserve"> «Que savons-nous sur les réseaux comme outil de politique de développement rural (2007-2013)?», REDR, document de travail, version 2 (juin 2012)</w:t>
      </w:r>
    </w:p>
  </w:footnote>
  <w:footnote w:id="11">
    <w:p w:rsidR="00860A11" w:rsidRPr="004F4478" w:rsidRDefault="00860A11" w:rsidP="00923616">
      <w:pPr>
        <w:pStyle w:val="FootnoteText"/>
        <w:rPr>
          <w:rFonts w:cs="Arial"/>
          <w:szCs w:val="16"/>
          <w:highlight w:val="yellow"/>
        </w:rPr>
      </w:pPr>
      <w:r>
        <w:rPr>
          <w:rStyle w:val="FootnoteReference"/>
          <w:highlight w:val="yellow"/>
        </w:rPr>
        <w:footnoteRef/>
      </w:r>
      <w:r>
        <w:rPr>
          <w:highlight w:val="yellow"/>
        </w:rPr>
        <w:t xml:space="preserve"> «Que savons-nous sur les réseaux comme outil de politique de développement rural (2007-2013)?», REDR, document de travail, version 2 (juin 2012)</w:t>
      </w:r>
    </w:p>
  </w:footnote>
  <w:footnote w:id="12">
    <w:p w:rsidR="00860A11" w:rsidRPr="00A21714" w:rsidRDefault="00860A11" w:rsidP="00ED27DC">
      <w:pPr>
        <w:pStyle w:val="FootnoteText"/>
        <w:rPr>
          <w:highlight w:val="yellow"/>
          <w:lang w:val="sk-SK"/>
        </w:rPr>
      </w:pPr>
      <w:r>
        <w:rPr>
          <w:rStyle w:val="FootnoteReference"/>
          <w:highlight w:val="yellow"/>
        </w:rPr>
        <w:footnoteRef/>
      </w:r>
      <w:r>
        <w:rPr>
          <w:highlight w:val="yellow"/>
        </w:rPr>
        <w:t xml:space="preserve"> Règlement (UE) n°1305/2013, article 53.1</w:t>
      </w:r>
    </w:p>
  </w:footnote>
  <w:footnote w:id="13">
    <w:p w:rsidR="00860A11" w:rsidRPr="00A21714" w:rsidRDefault="00860A11" w:rsidP="00923616">
      <w:pPr>
        <w:pStyle w:val="FootnoteText"/>
        <w:rPr>
          <w:highlight w:val="yellow"/>
          <w:lang w:val="sk-SK"/>
        </w:rPr>
      </w:pPr>
      <w:r>
        <w:rPr>
          <w:rStyle w:val="FootnoteReference"/>
          <w:highlight w:val="yellow"/>
        </w:rPr>
        <w:footnoteRef/>
      </w:r>
      <w:r>
        <w:rPr>
          <w:highlight w:val="yellow"/>
        </w:rPr>
        <w:t xml:space="preserve"> Règlement (UE) n°1305/2013, article 54.1</w:t>
      </w:r>
    </w:p>
  </w:footnote>
  <w:footnote w:id="14">
    <w:p w:rsidR="00860A11" w:rsidRPr="00A21714" w:rsidRDefault="00860A11" w:rsidP="00923616">
      <w:pPr>
        <w:pStyle w:val="FootnoteText"/>
        <w:rPr>
          <w:highlight w:val="yellow"/>
          <w:lang w:val="sk-SK"/>
        </w:rPr>
      </w:pPr>
      <w:r>
        <w:rPr>
          <w:rStyle w:val="FootnoteReference"/>
          <w:highlight w:val="yellow"/>
        </w:rPr>
        <w:footnoteRef/>
      </w:r>
      <w:r>
        <w:rPr>
          <w:highlight w:val="yellow"/>
        </w:rPr>
        <w:t xml:space="preserve"> Règlement (UE) n° 1305/2013, articles 53, 55, 56 et 57.</w:t>
      </w:r>
    </w:p>
  </w:footnote>
  <w:footnote w:id="15">
    <w:p w:rsidR="00860A11" w:rsidRPr="004F4478" w:rsidRDefault="00860A11" w:rsidP="00923616">
      <w:pPr>
        <w:pStyle w:val="FootnoteText"/>
      </w:pPr>
      <w:r>
        <w:rPr>
          <w:rStyle w:val="FootnoteReference"/>
          <w:highlight w:val="yellow"/>
        </w:rPr>
        <w:footnoteRef/>
      </w:r>
      <w:r>
        <w:rPr>
          <w:highlight w:val="yellow"/>
        </w:rPr>
        <w:t xml:space="preserve"> Wassermann, Stanley and Faust, Katherine, </w:t>
      </w:r>
      <w:r>
        <w:rPr>
          <w:i/>
          <w:highlight w:val="yellow"/>
        </w:rPr>
        <w:t xml:space="preserve"> Analyse des réseaux sociaux. Méthodes et applications, </w:t>
      </w:r>
      <w:r>
        <w:rPr>
          <w:highlight w:val="yellow"/>
        </w:rPr>
        <w:t>Cambridge University Press, 1994</w:t>
      </w:r>
    </w:p>
  </w:footnote>
  <w:footnote w:id="16">
    <w:p w:rsidR="00860A11" w:rsidRPr="00A76855" w:rsidRDefault="00860A11" w:rsidP="003A118B">
      <w:pPr>
        <w:pStyle w:val="FootnoteText"/>
        <w:rPr>
          <w:lang w:val="sk-SK"/>
        </w:rPr>
      </w:pPr>
      <w:r>
        <w:rPr>
          <w:rStyle w:val="FootnoteReference"/>
        </w:rPr>
        <w:footnoteRef/>
      </w:r>
      <w:r>
        <w:t xml:space="preserve"> </w:t>
      </w:r>
      <w:r>
        <w:rPr>
          <w:highlight w:val="yellow"/>
        </w:rPr>
        <w:t>Règlement (UE) n° 1305/2013, article 54.3.</w:t>
      </w:r>
    </w:p>
  </w:footnote>
  <w:footnote w:id="17">
    <w:p w:rsidR="00860A11" w:rsidRPr="00A21714" w:rsidRDefault="00860A11">
      <w:pPr>
        <w:pStyle w:val="FootnoteText"/>
        <w:rPr>
          <w:highlight w:val="yellow"/>
          <w:lang w:val="sk-SK"/>
        </w:rPr>
      </w:pPr>
      <w:r>
        <w:rPr>
          <w:rStyle w:val="FootnoteReference"/>
        </w:rPr>
        <w:footnoteRef/>
      </w:r>
      <w:r>
        <w:t xml:space="preserve"> </w:t>
      </w:r>
      <w:r>
        <w:rPr>
          <w:highlight w:val="yellow"/>
        </w:rPr>
        <w:t xml:space="preserve">Règlement (UE) n° 1303/2013, article 5. </w:t>
      </w:r>
    </w:p>
  </w:footnote>
  <w:footnote w:id="18">
    <w:p w:rsidR="00860A11" w:rsidRPr="004F4478" w:rsidRDefault="00860A11">
      <w:pPr>
        <w:pStyle w:val="FootnoteText"/>
        <w:rPr>
          <w:highlight w:val="yellow"/>
        </w:rPr>
      </w:pPr>
      <w:r>
        <w:rPr>
          <w:rStyle w:val="FootnoteReference"/>
          <w:highlight w:val="yellow"/>
        </w:rPr>
        <w:footnoteRef/>
      </w:r>
      <w:r>
        <w:rPr>
          <w:highlight w:val="yellow"/>
        </w:rPr>
        <w:t xml:space="preserve"> Présentation d’Antonella Zona (DG AGRI): «La forme des RRN - aujourd’hui et demain», Atelier des bonnes pratiques du Helpdesk de l'évaluation rurale: Réseaux ruraux nationaux: «Comment rendre visibles leurs prestations» Rome, 10-11 avril 2014. </w:t>
      </w:r>
      <w:hyperlink r:id="rId6">
        <w:r>
          <w:rPr>
            <w:rStyle w:val="Hyperlink"/>
            <w:highlight w:val="yellow"/>
          </w:rPr>
          <w:t>https://enrd.ec.europa.eu/sites/enrd/files/assets/pdf/evaluation/national-rural-networks/GPW_10_NRN_shape.pdf</w:t>
        </w:r>
      </w:hyperlink>
    </w:p>
  </w:footnote>
  <w:footnote w:id="19">
    <w:p w:rsidR="00860A11" w:rsidRPr="00A21714" w:rsidRDefault="00860A11">
      <w:pPr>
        <w:pStyle w:val="FootnoteText"/>
        <w:rPr>
          <w:highlight w:val="yellow"/>
          <w:lang w:val="sk-SK"/>
        </w:rPr>
      </w:pPr>
      <w:r>
        <w:rPr>
          <w:rStyle w:val="FootnoteReference"/>
          <w:highlight w:val="yellow"/>
        </w:rPr>
        <w:footnoteRef/>
      </w:r>
      <w:r>
        <w:rPr>
          <w:highlight w:val="yellow"/>
        </w:rPr>
        <w:t xml:space="preserve"> L'analyse des parties prenantes révèle la présence de divers donateurs internationaux dont l'OMS: </w:t>
      </w:r>
      <w:hyperlink r:id="rId7">
        <w:r>
          <w:rPr>
            <w:rStyle w:val="Hyperlink"/>
            <w:highlight w:val="yellow"/>
          </w:rPr>
          <w:t>http://www.who.int/workforcealliance/knowledge/toolkit/33.pdf</w:t>
        </w:r>
      </w:hyperlink>
      <w:r>
        <w:rPr>
          <w:highlight w:val="yellow"/>
        </w:rPr>
        <w:t xml:space="preserve">, Banque mondiale </w:t>
      </w:r>
      <w:hyperlink r:id="rId8">
        <w:r>
          <w:rPr>
            <w:rStyle w:val="Hyperlink"/>
            <w:highlight w:val="yellow"/>
          </w:rPr>
          <w:t>http://www1.worldbank.org/publicsector/anticorrupt/PoliticalEconomy/stakeholderanalysis.htm</w:t>
        </w:r>
      </w:hyperlink>
      <w:r>
        <w:rPr>
          <w:highlight w:val="yellow"/>
        </w:rPr>
        <w:t xml:space="preserve"> ou la FAO: </w:t>
      </w:r>
      <w:hyperlink r:id="rId9">
        <w:r>
          <w:rPr>
            <w:rStyle w:val="Hyperlink"/>
            <w:highlight w:val="yellow"/>
          </w:rPr>
          <w:t>http://www.fao.org/docrep/008/y5702e/y5702e00.htm</w:t>
        </w:r>
      </w:hyperlink>
    </w:p>
  </w:footnote>
  <w:footnote w:id="20">
    <w:p w:rsidR="00860A11" w:rsidRPr="00A21714" w:rsidRDefault="00860A11">
      <w:pPr>
        <w:pStyle w:val="FootnoteText"/>
        <w:rPr>
          <w:highlight w:val="yellow"/>
          <w:lang w:val="sk-SK"/>
        </w:rPr>
      </w:pPr>
      <w:r>
        <w:rPr>
          <w:rStyle w:val="FootnoteReference"/>
          <w:highlight w:val="yellow"/>
        </w:rPr>
        <w:footnoteRef/>
      </w:r>
      <w:r w:rsidRPr="004F4478">
        <w:rPr>
          <w:highlight w:val="yellow"/>
          <w:lang w:val="sk-SK"/>
        </w:rPr>
        <w:t xml:space="preserve"> </w:t>
      </w:r>
      <w:hyperlink r:id="rId10">
        <w:r w:rsidRPr="004F4478">
          <w:rPr>
            <w:rStyle w:val="Hyperlink"/>
            <w:highlight w:val="yellow"/>
            <w:lang w:val="sk-SK"/>
          </w:rPr>
          <w:t>http://enrd.ec.europa.eu/enrd-static/networks-and-networking/nrn-toolkit/principles-and-practice-of-networking/network-definitions-and-diversity/en/rural-networks-and-networking_en.html</w:t>
        </w:r>
      </w:hyperlink>
    </w:p>
  </w:footnote>
  <w:footnote w:id="21">
    <w:p w:rsidR="00860A11" w:rsidRPr="00A21714" w:rsidRDefault="00860A11" w:rsidP="00923616">
      <w:pPr>
        <w:pStyle w:val="FootnoteText"/>
        <w:rPr>
          <w:highlight w:val="yellow"/>
          <w:lang w:val="sk-SK"/>
        </w:rPr>
      </w:pPr>
      <w:r>
        <w:rPr>
          <w:rStyle w:val="FootnoteReference"/>
          <w:highlight w:val="yellow"/>
        </w:rPr>
        <w:footnoteRef/>
      </w:r>
      <w:r>
        <w:rPr>
          <w:highlight w:val="yellow"/>
        </w:rPr>
        <w:t xml:space="preserve"> Règlement (UE) n° 1305/2013, article 68.</w:t>
      </w:r>
    </w:p>
  </w:footnote>
  <w:footnote w:id="22">
    <w:p w:rsidR="00860A11" w:rsidRPr="004F4478" w:rsidRDefault="00860A11" w:rsidP="00923616">
      <w:pPr>
        <w:pStyle w:val="FootnoteText"/>
        <w:rPr>
          <w:rFonts w:cs="Arial"/>
          <w:szCs w:val="16"/>
          <w:highlight w:val="yellow"/>
        </w:rPr>
      </w:pPr>
      <w:r>
        <w:rPr>
          <w:rStyle w:val="FootnoteReference"/>
          <w:highlight w:val="yellow"/>
        </w:rPr>
        <w:footnoteRef/>
      </w:r>
      <w:r>
        <w:rPr>
          <w:highlight w:val="yellow"/>
        </w:rPr>
        <w:t xml:space="preserve"> Règlement (UE) n° 1305/2013, article 54(2).</w:t>
      </w:r>
    </w:p>
  </w:footnote>
  <w:footnote w:id="23">
    <w:p w:rsidR="00860A11" w:rsidRPr="004F4478" w:rsidRDefault="00860A11" w:rsidP="0088698A">
      <w:pPr>
        <w:pStyle w:val="FootnoteText"/>
      </w:pPr>
      <w:r>
        <w:rPr>
          <w:rStyle w:val="FootnoteReference"/>
          <w:highlight w:val="yellow"/>
        </w:rPr>
        <w:footnoteRef/>
      </w:r>
      <w:r>
        <w:rPr>
          <w:highlight w:val="yellow"/>
        </w:rPr>
        <w:t xml:space="preserve"> La valeur ajoutée des RRN est généralement liée au développement du capital social, à la contribution à la création et au développement de l'identité territoriale et individuelle, à l'amélioration de la gouvernance et à l'encouragement de l'information et l'échange de connaissances.</w:t>
      </w:r>
    </w:p>
  </w:footnote>
  <w:footnote w:id="24">
    <w:p w:rsidR="00860A11" w:rsidRPr="004F4478" w:rsidRDefault="00860A11" w:rsidP="00FF5B4F">
      <w:pPr>
        <w:pStyle w:val="FootnoteText"/>
        <w:rPr>
          <w:highlight w:val="yellow"/>
        </w:rPr>
      </w:pPr>
      <w:r>
        <w:rPr>
          <w:rStyle w:val="FootnoteReference"/>
        </w:rPr>
        <w:footnoteRef/>
      </w:r>
      <w:r>
        <w:t xml:space="preserve">  </w:t>
      </w:r>
      <w:hyperlink r:id="rId11" w:history="1">
        <w:r w:rsidRPr="00E94602">
          <w:rPr>
            <w:rFonts w:eastAsiaTheme="majorEastAsia"/>
            <w:highlight w:val="yellow"/>
          </w:rPr>
          <w:t xml:space="preserve"> </w:t>
        </w:r>
        <w:r w:rsidRPr="00AD151C">
          <w:rPr>
            <w:rStyle w:val="Hyperlink"/>
            <w:rFonts w:eastAsiaTheme="majorEastAsia"/>
            <w:highlight w:val="yellow"/>
          </w:rPr>
          <w:t>Référentiel d’auto-évaluation  de RRN, REDR</w:t>
        </w:r>
      </w:hyperlink>
      <w:r>
        <w:t>http://enrd.ec.europa.eu/enrd-static/networks-and-networking/nrn-self-assessment-tool-kit/en/index_en.html</w:t>
      </w:r>
    </w:p>
  </w:footnote>
  <w:footnote w:id="25">
    <w:p w:rsidR="00860A11" w:rsidRPr="004F4478" w:rsidRDefault="00860A11" w:rsidP="003A1D3C">
      <w:pPr>
        <w:pStyle w:val="FootnoteText"/>
      </w:pPr>
      <w:r>
        <w:rPr>
          <w:rStyle w:val="FootnoteReference"/>
          <w:highlight w:val="yellow"/>
        </w:rPr>
        <w:footnoteRef/>
      </w:r>
      <w:r>
        <w:rPr>
          <w:highlight w:val="yellow"/>
        </w:rPr>
        <w:t xml:space="preserve"> </w:t>
      </w:r>
      <w:hyperlink r:id="rId12">
        <w:r>
          <w:rPr>
            <w:highlight w:val="yellow"/>
          </w:rPr>
          <w:t>https://enrd.ec.europa.eu/en/networking/network-self-assessment</w:t>
        </w:r>
      </w:hyperlink>
      <w:r>
        <w:t xml:space="preserve"> </w:t>
      </w:r>
    </w:p>
  </w:footnote>
  <w:footnote w:id="26">
    <w:p w:rsidR="00860A11" w:rsidRPr="00A21714" w:rsidRDefault="00860A11">
      <w:pPr>
        <w:pStyle w:val="FootnoteText"/>
        <w:rPr>
          <w:highlight w:val="yellow"/>
          <w:lang w:val="sk-SK"/>
        </w:rPr>
      </w:pPr>
      <w:r>
        <w:rPr>
          <w:rStyle w:val="FootnoteReference"/>
        </w:rPr>
        <w:footnoteRef/>
      </w:r>
      <w:r>
        <w:t xml:space="preserve"> </w:t>
      </w:r>
      <w:r>
        <w:rPr>
          <w:highlight w:val="yellow"/>
        </w:rPr>
        <w:t>Règlement (UE) n° 1303/2013, article 68 et  règlement d'exécution (UE) n° 808/2014, annexe I, point 9</w:t>
      </w:r>
    </w:p>
  </w:footnote>
  <w:footnote w:id="27">
    <w:p w:rsidR="00860A11" w:rsidRPr="004F4478" w:rsidRDefault="00860A11" w:rsidP="00FF5B4F">
      <w:pPr>
        <w:pStyle w:val="FootnoteText"/>
        <w:rPr>
          <w:highlight w:val="yellow"/>
        </w:rPr>
      </w:pPr>
      <w:r>
        <w:rPr>
          <w:rStyle w:val="FootnoteReference"/>
          <w:highlight w:val="yellow"/>
        </w:rPr>
        <w:footnoteRef/>
      </w:r>
      <w:r>
        <w:rPr>
          <w:highlight w:val="yellow"/>
        </w:rPr>
        <w:t xml:space="preserve"> Règlement d’exécution (UE) nº 808/2014 et nº 781/2  de la Commission, annexe VII, point 2</w:t>
      </w:r>
    </w:p>
  </w:footnote>
  <w:footnote w:id="28">
    <w:p w:rsidR="00860A11" w:rsidRPr="004F4478" w:rsidRDefault="00860A11" w:rsidP="00FF5B4F">
      <w:pPr>
        <w:pStyle w:val="FootnoteText"/>
        <w:rPr>
          <w:highlight w:val="yellow"/>
        </w:rPr>
      </w:pPr>
      <w:r>
        <w:rPr>
          <w:rStyle w:val="FootnoteReference"/>
          <w:highlight w:val="yellow"/>
        </w:rPr>
        <w:footnoteRef/>
      </w:r>
      <w:r>
        <w:rPr>
          <w:highlight w:val="yellow"/>
        </w:rPr>
        <w:t xml:space="preserve"> Règlement (UE) n° 1303/2013, article 50 et règlement d'exécution de la Commission (UE) n° 808/2014, annexe VII, point 7</w:t>
      </w:r>
    </w:p>
  </w:footnote>
  <w:footnote w:id="29">
    <w:p w:rsidR="00860A11" w:rsidRPr="004F4478" w:rsidRDefault="00860A11" w:rsidP="00FF5B4F">
      <w:pPr>
        <w:pStyle w:val="FootnoteText"/>
        <w:rPr>
          <w:highlight w:val="yellow"/>
        </w:rPr>
      </w:pPr>
      <w:r>
        <w:rPr>
          <w:rStyle w:val="FootnoteReference"/>
          <w:highlight w:val="yellow"/>
        </w:rPr>
        <w:footnoteRef/>
      </w:r>
      <w:r>
        <w:rPr>
          <w:highlight w:val="yellow"/>
        </w:rPr>
        <w:t xml:space="preserve"> Règlement d’exécution de la Commission (UE) nº 808/2014 et nº 781/7, annexe V, point 7</w:t>
      </w:r>
    </w:p>
  </w:footnote>
  <w:footnote w:id="30">
    <w:p w:rsidR="00860A11" w:rsidRPr="004F4478" w:rsidRDefault="00860A11" w:rsidP="00FF5B4F">
      <w:pPr>
        <w:pStyle w:val="FootnoteText"/>
      </w:pPr>
      <w:r>
        <w:rPr>
          <w:rStyle w:val="FootnoteReference"/>
          <w:highlight w:val="yellow"/>
        </w:rPr>
        <w:footnoteRef/>
      </w:r>
      <w:r>
        <w:rPr>
          <w:highlight w:val="yellow"/>
        </w:rPr>
        <w:t xml:space="preserve"> Règlement (UE) n° 1303/2013, article 52.</w:t>
      </w:r>
    </w:p>
  </w:footnote>
  <w:footnote w:id="31">
    <w:p w:rsidR="00860A11" w:rsidRPr="004F4478" w:rsidRDefault="00860A11">
      <w:pPr>
        <w:pStyle w:val="FootnoteText"/>
        <w:rPr>
          <w:highlight w:val="yellow"/>
        </w:rPr>
      </w:pPr>
      <w:r>
        <w:rPr>
          <w:rStyle w:val="FootnoteReference"/>
        </w:rPr>
        <w:footnoteRef/>
      </w:r>
      <w:r>
        <w:t xml:space="preserve"> </w:t>
      </w:r>
      <w:r>
        <w:rPr>
          <w:highlight w:val="yellow"/>
        </w:rPr>
        <w:t>Règlement (UE) n° 1303/2013, article 52, paragraphe 2</w:t>
      </w:r>
    </w:p>
  </w:footnote>
  <w:footnote w:id="32">
    <w:p w:rsidR="00860A11" w:rsidRPr="004F4478" w:rsidRDefault="00860A11" w:rsidP="003F5115">
      <w:pPr>
        <w:pStyle w:val="FootnoteText"/>
        <w:rPr>
          <w:highlight w:val="yellow"/>
        </w:rPr>
      </w:pPr>
      <w:r>
        <w:rPr>
          <w:rStyle w:val="FootnoteReference"/>
          <w:highlight w:val="yellow"/>
        </w:rPr>
        <w:footnoteRef/>
      </w:r>
      <w:r>
        <w:rPr>
          <w:highlight w:val="yellow"/>
        </w:rPr>
        <w:t xml:space="preserve"> Règlement (UE) n° 1305/2013, article 78.</w:t>
      </w:r>
    </w:p>
  </w:footnote>
  <w:footnote w:id="33">
    <w:p w:rsidR="00860A11" w:rsidRPr="004F4478" w:rsidRDefault="00860A11" w:rsidP="003F5115">
      <w:pPr>
        <w:pStyle w:val="FootnoteText"/>
      </w:pPr>
      <w:r>
        <w:rPr>
          <w:rStyle w:val="FootnoteReference"/>
          <w:highlight w:val="yellow"/>
        </w:rPr>
        <w:footnoteRef/>
      </w:r>
      <w:r>
        <w:rPr>
          <w:highlight w:val="yellow"/>
        </w:rPr>
        <w:t xml:space="preserve"> Annexe V du règlement d’exécution de la Commission (UE) n° 808/2014.</w:t>
      </w:r>
    </w:p>
  </w:footnote>
  <w:footnote w:id="34">
    <w:p w:rsidR="00860A11" w:rsidRPr="004F4478" w:rsidRDefault="00860A11" w:rsidP="00403F21">
      <w:pPr>
        <w:pStyle w:val="FootnoteText"/>
        <w:rPr>
          <w:szCs w:val="16"/>
          <w:highlight w:val="yellow"/>
        </w:rPr>
      </w:pPr>
      <w:r>
        <w:rPr>
          <w:rStyle w:val="FootnoteReference"/>
        </w:rPr>
        <w:footnoteRef/>
      </w:r>
      <w:r>
        <w:t xml:space="preserve"> </w:t>
      </w:r>
      <w:r>
        <w:rPr>
          <w:highlight w:val="yellow"/>
        </w:rPr>
        <w:t>Règlement (UE) n° 1305/2013, article 54.2.</w:t>
      </w:r>
    </w:p>
  </w:footnote>
  <w:footnote w:id="35">
    <w:p w:rsidR="00860A11" w:rsidRPr="004F4478" w:rsidRDefault="00860A11" w:rsidP="00403F21">
      <w:pPr>
        <w:pStyle w:val="FootnoteText"/>
      </w:pPr>
      <w:r>
        <w:rPr>
          <w:rStyle w:val="FootnoteReference"/>
          <w:highlight w:val="yellow"/>
        </w:rPr>
        <w:footnoteRef/>
      </w:r>
      <w:r>
        <w:rPr>
          <w:highlight w:val="yellow"/>
        </w:rPr>
        <w:t xml:space="preserve"> </w:t>
      </w:r>
      <w:r w:rsidRPr="00955303">
        <w:rPr>
          <w:highlight w:val="yellow"/>
        </w:rPr>
        <w:t>Il est conseillé de formuler des objectifs de RRN propres au programme tel que suggéré par les règles communautaires pour la formulation des objectifs politiques</w:t>
      </w:r>
      <w:r>
        <w:t xml:space="preserve"> </w:t>
      </w:r>
      <w:hyperlink r:id="rId13">
        <w:r>
          <w:rPr>
            <w:rStyle w:val="Hyperlink"/>
            <w:highlight w:val="yellow"/>
          </w:rPr>
          <w:t>http://ec.europa.eu/smart-regulation/guidelines/tool_13_en.htm</w:t>
        </w:r>
      </w:hyperlink>
    </w:p>
  </w:footnote>
  <w:footnote w:id="36">
    <w:p w:rsidR="00860A11" w:rsidRPr="00F02191" w:rsidRDefault="00860A11" w:rsidP="00403F21">
      <w:pPr>
        <w:pStyle w:val="FootnoteText"/>
        <w:rPr>
          <w:lang w:val="sk-SK"/>
        </w:rPr>
      </w:pPr>
      <w:r>
        <w:rPr>
          <w:rStyle w:val="FootnoteReference"/>
        </w:rPr>
        <w:footnoteRef/>
      </w:r>
      <w:r>
        <w:t xml:space="preserve"> </w:t>
      </w:r>
      <w:r>
        <w:rPr>
          <w:highlight w:val="yellow"/>
        </w:rPr>
        <w:t>Règlement (UE) n° 1305/2013, article 54, paragraphe 3.</w:t>
      </w:r>
      <w:r>
        <w:t xml:space="preserve"> </w:t>
      </w:r>
    </w:p>
  </w:footnote>
  <w:footnote w:id="37">
    <w:p w:rsidR="00860A11" w:rsidRPr="004F4478" w:rsidRDefault="00860A11" w:rsidP="00A27369">
      <w:pPr>
        <w:pStyle w:val="FootnoteText"/>
        <w:rPr>
          <w:highlight w:val="yellow"/>
        </w:rPr>
      </w:pPr>
      <w:r>
        <w:rPr>
          <w:rStyle w:val="FootnoteReference"/>
        </w:rPr>
        <w:footnoteRef/>
      </w:r>
      <w:r>
        <w:t xml:space="preserve"> </w:t>
      </w:r>
      <w:r>
        <w:rPr>
          <w:highlight w:val="yellow"/>
        </w:rPr>
        <w:t>Règlement (UE) n° 1303/2013, article 54, paragraphe 1. Règlement (UE) n° 1305/2013, article 68, point a).</w:t>
      </w:r>
    </w:p>
  </w:footnote>
  <w:footnote w:id="38">
    <w:p w:rsidR="00860A11" w:rsidRPr="004F4478" w:rsidRDefault="00860A11" w:rsidP="00A27369">
      <w:pPr>
        <w:pStyle w:val="FootnoteText"/>
        <w:rPr>
          <w:highlight w:val="yellow"/>
        </w:rPr>
      </w:pPr>
      <w:r>
        <w:rPr>
          <w:rStyle w:val="FootnoteReference"/>
          <w:highlight w:val="yellow"/>
        </w:rPr>
        <w:footnoteRef/>
      </w:r>
      <w:r>
        <w:rPr>
          <w:highlight w:val="yellow"/>
        </w:rPr>
        <w:t xml:space="preserve"> Règlement (UE) n° 1305/2013., article  54, paragraphes 2 et  3</w:t>
      </w:r>
    </w:p>
  </w:footnote>
  <w:footnote w:id="39">
    <w:p w:rsidR="00860A11" w:rsidRPr="004F4478" w:rsidRDefault="00860A11" w:rsidP="00A27369">
      <w:pPr>
        <w:pStyle w:val="FootnoteText"/>
        <w:rPr>
          <w:rFonts w:cs="Arial"/>
          <w:szCs w:val="16"/>
          <w:highlight w:val="yellow"/>
        </w:rPr>
      </w:pPr>
      <w:r>
        <w:rPr>
          <w:rStyle w:val="FootnoteReference"/>
          <w:highlight w:val="yellow"/>
        </w:rPr>
        <w:footnoteRef/>
      </w:r>
      <w:r>
        <w:rPr>
          <w:highlight w:val="yellow"/>
        </w:rPr>
        <w:t xml:space="preserve"> WD: Questions d'évaluation communes pour le PDR pour la période 2014-2020; règlement d’exécution de la Commission (UE) nº 808/2014, Annexe V</w:t>
      </w:r>
    </w:p>
  </w:footnote>
  <w:footnote w:id="40">
    <w:p w:rsidR="00860A11" w:rsidRPr="004F4478" w:rsidRDefault="00860A11" w:rsidP="00A27369">
      <w:pPr>
        <w:spacing w:after="0" w:line="240" w:lineRule="auto"/>
        <w:ind w:right="215"/>
        <w:rPr>
          <w:rStyle w:val="FootnoteTextChar1"/>
          <w:rFonts w:eastAsiaTheme="minorHAnsi"/>
          <w:highlight w:val="yellow"/>
        </w:rPr>
      </w:pPr>
      <w:r>
        <w:rPr>
          <w:rStyle w:val="FootnoteReference"/>
          <w:highlight w:val="yellow"/>
        </w:rPr>
        <w:footnoteRef/>
      </w:r>
      <w:r>
        <w:rPr>
          <w:color w:val="000000"/>
          <w:sz w:val="16"/>
          <w:highlight w:val="yellow"/>
        </w:rPr>
        <w:t xml:space="preserve"> </w:t>
      </w:r>
      <w:r>
        <w:rPr>
          <w:rStyle w:val="FootnoteTextChar1"/>
          <w:rFonts w:eastAsiaTheme="minorHAnsi"/>
          <w:highlight w:val="yellow"/>
        </w:rPr>
        <w:t>Règlement (UE) n° 1305/2013, article 54, paragraphe 2.</w:t>
      </w:r>
    </w:p>
  </w:footnote>
  <w:footnote w:id="41">
    <w:p w:rsidR="00860A11" w:rsidRPr="004F4478" w:rsidRDefault="00860A11" w:rsidP="00A27369">
      <w:pPr>
        <w:pStyle w:val="FootnoteText"/>
        <w:rPr>
          <w:rFonts w:cs="Arial"/>
          <w:szCs w:val="16"/>
          <w:highlight w:val="yellow"/>
        </w:rPr>
      </w:pPr>
      <w:r>
        <w:rPr>
          <w:rStyle w:val="FootnoteReference"/>
          <w:highlight w:val="yellow"/>
        </w:rPr>
        <w:footnoteRef/>
      </w:r>
      <w:r>
        <w:rPr>
          <w:highlight w:val="yellow"/>
        </w:rPr>
        <w:t xml:space="preserve"> Règlement d'exécution (UE) n° 808/2014, annexe IV, indicateurs de résultats O.24, O.25 et O.26; </w:t>
      </w:r>
    </w:p>
  </w:footnote>
  <w:footnote w:id="42">
    <w:p w:rsidR="00860A11" w:rsidRPr="00277D95" w:rsidRDefault="00860A11">
      <w:pPr>
        <w:pStyle w:val="FootnoteText"/>
        <w:rPr>
          <w:highlight w:val="yellow"/>
          <w:lang w:val="sk-SK"/>
        </w:rPr>
      </w:pPr>
      <w:r>
        <w:rPr>
          <w:rStyle w:val="FootnoteReference"/>
          <w:highlight w:val="yellow"/>
        </w:rPr>
        <w:footnoteRef/>
      </w:r>
      <w:r>
        <w:rPr>
          <w:highlight w:val="yellow"/>
        </w:rPr>
        <w:t xml:space="preserve"> </w:t>
      </w:r>
      <w:hyperlink r:id="rId14">
        <w:r>
          <w:rPr>
            <w:rStyle w:val="Hyperlink"/>
            <w:highlight w:val="yellow"/>
          </w:rPr>
          <w:t>https://enrd.ec.europa.eu/en/evaluation-helpdesks-publications</w:t>
        </w:r>
      </w:hyperlink>
    </w:p>
  </w:footnote>
  <w:footnote w:id="43">
    <w:p w:rsidR="00860A11" w:rsidRPr="00FD7350" w:rsidRDefault="00860A11" w:rsidP="00A27369">
      <w:pPr>
        <w:pStyle w:val="FootnoteText"/>
        <w:rPr>
          <w:lang w:val="sk-SK"/>
        </w:rPr>
      </w:pPr>
      <w:r>
        <w:rPr>
          <w:rStyle w:val="FootnoteReference"/>
          <w:highlight w:val="yellow"/>
        </w:rPr>
        <w:footnoteRef/>
      </w:r>
      <w:r>
        <w:rPr>
          <w:highlight w:val="yellow"/>
        </w:rPr>
        <w:t xml:space="preserve"> Règlement (UE) n° 1305/2013, article 54, paragraphe 2</w:t>
      </w:r>
    </w:p>
  </w:footnote>
  <w:footnote w:id="44">
    <w:p w:rsidR="00860A11" w:rsidRPr="004F4478" w:rsidRDefault="00860A11" w:rsidP="00CA57FC">
      <w:pPr>
        <w:pStyle w:val="FootnoteText"/>
        <w:rPr>
          <w:rFonts w:cs="Arial"/>
          <w:szCs w:val="16"/>
          <w:highlight w:val="yellow"/>
        </w:rPr>
      </w:pPr>
      <w:r>
        <w:rPr>
          <w:rStyle w:val="FootnoteReference"/>
        </w:rPr>
        <w:footnoteRef/>
      </w:r>
      <w:r>
        <w:t xml:space="preserve"> </w:t>
      </w:r>
      <w:r>
        <w:rPr>
          <w:highlight w:val="yellow"/>
        </w:rPr>
        <w:t>Évaluation commune Question 21; Annexe V du règlement d’exécution de la Commission (UE) n° 808/2014.</w:t>
      </w:r>
    </w:p>
  </w:footnote>
  <w:footnote w:id="45">
    <w:p w:rsidR="00860A11" w:rsidRPr="004F4478" w:rsidRDefault="00860A11" w:rsidP="00CA57FC">
      <w:pPr>
        <w:pStyle w:val="FootnoteText"/>
        <w:rPr>
          <w:rFonts w:cs="Arial"/>
          <w:szCs w:val="16"/>
          <w:highlight w:val="yellow"/>
        </w:rPr>
      </w:pPr>
      <w:r>
        <w:rPr>
          <w:rStyle w:val="FootnoteReference"/>
          <w:highlight w:val="yellow"/>
        </w:rPr>
        <w:footnoteRef/>
      </w:r>
      <w:r>
        <w:rPr>
          <w:highlight w:val="yellow"/>
        </w:rPr>
        <w:t xml:space="preserve"> Développés par les États membres </w:t>
      </w:r>
    </w:p>
  </w:footnote>
  <w:footnote w:id="46">
    <w:p w:rsidR="00860A11" w:rsidRPr="004F4478" w:rsidRDefault="00860A11" w:rsidP="00CA57FC">
      <w:pPr>
        <w:pStyle w:val="FootnoteText"/>
        <w:rPr>
          <w:rFonts w:cs="Arial"/>
          <w:szCs w:val="16"/>
          <w:highlight w:val="yellow"/>
        </w:rPr>
      </w:pPr>
      <w:r>
        <w:rPr>
          <w:rStyle w:val="FootnoteReference"/>
          <w:highlight w:val="yellow"/>
        </w:rPr>
        <w:footnoteRef/>
      </w:r>
      <w:r>
        <w:rPr>
          <w:highlight w:val="yellow"/>
        </w:rPr>
        <w:t xml:space="preserve"> Les indicateurs de résultats O.24, O.25 et O.26; Annexe V du règlement d’exécution de la Commission (UE) n° 808/2014.</w:t>
      </w:r>
    </w:p>
  </w:footnote>
  <w:footnote w:id="47">
    <w:p w:rsidR="00860A11" w:rsidRPr="004F4478" w:rsidRDefault="00860A11" w:rsidP="00CA57FC">
      <w:pPr>
        <w:pStyle w:val="FootnoteText"/>
      </w:pPr>
      <w:r>
        <w:rPr>
          <w:rStyle w:val="FootnoteReference"/>
          <w:highlight w:val="yellow"/>
        </w:rPr>
        <w:footnoteRef/>
      </w:r>
      <w:r>
        <w:rPr>
          <w:highlight w:val="yellow"/>
        </w:rPr>
        <w:t xml:space="preserve"> Développés par les États membres</w:t>
      </w:r>
    </w:p>
  </w:footnote>
  <w:footnote w:id="48">
    <w:p w:rsidR="00860A11" w:rsidRPr="004F4478" w:rsidRDefault="00860A11" w:rsidP="007134D0">
      <w:pPr>
        <w:pStyle w:val="FootnoteText"/>
      </w:pPr>
      <w:r>
        <w:rPr>
          <w:rStyle w:val="FootnoteReference"/>
          <w:rFonts w:eastAsiaTheme="minorEastAsia"/>
        </w:rPr>
        <w:footnoteRef/>
      </w:r>
      <w:r>
        <w:t xml:space="preserve"> </w:t>
      </w:r>
      <w:r>
        <w:rPr>
          <w:highlight w:val="yellow"/>
        </w:rPr>
        <w:t>Règlement (UE) n° 1305/2013, article 66.</w:t>
      </w:r>
    </w:p>
  </w:footnote>
  <w:footnote w:id="49">
    <w:p w:rsidR="00860A11" w:rsidRPr="004F4478" w:rsidRDefault="00860A11" w:rsidP="007134D0">
      <w:pPr>
        <w:pStyle w:val="FootnoteText"/>
        <w:rPr>
          <w:highlight w:val="yellow"/>
        </w:rPr>
      </w:pPr>
      <w:r>
        <w:rPr>
          <w:rStyle w:val="FootnoteReference"/>
          <w:rFonts w:eastAsiaTheme="minorEastAsia"/>
        </w:rPr>
        <w:footnoteRef/>
      </w:r>
      <w:r>
        <w:t xml:space="preserve"> </w:t>
      </w:r>
      <w:r>
        <w:rPr>
          <w:highlight w:val="yellow"/>
        </w:rPr>
        <w:t>Règlement (UE) n°1305/2013, article 66.2</w:t>
      </w:r>
    </w:p>
  </w:footnote>
  <w:footnote w:id="50">
    <w:p w:rsidR="00860A11" w:rsidRPr="004F4478" w:rsidRDefault="00860A11" w:rsidP="007134D0">
      <w:pPr>
        <w:pStyle w:val="FootnoteText"/>
        <w:rPr>
          <w:highlight w:val="yellow"/>
        </w:rPr>
      </w:pPr>
      <w:r>
        <w:rPr>
          <w:rStyle w:val="FootnoteReference"/>
          <w:rFonts w:eastAsiaTheme="minorEastAsia"/>
          <w:highlight w:val="yellow"/>
        </w:rPr>
        <w:footnoteRef/>
      </w:r>
      <w:r>
        <w:rPr>
          <w:highlight w:val="yellow"/>
        </w:rPr>
        <w:t xml:space="preserve"> Slovaquie - la fonction NSU est intégrée à l'agence nationale pour le développement rural - institution financée en partie par le ministère de l'agriculture</w:t>
      </w:r>
    </w:p>
  </w:footnote>
  <w:footnote w:id="51">
    <w:p w:rsidR="00860A11" w:rsidRPr="004F4478" w:rsidRDefault="00860A11" w:rsidP="007134D0">
      <w:pPr>
        <w:pStyle w:val="FootnoteText"/>
        <w:rPr>
          <w:highlight w:val="yellow"/>
        </w:rPr>
      </w:pPr>
      <w:r>
        <w:rPr>
          <w:rStyle w:val="FootnoteReference"/>
          <w:rFonts w:eastAsiaTheme="minorEastAsia"/>
          <w:highlight w:val="yellow"/>
        </w:rPr>
        <w:footnoteRef/>
      </w:r>
      <w:r>
        <w:rPr>
          <w:highlight w:val="yellow"/>
        </w:rPr>
        <w:t xml:space="preserve"> Bulgarie - le rôle de la NSU est assuré par la société privée INTERPRED WTC</w:t>
      </w:r>
    </w:p>
  </w:footnote>
  <w:footnote w:id="52">
    <w:p w:rsidR="00860A11" w:rsidRPr="004F4478" w:rsidRDefault="00860A11" w:rsidP="00DE0CC0">
      <w:pPr>
        <w:pStyle w:val="FootnoteText"/>
        <w:rPr>
          <w:highlight w:val="yellow"/>
        </w:rPr>
      </w:pPr>
      <w:r>
        <w:rPr>
          <w:rStyle w:val="FootnoteReference"/>
          <w:rFonts w:eastAsiaTheme="minorEastAsia"/>
          <w:highlight w:val="yellow"/>
        </w:rPr>
        <w:footnoteRef/>
      </w:r>
      <w:r>
        <w:rPr>
          <w:highlight w:val="yellow"/>
        </w:rPr>
        <w:t xml:space="preserve"> </w:t>
      </w:r>
      <w:hyperlink r:id="rId15">
        <w:r>
          <w:rPr>
            <w:highlight w:val="yellow"/>
          </w:rPr>
          <w:t>Fiche d'orientation pour la mise</w:t>
        </w:r>
      </w:hyperlink>
      <w:r>
        <w:t xml:space="preserve"> en </w:t>
      </w:r>
      <w:hyperlink r:id="rId16">
        <w:r>
          <w:rPr>
            <w:highlight w:val="yellow"/>
          </w:rPr>
          <w:t>place et</w:t>
        </w:r>
      </w:hyperlink>
      <w:r>
        <w:t xml:space="preserve"> le </w:t>
      </w:r>
      <w:hyperlink r:id="rId17">
        <w:r>
          <w:rPr>
            <w:highlight w:val="yellow"/>
          </w:rPr>
          <w:t xml:space="preserve">fonctionnement des réseaux ruraux nationaux </w:t>
        </w:r>
      </w:hyperlink>
      <w:r>
        <w:t xml:space="preserve"> </w:t>
      </w:r>
      <w:r>
        <w:rPr>
          <w:highlight w:val="yellow"/>
        </w:rPr>
        <w:t>pour la période 2014-2020, élaborée par la Commission européenne (DG AGRI) sur</w:t>
      </w:r>
      <w:r>
        <w:t xml:space="preserve"> la </w:t>
      </w:r>
      <w:r>
        <w:rPr>
          <w:highlight w:val="yellow"/>
        </w:rPr>
        <w:t>base</w:t>
      </w:r>
      <w:r>
        <w:t xml:space="preserve"> du </w:t>
      </w:r>
      <w:r>
        <w:rPr>
          <w:highlight w:val="yellow"/>
        </w:rPr>
        <w:t>règlement (UE) n° 1305/2013 et,</w:t>
      </w:r>
      <w:r>
        <w:t xml:space="preserve"> le </w:t>
      </w:r>
      <w:r>
        <w:rPr>
          <w:highlight w:val="yellow"/>
        </w:rPr>
        <w:t>cas échéant, sur</w:t>
      </w:r>
      <w:r>
        <w:t xml:space="preserve"> la base du </w:t>
      </w:r>
      <w:r>
        <w:rPr>
          <w:highlight w:val="yellow"/>
        </w:rPr>
        <w:t xml:space="preserve">règlement (UE) n° 1303/2013 </w:t>
      </w:r>
    </w:p>
  </w:footnote>
  <w:footnote w:id="53">
    <w:p w:rsidR="00860A11" w:rsidRPr="004F4478" w:rsidRDefault="00860A11" w:rsidP="007134D0">
      <w:pPr>
        <w:pStyle w:val="FootnoteText"/>
        <w:rPr>
          <w:highlight w:val="yellow"/>
        </w:rPr>
      </w:pPr>
      <w:r>
        <w:rPr>
          <w:rStyle w:val="FootnoteReference"/>
          <w:rFonts w:eastAsiaTheme="minorEastAsia"/>
          <w:highlight w:val="yellow"/>
        </w:rPr>
        <w:footnoteRef/>
      </w:r>
      <w:r>
        <w:rPr>
          <w:highlight w:val="yellow"/>
        </w:rPr>
        <w:t xml:space="preserve"> Règlement (UE) n° 1306/2013, article 7.</w:t>
      </w:r>
    </w:p>
  </w:footnote>
  <w:footnote w:id="54">
    <w:p w:rsidR="00860A11" w:rsidRPr="00277D95" w:rsidRDefault="00860A11" w:rsidP="007134D0">
      <w:pPr>
        <w:pStyle w:val="FootnoteText"/>
        <w:rPr>
          <w:highlight w:val="yellow"/>
          <w:lang w:val="sk-SK"/>
        </w:rPr>
      </w:pPr>
      <w:r>
        <w:rPr>
          <w:rStyle w:val="FootnoteReference"/>
          <w:rFonts w:eastAsiaTheme="minorEastAsia"/>
          <w:highlight w:val="yellow"/>
        </w:rPr>
        <w:footnoteRef/>
      </w:r>
      <w:r>
        <w:rPr>
          <w:highlight w:val="yellow"/>
        </w:rPr>
        <w:t xml:space="preserve"> Règlement (UE) n° 1305/2013, article 73.</w:t>
      </w:r>
    </w:p>
  </w:footnote>
  <w:footnote w:id="55">
    <w:p w:rsidR="00860A11" w:rsidRPr="004F4478" w:rsidRDefault="00860A11" w:rsidP="007134D0">
      <w:pPr>
        <w:pStyle w:val="FootnoteText"/>
        <w:rPr>
          <w:highlight w:val="yellow"/>
        </w:rPr>
      </w:pPr>
      <w:r>
        <w:rPr>
          <w:rStyle w:val="FootnoteReference"/>
          <w:rFonts w:eastAsiaTheme="minorEastAsia"/>
          <w:highlight w:val="yellow"/>
        </w:rPr>
        <w:footnoteRef/>
      </w:r>
      <w:r>
        <w:rPr>
          <w:highlight w:val="yellow"/>
        </w:rPr>
        <w:t xml:space="preserve"> Règlement (UE) n° 1305/2013, article 72.</w:t>
      </w:r>
    </w:p>
  </w:footnote>
  <w:footnote w:id="56">
    <w:p w:rsidR="00860A11" w:rsidRPr="004F4478" w:rsidRDefault="00860A11" w:rsidP="007134D0">
      <w:pPr>
        <w:pStyle w:val="FootnoteText"/>
        <w:rPr>
          <w:highlight w:val="yellow"/>
        </w:rPr>
      </w:pPr>
      <w:r>
        <w:rPr>
          <w:rStyle w:val="FootnoteReference"/>
          <w:rFonts w:eastAsiaTheme="minorEastAsia"/>
          <w:highlight w:val="yellow"/>
        </w:rPr>
        <w:footnoteRef/>
      </w:r>
      <w:r>
        <w:rPr>
          <w:highlight w:val="yellow"/>
        </w:rPr>
        <w:t xml:space="preserve"> Règlement (UE) n° 1305/2013, article 74.</w:t>
      </w:r>
    </w:p>
  </w:footnote>
  <w:footnote w:id="57">
    <w:p w:rsidR="00860A11" w:rsidRPr="000B6EAA" w:rsidRDefault="00860A11" w:rsidP="007134D0">
      <w:pPr>
        <w:pStyle w:val="FootnoteText"/>
        <w:rPr>
          <w:lang w:val="sk-SK"/>
        </w:rPr>
      </w:pPr>
      <w:r>
        <w:rPr>
          <w:rStyle w:val="FootnoteReference"/>
          <w:rFonts w:eastAsiaTheme="minorEastAsia"/>
          <w:highlight w:val="yellow"/>
        </w:rPr>
        <w:footnoteRef/>
      </w:r>
      <w:r>
        <w:rPr>
          <w:highlight w:val="yellow"/>
        </w:rPr>
        <w:t xml:space="preserve"> Fiche d'orientation pour la mise en place et le fonctionnement des réseaux ruraux nationaux 2014-2020</w:t>
      </w:r>
    </w:p>
  </w:footnote>
  <w:footnote w:id="58">
    <w:p w:rsidR="00860A11" w:rsidRPr="004F4478" w:rsidRDefault="00860A11">
      <w:pPr>
        <w:pStyle w:val="FootnoteText"/>
      </w:pPr>
      <w:r>
        <w:rPr>
          <w:rStyle w:val="FootnoteReference"/>
        </w:rPr>
        <w:footnoteRef/>
      </w:r>
      <w:r>
        <w:t xml:space="preserve"> </w:t>
      </w:r>
      <w:r>
        <w:rPr>
          <w:highlight w:val="yellow"/>
        </w:rPr>
        <w:t>Règlement (UE) n° 1305/2013, article 54, paragraphe 3, point iii.</w:t>
      </w:r>
    </w:p>
  </w:footnote>
  <w:footnote w:id="59">
    <w:p w:rsidR="00860A11" w:rsidRPr="004F4478" w:rsidRDefault="00860A11" w:rsidP="007134D0">
      <w:pPr>
        <w:pStyle w:val="FootnoteText"/>
        <w:rPr>
          <w:highlight w:val="yellow"/>
        </w:rPr>
      </w:pPr>
      <w:r>
        <w:rPr>
          <w:rStyle w:val="FootnoteReference"/>
          <w:rFonts w:eastAsiaTheme="minorEastAsia"/>
        </w:rPr>
        <w:footnoteRef/>
      </w:r>
      <w:r>
        <w:t xml:space="preserve"> </w:t>
      </w:r>
      <w:r>
        <w:rPr>
          <w:highlight w:val="yellow"/>
        </w:rPr>
        <w:t>Règlement (UE) n° 1303/2013, article 54, paragraphe 3.</w:t>
      </w:r>
    </w:p>
  </w:footnote>
  <w:footnote w:id="60">
    <w:p w:rsidR="00860A11" w:rsidRPr="00277D95" w:rsidRDefault="00860A11" w:rsidP="007134D0">
      <w:pPr>
        <w:pStyle w:val="FootnoteText"/>
        <w:rPr>
          <w:highlight w:val="yellow"/>
          <w:lang w:val="sk-SK"/>
        </w:rPr>
      </w:pPr>
      <w:r>
        <w:rPr>
          <w:rStyle w:val="FootnoteReference"/>
          <w:rFonts w:eastAsiaTheme="minorEastAsia"/>
          <w:highlight w:val="yellow"/>
        </w:rPr>
        <w:footnoteRef/>
      </w:r>
      <w:r>
        <w:rPr>
          <w:highlight w:val="yellow"/>
        </w:rPr>
        <w:t xml:space="preserve"> Dans le cas où il y a un manque de ressources dans l'État membre.</w:t>
      </w:r>
    </w:p>
  </w:footnote>
  <w:footnote w:id="61">
    <w:p w:rsidR="00860A11" w:rsidRPr="004F4478" w:rsidRDefault="00860A11" w:rsidP="007134D0">
      <w:pPr>
        <w:pStyle w:val="FootnoteText"/>
      </w:pPr>
      <w:r>
        <w:rPr>
          <w:rStyle w:val="FootnoteReference"/>
          <w:rFonts w:eastAsiaTheme="minorEastAsia"/>
          <w:highlight w:val="yellow"/>
        </w:rPr>
        <w:footnoteRef/>
      </w:r>
      <w:r>
        <w:rPr>
          <w:highlight w:val="yellow"/>
        </w:rPr>
        <w:t xml:space="preserve"> Annexe I du règlement d’exécution de la Commission (UE) n° 808/2014.</w:t>
      </w:r>
    </w:p>
  </w:footnote>
  <w:footnote w:id="62">
    <w:p w:rsidR="00860A11" w:rsidRPr="004F4478" w:rsidRDefault="00860A11" w:rsidP="007134D0">
      <w:pPr>
        <w:pStyle w:val="FootnoteText"/>
      </w:pPr>
      <w:r>
        <w:rPr>
          <w:rStyle w:val="FootnoteReference"/>
          <w:rFonts w:eastAsiaTheme="minorEastAsia"/>
        </w:rPr>
        <w:footnoteRef/>
      </w:r>
      <w:r>
        <w:t xml:space="preserve"> Lignes directrices pour  « Lancer et exécuter un plan d’évaluation des programmes de développement rural pour la période 2014-2020»</w:t>
      </w:r>
    </w:p>
  </w:footnote>
  <w:footnote w:id="63">
    <w:p w:rsidR="00860A11" w:rsidRPr="004F4478" w:rsidRDefault="00860A11" w:rsidP="00E36BC6">
      <w:pPr>
        <w:pStyle w:val="FootnoteText"/>
        <w:rPr>
          <w:highlight w:val="yellow"/>
        </w:rPr>
      </w:pPr>
      <w:r>
        <w:rPr>
          <w:rStyle w:val="FootnoteReference"/>
        </w:rPr>
        <w:footnoteRef/>
      </w:r>
      <w:r>
        <w:t xml:space="preserve"> </w:t>
      </w:r>
      <w:r>
        <w:rPr>
          <w:highlight w:val="yellow"/>
        </w:rPr>
        <w:t>Annexe IV et V du règlement d’exécution de la Commission (UE) n° 808/2014 .</w:t>
      </w:r>
    </w:p>
  </w:footnote>
  <w:footnote w:id="64">
    <w:p w:rsidR="00860A11" w:rsidRPr="004F4478" w:rsidRDefault="00860A11" w:rsidP="00E36BC6">
      <w:pPr>
        <w:pStyle w:val="FootnoteText"/>
      </w:pPr>
      <w:r>
        <w:rPr>
          <w:rStyle w:val="FootnoteReference"/>
          <w:highlight w:val="yellow"/>
        </w:rPr>
        <w:footnoteRef/>
      </w:r>
      <w:r>
        <w:rPr>
          <w:highlight w:val="yellow"/>
        </w:rPr>
        <w:t xml:space="preserve"> Règlement (UE) n° 1303/2014, article 54.</w:t>
      </w:r>
    </w:p>
  </w:footnote>
  <w:footnote w:id="65">
    <w:p w:rsidR="00860A11" w:rsidRPr="004F4478" w:rsidRDefault="00860A11" w:rsidP="007134D0">
      <w:pPr>
        <w:pStyle w:val="FootnoteText"/>
      </w:pPr>
      <w:r>
        <w:rPr>
          <w:rStyle w:val="FootnoteReference"/>
          <w:rFonts w:eastAsiaTheme="minorEastAsia"/>
        </w:rPr>
        <w:footnoteRef/>
      </w:r>
      <w:r>
        <w:t xml:space="preserve"> </w:t>
      </w:r>
      <w:r>
        <w:rPr>
          <w:highlight w:val="yellow"/>
        </w:rPr>
        <w:t>REDR, Guide RRN à</w:t>
      </w:r>
      <w:r>
        <w:t xml:space="preserve"> l'adresse </w:t>
      </w:r>
      <w:hyperlink r:id="rId18">
        <w:r>
          <w:rPr>
            <w:highlight w:val="yellow"/>
          </w:rPr>
          <w:t>http://enrd.ec.europa.eu/enrd-static/app_templates/enrd_assets/pdf/guidebook/nrn_handbook_webversion.pdf</w:t>
        </w:r>
      </w:hyperlink>
      <w:r>
        <w:t xml:space="preserve"> </w:t>
      </w:r>
    </w:p>
  </w:footnote>
  <w:footnote w:id="66">
    <w:p w:rsidR="00860A11" w:rsidRPr="004F4478" w:rsidRDefault="00860A11" w:rsidP="00FC0A30">
      <w:pPr>
        <w:pStyle w:val="FootnoteText"/>
        <w:rPr>
          <w:highlight w:val="yellow"/>
        </w:rPr>
      </w:pPr>
      <w:r>
        <w:rPr>
          <w:rStyle w:val="FootnoteReference"/>
          <w:rFonts w:eastAsiaTheme="minorEastAsia"/>
        </w:rPr>
        <w:footnoteRef/>
      </w:r>
      <w:r>
        <w:t xml:space="preserve">  </w:t>
      </w:r>
      <w:r>
        <w:rPr>
          <w:highlight w:val="yellow"/>
        </w:rPr>
        <w:t>REDR, Guide RRN à</w:t>
      </w:r>
      <w:r>
        <w:t xml:space="preserve"> </w:t>
      </w:r>
      <w:hyperlink r:id="rId19">
        <w:r>
          <w:rPr>
            <w:highlight w:val="yellow"/>
          </w:rPr>
          <w:t>http://enrd.ec.europa.eu/enrd-static/app_templates/enrd_assets/pdf/guidebook/nrn_handbook_webversion.pdf</w:t>
        </w:r>
      </w:hyperlink>
      <w:r>
        <w:t xml:space="preserve"> p.87</w:t>
      </w:r>
    </w:p>
  </w:footnote>
  <w:footnote w:id="67">
    <w:p w:rsidR="00860A11" w:rsidRPr="004F4478" w:rsidRDefault="00860A11" w:rsidP="009A7C06">
      <w:pPr>
        <w:pStyle w:val="FootnoteText"/>
        <w:rPr>
          <w:highlight w:val="yellow"/>
        </w:rPr>
      </w:pPr>
      <w:r>
        <w:rPr>
          <w:rStyle w:val="FootnoteReference"/>
          <w:highlight w:val="yellow"/>
        </w:rPr>
        <w:footnoteRef/>
      </w:r>
      <w:r>
        <w:rPr>
          <w:highlight w:val="yellow"/>
        </w:rPr>
        <w:t xml:space="preserve"> Règlement (UE) n° 1305/2015, article 54, paragraphe 2.</w:t>
      </w:r>
    </w:p>
  </w:footnote>
  <w:footnote w:id="68">
    <w:p w:rsidR="00860A11" w:rsidRPr="004F4478" w:rsidRDefault="00860A11" w:rsidP="009A7C06">
      <w:pPr>
        <w:pStyle w:val="FootnoteText"/>
      </w:pPr>
      <w:r>
        <w:rPr>
          <w:rStyle w:val="FootnoteReference"/>
          <w:highlight w:val="yellow"/>
        </w:rPr>
        <w:footnoteRef/>
      </w:r>
      <w:r>
        <w:rPr>
          <w:highlight w:val="yellow"/>
        </w:rPr>
        <w:t xml:space="preserve"> Règlement (UE) n° 1305/2015, article 54, paragraphe 3.</w:t>
      </w:r>
    </w:p>
  </w:footnote>
  <w:footnote w:id="69">
    <w:p w:rsidR="00860A11" w:rsidRPr="004F4478" w:rsidRDefault="00860A11" w:rsidP="00FC0A30">
      <w:pPr>
        <w:pStyle w:val="FootnoteText"/>
        <w:rPr>
          <w:highlight w:val="yellow"/>
        </w:rPr>
      </w:pPr>
      <w:r>
        <w:rPr>
          <w:rStyle w:val="FootnoteReference"/>
        </w:rPr>
        <w:footnoteRef/>
      </w:r>
      <w:r>
        <w:t xml:space="preserve"> </w:t>
      </w:r>
      <w:r>
        <w:rPr>
          <w:highlight w:val="yellow"/>
        </w:rPr>
        <w:t>Seulement pour l'analyse de contexte du RRN</w:t>
      </w:r>
    </w:p>
  </w:footnote>
  <w:footnote w:id="70">
    <w:p w:rsidR="00860A11" w:rsidRPr="004F4478" w:rsidRDefault="00860A11" w:rsidP="00FC0A30">
      <w:pPr>
        <w:pStyle w:val="FootnoteText"/>
        <w:rPr>
          <w:highlight w:val="yellow"/>
        </w:rPr>
      </w:pPr>
      <w:r>
        <w:rPr>
          <w:rStyle w:val="FootnoteReference"/>
          <w:highlight w:val="yellow"/>
        </w:rPr>
        <w:footnoteRef/>
      </w:r>
      <w:r>
        <w:rPr>
          <w:rFonts w:ascii="Calibri" w:hAnsi="Calibri"/>
          <w:sz w:val="18"/>
          <w:highlight w:val="yellow"/>
        </w:rPr>
        <w:t xml:space="preserve"> </w:t>
      </w:r>
      <w:r>
        <w:rPr>
          <w:highlight w:val="yellow"/>
        </w:rPr>
        <w:t>Règlement (UE) n° 1305/2013, article 54.2.</w:t>
      </w:r>
    </w:p>
  </w:footnote>
  <w:footnote w:id="71">
    <w:p w:rsidR="00860A11" w:rsidRPr="004F4478" w:rsidRDefault="00860A11" w:rsidP="00FC0A30">
      <w:pPr>
        <w:pStyle w:val="FootnoteText"/>
      </w:pPr>
      <w:r>
        <w:rPr>
          <w:rStyle w:val="FootnoteReference"/>
          <w:highlight w:val="yellow"/>
        </w:rPr>
        <w:footnoteRef/>
      </w:r>
      <w:r>
        <w:rPr>
          <w:rFonts w:ascii="Calibri" w:hAnsi="Calibri"/>
          <w:sz w:val="18"/>
          <w:highlight w:val="yellow"/>
        </w:rPr>
        <w:t xml:space="preserve"> </w:t>
      </w:r>
      <w:r>
        <w:rPr>
          <w:highlight w:val="yellow"/>
        </w:rPr>
        <w:t>Règlement (UE) n° 1305/2013, article 54.3.</w:t>
      </w:r>
    </w:p>
  </w:footnote>
  <w:footnote w:id="72">
    <w:p w:rsidR="00860A11" w:rsidRPr="00956C51" w:rsidRDefault="00860A11" w:rsidP="00FC0A30">
      <w:pPr>
        <w:pStyle w:val="FootnoteText"/>
        <w:rPr>
          <w:lang w:val="sk-SK"/>
        </w:rPr>
      </w:pPr>
      <w:r>
        <w:rPr>
          <w:rStyle w:val="FootnoteReference"/>
        </w:rPr>
        <w:footnoteRef/>
      </w:r>
      <w:r>
        <w:t xml:space="preserve"> </w:t>
      </w:r>
      <w:hyperlink r:id="rId20">
        <w:r>
          <w:rPr>
            <w:rStyle w:val="Hyperlink"/>
            <w:highlight w:val="yellow"/>
          </w:rPr>
          <w:t>http://ec.europa.eu/smart-regulation/guidelines/tool_13_en.htm</w:t>
        </w:r>
      </w:hyperlink>
      <w:r>
        <w:t xml:space="preserve"> </w:t>
      </w:r>
      <w:r>
        <w:rPr>
          <w:highlight w:val="yellow"/>
        </w:rPr>
        <w:t>et Manuel technique sur le suivi et</w:t>
      </w:r>
      <w:r>
        <w:t xml:space="preserve"> le</w:t>
      </w:r>
      <w:r>
        <w:rPr>
          <w:highlight w:val="yellow"/>
        </w:rPr>
        <w:t xml:space="preserve"> cadre d'évaluation de la politique agricole commune 2014-2020, DG AGRI, 2015, glossaire</w:t>
      </w:r>
    </w:p>
  </w:footnote>
  <w:footnote w:id="73">
    <w:p w:rsidR="00860A11" w:rsidRPr="004F4478" w:rsidRDefault="00860A11" w:rsidP="00FC0A30">
      <w:pPr>
        <w:pStyle w:val="FootnoteText"/>
        <w:rPr>
          <w:highlight w:val="yellow"/>
        </w:rPr>
      </w:pPr>
      <w:r>
        <w:rPr>
          <w:rStyle w:val="FootnoteReference"/>
          <w:rFonts w:eastAsiaTheme="minorEastAsia"/>
        </w:rPr>
        <w:footnoteRef/>
      </w:r>
      <w:r>
        <w:t xml:space="preserve"> </w:t>
      </w:r>
      <w:r>
        <w:rPr>
          <w:highlight w:val="yellow"/>
        </w:rPr>
        <w:t xml:space="preserve">Voir la </w:t>
      </w:r>
      <w:r>
        <w:rPr>
          <w:b/>
          <w:color w:val="E7E6E6" w:themeColor="background2"/>
          <w:highlight w:val="yellow"/>
        </w:rPr>
        <w:t>PARTIE II,</w:t>
      </w:r>
      <w:r>
        <w:rPr>
          <w:highlight w:val="yellow"/>
        </w:rPr>
        <w:t xml:space="preserve"> Chapitre 8.1: Le rôle des questions d'évaluation dans l'évaluation des RRN </w:t>
      </w:r>
    </w:p>
  </w:footnote>
  <w:footnote w:id="74">
    <w:p w:rsidR="00860A11" w:rsidRPr="000D1D32" w:rsidRDefault="00860A11" w:rsidP="00FC0A30">
      <w:pPr>
        <w:pStyle w:val="FootnoteText"/>
        <w:rPr>
          <w:lang w:val="fr-BE"/>
        </w:rPr>
      </w:pPr>
      <w:r>
        <w:rPr>
          <w:rStyle w:val="FootnoteReference"/>
          <w:highlight w:val="yellow"/>
        </w:rPr>
        <w:footnoteRef/>
      </w:r>
      <w:r>
        <w:rPr>
          <w:highlight w:val="yellow"/>
        </w:rPr>
        <w:t xml:space="preserve"> </w:t>
      </w:r>
      <w:r>
        <w:t xml:space="preserve">Règlement d'exécution (UE) n°808/2014 de la Commission, annexe V,question d'évaluation 21 </w:t>
      </w:r>
    </w:p>
  </w:footnote>
  <w:footnote w:id="75">
    <w:p w:rsidR="00860A11" w:rsidRPr="00EE03C9" w:rsidRDefault="00860A11" w:rsidP="00FC0A30">
      <w:pPr>
        <w:pStyle w:val="FootnoteText"/>
        <w:rPr>
          <w:highlight w:val="yellow"/>
          <w:lang w:val="sk-SK"/>
        </w:rPr>
      </w:pPr>
      <w:r>
        <w:rPr>
          <w:rStyle w:val="FootnoteReference"/>
        </w:rPr>
        <w:footnoteRef/>
      </w:r>
      <w:r>
        <w:t xml:space="preserve"> </w:t>
      </w:r>
      <w:hyperlink r:id="rId21">
        <w:r>
          <w:rPr>
            <w:rStyle w:val="Hyperlink"/>
            <w:highlight w:val="yellow"/>
          </w:rPr>
          <w:t>http://enrd.ec.europa.eu/enrd-static/evaluation/good-practices-workshops/national-rural-network-programmes/en/national-rural-network-programmes_en.html</w:t>
        </w:r>
      </w:hyperlink>
      <w:r>
        <w:t xml:space="preserve"> </w:t>
      </w:r>
      <w:r>
        <w:rPr>
          <w:color w:val="auto"/>
          <w:highlight w:val="yellow"/>
        </w:rPr>
        <w:t>et</w:t>
      </w:r>
      <w:r>
        <w:t xml:space="preserve"> </w:t>
      </w:r>
      <w:hyperlink r:id="rId22">
        <w:r>
          <w:rPr>
            <w:rStyle w:val="Hyperlink"/>
            <w:highlight w:val="yellow"/>
          </w:rPr>
          <w:t xml:space="preserve">http: // enrd.. </w:t>
        </w:r>
        <w:r w:rsidRPr="004F4478">
          <w:rPr>
            <w:rStyle w:val="Hyperlink"/>
            <w:highlight w:val="yellow"/>
            <w:lang w:val="en-GB"/>
          </w:rPr>
          <w:t>ec.europa.eu/enrd-static/evaluation/good-practices-workshops/national-rural-networks/en/national-rural-networks_en.html</w:t>
        </w:r>
      </w:hyperlink>
    </w:p>
  </w:footnote>
  <w:footnote w:id="76">
    <w:p w:rsidR="00860A11" w:rsidRPr="00EE03C9" w:rsidRDefault="00860A11" w:rsidP="00FC0A30">
      <w:pPr>
        <w:pStyle w:val="FootnoteText"/>
        <w:rPr>
          <w:highlight w:val="yellow"/>
          <w:lang w:val="sk-SK"/>
        </w:rPr>
      </w:pPr>
      <w:r>
        <w:rPr>
          <w:rStyle w:val="FootnoteReference"/>
          <w:highlight w:val="yellow"/>
        </w:rPr>
        <w:footnoteRef/>
      </w:r>
      <w:r w:rsidRPr="004F4478">
        <w:rPr>
          <w:highlight w:val="yellow"/>
          <w:lang w:val="sk-SK"/>
        </w:rPr>
        <w:t xml:space="preserve"> </w:t>
      </w:r>
      <w:hyperlink r:id="rId23">
        <w:r w:rsidRPr="004F4478">
          <w:rPr>
            <w:rStyle w:val="Hyperlink"/>
            <w:highlight w:val="yellow"/>
            <w:lang w:val="sk-SK"/>
          </w:rPr>
          <w:t>http://enrd.ec.europa.eu/enrd-static/evaluation/library/evaluation-helpdesk-publications/en/evaluation-helpdesk-publications_en.html</w:t>
        </w:r>
      </w:hyperlink>
    </w:p>
  </w:footnote>
  <w:footnote w:id="77">
    <w:p w:rsidR="00860A11" w:rsidRPr="004F4478" w:rsidRDefault="00860A11" w:rsidP="00FC0A30">
      <w:pPr>
        <w:pStyle w:val="FootnoteText"/>
        <w:rPr>
          <w:highlight w:val="yellow"/>
        </w:rPr>
      </w:pPr>
      <w:r>
        <w:rPr>
          <w:rStyle w:val="FootnoteReference"/>
          <w:rFonts w:eastAsiaTheme="minorEastAsia"/>
          <w:highlight w:val="yellow"/>
        </w:rPr>
        <w:footnoteRef/>
      </w:r>
      <w:r>
        <w:rPr>
          <w:highlight w:val="yellow"/>
        </w:rPr>
        <w:t xml:space="preserve"> Document</w:t>
      </w:r>
      <w:r>
        <w:t xml:space="preserve"> de </w:t>
      </w:r>
      <w:r>
        <w:rPr>
          <w:highlight w:val="yellow"/>
        </w:rPr>
        <w:t xml:space="preserve">travail sur </w:t>
      </w:r>
      <w:hyperlink r:id="rId24">
        <w:r>
          <w:rPr>
            <w:highlight w:val="yellow"/>
          </w:rPr>
          <w:t>l'évaluation</w:t>
        </w:r>
      </w:hyperlink>
      <w:r>
        <w:t xml:space="preserve"> </w:t>
      </w:r>
      <w:hyperlink r:id="rId25">
        <w:r>
          <w:rPr>
            <w:highlight w:val="yellow"/>
          </w:rPr>
          <w:t>des programmes</w:t>
        </w:r>
      </w:hyperlink>
      <w:r>
        <w:t xml:space="preserve"> de </w:t>
      </w:r>
      <w:hyperlink r:id="rId26">
        <w:r>
          <w:rPr>
            <w:highlight w:val="yellow"/>
          </w:rPr>
          <w:t>réseau rural national,</w:t>
        </w:r>
      </w:hyperlink>
      <w:r>
        <w:t xml:space="preserve"> </w:t>
      </w:r>
      <w:r>
        <w:rPr>
          <w:highlight w:val="yellow"/>
        </w:rPr>
        <w:t>Réseau européen</w:t>
      </w:r>
      <w:r>
        <w:t xml:space="preserve"> d'</w:t>
      </w:r>
      <w:r>
        <w:rPr>
          <w:highlight w:val="yellow"/>
        </w:rPr>
        <w:t>évaluation pour</w:t>
      </w:r>
      <w:r>
        <w:t xml:space="preserve"> le </w:t>
      </w:r>
      <w:r>
        <w:rPr>
          <w:highlight w:val="yellow"/>
        </w:rPr>
        <w:t>développement rural, juillet 2010, page 18</w:t>
      </w:r>
      <w:r>
        <w:t>,</w:t>
      </w:r>
      <w:r>
        <w:rPr>
          <w:highlight w:val="yellow"/>
        </w:rPr>
        <w:t xml:space="preserve"> </w:t>
      </w:r>
    </w:p>
  </w:footnote>
  <w:footnote w:id="78">
    <w:p w:rsidR="00860A11" w:rsidRPr="004F4478" w:rsidRDefault="00860A11" w:rsidP="00FC0A30">
      <w:pPr>
        <w:pStyle w:val="FootnoteText"/>
      </w:pPr>
      <w:r>
        <w:rPr>
          <w:rStyle w:val="FootnoteReference"/>
          <w:highlight w:val="yellow"/>
        </w:rPr>
        <w:footnoteRef/>
      </w:r>
      <w:r>
        <w:rPr>
          <w:highlight w:val="yellow"/>
        </w:rPr>
        <w:t xml:space="preserve"> EuropeAid Guide Évaluations </w:t>
      </w:r>
      <w:r>
        <w:rPr>
          <w:rStyle w:val="Hyperlink"/>
          <w:highlight w:val="yellow"/>
        </w:rPr>
        <w:t>http://ec.europa.eu/europeaid/evaluation/methodology/methods/mth_cri_en.htm</w:t>
      </w:r>
    </w:p>
  </w:footnote>
  <w:footnote w:id="79">
    <w:p w:rsidR="00860A11" w:rsidRPr="004F4478" w:rsidRDefault="00860A11" w:rsidP="00FC0A30">
      <w:pPr>
        <w:pStyle w:val="FootnoteText"/>
        <w:rPr>
          <w:rFonts w:ascii="Calibri" w:hAnsi="Calibri"/>
          <w:sz w:val="18"/>
          <w:szCs w:val="18"/>
        </w:rPr>
      </w:pPr>
      <w:r>
        <w:rPr>
          <w:rStyle w:val="FootnoteReference"/>
        </w:rPr>
        <w:footnoteRef/>
      </w:r>
      <w:r>
        <w:rPr>
          <w:rFonts w:ascii="Calibri" w:hAnsi="Calibri"/>
          <w:sz w:val="18"/>
        </w:rPr>
        <w:t xml:space="preserve"> </w:t>
      </w:r>
      <w:r>
        <w:rPr>
          <w:rFonts w:ascii="Calibri" w:hAnsi="Calibri"/>
          <w:sz w:val="18"/>
          <w:highlight w:val="yellow"/>
        </w:rPr>
        <w:t>Règlement d'exécution (UE) n ° 808/2014, annexe IV, DT  programmation développement rural et fixation d'objectifs (2014-2020)</w:t>
      </w:r>
    </w:p>
  </w:footnote>
  <w:footnote w:id="80">
    <w:p w:rsidR="00860A11" w:rsidRPr="00D70FD5" w:rsidRDefault="00860A11" w:rsidP="00FC0A30">
      <w:pPr>
        <w:pStyle w:val="FootnoteText"/>
        <w:rPr>
          <w:lang w:val="sk-SK"/>
        </w:rPr>
      </w:pPr>
      <w:r>
        <w:rPr>
          <w:rStyle w:val="FootnoteReference"/>
        </w:rPr>
        <w:footnoteRef/>
      </w:r>
      <w:r>
        <w:t xml:space="preserve"> </w:t>
      </w:r>
      <w:r>
        <w:rPr>
          <w:highlight w:val="yellow"/>
        </w:rPr>
        <w:t>Manuel technique sur le cadre commun</w:t>
      </w:r>
      <w:r>
        <w:t xml:space="preserve"> de </w:t>
      </w:r>
      <w:r>
        <w:rPr>
          <w:highlight w:val="yellow"/>
        </w:rPr>
        <w:t>suivi et d’évaluation de la politique agricole commune pour la période 2014-2020,</w:t>
      </w:r>
      <w:r>
        <w:t xml:space="preserve"> </w:t>
      </w:r>
      <w:hyperlink r:id="rId27">
        <w:r>
          <w:rPr>
            <w:rStyle w:val="Hyperlink"/>
            <w:highlight w:val="yellow"/>
          </w:rPr>
          <w:t>http://ec.europa.eu/agriculture/cap-post-2013/monitoring-evaluation/index_en.htm</w:t>
        </w:r>
      </w:hyperlink>
    </w:p>
  </w:footnote>
  <w:footnote w:id="81">
    <w:p w:rsidR="00860A11" w:rsidRPr="004F4478" w:rsidRDefault="00860A11" w:rsidP="00FC0A30">
      <w:pPr>
        <w:pStyle w:val="FootnoteText"/>
      </w:pPr>
      <w:r>
        <w:rPr>
          <w:rStyle w:val="FootnoteReference"/>
          <w:rFonts w:eastAsiaTheme="minorEastAsia"/>
        </w:rPr>
        <w:footnoteRef/>
      </w:r>
      <w:r>
        <w:t xml:space="preserve"> </w:t>
      </w:r>
      <w:r>
        <w:rPr>
          <w:highlight w:val="yellow"/>
        </w:rPr>
        <w:t>Document</w:t>
      </w:r>
      <w:r>
        <w:t xml:space="preserve"> de </w:t>
      </w:r>
      <w:r>
        <w:rPr>
          <w:highlight w:val="yellow"/>
        </w:rPr>
        <w:t xml:space="preserve">travail sur </w:t>
      </w:r>
      <w:hyperlink r:id="rId28">
        <w:r>
          <w:rPr>
            <w:rStyle w:val="Hyperlink"/>
            <w:highlight w:val="yellow"/>
          </w:rPr>
          <w:t>l'évaluation</w:t>
        </w:r>
      </w:hyperlink>
      <w:r>
        <w:t xml:space="preserve"> </w:t>
      </w:r>
      <w:hyperlink r:id="rId29">
        <w:r>
          <w:rPr>
            <w:rStyle w:val="Hyperlink"/>
            <w:highlight w:val="yellow"/>
          </w:rPr>
          <w:t>des programmes</w:t>
        </w:r>
      </w:hyperlink>
      <w:r>
        <w:t xml:space="preserve"> de </w:t>
      </w:r>
      <w:hyperlink r:id="rId30">
        <w:r>
          <w:rPr>
            <w:rStyle w:val="Hyperlink"/>
            <w:highlight w:val="yellow"/>
          </w:rPr>
          <w:t xml:space="preserve">réseau rural </w:t>
        </w:r>
        <w:r>
          <w:rPr>
            <w:color w:val="E7E6E6" w:themeColor="background2"/>
            <w:highlight w:val="yellow"/>
          </w:rPr>
          <w:t>national,</w:t>
        </w:r>
      </w:hyperlink>
      <w:r>
        <w:t xml:space="preserve"> </w:t>
      </w:r>
      <w:r>
        <w:rPr>
          <w:highlight w:val="yellow"/>
        </w:rPr>
        <w:t>Réseau européen</w:t>
      </w:r>
      <w:r>
        <w:t xml:space="preserve"> d'</w:t>
      </w:r>
      <w:r>
        <w:rPr>
          <w:highlight w:val="yellow"/>
        </w:rPr>
        <w:t>évaluation pour</w:t>
      </w:r>
      <w:r>
        <w:t xml:space="preserve"> le </w:t>
      </w:r>
      <w:r>
        <w:rPr>
          <w:highlight w:val="yellow"/>
        </w:rPr>
        <w:t>développement rural, juillet 2010,</w:t>
      </w:r>
      <w:r>
        <w:t xml:space="preserve"> </w:t>
      </w:r>
      <w:r>
        <w:rPr>
          <w:highlight w:val="yellow"/>
        </w:rPr>
        <w:t>pages 21-26</w:t>
      </w:r>
      <w:r>
        <w:t xml:space="preserve"> </w:t>
      </w:r>
    </w:p>
  </w:footnote>
  <w:footnote w:id="82">
    <w:p w:rsidR="00860A11" w:rsidRPr="004F4478" w:rsidRDefault="00860A11" w:rsidP="00FC0A30">
      <w:pPr>
        <w:pStyle w:val="FootnoteText"/>
      </w:pPr>
      <w:r>
        <w:rPr>
          <w:rStyle w:val="FootnoteReference"/>
          <w:rFonts w:eastAsiaTheme="minorEastAsia"/>
        </w:rPr>
        <w:footnoteRef/>
      </w:r>
      <w:r>
        <w:t xml:space="preserve"> Pour </w:t>
      </w:r>
      <w:r>
        <w:rPr>
          <w:highlight w:val="yellow"/>
        </w:rPr>
        <w:t>plus</w:t>
      </w:r>
      <w:r>
        <w:t xml:space="preserve"> d' </w:t>
      </w:r>
      <w:r>
        <w:rPr>
          <w:highlight w:val="yellow"/>
        </w:rPr>
        <w:t>informations</w:t>
      </w:r>
      <w:r>
        <w:t xml:space="preserve">: </w:t>
      </w:r>
      <w:hyperlink r:id="rId31">
        <w:r>
          <w:rPr>
            <w:highlight w:val="yellow"/>
          </w:rPr>
          <w:t>lignes directrices sur l'évaluation</w:t>
        </w:r>
      </w:hyperlink>
      <w:r>
        <w:t xml:space="preserve"> à </w:t>
      </w:r>
      <w:hyperlink r:id="rId32">
        <w:r>
          <w:rPr>
            <w:highlight w:val="yellow"/>
          </w:rPr>
          <w:t>mi-parcours des programmes</w:t>
        </w:r>
      </w:hyperlink>
      <w:r>
        <w:t xml:space="preserve"> de </w:t>
      </w:r>
      <w:hyperlink r:id="rId33">
        <w:r>
          <w:rPr>
            <w:highlight w:val="yellow"/>
          </w:rPr>
          <w:t>développement rural 2007-2013,</w:t>
        </w:r>
      </w:hyperlink>
      <w:r>
        <w:t xml:space="preserve"> </w:t>
      </w:r>
      <w:r>
        <w:rPr>
          <w:highlight w:val="yellow"/>
        </w:rPr>
        <w:t>Réseau européen</w:t>
      </w:r>
      <w:r>
        <w:t xml:space="preserve"> d' </w:t>
      </w:r>
      <w:r>
        <w:rPr>
          <w:highlight w:val="yellow"/>
        </w:rPr>
        <w:t>évaluation pour</w:t>
      </w:r>
      <w:r>
        <w:t xml:space="preserve"> le </w:t>
      </w:r>
      <w:r>
        <w:rPr>
          <w:highlight w:val="yellow"/>
        </w:rPr>
        <w:t>développement rural, Juillet 2009 aux pages 11-13 et lignes directrices: Etablissement et mise en œuvre du plan d’évaluation des PDR 2014-2020 , Helpdesk du Réseau européen d'évaluation pour le développement rural, mars 2014, pages 67-72</w:t>
      </w:r>
    </w:p>
  </w:footnote>
  <w:footnote w:id="83">
    <w:p w:rsidR="00860A11" w:rsidRPr="005B51FF" w:rsidRDefault="00860A11" w:rsidP="001249DA">
      <w:pPr>
        <w:pStyle w:val="CommentText"/>
        <w:spacing w:before="0" w:after="0"/>
        <w:rPr>
          <w:lang w:val="sk-SK"/>
        </w:rPr>
      </w:pPr>
      <w:r>
        <w:rPr>
          <w:rStyle w:val="FootnoteReference"/>
        </w:rPr>
        <w:footnoteRef/>
      </w:r>
      <w:r>
        <w:rPr>
          <w:rStyle w:val="FootnoteTextChar1"/>
        </w:rPr>
        <w:t xml:space="preserve"> </w:t>
      </w:r>
      <w:r>
        <w:rPr>
          <w:rStyle w:val="FootnoteTextChar1"/>
          <w:highlight w:val="yellow"/>
        </w:rPr>
        <w:t>Par exemple, au Portugal, le RRN a établi une directive méthodologique fournissant une base commune d'outils (par exemple, des questionnaires pour évaluer les événements) à utiliser par les bénéficiaires du RRN dans leurs activités. Ces outils sont disponibles en ligne.</w:t>
      </w:r>
      <w:r>
        <w:rPr>
          <w:rStyle w:val="FootnoteTextChar1"/>
        </w:rPr>
        <w:t xml:space="preserve"> </w:t>
      </w:r>
    </w:p>
  </w:footnote>
  <w:footnote w:id="84">
    <w:p w:rsidR="00860A11" w:rsidRPr="004F4478" w:rsidRDefault="00860A11" w:rsidP="000574FB">
      <w:pPr>
        <w:pStyle w:val="FootnoteText"/>
        <w:rPr>
          <w:highlight w:val="yellow"/>
        </w:rPr>
      </w:pPr>
      <w:r>
        <w:rPr>
          <w:rStyle w:val="FootnoteReference"/>
          <w:rFonts w:eastAsiaTheme="minorEastAsia"/>
        </w:rPr>
        <w:footnoteRef/>
      </w:r>
      <w:r>
        <w:t xml:space="preserve"> Pour </w:t>
      </w:r>
      <w:r>
        <w:rPr>
          <w:highlight w:val="yellow"/>
        </w:rPr>
        <w:t xml:space="preserve">en savoir plus sur les quatre phases d'évaluation , voir </w:t>
      </w:r>
      <w:r>
        <w:t xml:space="preserve"> </w:t>
      </w:r>
      <w:hyperlink r:id="rId34">
        <w:r>
          <w:rPr>
            <w:rStyle w:val="Hyperlink"/>
            <w:highlight w:val="yellow"/>
          </w:rPr>
          <w:t>CCSE Note</w:t>
        </w:r>
      </w:hyperlink>
      <w:r>
        <w:t xml:space="preserve"> d' </w:t>
      </w:r>
      <w:hyperlink r:id="rId35">
        <w:r>
          <w:rPr>
            <w:rStyle w:val="Hyperlink"/>
            <w:highlight w:val="yellow"/>
          </w:rPr>
          <w:t>orientation B Lignes directrices d’</w:t>
        </w:r>
      </w:hyperlink>
      <w:r>
        <w:t xml:space="preserve"> </w:t>
      </w:r>
      <w:hyperlink r:id="rId36">
        <w:r>
          <w:rPr>
            <w:rStyle w:val="Hyperlink"/>
            <w:highlight w:val="yellow"/>
          </w:rPr>
          <w:t>évaluation</w:t>
        </w:r>
      </w:hyperlink>
      <w:r>
        <w:t xml:space="preserve"> </w:t>
      </w:r>
      <w:r>
        <w:rPr>
          <w:color w:val="E7E6E6" w:themeColor="background2"/>
          <w:highlight w:val="yellow"/>
        </w:rPr>
        <w:t>de 2007 à 2013</w:t>
      </w:r>
    </w:p>
  </w:footnote>
  <w:footnote w:id="85">
    <w:p w:rsidR="00860A11" w:rsidRPr="004F4478" w:rsidRDefault="00860A11" w:rsidP="00352793">
      <w:pPr>
        <w:pStyle w:val="FootnoteText"/>
      </w:pPr>
      <w:r>
        <w:rPr>
          <w:rStyle w:val="FootnoteReference"/>
          <w:rFonts w:eastAsiaTheme="minorEastAsia"/>
          <w:highlight w:val="yellow"/>
        </w:rPr>
        <w:footnoteRef/>
      </w:r>
      <w:r>
        <w:rPr>
          <w:highlight w:val="yellow"/>
        </w:rPr>
        <w:t xml:space="preserve"> Système d'assurance qualité</w:t>
      </w:r>
      <w:r>
        <w:t xml:space="preserve"> de l’</w:t>
      </w:r>
      <w:r>
        <w:rPr>
          <w:highlight w:val="yellow"/>
        </w:rPr>
        <w:t>évaluation</w:t>
      </w:r>
      <w:r>
        <w:t xml:space="preserve"> </w:t>
      </w:r>
      <w:r>
        <w:rPr>
          <w:highlight w:val="yellow"/>
        </w:rPr>
        <w:t>PAM sur</w:t>
      </w:r>
      <w:r>
        <w:t xml:space="preserve"> </w:t>
      </w:r>
      <w:hyperlink r:id="rId37">
        <w:r>
          <w:rPr>
            <w:highlight w:val="yellow"/>
          </w:rPr>
          <w:t>http://www.wfp.org/evaluation/methods-and-tools/eqas-evaluation-quality-assurance-system</w:t>
        </w:r>
      </w:hyperlink>
      <w:r>
        <w:t xml:space="preserve"> </w:t>
      </w:r>
    </w:p>
  </w:footnote>
  <w:footnote w:id="86">
    <w:p w:rsidR="00860A11" w:rsidRPr="004F4478" w:rsidRDefault="00860A11" w:rsidP="000574FB">
      <w:pPr>
        <w:pStyle w:val="FootnoteText"/>
      </w:pPr>
      <w:r>
        <w:rPr>
          <w:rStyle w:val="FootnoteReference"/>
          <w:rFonts w:eastAsiaTheme="minorEastAsia"/>
        </w:rPr>
        <w:footnoteRef/>
      </w:r>
      <w:r>
        <w:t xml:space="preserve"> Annexe 6, Formulaire d’évaluation de la qualité (DG MARKT, Guide d'évaluation de la législation,  pages 87 à 97.</w:t>
      </w:r>
    </w:p>
  </w:footnote>
  <w:footnote w:id="87">
    <w:p w:rsidR="00860A11" w:rsidRPr="00A353D6" w:rsidRDefault="00860A11" w:rsidP="00320BBA">
      <w:pPr>
        <w:pStyle w:val="FootnoteText"/>
      </w:pPr>
      <w:r>
        <w:rPr>
          <w:rStyle w:val="FootnoteReference"/>
        </w:rPr>
        <w:footnoteRef/>
      </w:r>
      <w:r w:rsidRPr="00A353D6">
        <w:rPr>
          <w:lang w:val="en-GB"/>
        </w:rPr>
        <w:t xml:space="preserve"> See also: Helpdesk of the European Rural Evaluation Network (2014): Guidelines for the Ex post Evaluation of 2007-2013 RDPs. </w:t>
      </w:r>
      <w:r>
        <w:t>Brussels. P. 61ff.,</w:t>
      </w:r>
      <w:hyperlink r:id="rId38">
        <w:r>
          <w:rPr>
            <w:rStyle w:val="Hyperlink"/>
          </w:rPr>
          <w:t>http://enrd.ec.europa.eu/enrd-static/evaluation/library/evaluation-helpdesk-publications/en/evaluation-helpdesk-publications_en.html</w:t>
        </w:r>
      </w:hyperlink>
    </w:p>
  </w:footnote>
  <w:footnote w:id="88">
    <w:p w:rsidR="00860A11" w:rsidRPr="0041009C" w:rsidRDefault="00860A11" w:rsidP="00320BBA">
      <w:pPr>
        <w:pStyle w:val="FootnoteText"/>
        <w:rPr>
          <w:lang w:val="en-US"/>
        </w:rPr>
      </w:pPr>
      <w:r>
        <w:rPr>
          <w:rStyle w:val="FootnoteReference"/>
        </w:rPr>
        <w:footnoteRef/>
      </w:r>
      <w:r w:rsidRPr="00A353D6">
        <w:rPr>
          <w:lang w:val="en-GB"/>
        </w:rPr>
        <w:t xml:space="preserve"> See the references for further reading at the end of chapter 3.1.</w:t>
      </w:r>
    </w:p>
  </w:footnote>
  <w:footnote w:id="89">
    <w:p w:rsidR="00860A11" w:rsidRPr="003C23DE" w:rsidRDefault="00860A11" w:rsidP="00320BBA">
      <w:pPr>
        <w:pStyle w:val="FootnoteText"/>
        <w:rPr>
          <w:lang w:val="en-GB"/>
        </w:rPr>
      </w:pPr>
      <w:r>
        <w:rPr>
          <w:rStyle w:val="FootnoteReference"/>
        </w:rPr>
        <w:footnoteRef/>
      </w:r>
      <w:r w:rsidRPr="00A353D6">
        <w:rPr>
          <w:lang w:val="en-GB"/>
        </w:rPr>
        <w:t xml:space="preserve"> Context parameters have been proposed by the ENRD Contact Point and the Helpdesk of the European Evaluation Network for Rural Development in 2014; as they are not part of the legal framework, they can be adjusted by Member States if appropriate. The list of context parameters can be found in </w:t>
      </w:r>
      <w:r w:rsidRPr="00A353D6">
        <w:rPr>
          <w:b/>
          <w:color w:val="E7E6E6" w:themeColor="background2"/>
          <w:lang w:val="en-GB"/>
        </w:rPr>
        <w:t>PART I</w:t>
      </w:r>
      <w:r w:rsidRPr="00A353D6">
        <w:rPr>
          <w:lang w:val="en-GB"/>
        </w:rPr>
        <w:t>, Chapter 2.2.2 Preparation of evaluation</w:t>
      </w:r>
    </w:p>
  </w:footnote>
  <w:footnote w:id="90">
    <w:p w:rsidR="00860A11" w:rsidRPr="009E2C9F" w:rsidRDefault="00860A11" w:rsidP="00320BBA">
      <w:pPr>
        <w:pStyle w:val="FootnoteText"/>
        <w:rPr>
          <w:lang w:val="sk-SK"/>
        </w:rPr>
      </w:pPr>
      <w:r>
        <w:rPr>
          <w:rStyle w:val="FootnoteReference"/>
        </w:rPr>
        <w:footnoteRef/>
      </w:r>
      <w:r w:rsidRPr="00A353D6">
        <w:rPr>
          <w:lang w:val="en-GB"/>
        </w:rPr>
        <w:t xml:space="preserve"> RACER: relevant, accepted, credible, easy, robust</w:t>
      </w:r>
    </w:p>
  </w:footnote>
  <w:footnote w:id="91">
    <w:p w:rsidR="00860A11" w:rsidRPr="003C23DE" w:rsidRDefault="00860A11" w:rsidP="00320BBA">
      <w:pPr>
        <w:pStyle w:val="FootnoteText"/>
        <w:rPr>
          <w:lang w:val="en-GB"/>
        </w:rPr>
      </w:pPr>
      <w:r>
        <w:rPr>
          <w:rStyle w:val="FootnoteReference"/>
        </w:rPr>
        <w:footnoteRef/>
      </w:r>
      <w:r w:rsidRPr="00A353D6">
        <w:rPr>
          <w:lang w:val="en-GB"/>
        </w:rPr>
        <w:t xml:space="preserve"> Information about intervention logic´ effects can be found in the guidelines „Assessment of RDP results: How to prepare for reporting on evaluation in 2017“, published in April 2016 </w:t>
      </w:r>
    </w:p>
  </w:footnote>
  <w:footnote w:id="92">
    <w:p w:rsidR="00860A11" w:rsidRPr="00A353D6" w:rsidRDefault="00860A11" w:rsidP="00320BBA">
      <w:pPr>
        <w:pStyle w:val="FootnoteText"/>
        <w:rPr>
          <w:lang w:val="fr-BE"/>
        </w:rPr>
      </w:pPr>
      <w:r>
        <w:rPr>
          <w:rStyle w:val="FootnoteReference"/>
        </w:rPr>
        <w:footnoteRef/>
      </w:r>
      <w:r>
        <w:t xml:space="preserve"> </w:t>
      </w:r>
      <w:r>
        <w:rPr>
          <w:highlight w:val="yellow"/>
        </w:rPr>
        <w:t>Pour de plus amples informations dans ce domaine voir les lignes directrices: Évaluation des résultats du PDR: Comment préparer le rapport sur l'évaluation en 2017,</w:t>
      </w:r>
      <w:r>
        <w:t xml:space="preserve"> </w:t>
      </w:r>
    </w:p>
  </w:footnote>
  <w:footnote w:id="93">
    <w:p w:rsidR="00860A11" w:rsidRPr="003C23DE" w:rsidRDefault="00860A11" w:rsidP="00320BBA">
      <w:pPr>
        <w:pStyle w:val="FootnoteText"/>
        <w:rPr>
          <w:lang w:val="en-GB"/>
        </w:rPr>
      </w:pPr>
      <w:r>
        <w:rPr>
          <w:rStyle w:val="FootnoteReference"/>
        </w:rPr>
        <w:footnoteRef/>
      </w:r>
      <w:r w:rsidRPr="00A353D6">
        <w:rPr>
          <w:lang w:val="en-GB"/>
        </w:rPr>
        <w:t xml:space="preserve"> See also the guidelines: Assessment of RDP results: how to prepare for reporting on evaluation in 2017, to be published in 2016, Chapter 7.</w:t>
      </w:r>
    </w:p>
  </w:footnote>
  <w:footnote w:id="94">
    <w:p w:rsidR="00860A11" w:rsidRPr="003C23DE" w:rsidRDefault="00860A11" w:rsidP="00320BBA">
      <w:pPr>
        <w:pStyle w:val="FootnoteText"/>
        <w:rPr>
          <w:lang w:val="en-GB"/>
        </w:rPr>
      </w:pPr>
      <w:r>
        <w:rPr>
          <w:rStyle w:val="FootnoteReference"/>
        </w:rPr>
        <w:footnoteRef/>
      </w:r>
      <w:r w:rsidRPr="00A353D6">
        <w:rPr>
          <w:lang w:val="en-GB"/>
        </w:rPr>
        <w:t xml:space="preserve"> See for example the World Bank’s publications on measuring social capital, such as Working Paper No. 18, 2004: “Measuring social capital: an integrated questionnaire”, </w:t>
      </w:r>
      <w:hyperlink r:id="rId39">
        <w:r w:rsidRPr="00A353D6">
          <w:rPr>
            <w:lang w:val="en-GB"/>
          </w:rPr>
          <w:t>http://documents.worldbank.org/curated/en/2004/01/3050371/measuring-social-capital-integrated-questionnaire</w:t>
        </w:r>
      </w:hyperlink>
      <w:r w:rsidRPr="00A353D6">
        <w:rPr>
          <w:lang w:val="en-GB"/>
        </w:rPr>
        <w:t xml:space="preserve"> ; or particular approaches to capture changes induced by social innovation, e.g. the Regional Social Innovation Index (</w:t>
      </w:r>
      <w:hyperlink r:id="rId40">
        <w:r w:rsidRPr="00A353D6">
          <w:rPr>
            <w:rStyle w:val="Hyperlink"/>
            <w:lang w:val="en-GB"/>
          </w:rPr>
          <w:t>http://avitem.org/IMG/pdf/cuaderno_resindex_eng.pdf</w:t>
        </w:r>
      </w:hyperlink>
      <w:r w:rsidRPr="00A353D6">
        <w:rPr>
          <w:lang w:val="en-GB"/>
        </w:rPr>
        <w:t xml:space="preserve">) developed for the Spanish Euskadi Region in 2013; or the achievements of the EU research project IAREG on indicators of social capital in the EU: </w:t>
      </w:r>
      <w:hyperlink r:id="rId41">
        <w:r w:rsidRPr="00A353D6">
          <w:rPr>
            <w:rStyle w:val="Hyperlink"/>
            <w:lang w:val="en-GB"/>
          </w:rPr>
          <w:t>http://www.iareg.org/fileadmin/iareg/media/papers/WP2_02.pdf</w:t>
        </w:r>
      </w:hyperlink>
      <w:r w:rsidRPr="00A353D6">
        <w:rPr>
          <w:lang w:val="en-GB"/>
        </w:rPr>
        <w:t xml:space="preserve"> </w:t>
      </w:r>
    </w:p>
  </w:footnote>
  <w:footnote w:id="95">
    <w:p w:rsidR="00860A11" w:rsidRPr="003C23DE" w:rsidRDefault="00860A11" w:rsidP="00320BBA">
      <w:pPr>
        <w:pStyle w:val="FootnoteText"/>
        <w:rPr>
          <w:lang w:val="en-GB"/>
        </w:rPr>
      </w:pPr>
      <w:r>
        <w:rPr>
          <w:rStyle w:val="FootnoteReference"/>
        </w:rPr>
        <w:footnoteRef/>
      </w:r>
      <w:r w:rsidRPr="00A353D6">
        <w:rPr>
          <w:lang w:val="en-GB"/>
        </w:rPr>
        <w:t xml:space="preserve"> See also guidelines: Assessment of RDP results: how to prepare for reporting on evaluation in 2017, which will be published in April 2016</w:t>
      </w:r>
    </w:p>
  </w:footnote>
  <w:footnote w:id="96">
    <w:p w:rsidR="00860A11" w:rsidRPr="003C23DE" w:rsidRDefault="00860A11" w:rsidP="00320BBA">
      <w:pPr>
        <w:pStyle w:val="FootnoteText"/>
        <w:rPr>
          <w:lang w:val="en-GB"/>
        </w:rPr>
      </w:pPr>
      <w:r>
        <w:rPr>
          <w:rStyle w:val="FootnoteReference"/>
        </w:rPr>
        <w:footnoteRef/>
      </w:r>
      <w:r w:rsidRPr="00A353D6">
        <w:rPr>
          <w:lang w:val="en-GB"/>
        </w:rPr>
        <w:t xml:space="preserve"> See also the guidelines: Assessment of RDP results: how to prepare for reporting on evaluation in 2017, which will be published in 2016 </w:t>
      </w:r>
    </w:p>
  </w:footnote>
  <w:footnote w:id="97">
    <w:p w:rsidR="00860A11" w:rsidRPr="003C23DE" w:rsidRDefault="00860A11" w:rsidP="00320BBA">
      <w:pPr>
        <w:pStyle w:val="FootnoteText"/>
        <w:rPr>
          <w:lang w:val="en-GB"/>
        </w:rPr>
      </w:pPr>
      <w:r>
        <w:rPr>
          <w:rStyle w:val="FootnoteReference"/>
        </w:rPr>
        <w:footnoteRef/>
      </w:r>
      <w:r w:rsidRPr="00A353D6">
        <w:rPr>
          <w:lang w:val="en-GB"/>
        </w:rPr>
        <w:t xml:space="preserve"> Assessment of RDP results: how to prepare for reporting on evaluation in 2017, which will be published in April and Guidelines for ex post evaluation of 2007-2013 RDPs, </w:t>
      </w:r>
      <w:hyperlink r:id="rId42">
        <w:r w:rsidRPr="00A353D6">
          <w:rPr>
            <w:rStyle w:val="Hyperlink"/>
            <w:lang w:val="en-GB"/>
          </w:rPr>
          <w:t>http://enrd.ec.europa.eu/enrd-static/evaluation/library/evaluation-helpdesk-publications/en/evaluation-helpdesk-publications_en.html</w:t>
        </w:r>
      </w:hyperlink>
    </w:p>
  </w:footnote>
  <w:footnote w:id="98">
    <w:p w:rsidR="00860A11" w:rsidRPr="00165985" w:rsidRDefault="00860A11" w:rsidP="00320BBA">
      <w:pPr>
        <w:pStyle w:val="FootnoteText"/>
        <w:rPr>
          <w:lang w:val="en-US"/>
        </w:rPr>
      </w:pPr>
      <w:r>
        <w:rPr>
          <w:rStyle w:val="FootnoteReference"/>
        </w:rPr>
        <w:footnoteRef/>
      </w:r>
      <w:r w:rsidRPr="00A353D6">
        <w:rPr>
          <w:lang w:val="en-GB"/>
        </w:rPr>
        <w:t xml:space="preserve"> See the Helpdesk Guide (July 2010): Approaches for assessing the impacts of the Rural Development Programmes in the context of multiple intervening factors, p. 26 ff.</w:t>
      </w:r>
    </w:p>
  </w:footnote>
  <w:footnote w:id="99">
    <w:p w:rsidR="00860A11" w:rsidRPr="003C23DE" w:rsidRDefault="00860A11" w:rsidP="00320BBA">
      <w:pPr>
        <w:pStyle w:val="FootnoteText"/>
        <w:rPr>
          <w:lang w:val="en-GB"/>
        </w:rPr>
      </w:pPr>
      <w:r>
        <w:rPr>
          <w:rStyle w:val="FootnoteReference"/>
        </w:rPr>
        <w:footnoteRef/>
      </w:r>
      <w:r w:rsidRPr="00A353D6">
        <w:rPr>
          <w:lang w:val="en-US"/>
        </w:rPr>
        <w:t xml:space="preserve"> Idem, p. 56 ff.</w:t>
      </w:r>
    </w:p>
  </w:footnote>
  <w:footnote w:id="100">
    <w:p w:rsidR="00860A11" w:rsidRPr="003C23DE" w:rsidRDefault="00860A11" w:rsidP="00320BBA">
      <w:pPr>
        <w:pStyle w:val="FootnoteText"/>
        <w:rPr>
          <w:lang w:val="en-GB"/>
        </w:rPr>
      </w:pPr>
      <w:r>
        <w:rPr>
          <w:rStyle w:val="FootnoteReference"/>
        </w:rPr>
        <w:footnoteRef/>
      </w:r>
      <w:r w:rsidRPr="00A353D6">
        <w:rPr>
          <w:lang w:val="en-US"/>
        </w:rPr>
        <w:t xml:space="preserve"> </w:t>
      </w:r>
      <w:r w:rsidRPr="00A353D6">
        <w:rPr>
          <w:highlight w:val="yellow"/>
          <w:lang w:val="en-US"/>
        </w:rPr>
        <w:t xml:space="preserve">Exemple: SurveyMonkey, </w:t>
      </w:r>
      <w:hyperlink r:id="rId43">
        <w:r w:rsidRPr="00A353D6">
          <w:rPr>
            <w:rStyle w:val="Hyperlink"/>
            <w:highlight w:val="yellow"/>
            <w:lang w:val="en-US"/>
          </w:rPr>
          <w:t>https://www.surveymonkey.com/</w:t>
        </w:r>
      </w:hyperlink>
      <w:r w:rsidRPr="00A353D6">
        <w:rPr>
          <w:highlight w:val="yellow"/>
          <w:lang w:val="en-US"/>
        </w:rPr>
        <w:t xml:space="preserve">, KvikSurvey, </w:t>
      </w:r>
      <w:hyperlink r:id="rId44">
        <w:r w:rsidRPr="00A353D6">
          <w:rPr>
            <w:rStyle w:val="Hyperlink"/>
            <w:highlight w:val="yellow"/>
            <w:lang w:val="en-US"/>
          </w:rPr>
          <w:t>https://kwiksurveys.com/</w:t>
        </w:r>
      </w:hyperlink>
      <w:r w:rsidRPr="00A353D6">
        <w:rPr>
          <w:highlight w:val="yellow"/>
          <w:lang w:val="en-US"/>
        </w:rPr>
        <w:t xml:space="preserve"> etc.</w:t>
      </w:r>
    </w:p>
  </w:footnote>
  <w:footnote w:id="101">
    <w:p w:rsidR="00860A11" w:rsidRPr="000C17C2" w:rsidRDefault="00860A11" w:rsidP="00320BBA">
      <w:pPr>
        <w:pStyle w:val="FootnoteText"/>
        <w:rPr>
          <w:highlight w:val="yellow"/>
          <w:lang w:val="en-GB"/>
        </w:rPr>
      </w:pPr>
      <w:r>
        <w:rPr>
          <w:rStyle w:val="FootnoteReference"/>
        </w:rPr>
        <w:footnoteRef/>
      </w:r>
      <w:r w:rsidRPr="00A353D6">
        <w:rPr>
          <w:lang w:val="en-GB"/>
        </w:rPr>
        <w:t xml:space="preserve"> </w:t>
      </w:r>
      <w:r w:rsidRPr="00A353D6">
        <w:rPr>
          <w:rStyle w:val="Hyperlink"/>
          <w:highlight w:val="yellow"/>
          <w:lang w:val="en-GB"/>
        </w:rPr>
        <w:t>http://edutechwiki.unige.ch/en/Repertory_grid_technique</w:t>
      </w:r>
    </w:p>
  </w:footnote>
  <w:footnote w:id="102">
    <w:p w:rsidR="00860A11" w:rsidRPr="00A353D6" w:rsidRDefault="00860A11" w:rsidP="00320BBA">
      <w:pPr>
        <w:pStyle w:val="FootnoteText"/>
        <w:rPr>
          <w:highlight w:val="yellow"/>
          <w:lang w:val="fr-BE"/>
        </w:rPr>
      </w:pPr>
      <w:r>
        <w:rPr>
          <w:rStyle w:val="FootnoteReference"/>
          <w:highlight w:val="yellow"/>
        </w:rPr>
        <w:footnoteRef/>
      </w:r>
      <w:r>
        <w:rPr>
          <w:highlight w:val="yellow"/>
        </w:rPr>
        <w:t xml:space="preserve"> Selon Steve de Shazer, «Vous pouvez savoir ce qui est mieux, sans savoir ce qui est bon»</w:t>
      </w:r>
    </w:p>
  </w:footnote>
  <w:footnote w:id="103">
    <w:p w:rsidR="00860A11" w:rsidRPr="00A353D6" w:rsidRDefault="00860A11" w:rsidP="00320BBA">
      <w:pPr>
        <w:pStyle w:val="FootnoteText"/>
        <w:rPr>
          <w:highlight w:val="yellow"/>
          <w:lang w:val="fr-BE"/>
        </w:rPr>
      </w:pPr>
      <w:r>
        <w:rPr>
          <w:rStyle w:val="FootnoteReference"/>
          <w:highlight w:val="yellow"/>
        </w:rPr>
        <w:footnoteRef/>
      </w:r>
      <w:r>
        <w:rPr>
          <w:highlight w:val="yellow"/>
        </w:rPr>
        <w:t xml:space="preserve"> </w:t>
      </w:r>
      <w:hyperlink r:id="rId45">
        <w:r>
          <w:rPr>
            <w:rStyle w:val="Hyperlink"/>
            <w:highlight w:val="yellow"/>
          </w:rPr>
          <w:t>https://en.wikipedia.org/wiki/Collective_intelligence</w:t>
        </w:r>
      </w:hyperlink>
      <w:r>
        <w:rPr>
          <w:highlight w:val="yellow"/>
        </w:rPr>
        <w:t xml:space="preserve"> </w:t>
      </w:r>
    </w:p>
  </w:footnote>
  <w:footnote w:id="104">
    <w:p w:rsidR="00860A11" w:rsidRPr="00E37021" w:rsidRDefault="00860A11" w:rsidP="00320BBA">
      <w:pPr>
        <w:pStyle w:val="FootnoteText"/>
        <w:rPr>
          <w:lang w:val="fr-BE"/>
        </w:rPr>
      </w:pPr>
      <w:r>
        <w:rPr>
          <w:rStyle w:val="FootnoteReference"/>
          <w:highlight w:val="yellow"/>
        </w:rPr>
        <w:footnoteRef/>
      </w:r>
      <w:r w:rsidRPr="00A353D6">
        <w:rPr>
          <w:highlight w:val="yellow"/>
          <w:lang w:val="de-DE"/>
        </w:rPr>
        <w:t xml:space="preserve"> Robert Lukesch, Harald Payer, Jutta Rabenau (2008): Wissen von innen - Fokusgruppen in der Begleitforschung von Regionen Aktiv. Dans: Michael Böcher, Max Krott, Sebastian Tränkner (2008): Regional Governance und integrierte ländliche Entwicklung. p.179-205. </w:t>
      </w:r>
      <w:r>
        <w:rPr>
          <w:highlight w:val="yellow"/>
        </w:rPr>
        <w:t>Springer, Wiesbaden.</w:t>
      </w:r>
    </w:p>
  </w:footnote>
  <w:footnote w:id="105">
    <w:p w:rsidR="00860A11" w:rsidRPr="00A353D6" w:rsidRDefault="00860A11" w:rsidP="00320BBA">
      <w:pPr>
        <w:pStyle w:val="FootnoteText"/>
        <w:rPr>
          <w:highlight w:val="yellow"/>
          <w:lang w:val="fr-BE"/>
        </w:rPr>
      </w:pPr>
      <w:r>
        <w:rPr>
          <w:rStyle w:val="FootnoteReference"/>
        </w:rPr>
        <w:footnoteRef/>
      </w:r>
      <w:r>
        <w:t xml:space="preserve"> </w:t>
      </w:r>
      <w:r>
        <w:rPr>
          <w:highlight w:val="yellow"/>
        </w:rPr>
        <w:t xml:space="preserve">Enrique Mendizabal: </w:t>
      </w:r>
      <w:r>
        <w:rPr>
          <w:i/>
          <w:highlight w:val="yellow"/>
        </w:rPr>
        <w:t>Comprendre les réseaux: Les fonctions des réseaux de politique de recherche,</w:t>
      </w:r>
      <w:r>
        <w:rPr>
          <w:highlight w:val="yellow"/>
        </w:rPr>
        <w:t xml:space="preserve"> Overseas Development Institute, Londres 2006</w:t>
      </w:r>
    </w:p>
  </w:footnote>
  <w:footnote w:id="106">
    <w:p w:rsidR="00860A11" w:rsidRPr="00A353D6" w:rsidRDefault="00860A11" w:rsidP="00B75E70">
      <w:pPr>
        <w:pStyle w:val="FootnoteText"/>
        <w:rPr>
          <w:highlight w:val="yellow"/>
          <w:lang w:val="fr-BE"/>
        </w:rPr>
      </w:pPr>
      <w:r>
        <w:rPr>
          <w:rStyle w:val="FootnoteReference"/>
          <w:highlight w:val="yellow"/>
        </w:rPr>
        <w:footnoteRef/>
      </w:r>
      <w:r>
        <w:rPr>
          <w:highlight w:val="yellow"/>
        </w:rPr>
        <w:t xml:space="preserve"> R. Mitchell, B. Agle, and D. Wood, Vers une théorie de l'identification et de la prégnance des parties prenantes: définir le principe de qui et de ce qui compte vraiment, Academy of  Management Review, 22(4) (1997)</w:t>
      </w:r>
    </w:p>
  </w:footnote>
  <w:footnote w:id="107">
    <w:p w:rsidR="00860A11" w:rsidRPr="00A353D6" w:rsidRDefault="00860A11" w:rsidP="00320BBA">
      <w:pPr>
        <w:pStyle w:val="FootnoteText"/>
        <w:rPr>
          <w:lang w:val="fr-BE"/>
        </w:rPr>
      </w:pPr>
      <w:r>
        <w:rPr>
          <w:rStyle w:val="FootnoteReference"/>
          <w:highlight w:val="yellow"/>
        </w:rPr>
        <w:footnoteRef/>
      </w:r>
      <w:r>
        <w:rPr>
          <w:highlight w:val="yellow"/>
        </w:rPr>
        <w:t xml:space="preserve"> David Knoke et Song Young (2008), </w:t>
      </w:r>
      <w:r>
        <w:rPr>
          <w:i/>
          <w:highlight w:val="yellow"/>
        </w:rPr>
        <w:t>Analyse des réseaux sociaux, 2</w:t>
      </w:r>
      <w:r>
        <w:rPr>
          <w:i/>
          <w:highlight w:val="yellow"/>
          <w:vertAlign w:val="superscript"/>
        </w:rPr>
        <w:t>e</w:t>
      </w:r>
      <w:r>
        <w:rPr>
          <w:i/>
          <w:highlight w:val="yellow"/>
        </w:rPr>
        <w:t xml:space="preserve"> édition,</w:t>
      </w:r>
      <w:r>
        <w:rPr>
          <w:highlight w:val="yellow"/>
        </w:rPr>
        <w:t xml:space="preserve"> SAGE Publications; Stanley Wasserman et Katherine Faust (1994), </w:t>
      </w:r>
      <w:r>
        <w:rPr>
          <w:i/>
          <w:highlight w:val="yellow"/>
        </w:rPr>
        <w:t>analyse des réseaux sociaux. Méthodes et Applications,</w:t>
      </w:r>
      <w:r>
        <w:rPr>
          <w:highlight w:val="yellow"/>
        </w:rPr>
        <w:t xml:space="preserve"> Cambridge University Press.</w:t>
      </w:r>
    </w:p>
  </w:footnote>
  <w:footnote w:id="108">
    <w:p w:rsidR="00860A11" w:rsidRPr="00A353D6" w:rsidRDefault="00860A11" w:rsidP="00320BBA">
      <w:pPr>
        <w:pStyle w:val="FootnoteText"/>
        <w:rPr>
          <w:highlight w:val="yellow"/>
          <w:lang w:val="fr-BE"/>
        </w:rPr>
      </w:pPr>
      <w:r>
        <w:rPr>
          <w:rStyle w:val="FootnoteReference"/>
        </w:rPr>
        <w:footnoteRef/>
      </w:r>
      <w:r>
        <w:t xml:space="preserve"> </w:t>
      </w:r>
      <w:r>
        <w:rPr>
          <w:highlight w:val="yellow"/>
        </w:rPr>
        <w:t>Gesellschaft für Internationale Zusammenarbeit / GIZ (2015): Gestion de la coopération pour les praticiens. Gérer le changement social avec Capacity WORKS. Springer, Wiesbaden. Le livre est disponible en anglais, français et allemand.</w:t>
      </w:r>
    </w:p>
  </w:footnote>
  <w:footnote w:id="109">
    <w:p w:rsidR="00860A11" w:rsidRPr="000C17C2" w:rsidRDefault="00860A11" w:rsidP="00320BBA">
      <w:pPr>
        <w:pStyle w:val="FootnoteText"/>
        <w:rPr>
          <w:highlight w:val="yellow"/>
        </w:rPr>
      </w:pPr>
      <w:r>
        <w:rPr>
          <w:rStyle w:val="FootnoteReference"/>
          <w:highlight w:val="yellow"/>
        </w:rPr>
        <w:footnoteRef/>
      </w:r>
      <w:r>
        <w:rPr>
          <w:highlight w:val="yellow"/>
        </w:rPr>
        <w:t xml:space="preserve"> Andrè Martinuzzi et Ursula Kopp: Les constellations systémiques dans les évaluations basées sur la théorie - outils et expériences. </w:t>
      </w:r>
      <w:hyperlink r:id="rId46">
        <w:r>
          <w:rPr>
            <w:rStyle w:val="Hyperlink"/>
            <w:highlight w:val="yellow"/>
          </w:rPr>
          <w:t>http://ec.europa.eu/regional_policy/archive/conferences/evaluation2009/abstracts/martinuzzi.pdf</w:t>
        </w:r>
      </w:hyperlink>
      <w:r>
        <w:rPr>
          <w:highlight w:val="yellow"/>
        </w:rPr>
        <w:t xml:space="preserve"> </w:t>
      </w:r>
    </w:p>
  </w:footnote>
  <w:footnote w:id="110">
    <w:p w:rsidR="00860A11" w:rsidRPr="00A353D6" w:rsidRDefault="00860A11" w:rsidP="00320BBA">
      <w:pPr>
        <w:pStyle w:val="FootnoteText"/>
        <w:rPr>
          <w:highlight w:val="yellow"/>
          <w:lang w:val="fr-BE"/>
        </w:rPr>
      </w:pPr>
      <w:r>
        <w:rPr>
          <w:rStyle w:val="FootnoteReference"/>
          <w:highlight w:val="yellow"/>
        </w:rPr>
        <w:footnoteRef/>
      </w:r>
      <w:r>
        <w:rPr>
          <w:highlight w:val="yellow"/>
        </w:rPr>
        <w:t xml:space="preserve"> Voir par exemple: Krysia M. Yardley-Matwiejczuk 1997: Jeux de rôle-Théorie et pratique, Sage</w:t>
      </w:r>
    </w:p>
  </w:footnote>
  <w:footnote w:id="111">
    <w:p w:rsidR="00860A11" w:rsidRPr="00A353D6" w:rsidRDefault="00860A11" w:rsidP="00320BBA">
      <w:pPr>
        <w:pStyle w:val="FootnoteText"/>
        <w:rPr>
          <w:lang w:val="fr-BE"/>
        </w:rPr>
      </w:pPr>
      <w:r>
        <w:rPr>
          <w:rStyle w:val="FootnoteReference"/>
          <w:highlight w:val="yellow"/>
        </w:rPr>
        <w:footnoteRef/>
      </w:r>
      <w:r>
        <w:rPr>
          <w:highlight w:val="yellow"/>
        </w:rPr>
        <w:t xml:space="preserve"> </w:t>
      </w:r>
      <w:hyperlink r:id="rId47">
        <w:r>
          <w:rPr>
            <w:rStyle w:val="Hyperlink"/>
            <w:highlight w:val="yellow"/>
          </w:rPr>
          <w:t>http://asgpp.org/pdf/psychodrama.conciseintro.pdf</w:t>
        </w:r>
      </w:hyperlink>
      <w:r>
        <w:t xml:space="preserve"> </w:t>
      </w:r>
    </w:p>
  </w:footnote>
  <w:footnote w:id="112">
    <w:p w:rsidR="00860A11" w:rsidRPr="00A353D6" w:rsidRDefault="00860A11" w:rsidP="00320BBA">
      <w:pPr>
        <w:pStyle w:val="FootnoteText"/>
        <w:rPr>
          <w:lang w:val="fr-BE"/>
        </w:rPr>
      </w:pPr>
      <w:r>
        <w:rPr>
          <w:rStyle w:val="FootnoteReference"/>
        </w:rPr>
        <w:footnoteRef/>
      </w:r>
      <w:r>
        <w:t xml:space="preserve"> </w:t>
      </w:r>
      <w:r>
        <w:rPr>
          <w:highlight w:val="yellow"/>
        </w:rPr>
        <w:t>Voir aussi les lignes directrices :  Évaluation des résultats du PDR : Comment préparer les rapports de l'évaluation en 2017,</w:t>
      </w:r>
    </w:p>
  </w:footnote>
  <w:footnote w:id="113">
    <w:p w:rsidR="00860A11" w:rsidRPr="00C04FDB" w:rsidRDefault="00860A11" w:rsidP="00320BBA">
      <w:pPr>
        <w:pStyle w:val="FootnoteText"/>
        <w:rPr>
          <w:lang w:val="en-US"/>
        </w:rPr>
      </w:pPr>
      <w:r>
        <w:rPr>
          <w:rStyle w:val="FootnoteReference"/>
        </w:rPr>
        <w:footnoteRef/>
      </w:r>
      <w:r w:rsidRPr="00A353D6">
        <w:rPr>
          <w:lang w:val="en-GB"/>
        </w:rPr>
        <w:t xml:space="preserve"> The NRN Self-Assessment Toolkit provides a host of useful resources for practicing self-assessment for NSU: </w:t>
      </w:r>
      <w:hyperlink r:id="rId48">
        <w:r w:rsidRPr="00A353D6">
          <w:rPr>
            <w:rStyle w:val="Hyperlink"/>
            <w:lang w:val="en-GB"/>
          </w:rPr>
          <w:t>http://enrd.ec.europa.eu/enrd-static/networks-and-networking/nrn-self-assessment-tool-kit/practical-tools-for-nrn-self-assessment/en/practical-tools-for-nrn-self-assessment_en.html</w:t>
        </w:r>
      </w:hyperlink>
      <w:r w:rsidRPr="00A353D6">
        <w:rPr>
          <w:lang w:val="en-GB"/>
        </w:rPr>
        <w:t xml:space="preserve"> </w:t>
      </w:r>
    </w:p>
  </w:footnote>
  <w:footnote w:id="114">
    <w:p w:rsidR="00860A11" w:rsidRPr="008A0246" w:rsidRDefault="00860A11" w:rsidP="00320BBA">
      <w:pPr>
        <w:pStyle w:val="FootnoteText"/>
      </w:pPr>
      <w:r>
        <w:rPr>
          <w:rStyle w:val="FootnoteReference"/>
        </w:rPr>
        <w:footnoteRef/>
      </w:r>
      <w:r w:rsidRPr="00A353D6">
        <w:rPr>
          <w:lang w:val="en-GB"/>
        </w:rPr>
        <w:t xml:space="preserve"> See for example the Scottish case study presented during the Helpdesk workshop held in Rome, 11/12 April 2014: “NRN – How to show their benefits.” </w:t>
      </w:r>
      <w:hyperlink r:id="rId49">
        <w:r>
          <w:rPr>
            <w:rStyle w:val="Hyperlink"/>
          </w:rPr>
          <w:t>https://enrd.ec.europa.eu/sites/enrd/files/assets/pdf/evaluation/national-rural-networks/GPW10_Scotland.pdf</w:t>
        </w:r>
      </w:hyperlink>
      <w:r>
        <w:t xml:space="preserve"> </w:t>
      </w:r>
    </w:p>
  </w:footnote>
  <w:footnote w:id="115">
    <w:p w:rsidR="00860A11" w:rsidRPr="00472DFD" w:rsidRDefault="00860A11" w:rsidP="00320BBA">
      <w:pPr>
        <w:pStyle w:val="FootnoteText"/>
        <w:rPr>
          <w:lang w:val="en-US"/>
        </w:rPr>
      </w:pPr>
      <w:r>
        <w:rPr>
          <w:rStyle w:val="FootnoteReference"/>
        </w:rPr>
        <w:footnoteRef/>
      </w:r>
      <w:r w:rsidRPr="00A353D6">
        <w:rPr>
          <w:lang w:val="en-GB"/>
        </w:rPr>
        <w:t xml:space="preserve"> For instance, the Austrian NRN Strategy 2014-2020 defines five overall objectives and 17 strategic objectives and 13 types of interventions which are cross-related to a host of operational objectives in five priority areas: (i) Agriculture and forestry and related value chains; (ii) Environment, biodiversity and nature protection; (iii) climate change and climate protection; (iv) innovation; (v) basic services, LEADER and local/regional development. It should be noted that the innovation priority coincides with the network support unit for the EIP OG which is embedded in the same NSU in Austria.</w:t>
      </w:r>
    </w:p>
  </w:footnote>
  <w:footnote w:id="116">
    <w:p w:rsidR="00860A11" w:rsidRPr="00A353D6" w:rsidRDefault="00860A11" w:rsidP="000A3387">
      <w:pPr>
        <w:pStyle w:val="FootnoteText"/>
        <w:rPr>
          <w:highlight w:val="yellow"/>
          <w:lang w:val="fr-BE"/>
        </w:rPr>
      </w:pPr>
      <w:r>
        <w:rPr>
          <w:rStyle w:val="FootnoteReference"/>
        </w:rPr>
        <w:footnoteRef/>
      </w:r>
      <w:r>
        <w:t xml:space="preserve"> </w:t>
      </w:r>
      <w:r>
        <w:rPr>
          <w:highlight w:val="yellow"/>
        </w:rPr>
        <w:t>L'approche «émique» étudie comment les gens pensent, comment ils perçoivent et classent le monde (Wikipedia).</w:t>
      </w:r>
    </w:p>
  </w:footnote>
  <w:footnote w:id="117">
    <w:p w:rsidR="00860A11" w:rsidRPr="00A353D6" w:rsidRDefault="00860A11" w:rsidP="000A3387">
      <w:pPr>
        <w:pStyle w:val="FootnoteText"/>
        <w:rPr>
          <w:lang w:val="fr-BE"/>
        </w:rPr>
      </w:pPr>
      <w:r>
        <w:rPr>
          <w:rStyle w:val="FootnoteReference"/>
          <w:highlight w:val="yellow"/>
        </w:rPr>
        <w:footnoteRef/>
      </w:r>
      <w:r>
        <w:rPr>
          <w:color w:val="808080" w:themeColor="background1" w:themeShade="80"/>
          <w:highlight w:val="yellow"/>
          <w:shd w:val="clear" w:color="auto" w:fill="FFFFFF"/>
        </w:rPr>
        <w:t>Un compte «étique» est une description d'un</w:t>
      </w:r>
      <w:r>
        <w:t xml:space="preserve"> </w:t>
      </w:r>
      <w:hyperlink r:id="rId50" w:tooltip="Behavior">
        <w:r>
          <w:rPr>
            <w:color w:val="808080" w:themeColor="background1" w:themeShade="80"/>
            <w:highlight w:val="yellow"/>
            <w:shd w:val="clear" w:color="auto" w:fill="FFFFFF"/>
          </w:rPr>
          <w:t>comportement</w:t>
        </w:r>
      </w:hyperlink>
      <w:r>
        <w:t xml:space="preserve"> </w:t>
      </w:r>
      <w:r>
        <w:rPr>
          <w:color w:val="808080" w:themeColor="background1" w:themeShade="80"/>
          <w:highlight w:val="yellow"/>
          <w:shd w:val="clear" w:color="auto" w:fill="FFFFFF"/>
        </w:rPr>
        <w:t>ou d’une croyance par un analyste social ou un observateur scientifique (Wikipédia).</w:t>
      </w:r>
    </w:p>
  </w:footnote>
  <w:footnote w:id="118">
    <w:p w:rsidR="00860A11" w:rsidRPr="003C23DE" w:rsidRDefault="00860A11" w:rsidP="00320BBA">
      <w:pPr>
        <w:pStyle w:val="FootnoteText"/>
        <w:rPr>
          <w:lang w:val="en-GB"/>
        </w:rPr>
      </w:pPr>
      <w:r>
        <w:rPr>
          <w:rStyle w:val="FootnoteReference"/>
        </w:rPr>
        <w:footnoteRef/>
      </w:r>
      <w:r w:rsidRPr="00A353D6">
        <w:rPr>
          <w:lang w:val="en-GB"/>
        </w:rPr>
        <w:t xml:space="preserve"> Also see the guidelines: Assessment of RDP results: how to prepare for reporting on evaluation in 2017, Chapter 8.</w:t>
      </w:r>
    </w:p>
  </w:footnote>
  <w:footnote w:id="119">
    <w:p w:rsidR="00860A11" w:rsidRPr="004F24B6" w:rsidRDefault="00860A11" w:rsidP="00320BBA">
      <w:pPr>
        <w:pStyle w:val="FootnoteText"/>
        <w:rPr>
          <w:lang w:val="en-US"/>
        </w:rPr>
      </w:pPr>
      <w:r>
        <w:rPr>
          <w:rStyle w:val="FootnoteReference"/>
        </w:rPr>
        <w:footnoteRef/>
      </w:r>
      <w:r w:rsidRPr="00A353D6">
        <w:rPr>
          <w:lang w:val="en-GB"/>
        </w:rPr>
        <w:t xml:space="preserve"> E.g. multipliers are explicitly addressed by the Austrian Network Strategy.</w:t>
      </w:r>
    </w:p>
  </w:footnote>
  <w:footnote w:id="120">
    <w:p w:rsidR="00860A11" w:rsidRPr="00DA0DC1" w:rsidRDefault="00860A11" w:rsidP="00320BBA">
      <w:pPr>
        <w:pStyle w:val="FootnoteText"/>
        <w:rPr>
          <w:lang w:val="sk-SK"/>
        </w:rPr>
      </w:pPr>
      <w:r>
        <w:rPr>
          <w:rStyle w:val="FootnoteReference"/>
        </w:rPr>
        <w:footnoteRef/>
      </w:r>
      <w:r w:rsidRPr="00A353D6">
        <w:rPr>
          <w:lang w:val="en-GB"/>
        </w:rPr>
        <w:t xml:space="preserve"> Guidelines for ex post evaluation of 2007-2013 RDPs </w:t>
      </w:r>
      <w:hyperlink r:id="rId51">
        <w:r w:rsidRPr="00A353D6">
          <w:rPr>
            <w:rStyle w:val="Hyperlink"/>
            <w:lang w:val="en-GB"/>
          </w:rPr>
          <w:t>http://enrd.ec.europa.eu/enrd-static/evaluation/library/evaluation-helpdesk-publications/en/evaluation-helpdesk-publications_en.html</w:t>
        </w:r>
      </w:hyperlink>
    </w:p>
  </w:footnote>
  <w:footnote w:id="121">
    <w:p w:rsidR="00860A11" w:rsidRPr="00E07CE3" w:rsidRDefault="00860A11" w:rsidP="00320BBA">
      <w:pPr>
        <w:pStyle w:val="FootnoteText"/>
        <w:rPr>
          <w:lang w:val="sk-SK"/>
        </w:rPr>
      </w:pPr>
      <w:r>
        <w:rPr>
          <w:rStyle w:val="FootnoteReference"/>
        </w:rPr>
        <w:footnoteRef/>
      </w:r>
      <w:r w:rsidRPr="00A353D6">
        <w:rPr>
          <w:lang w:val="sk-SK"/>
        </w:rPr>
        <w:t xml:space="preserve"> </w:t>
      </w:r>
      <w:hyperlink r:id="rId52">
        <w:r w:rsidRPr="00A353D6">
          <w:rPr>
            <w:rStyle w:val="Hyperlink"/>
            <w:lang w:val="sk-SK"/>
          </w:rPr>
          <w:t>http://ec.europa.eu/agriculture/evaluation/rural-development-reports/2014/investment-support-rdp/fulltext_en.pdf</w:t>
        </w:r>
      </w:hyperlink>
    </w:p>
  </w:footnote>
  <w:footnote w:id="122">
    <w:p w:rsidR="00860A11" w:rsidRPr="003C23DE" w:rsidRDefault="00860A11" w:rsidP="00320BBA">
      <w:pPr>
        <w:pStyle w:val="FootnoteText"/>
        <w:rPr>
          <w:lang w:val="en-GB"/>
        </w:rPr>
      </w:pPr>
      <w:r>
        <w:rPr>
          <w:rStyle w:val="FootnoteReference"/>
        </w:rPr>
        <w:footnoteRef/>
      </w:r>
      <w:r w:rsidRPr="00A353D6">
        <w:rPr>
          <w:lang w:val="en-GB"/>
        </w:rPr>
        <w:t xml:space="preserve"> Helpdesk of the European Evaluation Network for RDPs 2007-2013 (2015): Working Document: Common Evaluation Questions for Rural Development Programmes 2014-2020.</w:t>
      </w:r>
    </w:p>
  </w:footnote>
  <w:footnote w:id="123">
    <w:p w:rsidR="00860A11" w:rsidRPr="0003537C" w:rsidRDefault="00860A11" w:rsidP="00C4370D">
      <w:pPr>
        <w:pStyle w:val="FootnoteText"/>
        <w:rPr>
          <w:rFonts w:asciiTheme="minorHAnsi" w:hAnsiTheme="minorHAnsi"/>
          <w:lang w:val="sk-SK"/>
        </w:rPr>
      </w:pPr>
      <w:r>
        <w:rPr>
          <w:rStyle w:val="FootnoteReference"/>
        </w:rPr>
        <w:footnoteRef/>
      </w:r>
      <w:r>
        <w:t xml:space="preserve"> </w:t>
      </w:r>
      <w:r>
        <w:rPr>
          <w:rFonts w:asciiTheme="minorHAnsi" w:hAnsiTheme="minorHAnsi"/>
          <w:highlight w:val="yellow"/>
        </w:rPr>
        <w:t>Règlement d'exécution (UE) n° 808/2014, annexe V.</w:t>
      </w:r>
    </w:p>
  </w:footnote>
  <w:footnote w:id="124">
    <w:p w:rsidR="00860A11" w:rsidRPr="004636A8" w:rsidRDefault="00860A11" w:rsidP="00C4370D">
      <w:pPr>
        <w:pStyle w:val="FootnoteText"/>
        <w:rPr>
          <w:highlight w:val="yellow"/>
        </w:rPr>
      </w:pPr>
      <w:r>
        <w:rPr>
          <w:rStyle w:val="FootnoteReference"/>
        </w:rPr>
        <w:footnoteRef/>
      </w:r>
      <w:r>
        <w:t xml:space="preserve"> </w:t>
      </w:r>
      <w:r>
        <w:rPr>
          <w:highlight w:val="yellow"/>
        </w:rPr>
        <w:t>Les impacts de Leader et les mesures visant à améliorer la qualité de vie dans les zones rurales, Réseau européen d'évaluation pour le développement rural 2010</w:t>
      </w:r>
    </w:p>
  </w:footnote>
  <w:footnote w:id="125">
    <w:p w:rsidR="00860A11" w:rsidRPr="004636A8" w:rsidRDefault="00860A11" w:rsidP="00C4370D">
      <w:pPr>
        <w:pStyle w:val="FootnoteText"/>
        <w:rPr>
          <w:highlight w:val="yellow"/>
        </w:rPr>
      </w:pPr>
      <w:r>
        <w:rPr>
          <w:rStyle w:val="FootnoteReference"/>
          <w:highlight w:val="yellow"/>
        </w:rPr>
        <w:footnoteRef/>
      </w:r>
      <w:r>
        <w:rPr>
          <w:highlight w:val="yellow"/>
        </w:rPr>
        <w:t xml:space="preserve"> Les impacts de Leader et les mesures visant à améliorer la qualité de vie dans les zones rurales, Réseau européen d'évaluation pour le développement rural 2010</w:t>
      </w:r>
    </w:p>
  </w:footnote>
  <w:footnote w:id="126">
    <w:p w:rsidR="00860A11" w:rsidRPr="004636A8" w:rsidRDefault="00860A11" w:rsidP="00C4370D">
      <w:pPr>
        <w:pStyle w:val="FootnoteText"/>
        <w:rPr>
          <w:highlight w:val="yellow"/>
        </w:rPr>
      </w:pPr>
      <w:r>
        <w:rPr>
          <w:rStyle w:val="FootnoteReference"/>
          <w:highlight w:val="yellow"/>
        </w:rPr>
        <w:footnoteRef/>
      </w:r>
      <w:r>
        <w:rPr>
          <w:highlight w:val="yellow"/>
        </w:rPr>
        <w:t xml:space="preserve"> Analyse socio-économique et analyse par genre (ASEG) de la FAO - http://www.fao.org/knowledge/goodpractices/bp-gender-equity-in-rural/bp-seaga/en/</w:t>
      </w:r>
    </w:p>
  </w:footnote>
  <w:footnote w:id="127">
    <w:p w:rsidR="00860A11" w:rsidRPr="004636A8" w:rsidRDefault="00860A11" w:rsidP="00C4370D">
      <w:pPr>
        <w:pStyle w:val="FootnoteText"/>
      </w:pPr>
      <w:r>
        <w:rPr>
          <w:rStyle w:val="FootnoteReference"/>
          <w:highlight w:val="yellow"/>
        </w:rPr>
        <w:footnoteRef/>
      </w:r>
      <w:r>
        <w:rPr>
          <w:highlight w:val="yellow"/>
        </w:rPr>
        <w:t xml:space="preserve"> Enrique Mendizabal: Understanding Networks: The Functions of Research Policy Networks (Comprendre les réseaux: les fonctions des réseaux au sein des politiques de recherche), Overseas Development Institute, Londres, 2006</w:t>
      </w:r>
    </w:p>
  </w:footnote>
  <w:footnote w:id="128">
    <w:p w:rsidR="00860A11" w:rsidRPr="004636A8" w:rsidRDefault="00860A11" w:rsidP="00C4370D">
      <w:pPr>
        <w:pStyle w:val="FootnoteText"/>
        <w:rPr>
          <w:highlight w:val="yellow"/>
        </w:rPr>
      </w:pPr>
      <w:r>
        <w:rPr>
          <w:rStyle w:val="FootnoteReference"/>
        </w:rPr>
        <w:footnoteRef/>
      </w:r>
      <w:r>
        <w:t xml:space="preserve"> </w:t>
      </w:r>
      <w:r>
        <w:rPr>
          <w:highlight w:val="yellow"/>
        </w:rPr>
        <w:t>Bauer-Wolf, S. et al., (2008), Erfolgreich durch Netzwerkkompetenz (Réussir grâce à la compétence du réseau), Springer-Verlag, Vienne</w:t>
      </w:r>
    </w:p>
  </w:footnote>
  <w:footnote w:id="129">
    <w:p w:rsidR="00860A11" w:rsidRPr="004636A8" w:rsidRDefault="00860A11" w:rsidP="00C4370D">
      <w:pPr>
        <w:pStyle w:val="FootnoteText"/>
      </w:pPr>
      <w:r>
        <w:rPr>
          <w:rStyle w:val="FootnoteReference"/>
          <w:highlight w:val="yellow"/>
        </w:rPr>
        <w:footnoteRef/>
      </w:r>
      <w:r>
        <w:rPr>
          <w:highlight w:val="yellow"/>
        </w:rPr>
        <w:t xml:space="preserve"> Les impacts de Leader et les mesures visant à améliorer la qualité de vie dans les zones rurales, Réseau européen d'évaluation pour le développement rural 2010</w:t>
      </w:r>
    </w:p>
  </w:footnote>
  <w:footnote w:id="130">
    <w:p w:rsidR="00860A11" w:rsidRPr="0003537C" w:rsidRDefault="00860A11" w:rsidP="00C4370D">
      <w:pPr>
        <w:pStyle w:val="FootnoteText"/>
        <w:rPr>
          <w:rFonts w:asciiTheme="minorHAnsi" w:hAnsiTheme="minorHAnsi"/>
          <w:lang w:val="sk-SK"/>
        </w:rPr>
      </w:pPr>
      <w:r>
        <w:rPr>
          <w:rStyle w:val="FootnoteReference"/>
        </w:rPr>
        <w:footnoteRef/>
      </w:r>
      <w:r>
        <w:t xml:space="preserve"> Regulation (EU) No 1305/2013, Art. 54.2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0A11" w:rsidRDefault="00860A11" w:rsidP="00EE0DA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0A11" w:rsidRDefault="00860A11" w:rsidP="003637C5">
    <w:pPr>
      <w:pStyle w:val="Header"/>
      <w:pBdr>
        <w:bottom w:val="none" w:sz="0" w:space="0" w:color="auto"/>
      </w:pBdr>
      <w:ind w:right="95"/>
      <w:jc w:val="right"/>
      <w:rPr>
        <w:rFonts w:cs="Arial"/>
      </w:rPr>
    </w:pPr>
    <w:r>
      <w:tab/>
      <w:t>Lignes directrices pour l ’évaluation des réseaux ruraux 2014-2020</w:t>
    </w:r>
  </w:p>
  <w:p w:rsidR="00860A11" w:rsidRPr="007C19BE" w:rsidRDefault="00860A11" w:rsidP="00F15219">
    <w:pPr>
      <w:pStyle w:val="Header"/>
      <w:pBdr>
        <w:bottom w:val="none" w:sz="0" w:space="0" w:color="auto"/>
      </w:pBdr>
      <w:rPr>
        <w:rFonts w:cs="Arial"/>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0A11" w:rsidRPr="004F4478" w:rsidRDefault="00860A11" w:rsidP="00F15219">
    <w:pPr>
      <w:pStyle w:val="Header"/>
      <w:pBdr>
        <w:bottom w:val="none" w:sz="0" w:space="0" w:color="auto"/>
      </w:pBdr>
      <w:rPr>
        <w:rFonts w:cs="Arial"/>
        <w:lang w:val="en-GB"/>
      </w:rPr>
    </w:pPr>
    <w:r>
      <w:tab/>
    </w:r>
    <w:r w:rsidRPr="004F4478">
      <w:rPr>
        <w:lang w:val="en-GB"/>
      </w:rPr>
      <w:t>Guidelines for the evaluation of National Rural Networks 2014-2020</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0A11" w:rsidRPr="002C3379" w:rsidRDefault="00860A11" w:rsidP="006A75AC">
    <w:pPr>
      <w:pStyle w:val="Header"/>
      <w:pBdr>
        <w:bottom w:val="none" w:sz="0" w:space="0" w:color="auto"/>
      </w:pBdr>
      <w:tabs>
        <w:tab w:val="clear" w:pos="8618"/>
        <w:tab w:val="right" w:pos="12869"/>
      </w:tabs>
    </w:pPr>
    <w:r>
      <w:tab/>
      <w:t>Lignes directrices pour l ’évaluation des réseaux ruraux 2014-2020</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0A11" w:rsidRPr="004F4478" w:rsidRDefault="00860A11" w:rsidP="00DD4A55">
    <w:pPr>
      <w:pStyle w:val="Header"/>
      <w:pBdr>
        <w:bottom w:val="none" w:sz="0" w:space="0" w:color="auto"/>
      </w:pBdr>
      <w:tabs>
        <w:tab w:val="clear" w:pos="8618"/>
        <w:tab w:val="right" w:pos="12869"/>
      </w:tabs>
      <w:ind w:left="0"/>
      <w:rPr>
        <w:rFonts w:cs="Arial"/>
        <w:lang w:val="en-GB"/>
      </w:rPr>
    </w:pPr>
    <w:r>
      <w:tab/>
    </w:r>
    <w:r w:rsidRPr="004F4478">
      <w:rPr>
        <w:lang w:val="en-GB"/>
      </w:rPr>
      <w:t>Guidelines for the evaluation of National Rural Networks 2014-2020</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0A11" w:rsidRDefault="00860A11" w:rsidP="003637C5">
    <w:pPr>
      <w:pStyle w:val="Header"/>
      <w:pBdr>
        <w:bottom w:val="none" w:sz="0" w:space="0" w:color="auto"/>
      </w:pBdr>
      <w:ind w:right="-46"/>
      <w:jc w:val="right"/>
      <w:rPr>
        <w:rFonts w:cs="Arial"/>
      </w:rPr>
    </w:pPr>
    <w:r>
      <w:tab/>
      <w:t>Lignes directrices pour l'évaluation des réseaux ruraux nationaux 2014-2020</w:t>
    </w:r>
  </w:p>
  <w:p w:rsidR="00860A11" w:rsidRDefault="00860A11"/>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0A11" w:rsidRPr="00F93622" w:rsidRDefault="00860A11" w:rsidP="00754C47">
    <w:pPr>
      <w:pStyle w:val="Header"/>
      <w:pBdr>
        <w:bottom w:val="none" w:sz="0" w:space="0" w:color="auto"/>
      </w:pBdr>
      <w:jc w:val="right"/>
    </w:pPr>
    <w:r>
      <w:tab/>
      <w:t>Lignes directrices pour l'évaluation des réseaux ruraux nationaux 2014-2020</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7D33" w:rsidRPr="00150D5B" w:rsidRDefault="002744A4" w:rsidP="00EE0DAB">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7D33" w:rsidRPr="00150D5B" w:rsidRDefault="002744A4" w:rsidP="00EE0DA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CCAA118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98B84A10"/>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5E217F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93B2B99C"/>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77D0CB6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FAA6385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30AB760"/>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82A11D0"/>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B1ABBE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80BE9D0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7A2DB0"/>
    <w:multiLevelType w:val="hybridMultilevel"/>
    <w:tmpl w:val="3814AA86"/>
    <w:lvl w:ilvl="0" w:tplc="86B09552">
      <w:start w:val="1"/>
      <w:numFmt w:val="decimal"/>
      <w:pStyle w:val="HHeadingboxes"/>
      <w:suff w:val="space"/>
      <w:lvlText w:val="Box %1."/>
      <w:lvlJc w:val="left"/>
      <w:pPr>
        <w:ind w:left="0" w:firstLine="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0AC8565D"/>
    <w:multiLevelType w:val="hybridMultilevel"/>
    <w:tmpl w:val="BCEAD7F8"/>
    <w:lvl w:ilvl="0" w:tplc="57FEFEFC">
      <w:start w:val="1"/>
      <w:numFmt w:val="decimal"/>
      <w:pStyle w:val="HHeadingmaps"/>
      <w:suff w:val="space"/>
      <w:lvlText w:val="Map %1."/>
      <w:lvlJc w:val="left"/>
      <w:pPr>
        <w:ind w:left="0" w:firstLine="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0AED5A3D"/>
    <w:multiLevelType w:val="hybridMultilevel"/>
    <w:tmpl w:val="2AD454C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5C84A41"/>
    <w:multiLevelType w:val="multilevel"/>
    <w:tmpl w:val="B5F87352"/>
    <w:lvl w:ilvl="0">
      <w:start w:val="1"/>
      <w:numFmt w:val="decimal"/>
      <w:pStyle w:val="Heading1"/>
      <w:lvlText w:val="%1"/>
      <w:lvlJc w:val="left"/>
      <w:pPr>
        <w:tabs>
          <w:tab w:val="num" w:pos="474"/>
        </w:tabs>
        <w:ind w:left="262" w:hanging="148"/>
      </w:pPr>
      <w:rPr>
        <w:rFonts w:hint="default"/>
      </w:rPr>
    </w:lvl>
    <w:lvl w:ilvl="1">
      <w:start w:val="1"/>
      <w:numFmt w:val="decimal"/>
      <w:pStyle w:val="Heading2"/>
      <w:lvlText w:val="%1.%2"/>
      <w:lvlJc w:val="left"/>
      <w:pPr>
        <w:tabs>
          <w:tab w:val="num" w:pos="360"/>
        </w:tabs>
        <w:ind w:left="0" w:firstLine="0"/>
      </w:pPr>
      <w:rPr>
        <w:rFonts w:hint="default"/>
      </w:rPr>
    </w:lvl>
    <w:lvl w:ilvl="2">
      <w:start w:val="1"/>
      <w:numFmt w:val="decimal"/>
      <w:pStyle w:val="Heading3"/>
      <w:lvlText w:val="%1.%2.%3"/>
      <w:lvlJc w:val="left"/>
      <w:pPr>
        <w:tabs>
          <w:tab w:val="num" w:pos="720"/>
        </w:tabs>
        <w:ind w:left="0" w:firstLine="0"/>
      </w:pPr>
      <w:rPr>
        <w:rFonts w:hint="default"/>
      </w:rPr>
    </w:lvl>
    <w:lvl w:ilvl="3">
      <w:start w:val="1"/>
      <w:numFmt w:val="decimal"/>
      <w:pStyle w:val="Heading4"/>
      <w:lvlText w:val="%1.%2.%3.%4"/>
      <w:lvlJc w:val="left"/>
      <w:pPr>
        <w:tabs>
          <w:tab w:val="num" w:pos="1080"/>
        </w:tabs>
        <w:ind w:left="0" w:firstLine="0"/>
      </w:pPr>
      <w:rPr>
        <w:rFonts w:hint="default"/>
      </w:rPr>
    </w:lvl>
    <w:lvl w:ilvl="4">
      <w:start w:val="1"/>
      <w:numFmt w:val="decimal"/>
      <w:lvlText w:val="%1.%2.%3.%4.%5"/>
      <w:lvlJc w:val="left"/>
      <w:pPr>
        <w:tabs>
          <w:tab w:val="num" w:pos="838"/>
        </w:tabs>
        <w:ind w:left="838" w:hanging="1008"/>
      </w:pPr>
      <w:rPr>
        <w:rFonts w:hint="default"/>
      </w:rPr>
    </w:lvl>
    <w:lvl w:ilvl="5">
      <w:start w:val="1"/>
      <w:numFmt w:val="decimal"/>
      <w:lvlText w:val="%1.%2.%3.%4.%5.%6"/>
      <w:lvlJc w:val="left"/>
      <w:pPr>
        <w:tabs>
          <w:tab w:val="num" w:pos="982"/>
        </w:tabs>
        <w:ind w:left="982" w:hanging="1152"/>
      </w:pPr>
      <w:rPr>
        <w:rFonts w:hint="default"/>
      </w:rPr>
    </w:lvl>
    <w:lvl w:ilvl="6">
      <w:start w:val="1"/>
      <w:numFmt w:val="decimal"/>
      <w:lvlText w:val="%1.%2.%3.%4.%5.%6.%7"/>
      <w:lvlJc w:val="left"/>
      <w:pPr>
        <w:tabs>
          <w:tab w:val="num" w:pos="1126"/>
        </w:tabs>
        <w:ind w:left="1126" w:hanging="1296"/>
      </w:pPr>
      <w:rPr>
        <w:rFonts w:hint="default"/>
      </w:rPr>
    </w:lvl>
    <w:lvl w:ilvl="7">
      <w:start w:val="1"/>
      <w:numFmt w:val="decimal"/>
      <w:lvlText w:val="%1.%2.%3.%4.%5.%6.%7.%8"/>
      <w:lvlJc w:val="left"/>
      <w:pPr>
        <w:tabs>
          <w:tab w:val="num" w:pos="1270"/>
        </w:tabs>
        <w:ind w:left="1270" w:hanging="1440"/>
      </w:pPr>
      <w:rPr>
        <w:rFonts w:hint="default"/>
      </w:rPr>
    </w:lvl>
    <w:lvl w:ilvl="8">
      <w:start w:val="1"/>
      <w:numFmt w:val="decimal"/>
      <w:lvlText w:val="%1.%2.%3.%4.%5.%6.%7.%8.%9"/>
      <w:lvlJc w:val="left"/>
      <w:pPr>
        <w:tabs>
          <w:tab w:val="num" w:pos="1414"/>
        </w:tabs>
        <w:ind w:left="1414" w:hanging="1584"/>
      </w:pPr>
      <w:rPr>
        <w:rFonts w:hint="default"/>
      </w:rPr>
    </w:lvl>
  </w:abstractNum>
  <w:abstractNum w:abstractNumId="14" w15:restartNumberingAfterBreak="0">
    <w:nsid w:val="167B2CA7"/>
    <w:multiLevelType w:val="hybridMultilevel"/>
    <w:tmpl w:val="BE1CE284"/>
    <w:lvl w:ilvl="0" w:tplc="F61A0CBA">
      <w:start w:val="1"/>
      <w:numFmt w:val="bullet"/>
      <w:pStyle w:val="Style2"/>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 w15:restartNumberingAfterBreak="0">
    <w:nsid w:val="1A49295C"/>
    <w:multiLevelType w:val="hybridMultilevel"/>
    <w:tmpl w:val="6B262650"/>
    <w:lvl w:ilvl="0" w:tplc="9F18E784">
      <w:start w:val="1"/>
      <w:numFmt w:val="lowerLetter"/>
      <w:pStyle w:val="H-ParagraphList"/>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A7B1418"/>
    <w:multiLevelType w:val="hybridMultilevel"/>
    <w:tmpl w:val="1920263E"/>
    <w:lvl w:ilvl="0" w:tplc="AB9CF3CC">
      <w:start w:val="1"/>
      <w:numFmt w:val="bullet"/>
      <w:lvlText w:val=""/>
      <w:lvlJc w:val="left"/>
      <w:pPr>
        <w:ind w:left="720" w:hanging="360"/>
      </w:pPr>
      <w:rPr>
        <w:rFonts w:ascii="Symbol" w:hAnsi="Symbol" w:hint="default"/>
        <w:color w:val="FFC000" w:themeColor="accent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D101BF3"/>
    <w:multiLevelType w:val="hybridMultilevel"/>
    <w:tmpl w:val="F4E8313A"/>
    <w:lvl w:ilvl="0" w:tplc="FB046D44">
      <w:start w:val="1"/>
      <w:numFmt w:val="bullet"/>
      <w:pStyle w:val="HBox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24DD6B4F"/>
    <w:multiLevelType w:val="hybridMultilevel"/>
    <w:tmpl w:val="04CEB46C"/>
    <w:lvl w:ilvl="0" w:tplc="080C0017">
      <w:start w:val="1"/>
      <w:numFmt w:val="lowerLetter"/>
      <w:lvlText w:val="%1)"/>
      <w:lvlJc w:val="left"/>
      <w:pPr>
        <w:ind w:left="1080" w:hanging="360"/>
      </w:pPr>
    </w:lvl>
    <w:lvl w:ilvl="1" w:tplc="080C0019" w:tentative="1">
      <w:start w:val="1"/>
      <w:numFmt w:val="lowerLetter"/>
      <w:lvlText w:val="%2."/>
      <w:lvlJc w:val="left"/>
      <w:pPr>
        <w:ind w:left="1800" w:hanging="360"/>
      </w:pPr>
    </w:lvl>
    <w:lvl w:ilvl="2" w:tplc="080C001B" w:tentative="1">
      <w:start w:val="1"/>
      <w:numFmt w:val="lowerRoman"/>
      <w:lvlText w:val="%3."/>
      <w:lvlJc w:val="right"/>
      <w:pPr>
        <w:ind w:left="2520" w:hanging="180"/>
      </w:pPr>
    </w:lvl>
    <w:lvl w:ilvl="3" w:tplc="080C000F" w:tentative="1">
      <w:start w:val="1"/>
      <w:numFmt w:val="decimal"/>
      <w:lvlText w:val="%4."/>
      <w:lvlJc w:val="left"/>
      <w:pPr>
        <w:ind w:left="3240" w:hanging="360"/>
      </w:pPr>
    </w:lvl>
    <w:lvl w:ilvl="4" w:tplc="080C0019" w:tentative="1">
      <w:start w:val="1"/>
      <w:numFmt w:val="lowerLetter"/>
      <w:lvlText w:val="%5."/>
      <w:lvlJc w:val="left"/>
      <w:pPr>
        <w:ind w:left="3960" w:hanging="360"/>
      </w:pPr>
    </w:lvl>
    <w:lvl w:ilvl="5" w:tplc="080C001B" w:tentative="1">
      <w:start w:val="1"/>
      <w:numFmt w:val="lowerRoman"/>
      <w:lvlText w:val="%6."/>
      <w:lvlJc w:val="right"/>
      <w:pPr>
        <w:ind w:left="4680" w:hanging="180"/>
      </w:pPr>
    </w:lvl>
    <w:lvl w:ilvl="6" w:tplc="080C000F" w:tentative="1">
      <w:start w:val="1"/>
      <w:numFmt w:val="decimal"/>
      <w:lvlText w:val="%7."/>
      <w:lvlJc w:val="left"/>
      <w:pPr>
        <w:ind w:left="5400" w:hanging="360"/>
      </w:pPr>
    </w:lvl>
    <w:lvl w:ilvl="7" w:tplc="080C0019" w:tentative="1">
      <w:start w:val="1"/>
      <w:numFmt w:val="lowerLetter"/>
      <w:lvlText w:val="%8."/>
      <w:lvlJc w:val="left"/>
      <w:pPr>
        <w:ind w:left="6120" w:hanging="360"/>
      </w:pPr>
    </w:lvl>
    <w:lvl w:ilvl="8" w:tplc="080C001B" w:tentative="1">
      <w:start w:val="1"/>
      <w:numFmt w:val="lowerRoman"/>
      <w:lvlText w:val="%9."/>
      <w:lvlJc w:val="right"/>
      <w:pPr>
        <w:ind w:left="6840" w:hanging="180"/>
      </w:pPr>
    </w:lvl>
  </w:abstractNum>
  <w:abstractNum w:abstractNumId="19" w15:restartNumberingAfterBreak="0">
    <w:nsid w:val="27006F01"/>
    <w:multiLevelType w:val="hybridMultilevel"/>
    <w:tmpl w:val="0B7CF542"/>
    <w:lvl w:ilvl="0" w:tplc="07D6E800">
      <w:start w:val="1"/>
      <w:numFmt w:val="bullet"/>
      <w:pStyle w:val="Hlistline3"/>
      <w:lvlText w:val="o"/>
      <w:lvlJc w:val="left"/>
      <w:pPr>
        <w:ind w:left="927" w:hanging="360"/>
      </w:pPr>
      <w:rPr>
        <w:rFonts w:ascii="Courier New" w:hAnsi="Courier New" w:hint="default"/>
        <w:color w:val="F07E31"/>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B3D77C8"/>
    <w:multiLevelType w:val="hybridMultilevel"/>
    <w:tmpl w:val="5D2CCB22"/>
    <w:lvl w:ilvl="0" w:tplc="F4E23CEC">
      <w:start w:val="1"/>
      <w:numFmt w:val="bullet"/>
      <w:pStyle w:val="Normal1"/>
      <w:lvlText w:val=""/>
      <w:lvlJc w:val="left"/>
      <w:pPr>
        <w:ind w:left="720" w:hanging="360"/>
      </w:pPr>
      <w:rPr>
        <w:rFonts w:ascii="Symbol" w:hAnsi="Symbol" w:hint="default"/>
        <w:color w:val="006463"/>
        <w:sz w:val="20"/>
      </w:rPr>
    </w:lvl>
    <w:lvl w:ilvl="1" w:tplc="A0485656">
      <w:start w:val="1"/>
      <w:numFmt w:val="bullet"/>
      <w:lvlText w:val="o"/>
      <w:lvlJc w:val="left"/>
      <w:pPr>
        <w:ind w:left="1440" w:hanging="360"/>
      </w:pPr>
      <w:rPr>
        <w:rFonts w:ascii="Courier New" w:hAnsi="Courier New" w:cs="Courier New" w:hint="default"/>
      </w:rPr>
    </w:lvl>
    <w:lvl w:ilvl="2" w:tplc="9D381C60" w:tentative="1">
      <w:start w:val="1"/>
      <w:numFmt w:val="bullet"/>
      <w:lvlText w:val=""/>
      <w:lvlJc w:val="left"/>
      <w:pPr>
        <w:ind w:left="2160" w:hanging="360"/>
      </w:pPr>
      <w:rPr>
        <w:rFonts w:ascii="Wingdings" w:hAnsi="Wingdings" w:hint="default"/>
      </w:rPr>
    </w:lvl>
    <w:lvl w:ilvl="3" w:tplc="F2427A0A" w:tentative="1">
      <w:start w:val="1"/>
      <w:numFmt w:val="bullet"/>
      <w:lvlText w:val=""/>
      <w:lvlJc w:val="left"/>
      <w:pPr>
        <w:ind w:left="2880" w:hanging="360"/>
      </w:pPr>
      <w:rPr>
        <w:rFonts w:ascii="Symbol" w:hAnsi="Symbol" w:hint="default"/>
      </w:rPr>
    </w:lvl>
    <w:lvl w:ilvl="4" w:tplc="48346152" w:tentative="1">
      <w:start w:val="1"/>
      <w:numFmt w:val="bullet"/>
      <w:lvlText w:val="o"/>
      <w:lvlJc w:val="left"/>
      <w:pPr>
        <w:ind w:left="3600" w:hanging="360"/>
      </w:pPr>
      <w:rPr>
        <w:rFonts w:ascii="Courier New" w:hAnsi="Courier New" w:cs="Courier New" w:hint="default"/>
      </w:rPr>
    </w:lvl>
    <w:lvl w:ilvl="5" w:tplc="046AC282" w:tentative="1">
      <w:start w:val="1"/>
      <w:numFmt w:val="bullet"/>
      <w:lvlText w:val=""/>
      <w:lvlJc w:val="left"/>
      <w:pPr>
        <w:ind w:left="4320" w:hanging="360"/>
      </w:pPr>
      <w:rPr>
        <w:rFonts w:ascii="Wingdings" w:hAnsi="Wingdings" w:hint="default"/>
      </w:rPr>
    </w:lvl>
    <w:lvl w:ilvl="6" w:tplc="8490FEC0" w:tentative="1">
      <w:start w:val="1"/>
      <w:numFmt w:val="bullet"/>
      <w:lvlText w:val=""/>
      <w:lvlJc w:val="left"/>
      <w:pPr>
        <w:ind w:left="5040" w:hanging="360"/>
      </w:pPr>
      <w:rPr>
        <w:rFonts w:ascii="Symbol" w:hAnsi="Symbol" w:hint="default"/>
      </w:rPr>
    </w:lvl>
    <w:lvl w:ilvl="7" w:tplc="D6700596" w:tentative="1">
      <w:start w:val="1"/>
      <w:numFmt w:val="bullet"/>
      <w:lvlText w:val="o"/>
      <w:lvlJc w:val="left"/>
      <w:pPr>
        <w:ind w:left="5760" w:hanging="360"/>
      </w:pPr>
      <w:rPr>
        <w:rFonts w:ascii="Courier New" w:hAnsi="Courier New" w:cs="Courier New" w:hint="default"/>
      </w:rPr>
    </w:lvl>
    <w:lvl w:ilvl="8" w:tplc="8CBCB464" w:tentative="1">
      <w:start w:val="1"/>
      <w:numFmt w:val="bullet"/>
      <w:lvlText w:val=""/>
      <w:lvlJc w:val="left"/>
      <w:pPr>
        <w:ind w:left="6480" w:hanging="360"/>
      </w:pPr>
      <w:rPr>
        <w:rFonts w:ascii="Wingdings" w:hAnsi="Wingdings" w:hint="default"/>
      </w:rPr>
    </w:lvl>
  </w:abstractNum>
  <w:abstractNum w:abstractNumId="21" w15:restartNumberingAfterBreak="0">
    <w:nsid w:val="302835FE"/>
    <w:multiLevelType w:val="hybridMultilevel"/>
    <w:tmpl w:val="042698C6"/>
    <w:lvl w:ilvl="0" w:tplc="040C0001">
      <w:start w:val="1"/>
      <w:numFmt w:val="bullet"/>
      <w:lvlText w:val=""/>
      <w:lvlJc w:val="left"/>
      <w:pPr>
        <w:ind w:left="360" w:hanging="360"/>
      </w:pPr>
      <w:rPr>
        <w:rFonts w:ascii="Symbol" w:hAnsi="Symbol" w:hint="default"/>
      </w:rPr>
    </w:lvl>
    <w:lvl w:ilvl="1" w:tplc="04090019">
      <w:start w:val="1"/>
      <w:numFmt w:val="lowerLetter"/>
      <w:lvlText w:val="%2."/>
      <w:lvlJc w:val="left"/>
      <w:pPr>
        <w:ind w:left="1080" w:hanging="360"/>
      </w:pPr>
      <w:rPr>
        <w:rFonts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2" w15:restartNumberingAfterBreak="0">
    <w:nsid w:val="310547BD"/>
    <w:multiLevelType w:val="hybridMultilevel"/>
    <w:tmpl w:val="918E6E38"/>
    <w:lvl w:ilvl="0" w:tplc="EDCC2EA4">
      <w:start w:val="1"/>
      <w:numFmt w:val="decimal"/>
      <w:pStyle w:val="HHeadingfigures"/>
      <w:suff w:val="space"/>
      <w:lvlText w:val="Figure %1."/>
      <w:lvlJc w:val="left"/>
      <w:pPr>
        <w:ind w:left="710" w:firstLine="0"/>
      </w:pPr>
      <w:rPr>
        <w:b/>
        <w:bCs w:val="0"/>
        <w:i w:val="0"/>
        <w:iCs w:val="0"/>
        <w:caps w:val="0"/>
        <w:smallCaps w:val="0"/>
        <w:strike w:val="0"/>
        <w:dstrike w:val="0"/>
        <w:noProof w:val="0"/>
        <w:vanish w:val="0"/>
        <w:color w:val="576C88" w:themeColor="text2" w:themeTint="D9"/>
        <w:spacing w:val="0"/>
        <w:kern w:val="0"/>
        <w:position w:val="0"/>
        <w:u w:val="none"/>
        <w:effect w:val="none"/>
        <w:vertAlign w:val="baseline"/>
        <w:em w:val="none"/>
        <w:specVanish w:val="0"/>
      </w:rPr>
    </w:lvl>
    <w:lvl w:ilvl="1" w:tplc="04070019" w:tentative="1">
      <w:start w:val="1"/>
      <w:numFmt w:val="lowerLetter"/>
      <w:lvlText w:val="%2."/>
      <w:lvlJc w:val="left"/>
      <w:pPr>
        <w:ind w:left="1158" w:hanging="360"/>
      </w:pPr>
    </w:lvl>
    <w:lvl w:ilvl="2" w:tplc="0407001B" w:tentative="1">
      <w:start w:val="1"/>
      <w:numFmt w:val="lowerRoman"/>
      <w:lvlText w:val="%3."/>
      <w:lvlJc w:val="right"/>
      <w:pPr>
        <w:ind w:left="1878" w:hanging="180"/>
      </w:pPr>
    </w:lvl>
    <w:lvl w:ilvl="3" w:tplc="0407000F" w:tentative="1">
      <w:start w:val="1"/>
      <w:numFmt w:val="decimal"/>
      <w:lvlText w:val="%4."/>
      <w:lvlJc w:val="left"/>
      <w:pPr>
        <w:ind w:left="2598" w:hanging="360"/>
      </w:pPr>
    </w:lvl>
    <w:lvl w:ilvl="4" w:tplc="04070019" w:tentative="1">
      <w:start w:val="1"/>
      <w:numFmt w:val="lowerLetter"/>
      <w:lvlText w:val="%5."/>
      <w:lvlJc w:val="left"/>
      <w:pPr>
        <w:ind w:left="3318" w:hanging="360"/>
      </w:pPr>
    </w:lvl>
    <w:lvl w:ilvl="5" w:tplc="0407001B" w:tentative="1">
      <w:start w:val="1"/>
      <w:numFmt w:val="lowerRoman"/>
      <w:lvlText w:val="%6."/>
      <w:lvlJc w:val="right"/>
      <w:pPr>
        <w:ind w:left="4038" w:hanging="180"/>
      </w:pPr>
    </w:lvl>
    <w:lvl w:ilvl="6" w:tplc="0407000F" w:tentative="1">
      <w:start w:val="1"/>
      <w:numFmt w:val="decimal"/>
      <w:lvlText w:val="%7."/>
      <w:lvlJc w:val="left"/>
      <w:pPr>
        <w:ind w:left="4758" w:hanging="360"/>
      </w:pPr>
    </w:lvl>
    <w:lvl w:ilvl="7" w:tplc="04070019" w:tentative="1">
      <w:start w:val="1"/>
      <w:numFmt w:val="lowerLetter"/>
      <w:lvlText w:val="%8."/>
      <w:lvlJc w:val="left"/>
      <w:pPr>
        <w:ind w:left="5478" w:hanging="360"/>
      </w:pPr>
    </w:lvl>
    <w:lvl w:ilvl="8" w:tplc="0407001B" w:tentative="1">
      <w:start w:val="1"/>
      <w:numFmt w:val="lowerRoman"/>
      <w:lvlText w:val="%9."/>
      <w:lvlJc w:val="right"/>
      <w:pPr>
        <w:ind w:left="6198" w:hanging="180"/>
      </w:pPr>
    </w:lvl>
  </w:abstractNum>
  <w:abstractNum w:abstractNumId="23" w15:restartNumberingAfterBreak="0">
    <w:nsid w:val="3BBC6932"/>
    <w:multiLevelType w:val="hybridMultilevel"/>
    <w:tmpl w:val="E0D005D6"/>
    <w:lvl w:ilvl="0" w:tplc="322C1F12">
      <w:start w:val="1"/>
      <w:numFmt w:val="bullet"/>
      <w:pStyle w:val="Hlistbullet"/>
      <w:lvlText w:val=""/>
      <w:lvlJc w:val="left"/>
      <w:pPr>
        <w:ind w:left="644" w:hanging="360"/>
      </w:pPr>
      <w:rPr>
        <w:rFonts w:ascii="Symbol" w:hAnsi="Symbol" w:hint="default"/>
        <w:color w:val="57825E"/>
      </w:rPr>
    </w:lvl>
    <w:lvl w:ilvl="1" w:tplc="E1BEDB28">
      <w:start w:val="1"/>
      <w:numFmt w:val="bullet"/>
      <w:lvlText w:val=""/>
      <w:lvlJc w:val="left"/>
      <w:pPr>
        <w:tabs>
          <w:tab w:val="num" w:pos="1440"/>
        </w:tabs>
        <w:ind w:left="1440" w:hanging="360"/>
      </w:pPr>
      <w:rPr>
        <w:rFonts w:ascii="Symbol" w:hAnsi="Symbol"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3CD4440A"/>
    <w:multiLevelType w:val="hybridMultilevel"/>
    <w:tmpl w:val="DDCA52D0"/>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5" w15:restartNumberingAfterBreak="0">
    <w:nsid w:val="43A72027"/>
    <w:multiLevelType w:val="hybridMultilevel"/>
    <w:tmpl w:val="23B2B4A4"/>
    <w:lvl w:ilvl="0" w:tplc="8EEC6D12">
      <w:start w:val="1"/>
      <w:numFmt w:val="decimal"/>
      <w:pStyle w:val="HHeadingtables"/>
      <w:suff w:val="space"/>
      <w:lvlText w:val="Table %1."/>
      <w:lvlJc w:val="left"/>
      <w:pPr>
        <w:ind w:left="993" w:firstLine="0"/>
      </w:pPr>
      <w:rPr>
        <w:b/>
        <w:bCs w:val="0"/>
        <w:i w:val="0"/>
        <w:iCs w:val="0"/>
        <w:caps w:val="0"/>
        <w:smallCaps w:val="0"/>
        <w:strike w:val="0"/>
        <w:dstrike w:val="0"/>
        <w:noProof w:val="0"/>
        <w:vanish w:val="0"/>
        <w:color w:val="576C88" w:themeColor="text2" w:themeTint="D9"/>
        <w:spacing w:val="0"/>
        <w:kern w:val="0"/>
        <w:position w:val="0"/>
        <w:sz w:val="16"/>
        <w:szCs w:val="16"/>
        <w:u w:val="none"/>
        <w:effect w:val="none"/>
        <w:vertAlign w:val="baseline"/>
        <w:em w:val="none"/>
        <w:specVanish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47F07D58"/>
    <w:multiLevelType w:val="hybridMultilevel"/>
    <w:tmpl w:val="38C2E6A0"/>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7" w15:restartNumberingAfterBreak="0">
    <w:nsid w:val="47F8294A"/>
    <w:multiLevelType w:val="hybridMultilevel"/>
    <w:tmpl w:val="BEB23BCA"/>
    <w:lvl w:ilvl="0" w:tplc="FCE8E9D0">
      <w:start w:val="1"/>
      <w:numFmt w:val="lowerLetter"/>
      <w:pStyle w:val="Hlistabc"/>
      <w:lvlText w:val="%1)"/>
      <w:lvlJc w:val="left"/>
      <w:pPr>
        <w:tabs>
          <w:tab w:val="num" w:pos="644"/>
        </w:tabs>
        <w:ind w:left="567" w:hanging="283"/>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28" w15:restartNumberingAfterBreak="0">
    <w:nsid w:val="4EA5566D"/>
    <w:multiLevelType w:val="hybridMultilevel"/>
    <w:tmpl w:val="972044A2"/>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558F0FE8"/>
    <w:multiLevelType w:val="multilevel"/>
    <w:tmpl w:val="A29E2408"/>
    <w:lvl w:ilvl="0">
      <w:start w:val="1"/>
      <w:numFmt w:val="decimal"/>
      <w:pStyle w:val="H-Heading1"/>
      <w:lvlText w:val="%1."/>
      <w:lvlJc w:val="left"/>
      <w:pPr>
        <w:ind w:left="644" w:hanging="360"/>
      </w:pPr>
      <w:rPr>
        <w:rFonts w:hint="default"/>
      </w:rPr>
    </w:lvl>
    <w:lvl w:ilvl="1">
      <w:start w:val="1"/>
      <w:numFmt w:val="decimal"/>
      <w:isLgl/>
      <w:lvlText w:val="%1.%2"/>
      <w:lvlJc w:val="left"/>
      <w:pPr>
        <w:ind w:left="1088" w:hanging="804"/>
      </w:pPr>
      <w:rPr>
        <w:rFonts w:hint="default"/>
      </w:rPr>
    </w:lvl>
    <w:lvl w:ilvl="2">
      <w:start w:val="1"/>
      <w:numFmt w:val="decimal"/>
      <w:pStyle w:val="H-Heading3"/>
      <w:isLgl/>
      <w:lvlText w:val="%1.%2.%3"/>
      <w:lvlJc w:val="left"/>
      <w:pPr>
        <w:ind w:left="434" w:hanging="51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724" w:hanging="1440"/>
      </w:pPr>
      <w:rPr>
        <w:rFonts w:hint="default"/>
      </w:rPr>
    </w:lvl>
    <w:lvl w:ilvl="5">
      <w:start w:val="1"/>
      <w:numFmt w:val="decimal"/>
      <w:isLgl/>
      <w:lvlText w:val="%1.%2.%3.%4.%5.%6"/>
      <w:lvlJc w:val="left"/>
      <w:pPr>
        <w:ind w:left="2084" w:hanging="180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444" w:hanging="2160"/>
      </w:pPr>
      <w:rPr>
        <w:rFonts w:hint="default"/>
      </w:rPr>
    </w:lvl>
    <w:lvl w:ilvl="8">
      <w:start w:val="1"/>
      <w:numFmt w:val="decimal"/>
      <w:isLgl/>
      <w:lvlText w:val="%1.%2.%3.%4.%5.%6.%7.%8.%9"/>
      <w:lvlJc w:val="left"/>
      <w:pPr>
        <w:ind w:left="2804" w:hanging="2520"/>
      </w:pPr>
      <w:rPr>
        <w:rFonts w:hint="default"/>
      </w:rPr>
    </w:lvl>
  </w:abstractNum>
  <w:abstractNum w:abstractNumId="30" w15:restartNumberingAfterBreak="0">
    <w:nsid w:val="5C6E36F1"/>
    <w:multiLevelType w:val="multilevel"/>
    <w:tmpl w:val="3E245F3E"/>
    <w:lvl w:ilvl="0">
      <w:start w:val="1"/>
      <w:numFmt w:val="decimal"/>
      <w:lvlText w:val="%1."/>
      <w:lvlJc w:val="left"/>
      <w:pPr>
        <w:ind w:left="360" w:hanging="360"/>
      </w:pPr>
      <w:rPr>
        <w:rFonts w:hint="default"/>
      </w:rPr>
    </w:lvl>
    <w:lvl w:ilvl="1">
      <w:start w:val="1"/>
      <w:numFmt w:val="decimal"/>
      <w:pStyle w:val="H-Heading2"/>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5E966D9A"/>
    <w:multiLevelType w:val="hybridMultilevel"/>
    <w:tmpl w:val="C9A2DA18"/>
    <w:lvl w:ilvl="0" w:tplc="52E8049A">
      <w:start w:val="1"/>
      <w:numFmt w:val="lowerLetter"/>
      <w:lvlText w:val="%1."/>
      <w:lvlJc w:val="left"/>
      <w:pPr>
        <w:ind w:left="1080" w:hanging="360"/>
      </w:pPr>
      <w:rPr>
        <w:rFonts w:hint="default"/>
        <w:color w:val="576C88" w:themeColor="text2" w:themeTint="D9"/>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5F0B65C8"/>
    <w:multiLevelType w:val="hybridMultilevel"/>
    <w:tmpl w:val="D07CA386"/>
    <w:lvl w:ilvl="0" w:tplc="E1BEDB28">
      <w:start w:val="1"/>
      <w:numFmt w:val="bullet"/>
      <w:lvlText w:val=""/>
      <w:lvlJc w:val="left"/>
      <w:pPr>
        <w:ind w:left="644" w:hanging="360"/>
      </w:pPr>
      <w:rPr>
        <w:rFonts w:ascii="Symbol" w:hAnsi="Symbol" w:hint="default"/>
        <w:color w:val="57825E"/>
      </w:rPr>
    </w:lvl>
    <w:lvl w:ilvl="1" w:tplc="080C0003">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D29039E"/>
    <w:multiLevelType w:val="hybridMultilevel"/>
    <w:tmpl w:val="7F30DA44"/>
    <w:lvl w:ilvl="0" w:tplc="0409000F">
      <w:start w:val="1"/>
      <w:numFmt w:val="decimal"/>
      <w:lvlText w:val="%1."/>
      <w:lvlJc w:val="left"/>
      <w:pPr>
        <w:ind w:left="720" w:hanging="360"/>
      </w:pPr>
      <w:rPr>
        <w:rFonts w:hint="default"/>
      </w:rPr>
    </w:lvl>
    <w:lvl w:ilvl="1" w:tplc="F4EA5ED6">
      <w:start w:val="1"/>
      <w:numFmt w:val="lowerLetter"/>
      <w:lvlText w:val="%2."/>
      <w:lvlJc w:val="left"/>
      <w:pPr>
        <w:ind w:left="1440" w:hanging="360"/>
      </w:pPr>
      <w:rPr>
        <w:color w:val="576C88" w:themeColor="text2" w:themeTint="D9"/>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95D33D3"/>
    <w:multiLevelType w:val="multilevel"/>
    <w:tmpl w:val="3196CAE8"/>
    <w:lvl w:ilvl="0">
      <w:start w:val="1"/>
      <w:numFmt w:val="decimal"/>
      <w:pStyle w:val="HHeading1"/>
      <w:lvlText w:val="%1"/>
      <w:lvlJc w:val="left"/>
      <w:pPr>
        <w:tabs>
          <w:tab w:val="num" w:pos="474"/>
        </w:tabs>
        <w:ind w:left="262" w:hanging="148"/>
      </w:pPr>
      <w:rPr>
        <w:rFonts w:hint="default"/>
      </w:rPr>
    </w:lvl>
    <w:lvl w:ilvl="1">
      <w:start w:val="1"/>
      <w:numFmt w:val="decimal"/>
      <w:pStyle w:val="HHeading2"/>
      <w:lvlText w:val="%1.%2"/>
      <w:lvlJc w:val="left"/>
      <w:pPr>
        <w:tabs>
          <w:tab w:val="num" w:pos="360"/>
        </w:tabs>
        <w:ind w:left="0" w:firstLine="0"/>
      </w:pPr>
      <w:rPr>
        <w:rFonts w:hint="default"/>
      </w:rPr>
    </w:lvl>
    <w:lvl w:ilvl="2">
      <w:start w:val="1"/>
      <w:numFmt w:val="decimal"/>
      <w:pStyle w:val="HHeading3"/>
      <w:lvlText w:val="%1.%2.%3"/>
      <w:lvlJc w:val="left"/>
      <w:pPr>
        <w:tabs>
          <w:tab w:val="num" w:pos="720"/>
        </w:tabs>
        <w:ind w:left="0" w:firstLine="0"/>
      </w:pPr>
      <w:rPr>
        <w:rFonts w:hint="default"/>
      </w:rPr>
    </w:lvl>
    <w:lvl w:ilvl="3">
      <w:start w:val="1"/>
      <w:numFmt w:val="decimal"/>
      <w:pStyle w:val="HHeading4"/>
      <w:lvlText w:val="%1.%2.%3.%4"/>
      <w:lvlJc w:val="left"/>
      <w:pPr>
        <w:tabs>
          <w:tab w:val="num" w:pos="1080"/>
        </w:tabs>
        <w:ind w:left="0" w:firstLine="0"/>
      </w:pPr>
      <w:rPr>
        <w:rFonts w:hint="default"/>
      </w:rPr>
    </w:lvl>
    <w:lvl w:ilvl="4">
      <w:start w:val="1"/>
      <w:numFmt w:val="decimal"/>
      <w:lvlText w:val="%1.%2.%3.%4.%5"/>
      <w:lvlJc w:val="left"/>
      <w:pPr>
        <w:tabs>
          <w:tab w:val="num" w:pos="838"/>
        </w:tabs>
        <w:ind w:left="838" w:hanging="1008"/>
      </w:pPr>
      <w:rPr>
        <w:rFonts w:hint="default"/>
      </w:rPr>
    </w:lvl>
    <w:lvl w:ilvl="5">
      <w:start w:val="1"/>
      <w:numFmt w:val="decimal"/>
      <w:lvlText w:val="%1.%2.%3.%4.%5.%6"/>
      <w:lvlJc w:val="left"/>
      <w:pPr>
        <w:tabs>
          <w:tab w:val="num" w:pos="982"/>
        </w:tabs>
        <w:ind w:left="982" w:hanging="1152"/>
      </w:pPr>
      <w:rPr>
        <w:rFonts w:hint="default"/>
      </w:rPr>
    </w:lvl>
    <w:lvl w:ilvl="6">
      <w:start w:val="1"/>
      <w:numFmt w:val="decimal"/>
      <w:lvlText w:val="%1.%2.%3.%4.%5.%6.%7"/>
      <w:lvlJc w:val="left"/>
      <w:pPr>
        <w:tabs>
          <w:tab w:val="num" w:pos="1126"/>
        </w:tabs>
        <w:ind w:left="1126" w:hanging="1296"/>
      </w:pPr>
      <w:rPr>
        <w:rFonts w:hint="default"/>
      </w:rPr>
    </w:lvl>
    <w:lvl w:ilvl="7">
      <w:start w:val="1"/>
      <w:numFmt w:val="decimal"/>
      <w:lvlText w:val="%1.%2.%3.%4.%5.%6.%7.%8"/>
      <w:lvlJc w:val="left"/>
      <w:pPr>
        <w:tabs>
          <w:tab w:val="num" w:pos="1270"/>
        </w:tabs>
        <w:ind w:left="1270" w:hanging="1440"/>
      </w:pPr>
      <w:rPr>
        <w:rFonts w:hint="default"/>
      </w:rPr>
    </w:lvl>
    <w:lvl w:ilvl="8">
      <w:start w:val="1"/>
      <w:numFmt w:val="decimal"/>
      <w:lvlText w:val="%1.%2.%3.%4.%5.%6.%7.%8.%9"/>
      <w:lvlJc w:val="left"/>
      <w:pPr>
        <w:tabs>
          <w:tab w:val="num" w:pos="1414"/>
        </w:tabs>
        <w:ind w:left="1414" w:hanging="1584"/>
      </w:pPr>
      <w:rPr>
        <w:rFonts w:hint="default"/>
      </w:rPr>
    </w:lvl>
  </w:abstractNum>
  <w:abstractNum w:abstractNumId="35" w15:restartNumberingAfterBreak="0">
    <w:nsid w:val="7E752836"/>
    <w:multiLevelType w:val="hybridMultilevel"/>
    <w:tmpl w:val="FB2C5A82"/>
    <w:lvl w:ilvl="0" w:tplc="8890A148">
      <w:start w:val="1"/>
      <w:numFmt w:val="bullet"/>
      <w:pStyle w:val="Htablebullet"/>
      <w:lvlText w:val=""/>
      <w:lvlJc w:val="left"/>
      <w:pPr>
        <w:ind w:left="501" w:hanging="360"/>
      </w:pPr>
      <w:rPr>
        <w:rFonts w:ascii="Symbol" w:hAnsi="Symbol" w:hint="default"/>
        <w:color w:val="57825E"/>
      </w:rPr>
    </w:lvl>
    <w:lvl w:ilvl="1" w:tplc="04070003">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abstractNumId w:val="13"/>
  </w:num>
  <w:num w:numId="2">
    <w:abstractNumId w:val="23"/>
  </w:num>
  <w:num w:numId="3">
    <w:abstractNumId w:val="27"/>
  </w:num>
  <w:num w:numId="4">
    <w:abstractNumId w:val="19"/>
  </w:num>
  <w:num w:numId="5">
    <w:abstractNumId w:val="35"/>
  </w:num>
  <w:num w:numId="6">
    <w:abstractNumId w:val="34"/>
  </w:num>
  <w:num w:numId="7">
    <w:abstractNumId w:val="25"/>
  </w:num>
  <w:num w:numId="8">
    <w:abstractNumId w:val="22"/>
  </w:num>
  <w:num w:numId="9">
    <w:abstractNumId w:val="11"/>
  </w:num>
  <w:num w:numId="10">
    <w:abstractNumId w:val="10"/>
  </w:num>
  <w:num w:numId="11">
    <w:abstractNumId w:val="17"/>
  </w:num>
  <w:num w:numId="12">
    <w:abstractNumId w:val="14"/>
  </w:num>
  <w:num w:numId="13">
    <w:abstractNumId w:val="21"/>
  </w:num>
  <w:num w:numId="14">
    <w:abstractNumId w:val="24"/>
  </w:num>
  <w:num w:numId="15">
    <w:abstractNumId w:val="16"/>
  </w:num>
  <w:num w:numId="16">
    <w:abstractNumId w:val="32"/>
  </w:num>
  <w:num w:numId="17">
    <w:abstractNumId w:val="26"/>
  </w:num>
  <w:num w:numId="18">
    <w:abstractNumId w:val="28"/>
  </w:num>
  <w:num w:numId="19">
    <w:abstractNumId w:val="27"/>
    <w:lvlOverride w:ilvl="0">
      <w:startOverride w:val="1"/>
    </w:lvlOverride>
  </w:num>
  <w:num w:numId="20">
    <w:abstractNumId w:val="20"/>
  </w:num>
  <w:num w:numId="21">
    <w:abstractNumId w:val="15"/>
  </w:num>
  <w:num w:numId="22">
    <w:abstractNumId w:val="30"/>
  </w:num>
  <w:num w:numId="23">
    <w:abstractNumId w:val="29"/>
  </w:num>
  <w:num w:numId="24">
    <w:abstractNumId w:val="27"/>
    <w:lvlOverride w:ilvl="0">
      <w:startOverride w:val="1"/>
    </w:lvlOverride>
  </w:num>
  <w:num w:numId="25">
    <w:abstractNumId w:val="12"/>
  </w:num>
  <w:num w:numId="26">
    <w:abstractNumId w:val="33"/>
  </w:num>
  <w:num w:numId="27">
    <w:abstractNumId w:val="31"/>
  </w:num>
  <w:num w:numId="28">
    <w:abstractNumId w:val="9"/>
  </w:num>
  <w:num w:numId="29">
    <w:abstractNumId w:val="7"/>
  </w:num>
  <w:num w:numId="30">
    <w:abstractNumId w:val="6"/>
  </w:num>
  <w:num w:numId="31">
    <w:abstractNumId w:val="5"/>
  </w:num>
  <w:num w:numId="32">
    <w:abstractNumId w:val="4"/>
  </w:num>
  <w:num w:numId="33">
    <w:abstractNumId w:val="8"/>
  </w:num>
  <w:num w:numId="34">
    <w:abstractNumId w:val="3"/>
  </w:num>
  <w:num w:numId="35">
    <w:abstractNumId w:val="2"/>
  </w:num>
  <w:num w:numId="36">
    <w:abstractNumId w:val="1"/>
  </w:num>
  <w:num w:numId="37">
    <w:abstractNumId w:val="0"/>
  </w:num>
  <w:num w:numId="3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0A11"/>
    <w:rsid w:val="002744A4"/>
    <w:rsid w:val="00387226"/>
    <w:rsid w:val="007B323F"/>
    <w:rsid w:val="007F4DD3"/>
    <w:rsid w:val="00860A11"/>
    <w:rsid w:val="00866B4D"/>
    <w:rsid w:val="008D05D4"/>
    <w:rsid w:val="00D85FF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19A4293-8EA8-41A3-AC58-B0500C93FC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60A11"/>
    <w:pPr>
      <w:keepNext/>
      <w:framePr w:hSpace="142" w:vSpace="142" w:wrap="notBeside" w:vAnchor="page" w:hAnchor="margin" w:y="1532"/>
      <w:numPr>
        <w:numId w:val="1"/>
      </w:numPr>
      <w:pBdr>
        <w:left w:val="single" w:sz="48" w:space="8" w:color="33CCCC"/>
      </w:pBdr>
      <w:tabs>
        <w:tab w:val="clear" w:pos="474"/>
        <w:tab w:val="left" w:pos="227"/>
      </w:tabs>
      <w:suppressAutoHyphens/>
      <w:spacing w:before="60" w:after="20" w:line="240" w:lineRule="auto"/>
      <w:ind w:left="227" w:hanging="227"/>
      <w:outlineLvl w:val="0"/>
    </w:pPr>
    <w:rPr>
      <w:rFonts w:ascii="Arial" w:eastAsia="Times New Roman" w:hAnsi="Arial" w:cs="Arial"/>
      <w:b/>
      <w:bCs/>
      <w:kern w:val="32"/>
      <w:sz w:val="24"/>
      <w:szCs w:val="32"/>
      <w:lang w:val="fr-FR" w:eastAsia="fr-FR" w:bidi="fr-FR"/>
    </w:rPr>
  </w:style>
  <w:style w:type="paragraph" w:styleId="Heading2">
    <w:name w:val="heading 2"/>
    <w:basedOn w:val="Normal"/>
    <w:next w:val="Normal"/>
    <w:link w:val="Heading2Char"/>
    <w:uiPriority w:val="9"/>
    <w:qFormat/>
    <w:rsid w:val="00860A11"/>
    <w:pPr>
      <w:keepNext/>
      <w:numPr>
        <w:ilvl w:val="1"/>
        <w:numId w:val="1"/>
      </w:numPr>
      <w:tabs>
        <w:tab w:val="clear" w:pos="360"/>
        <w:tab w:val="left" w:pos="454"/>
      </w:tabs>
      <w:suppressAutoHyphens/>
      <w:spacing w:before="240" w:after="140" w:line="260" w:lineRule="exact"/>
      <w:ind w:left="454" w:hanging="454"/>
      <w:outlineLvl w:val="1"/>
    </w:pPr>
    <w:rPr>
      <w:rFonts w:ascii="Arial" w:eastAsia="Times New Roman" w:hAnsi="Arial" w:cs="Arial"/>
      <w:b/>
      <w:bCs/>
      <w:iCs/>
      <w:szCs w:val="28"/>
      <w:lang w:val="fr-FR" w:eastAsia="fr-FR" w:bidi="fr-FR"/>
    </w:rPr>
  </w:style>
  <w:style w:type="paragraph" w:styleId="Heading3">
    <w:name w:val="heading 3"/>
    <w:basedOn w:val="Normal"/>
    <w:next w:val="Normal"/>
    <w:link w:val="Heading3Char"/>
    <w:uiPriority w:val="9"/>
    <w:qFormat/>
    <w:rsid w:val="00860A11"/>
    <w:pPr>
      <w:keepNext/>
      <w:numPr>
        <w:ilvl w:val="2"/>
        <w:numId w:val="1"/>
      </w:numPr>
      <w:tabs>
        <w:tab w:val="clear" w:pos="720"/>
        <w:tab w:val="left" w:pos="567"/>
      </w:tabs>
      <w:suppressAutoHyphens/>
      <w:spacing w:before="240" w:after="140" w:line="240" w:lineRule="exact"/>
      <w:ind w:left="567" w:hanging="567"/>
      <w:outlineLvl w:val="2"/>
    </w:pPr>
    <w:rPr>
      <w:rFonts w:ascii="Arial" w:eastAsia="Times New Roman" w:hAnsi="Arial" w:cs="Arial"/>
      <w:b/>
      <w:bCs/>
      <w:color w:val="5F5F5F"/>
      <w:sz w:val="20"/>
      <w:szCs w:val="26"/>
      <w:lang w:val="fr-FR" w:eastAsia="fr-FR" w:bidi="fr-FR"/>
    </w:rPr>
  </w:style>
  <w:style w:type="paragraph" w:styleId="Heading4">
    <w:name w:val="heading 4"/>
    <w:aliases w:val="Heading 4 Char1,Título 4 Car,Heading 4 Char1 Car,no vale 2,no vale 2 Car,Überschrift 4 Zchn,Nadpis 4 Char Zchn,Nadpis 4 Char1 Char Zchn,Nadpis 4 Char Char Char Zchn,Heading 4 Char2 Char Char Char Zchn"/>
    <w:next w:val="Normal"/>
    <w:link w:val="Heading4Char"/>
    <w:uiPriority w:val="99"/>
    <w:qFormat/>
    <w:rsid w:val="00860A11"/>
    <w:pPr>
      <w:keepNext/>
      <w:numPr>
        <w:ilvl w:val="3"/>
        <w:numId w:val="1"/>
      </w:numPr>
      <w:tabs>
        <w:tab w:val="clear" w:pos="1080"/>
        <w:tab w:val="left" w:pos="680"/>
      </w:tabs>
      <w:suppressAutoHyphens/>
      <w:spacing w:before="240" w:after="0" w:line="240" w:lineRule="auto"/>
      <w:ind w:left="680" w:hanging="680"/>
      <w:outlineLvl w:val="3"/>
    </w:pPr>
    <w:rPr>
      <w:rFonts w:ascii="Arial" w:eastAsia="Times New Roman" w:hAnsi="Arial" w:cs="Times New Roman"/>
      <w:b/>
      <w:bCs/>
      <w:color w:val="5F5F5F"/>
      <w:sz w:val="18"/>
      <w:szCs w:val="28"/>
      <w:lang w:val="fr-FR" w:eastAsia="fr-FR" w:bidi="fr-FR"/>
    </w:rPr>
  </w:style>
  <w:style w:type="paragraph" w:styleId="Heading5">
    <w:name w:val="heading 5"/>
    <w:basedOn w:val="Normal"/>
    <w:next w:val="Normal"/>
    <w:link w:val="Heading5Char"/>
    <w:uiPriority w:val="9"/>
    <w:qFormat/>
    <w:rsid w:val="00860A11"/>
    <w:pPr>
      <w:suppressAutoHyphens/>
      <w:spacing w:before="200" w:after="100" w:line="220" w:lineRule="atLeast"/>
      <w:outlineLvl w:val="4"/>
    </w:pPr>
    <w:rPr>
      <w:rFonts w:ascii="Arial" w:eastAsia="Times New Roman" w:hAnsi="Arial" w:cs="Times New Roman"/>
      <w:b/>
      <w:bCs/>
      <w:iCs/>
      <w:color w:val="5F5F5F"/>
      <w:sz w:val="18"/>
      <w:szCs w:val="26"/>
      <w:lang w:val="fr-FR" w:eastAsia="fr-FR" w:bidi="fr-FR"/>
    </w:rPr>
  </w:style>
  <w:style w:type="paragraph" w:styleId="Heading6">
    <w:name w:val="heading 6"/>
    <w:basedOn w:val="Normal"/>
    <w:next w:val="Normal"/>
    <w:link w:val="Heading6Char"/>
    <w:uiPriority w:val="9"/>
    <w:qFormat/>
    <w:rsid w:val="00860A11"/>
    <w:pPr>
      <w:suppressAutoHyphens/>
      <w:spacing w:before="140" w:after="140" w:line="200" w:lineRule="exact"/>
      <w:outlineLvl w:val="5"/>
    </w:pPr>
    <w:rPr>
      <w:rFonts w:ascii="Arial" w:eastAsia="Times New Roman" w:hAnsi="Arial" w:cs="Times New Roman"/>
      <w:b/>
      <w:bCs/>
      <w:color w:val="576C88" w:themeColor="text2" w:themeTint="D9"/>
      <w:sz w:val="20"/>
      <w:lang w:val="fr-FR" w:eastAsia="fr-FR" w:bidi="fr-FR"/>
    </w:rPr>
  </w:style>
  <w:style w:type="paragraph" w:styleId="Heading7">
    <w:name w:val="heading 7"/>
    <w:basedOn w:val="Normal"/>
    <w:next w:val="Normal"/>
    <w:link w:val="Heading7Char"/>
    <w:uiPriority w:val="9"/>
    <w:qFormat/>
    <w:rsid w:val="00860A11"/>
    <w:pPr>
      <w:suppressAutoHyphens/>
      <w:spacing w:before="140" w:after="140" w:line="200" w:lineRule="exact"/>
      <w:outlineLvl w:val="6"/>
    </w:pPr>
    <w:rPr>
      <w:rFonts w:ascii="Arial" w:eastAsia="Times New Roman" w:hAnsi="Arial" w:cs="Times New Roman"/>
      <w:b/>
      <w:color w:val="808080"/>
      <w:sz w:val="16"/>
      <w:szCs w:val="24"/>
      <w:lang w:val="fr-FR" w:eastAsia="fr-FR" w:bidi="fr-FR"/>
    </w:rPr>
  </w:style>
  <w:style w:type="paragraph" w:styleId="Heading8">
    <w:name w:val="heading 8"/>
    <w:basedOn w:val="Normal"/>
    <w:next w:val="Normal"/>
    <w:link w:val="Heading8Char"/>
    <w:uiPriority w:val="9"/>
    <w:qFormat/>
    <w:rsid w:val="00860A11"/>
    <w:pPr>
      <w:suppressAutoHyphens/>
      <w:spacing w:before="140" w:after="140" w:line="200" w:lineRule="exact"/>
      <w:outlineLvl w:val="7"/>
    </w:pPr>
    <w:rPr>
      <w:rFonts w:ascii="Arial" w:eastAsia="Times New Roman" w:hAnsi="Arial" w:cs="Times New Roman"/>
      <w:b/>
      <w:iCs/>
      <w:color w:val="808080"/>
      <w:sz w:val="16"/>
      <w:szCs w:val="24"/>
      <w:lang w:val="fr-FR" w:eastAsia="fr-FR" w:bidi="fr-FR"/>
    </w:rPr>
  </w:style>
  <w:style w:type="paragraph" w:styleId="Heading9">
    <w:name w:val="heading 9"/>
    <w:basedOn w:val="Heading1"/>
    <w:next w:val="Normal"/>
    <w:link w:val="Heading9Char"/>
    <w:qFormat/>
    <w:rsid w:val="00860A11"/>
    <w:pPr>
      <w:framePr w:wrap="notBeside"/>
      <w:numPr>
        <w:numId w:val="0"/>
      </w:numPr>
      <w:outlineLvl w:val="8"/>
    </w:pPr>
    <w:rPr>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60A11"/>
    <w:rPr>
      <w:rFonts w:ascii="Arial" w:eastAsia="Times New Roman" w:hAnsi="Arial" w:cs="Arial"/>
      <w:b/>
      <w:bCs/>
      <w:kern w:val="32"/>
      <w:sz w:val="24"/>
      <w:szCs w:val="32"/>
      <w:lang w:val="fr-FR" w:eastAsia="fr-FR" w:bidi="fr-FR"/>
    </w:rPr>
  </w:style>
  <w:style w:type="character" w:customStyle="1" w:styleId="Heading2Char">
    <w:name w:val="Heading 2 Char"/>
    <w:basedOn w:val="DefaultParagraphFont"/>
    <w:link w:val="Heading2"/>
    <w:uiPriority w:val="9"/>
    <w:rsid w:val="00860A11"/>
    <w:rPr>
      <w:rFonts w:ascii="Arial" w:eastAsia="Times New Roman" w:hAnsi="Arial" w:cs="Arial"/>
      <w:b/>
      <w:bCs/>
      <w:iCs/>
      <w:szCs w:val="28"/>
      <w:lang w:val="fr-FR" w:eastAsia="fr-FR" w:bidi="fr-FR"/>
    </w:rPr>
  </w:style>
  <w:style w:type="character" w:customStyle="1" w:styleId="Heading3Char">
    <w:name w:val="Heading 3 Char"/>
    <w:basedOn w:val="DefaultParagraphFont"/>
    <w:link w:val="Heading3"/>
    <w:uiPriority w:val="9"/>
    <w:rsid w:val="00860A11"/>
    <w:rPr>
      <w:rFonts w:ascii="Arial" w:eastAsia="Times New Roman" w:hAnsi="Arial" w:cs="Arial"/>
      <w:b/>
      <w:bCs/>
      <w:color w:val="5F5F5F"/>
      <w:sz w:val="20"/>
      <w:szCs w:val="26"/>
      <w:lang w:val="fr-FR" w:eastAsia="fr-FR" w:bidi="fr-FR"/>
    </w:rPr>
  </w:style>
  <w:style w:type="character" w:customStyle="1" w:styleId="Heading4Char">
    <w:name w:val="Heading 4 Char"/>
    <w:aliases w:val="Heading 4 Char1 Char,Título 4 Car Char,Heading 4 Char1 Car Char,no vale 2 Char,no vale 2 Car Char,Überschrift 4 Zchn Char,Nadpis 4 Char Zchn Char,Nadpis 4 Char1 Char Zchn Char,Nadpis 4 Char Char Char Zchn Char"/>
    <w:basedOn w:val="DefaultParagraphFont"/>
    <w:link w:val="Heading4"/>
    <w:uiPriority w:val="99"/>
    <w:rsid w:val="00860A11"/>
    <w:rPr>
      <w:rFonts w:ascii="Arial" w:eastAsia="Times New Roman" w:hAnsi="Arial" w:cs="Times New Roman"/>
      <w:b/>
      <w:bCs/>
      <w:color w:val="5F5F5F"/>
      <w:sz w:val="18"/>
      <w:szCs w:val="28"/>
      <w:lang w:val="fr-FR" w:eastAsia="fr-FR" w:bidi="fr-FR"/>
    </w:rPr>
  </w:style>
  <w:style w:type="character" w:customStyle="1" w:styleId="Heading5Char">
    <w:name w:val="Heading 5 Char"/>
    <w:basedOn w:val="DefaultParagraphFont"/>
    <w:link w:val="Heading5"/>
    <w:rsid w:val="00860A11"/>
    <w:rPr>
      <w:rFonts w:ascii="Arial" w:eastAsia="Times New Roman" w:hAnsi="Arial" w:cs="Times New Roman"/>
      <w:b/>
      <w:bCs/>
      <w:iCs/>
      <w:color w:val="5F5F5F"/>
      <w:sz w:val="18"/>
      <w:szCs w:val="26"/>
      <w:lang w:val="fr-FR" w:eastAsia="fr-FR" w:bidi="fr-FR"/>
    </w:rPr>
  </w:style>
  <w:style w:type="character" w:customStyle="1" w:styleId="Heading6Char">
    <w:name w:val="Heading 6 Char"/>
    <w:basedOn w:val="DefaultParagraphFont"/>
    <w:link w:val="Heading6"/>
    <w:uiPriority w:val="9"/>
    <w:rsid w:val="00860A11"/>
    <w:rPr>
      <w:rFonts w:ascii="Arial" w:eastAsia="Times New Roman" w:hAnsi="Arial" w:cs="Times New Roman"/>
      <w:b/>
      <w:bCs/>
      <w:color w:val="576C88" w:themeColor="text2" w:themeTint="D9"/>
      <w:sz w:val="20"/>
      <w:lang w:val="fr-FR" w:eastAsia="fr-FR" w:bidi="fr-FR"/>
    </w:rPr>
  </w:style>
  <w:style w:type="character" w:customStyle="1" w:styleId="Heading7Char">
    <w:name w:val="Heading 7 Char"/>
    <w:basedOn w:val="DefaultParagraphFont"/>
    <w:link w:val="Heading7"/>
    <w:rsid w:val="00860A11"/>
    <w:rPr>
      <w:rFonts w:ascii="Arial" w:eastAsia="Times New Roman" w:hAnsi="Arial" w:cs="Times New Roman"/>
      <w:b/>
      <w:color w:val="808080"/>
      <w:sz w:val="16"/>
      <w:szCs w:val="24"/>
      <w:lang w:val="fr-FR" w:eastAsia="fr-FR" w:bidi="fr-FR"/>
    </w:rPr>
  </w:style>
  <w:style w:type="character" w:customStyle="1" w:styleId="Heading8Char">
    <w:name w:val="Heading 8 Char"/>
    <w:basedOn w:val="DefaultParagraphFont"/>
    <w:link w:val="Heading8"/>
    <w:rsid w:val="00860A11"/>
    <w:rPr>
      <w:rFonts w:ascii="Arial" w:eastAsia="Times New Roman" w:hAnsi="Arial" w:cs="Times New Roman"/>
      <w:b/>
      <w:iCs/>
      <w:color w:val="808080"/>
      <w:sz w:val="16"/>
      <w:szCs w:val="24"/>
      <w:lang w:val="fr-FR" w:eastAsia="fr-FR" w:bidi="fr-FR"/>
    </w:rPr>
  </w:style>
  <w:style w:type="character" w:customStyle="1" w:styleId="Heading9Char">
    <w:name w:val="Heading 9 Char"/>
    <w:basedOn w:val="DefaultParagraphFont"/>
    <w:link w:val="Heading9"/>
    <w:rsid w:val="00860A11"/>
    <w:rPr>
      <w:rFonts w:ascii="Arial" w:eastAsia="Times New Roman" w:hAnsi="Arial" w:cs="Arial"/>
      <w:b/>
      <w:bCs/>
      <w:kern w:val="32"/>
      <w:sz w:val="24"/>
      <w:lang w:val="fr-FR" w:eastAsia="fr-FR" w:bidi="fr-FR"/>
    </w:rPr>
  </w:style>
  <w:style w:type="paragraph" w:styleId="TOC2">
    <w:name w:val="toc 2"/>
    <w:next w:val="Normal"/>
    <w:uiPriority w:val="39"/>
    <w:rsid w:val="00860A11"/>
    <w:pPr>
      <w:tabs>
        <w:tab w:val="left" w:pos="454"/>
        <w:tab w:val="right" w:leader="dot" w:pos="8742"/>
      </w:tabs>
      <w:suppressAutoHyphens/>
      <w:spacing w:before="60" w:after="0" w:line="280" w:lineRule="exact"/>
      <w:ind w:left="454" w:right="284" w:hanging="454"/>
    </w:pPr>
    <w:rPr>
      <w:rFonts w:ascii="Arial" w:eastAsia="Times New Roman" w:hAnsi="Arial" w:cs="Times New Roman"/>
      <w:noProof/>
      <w:color w:val="262626"/>
      <w:sz w:val="20"/>
      <w:lang w:val="fr-FR" w:eastAsia="fr-FR" w:bidi="fr-FR"/>
    </w:rPr>
  </w:style>
  <w:style w:type="paragraph" w:styleId="Header">
    <w:name w:val="header"/>
    <w:link w:val="HeaderChar"/>
    <w:uiPriority w:val="99"/>
    <w:rsid w:val="00860A11"/>
    <w:pPr>
      <w:pBdr>
        <w:bottom w:val="single" w:sz="4" w:space="4" w:color="auto"/>
      </w:pBdr>
      <w:tabs>
        <w:tab w:val="right" w:pos="8618"/>
      </w:tabs>
      <w:spacing w:before="60" w:after="0" w:line="240" w:lineRule="auto"/>
      <w:ind w:left="-907" w:right="-907"/>
    </w:pPr>
    <w:rPr>
      <w:rFonts w:ascii="Arial" w:eastAsia="Times New Roman" w:hAnsi="Arial" w:cs="Times New Roman"/>
      <w:color w:val="F07E31"/>
      <w:sz w:val="16"/>
      <w:szCs w:val="20"/>
      <w:lang w:val="fr-FR" w:eastAsia="fr-FR" w:bidi="fr-FR"/>
    </w:rPr>
  </w:style>
  <w:style w:type="character" w:customStyle="1" w:styleId="HeaderChar">
    <w:name w:val="Header Char"/>
    <w:basedOn w:val="DefaultParagraphFont"/>
    <w:link w:val="Header"/>
    <w:uiPriority w:val="99"/>
    <w:rsid w:val="00860A11"/>
    <w:rPr>
      <w:rFonts w:ascii="Arial" w:eastAsia="Times New Roman" w:hAnsi="Arial" w:cs="Times New Roman"/>
      <w:color w:val="F07E31"/>
      <w:sz w:val="16"/>
      <w:szCs w:val="20"/>
      <w:lang w:val="fr-FR" w:eastAsia="fr-FR" w:bidi="fr-FR"/>
    </w:rPr>
  </w:style>
  <w:style w:type="paragraph" w:styleId="Footer">
    <w:name w:val="footer"/>
    <w:link w:val="FooterChar"/>
    <w:uiPriority w:val="99"/>
    <w:rsid w:val="00860A11"/>
    <w:pPr>
      <w:tabs>
        <w:tab w:val="right" w:pos="8618"/>
      </w:tabs>
      <w:spacing w:after="0" w:line="240" w:lineRule="auto"/>
      <w:ind w:left="-907" w:right="-907"/>
      <w:jc w:val="center"/>
    </w:pPr>
    <w:rPr>
      <w:rFonts w:ascii="Helvetica LT Pro Light" w:eastAsia="Times New Roman" w:hAnsi="Helvetica LT Pro Light" w:cs="Times New Roman"/>
      <w:color w:val="808080"/>
      <w:sz w:val="18"/>
      <w:szCs w:val="20"/>
      <w:lang w:val="fr-FR" w:eastAsia="fr-FR" w:bidi="fr-FR"/>
    </w:rPr>
  </w:style>
  <w:style w:type="character" w:customStyle="1" w:styleId="FooterChar">
    <w:name w:val="Footer Char"/>
    <w:basedOn w:val="DefaultParagraphFont"/>
    <w:link w:val="Footer"/>
    <w:uiPriority w:val="99"/>
    <w:rsid w:val="00860A11"/>
    <w:rPr>
      <w:rFonts w:ascii="Helvetica LT Pro Light" w:eastAsia="Times New Roman" w:hAnsi="Helvetica LT Pro Light" w:cs="Times New Roman"/>
      <w:color w:val="808080"/>
      <w:sz w:val="18"/>
      <w:szCs w:val="20"/>
      <w:lang w:val="fr-FR" w:eastAsia="fr-FR" w:bidi="fr-FR"/>
    </w:rPr>
  </w:style>
  <w:style w:type="character" w:styleId="PageNumber">
    <w:name w:val="page number"/>
    <w:basedOn w:val="DefaultParagraphFont"/>
    <w:semiHidden/>
    <w:rsid w:val="00860A11"/>
    <w:rPr>
      <w:rFonts w:ascii="Arial" w:hAnsi="Arial"/>
      <w:color w:val="808080"/>
      <w:sz w:val="18"/>
    </w:rPr>
  </w:style>
  <w:style w:type="paragraph" w:customStyle="1" w:styleId="HTitle2">
    <w:name w:val="H_Title2"/>
    <w:basedOn w:val="Normal"/>
    <w:qFormat/>
    <w:rsid w:val="00860A11"/>
    <w:pPr>
      <w:autoSpaceDE w:val="0"/>
      <w:autoSpaceDN w:val="0"/>
      <w:adjustRightInd w:val="0"/>
      <w:spacing w:after="120" w:line="280" w:lineRule="atLeast"/>
    </w:pPr>
    <w:rPr>
      <w:rFonts w:ascii="Helvetica LT Pro Light" w:eastAsia="Times New Roman" w:hAnsi="Helvetica LT Pro Light" w:cs="Times New Roman"/>
      <w:b/>
      <w:smallCaps/>
      <w:color w:val="6F6F6F"/>
      <w:sz w:val="44"/>
      <w:szCs w:val="52"/>
      <w:lang w:val="fr-FR" w:eastAsia="fr-FR" w:bidi="fr-FR"/>
    </w:rPr>
  </w:style>
  <w:style w:type="paragraph" w:customStyle="1" w:styleId="Hlistbullet">
    <w:name w:val="H_list_bullet"/>
    <w:rsid w:val="00860A11"/>
    <w:pPr>
      <w:numPr>
        <w:numId w:val="2"/>
      </w:numPr>
      <w:spacing w:before="60" w:after="0" w:line="220" w:lineRule="atLeast"/>
      <w:jc w:val="both"/>
    </w:pPr>
    <w:rPr>
      <w:rFonts w:ascii="Arial" w:eastAsia="Times New Roman" w:hAnsi="Arial" w:cs="Arial"/>
      <w:color w:val="576C88" w:themeColor="text2" w:themeTint="D9"/>
      <w:sz w:val="20"/>
      <w:szCs w:val="20"/>
      <w:lang w:val="fr-FR" w:eastAsia="fr-FR" w:bidi="fr-FR"/>
    </w:rPr>
  </w:style>
  <w:style w:type="paragraph" w:customStyle="1" w:styleId="Hlistbullet2">
    <w:name w:val="H_list_bullet2"/>
    <w:basedOn w:val="Hlistbullet"/>
    <w:next w:val="HStandard"/>
    <w:rsid w:val="00860A11"/>
    <w:pPr>
      <w:spacing w:after="140"/>
    </w:pPr>
  </w:style>
  <w:style w:type="paragraph" w:customStyle="1" w:styleId="Hlistabc">
    <w:name w:val="H_list_abc"/>
    <w:rsid w:val="00860A11"/>
    <w:pPr>
      <w:numPr>
        <w:numId w:val="3"/>
      </w:numPr>
      <w:tabs>
        <w:tab w:val="clear" w:pos="644"/>
        <w:tab w:val="left" w:pos="567"/>
      </w:tabs>
      <w:spacing w:before="60" w:after="0" w:line="220" w:lineRule="atLeast"/>
      <w:ind w:left="568" w:hanging="284"/>
      <w:jc w:val="both"/>
    </w:pPr>
    <w:rPr>
      <w:rFonts w:ascii="Arial" w:eastAsia="Times New Roman" w:hAnsi="Arial" w:cs="Times New Roman"/>
      <w:color w:val="262626"/>
      <w:sz w:val="20"/>
      <w:szCs w:val="20"/>
      <w:lang w:val="fr-FR" w:eastAsia="fr-FR" w:bidi="fr-FR"/>
    </w:rPr>
  </w:style>
  <w:style w:type="paragraph" w:customStyle="1" w:styleId="Hlistabc2">
    <w:name w:val="H_list_abc_2"/>
    <w:basedOn w:val="Hlistabc"/>
    <w:next w:val="HStandard"/>
    <w:rsid w:val="00860A11"/>
    <w:pPr>
      <w:spacing w:after="140"/>
    </w:pPr>
    <w:rPr>
      <w:color w:val="576C88" w:themeColor="text2" w:themeTint="D9"/>
    </w:rPr>
  </w:style>
  <w:style w:type="paragraph" w:customStyle="1" w:styleId="HTitle1">
    <w:name w:val="H_Title1"/>
    <w:basedOn w:val="Normal"/>
    <w:rsid w:val="00860A11"/>
    <w:pPr>
      <w:autoSpaceDE w:val="0"/>
      <w:autoSpaceDN w:val="0"/>
      <w:adjustRightInd w:val="0"/>
      <w:spacing w:after="120" w:line="280" w:lineRule="atLeast"/>
      <w:jc w:val="both"/>
    </w:pPr>
    <w:rPr>
      <w:rFonts w:ascii="Helvetica LT Pro" w:eastAsia="Times New Roman" w:hAnsi="Helvetica LT Pro" w:cs="Times New Roman"/>
      <w:b/>
      <w:bCs/>
      <w:caps/>
      <w:color w:val="F07E31"/>
      <w:sz w:val="44"/>
      <w:szCs w:val="32"/>
      <w:lang w:val="fr-FR" w:eastAsia="fr-FR" w:bidi="fr-FR"/>
    </w:rPr>
  </w:style>
  <w:style w:type="paragraph" w:customStyle="1" w:styleId="Autor">
    <w:name w:val="Autor"/>
    <w:basedOn w:val="Normal"/>
    <w:rsid w:val="00860A11"/>
    <w:pPr>
      <w:spacing w:after="0" w:line="280" w:lineRule="exact"/>
    </w:pPr>
    <w:rPr>
      <w:rFonts w:ascii="Arial" w:eastAsia="Times New Roman" w:hAnsi="Arial" w:cs="Times New Roman"/>
      <w:sz w:val="20"/>
      <w:szCs w:val="24"/>
      <w:lang w:val="fr-FR" w:eastAsia="fr-FR" w:bidi="fr-FR"/>
    </w:rPr>
  </w:style>
  <w:style w:type="paragraph" w:customStyle="1" w:styleId="HTitle3">
    <w:name w:val="H_Title3"/>
    <w:basedOn w:val="Autor"/>
    <w:rsid w:val="00860A11"/>
    <w:rPr>
      <w:rFonts w:ascii="Helvetica LT Pro Light" w:hAnsi="Helvetica LT Pro Light"/>
      <w:b/>
      <w:color w:val="6F6F6F"/>
      <w:sz w:val="28"/>
    </w:rPr>
  </w:style>
  <w:style w:type="paragraph" w:styleId="TOC1">
    <w:name w:val="toc 1"/>
    <w:next w:val="Normal"/>
    <w:uiPriority w:val="39"/>
    <w:rsid w:val="00860A11"/>
    <w:pPr>
      <w:tabs>
        <w:tab w:val="left" w:pos="454"/>
        <w:tab w:val="right" w:leader="dot" w:pos="8742"/>
      </w:tabs>
      <w:suppressAutoHyphens/>
      <w:spacing w:before="200" w:after="0" w:line="300" w:lineRule="exact"/>
      <w:ind w:left="454" w:right="284" w:hanging="454"/>
    </w:pPr>
    <w:rPr>
      <w:rFonts w:ascii="Arial" w:eastAsia="Times New Roman" w:hAnsi="Arial" w:cs="Times New Roman"/>
      <w:noProof/>
      <w:color w:val="44546A" w:themeColor="text2"/>
      <w:sz w:val="20"/>
      <w:szCs w:val="20"/>
      <w:lang w:val="fr-FR" w:eastAsia="fr-FR" w:bidi="fr-FR"/>
    </w:rPr>
  </w:style>
  <w:style w:type="paragraph" w:styleId="TOC3">
    <w:name w:val="toc 3"/>
    <w:next w:val="Normal"/>
    <w:uiPriority w:val="39"/>
    <w:rsid w:val="00860A11"/>
    <w:pPr>
      <w:tabs>
        <w:tab w:val="left" w:pos="1021"/>
        <w:tab w:val="right" w:leader="dot" w:pos="8742"/>
      </w:tabs>
      <w:suppressAutoHyphens/>
      <w:spacing w:before="60" w:after="0" w:line="280" w:lineRule="exact"/>
      <w:ind w:left="1021" w:right="284" w:hanging="567"/>
    </w:pPr>
    <w:rPr>
      <w:rFonts w:ascii="Arial" w:eastAsia="Times New Roman" w:hAnsi="Arial" w:cs="Times New Roman"/>
      <w:noProof/>
      <w:color w:val="262626"/>
      <w:sz w:val="18"/>
      <w:szCs w:val="20"/>
      <w:lang w:val="fr-FR" w:eastAsia="fr-FR" w:bidi="fr-FR"/>
    </w:rPr>
  </w:style>
  <w:style w:type="paragraph" w:customStyle="1" w:styleId="Fuzeilequerformat">
    <w:name w:val="Fußzeile_querformat"/>
    <w:basedOn w:val="Footer"/>
    <w:rsid w:val="00860A11"/>
    <w:pPr>
      <w:tabs>
        <w:tab w:val="clear" w:pos="8618"/>
        <w:tab w:val="right" w:pos="12871"/>
      </w:tabs>
    </w:pPr>
  </w:style>
  <w:style w:type="paragraph" w:styleId="TableofFigures">
    <w:name w:val="table of figures"/>
    <w:next w:val="HStandard"/>
    <w:uiPriority w:val="99"/>
    <w:rsid w:val="00860A11"/>
    <w:pPr>
      <w:tabs>
        <w:tab w:val="left" w:pos="851"/>
        <w:tab w:val="right" w:leader="dot" w:pos="7711"/>
      </w:tabs>
      <w:suppressAutoHyphens/>
      <w:spacing w:before="60" w:after="0" w:line="280" w:lineRule="exact"/>
      <w:ind w:left="851" w:right="284" w:hanging="851"/>
    </w:pPr>
    <w:rPr>
      <w:rFonts w:ascii="Arial" w:eastAsia="Times New Roman" w:hAnsi="Arial" w:cs="Times New Roman"/>
      <w:sz w:val="20"/>
      <w:szCs w:val="20"/>
      <w:lang w:val="fr-FR" w:eastAsia="fr-FR" w:bidi="fr-FR"/>
    </w:rPr>
  </w:style>
  <w:style w:type="paragraph" w:customStyle="1" w:styleId="Hlistline3">
    <w:name w:val="H_list_line3"/>
    <w:rsid w:val="00860A11"/>
    <w:pPr>
      <w:numPr>
        <w:numId w:val="4"/>
      </w:numPr>
      <w:tabs>
        <w:tab w:val="left" w:pos="851"/>
      </w:tabs>
      <w:spacing w:before="60" w:after="0" w:line="220" w:lineRule="atLeast"/>
      <w:ind w:left="851" w:hanging="284"/>
    </w:pPr>
    <w:rPr>
      <w:rFonts w:ascii="Arial" w:eastAsia="Times New Roman" w:hAnsi="Arial" w:cs="Times New Roman"/>
      <w:color w:val="262626"/>
      <w:sz w:val="20"/>
      <w:szCs w:val="20"/>
      <w:lang w:val="fr-FR" w:eastAsia="fr-FR" w:bidi="fr-FR"/>
    </w:rPr>
  </w:style>
  <w:style w:type="paragraph" w:customStyle="1" w:styleId="Hlistline4">
    <w:name w:val="H_list_line4"/>
    <w:basedOn w:val="Hlistline3"/>
    <w:next w:val="HStandard"/>
    <w:rsid w:val="00860A11"/>
    <w:pPr>
      <w:spacing w:after="140"/>
    </w:pPr>
  </w:style>
  <w:style w:type="paragraph" w:customStyle="1" w:styleId="HSource">
    <w:name w:val="H_Source"/>
    <w:next w:val="HStandard"/>
    <w:rsid w:val="00860A11"/>
    <w:pPr>
      <w:suppressAutoHyphens/>
      <w:spacing w:before="60" w:after="140" w:line="240" w:lineRule="auto"/>
      <w:jc w:val="center"/>
    </w:pPr>
    <w:rPr>
      <w:rFonts w:ascii="Arial" w:eastAsia="Times New Roman" w:hAnsi="Arial" w:cs="Times New Roman"/>
      <w:color w:val="576C88" w:themeColor="text2" w:themeTint="D9"/>
      <w:sz w:val="16"/>
      <w:szCs w:val="20"/>
      <w:lang w:val="fr-FR" w:eastAsia="fr-FR" w:bidi="fr-FR"/>
    </w:rPr>
  </w:style>
  <w:style w:type="paragraph" w:customStyle="1" w:styleId="Htableleft">
    <w:name w:val="H_table_left"/>
    <w:rsid w:val="00860A11"/>
    <w:pPr>
      <w:suppressAutoHyphens/>
      <w:spacing w:before="40" w:after="40" w:line="240" w:lineRule="auto"/>
    </w:pPr>
    <w:rPr>
      <w:rFonts w:ascii="Arial" w:eastAsia="Times New Roman" w:hAnsi="Arial" w:cs="Times New Roman"/>
      <w:color w:val="262626"/>
      <w:sz w:val="18"/>
      <w:szCs w:val="20"/>
      <w:lang w:val="fr-FR" w:eastAsia="fr-FR" w:bidi="fr-FR"/>
    </w:rPr>
  </w:style>
  <w:style w:type="paragraph" w:customStyle="1" w:styleId="Htablecentered">
    <w:name w:val="H_table_centered"/>
    <w:basedOn w:val="Htableleft"/>
    <w:rsid w:val="00860A11"/>
    <w:pPr>
      <w:jc w:val="center"/>
    </w:pPr>
  </w:style>
  <w:style w:type="paragraph" w:customStyle="1" w:styleId="Htableleftbolt">
    <w:name w:val="H_table_left_bolt"/>
    <w:basedOn w:val="Htableleft"/>
    <w:rsid w:val="00860A11"/>
    <w:rPr>
      <w:b/>
      <w:color w:val="576C88" w:themeColor="text2" w:themeTint="D9"/>
      <w:sz w:val="16"/>
    </w:rPr>
  </w:style>
  <w:style w:type="paragraph" w:customStyle="1" w:styleId="Htablecenteredbolt">
    <w:name w:val="H_table_centered_bolt"/>
    <w:basedOn w:val="Htablecentered"/>
    <w:rsid w:val="00860A11"/>
    <w:rPr>
      <w:b/>
      <w:color w:val="FFFFFF" w:themeColor="background1"/>
    </w:rPr>
  </w:style>
  <w:style w:type="paragraph" w:styleId="FootnoteText">
    <w:name w:val="footnote text"/>
    <w:aliases w:val="Fußnote,Geneva 9,Font: Geneva 9,Boston 10,f,ft,Footnote Text Char Char Char Char Char Char Char Char Char Char,Footnote Text Char Char,Footnote Text Char Char Char Char Char Char Char Char Char Char Char Char,Footnote Text2"/>
    <w:link w:val="FootnoteTextChar1"/>
    <w:qFormat/>
    <w:rsid w:val="00860A11"/>
    <w:pPr>
      <w:tabs>
        <w:tab w:val="left" w:pos="170"/>
      </w:tabs>
      <w:spacing w:after="0" w:line="180" w:lineRule="exact"/>
      <w:ind w:left="170" w:hanging="170"/>
    </w:pPr>
    <w:rPr>
      <w:rFonts w:ascii="Arial" w:eastAsia="Times New Roman" w:hAnsi="Arial" w:cs="Times New Roman"/>
      <w:color w:val="808080"/>
      <w:sz w:val="16"/>
      <w:szCs w:val="20"/>
      <w:lang w:val="fr-FR" w:eastAsia="fr-FR" w:bidi="fr-FR"/>
    </w:rPr>
  </w:style>
  <w:style w:type="character" w:customStyle="1" w:styleId="FootnoteTextChar">
    <w:name w:val="Footnote Text Char"/>
    <w:basedOn w:val="DefaultParagraphFont"/>
    <w:uiPriority w:val="99"/>
    <w:rsid w:val="00860A11"/>
    <w:rPr>
      <w:sz w:val="20"/>
      <w:szCs w:val="20"/>
    </w:rPr>
  </w:style>
  <w:style w:type="paragraph" w:customStyle="1" w:styleId="Htablebullet">
    <w:name w:val="H_table_bullet"/>
    <w:basedOn w:val="Htableleft"/>
    <w:rsid w:val="00860A11"/>
    <w:pPr>
      <w:numPr>
        <w:numId w:val="5"/>
      </w:numPr>
      <w:tabs>
        <w:tab w:val="left" w:pos="142"/>
      </w:tabs>
    </w:pPr>
    <w:rPr>
      <w:rFonts w:cs="Arial"/>
      <w:color w:val="262626" w:themeColor="text1" w:themeTint="D9"/>
    </w:rPr>
  </w:style>
  <w:style w:type="character" w:styleId="FootnoteReference">
    <w:name w:val="footnote reference"/>
    <w:aliases w:val="Überschrift 4 Zchn1,Título 4 Car Zchn,Heading 4 Char1 Car Zchn,no vale 2 Zchn,no vale 2 Car Zchn,Footnote symbol,ftref,Footnote Refernece,Footnote Reference Number,BVI fnr,Fußnotenzeichen_Raxen,Heading 4 Char2 Char"/>
    <w:basedOn w:val="DefaultParagraphFont"/>
    <w:rsid w:val="00860A11"/>
    <w:rPr>
      <w:rFonts w:ascii="Arial" w:hAnsi="Arial"/>
      <w:i/>
      <w:dstrike w:val="0"/>
      <w:color w:val="000000" w:themeColor="text1"/>
      <w:position w:val="6"/>
      <w:sz w:val="12"/>
      <w:vertAlign w:val="baseline"/>
    </w:rPr>
  </w:style>
  <w:style w:type="paragraph" w:customStyle="1" w:styleId="HContent">
    <w:name w:val="H_Content"/>
    <w:basedOn w:val="Heading1"/>
    <w:next w:val="HStandard"/>
    <w:rsid w:val="00860A11"/>
    <w:pPr>
      <w:pageBreakBefore/>
      <w:framePr w:hSpace="0" w:vSpace="0" w:wrap="auto" w:vAnchor="margin" w:hAnchor="text" w:yAlign="inline"/>
      <w:numPr>
        <w:numId w:val="0"/>
      </w:numPr>
      <w:pBdr>
        <w:left w:val="none" w:sz="0" w:space="0" w:color="auto"/>
      </w:pBdr>
      <w:spacing w:before="360" w:after="360" w:line="280" w:lineRule="atLeast"/>
    </w:pPr>
    <w:rPr>
      <w:rFonts w:ascii="Helvetica LT Pro" w:hAnsi="Helvetica LT Pro"/>
      <w:caps/>
      <w:color w:val="F07E31"/>
      <w:sz w:val="20"/>
    </w:rPr>
  </w:style>
  <w:style w:type="paragraph" w:customStyle="1" w:styleId="HHeading1">
    <w:name w:val="H_Heading 1"/>
    <w:next w:val="HStandard"/>
    <w:rsid w:val="00860A11"/>
    <w:pPr>
      <w:keepNext/>
      <w:pageBreakBefore/>
      <w:numPr>
        <w:numId w:val="6"/>
      </w:numPr>
      <w:tabs>
        <w:tab w:val="clear" w:pos="474"/>
        <w:tab w:val="left" w:pos="510"/>
      </w:tabs>
      <w:spacing w:before="360" w:after="360" w:line="280" w:lineRule="atLeast"/>
      <w:ind w:left="510" w:hanging="510"/>
      <w:outlineLvl w:val="0"/>
    </w:pPr>
    <w:rPr>
      <w:rFonts w:ascii="Arial" w:eastAsia="Times New Roman" w:hAnsi="Arial" w:cs="Times New Roman"/>
      <w:b/>
      <w:caps/>
      <w:color w:val="F07E31"/>
      <w:sz w:val="20"/>
      <w:szCs w:val="20"/>
      <w:lang w:val="fr-FR" w:eastAsia="fr-FR" w:bidi="fr-FR"/>
    </w:rPr>
  </w:style>
  <w:style w:type="paragraph" w:customStyle="1" w:styleId="HHeading2">
    <w:name w:val="H_Heading 2"/>
    <w:next w:val="HStandard"/>
    <w:rsid w:val="00860A11"/>
    <w:pPr>
      <w:keepNext/>
      <w:keepLines/>
      <w:numPr>
        <w:ilvl w:val="1"/>
        <w:numId w:val="6"/>
      </w:numPr>
      <w:tabs>
        <w:tab w:val="left" w:pos="510"/>
      </w:tabs>
      <w:spacing w:before="240" w:after="140" w:line="260" w:lineRule="exact"/>
      <w:outlineLvl w:val="1"/>
    </w:pPr>
    <w:rPr>
      <w:rFonts w:ascii="Arial" w:eastAsia="Times New Roman" w:hAnsi="Arial" w:cs="Arial"/>
      <w:b/>
      <w:color w:val="6F6F6F"/>
      <w:sz w:val="20"/>
      <w:szCs w:val="20"/>
      <w:lang w:val="fr-FR" w:eastAsia="fr-FR" w:bidi="fr-FR"/>
    </w:rPr>
  </w:style>
  <w:style w:type="paragraph" w:customStyle="1" w:styleId="HHeading3">
    <w:name w:val="H_Heading 3"/>
    <w:next w:val="HStandard"/>
    <w:rsid w:val="00860A11"/>
    <w:pPr>
      <w:keepNext/>
      <w:keepLines/>
      <w:numPr>
        <w:ilvl w:val="2"/>
        <w:numId w:val="6"/>
      </w:numPr>
      <w:tabs>
        <w:tab w:val="left" w:pos="567"/>
      </w:tabs>
      <w:spacing w:before="240" w:after="140" w:line="240" w:lineRule="exact"/>
      <w:outlineLvl w:val="2"/>
    </w:pPr>
    <w:rPr>
      <w:rFonts w:ascii="Arial" w:eastAsia="Times New Roman" w:hAnsi="Arial" w:cs="Arial"/>
      <w:color w:val="F07E31"/>
      <w:sz w:val="20"/>
      <w:szCs w:val="20"/>
      <w:lang w:val="fr-FR" w:eastAsia="fr-FR" w:bidi="fr-FR"/>
    </w:rPr>
  </w:style>
  <w:style w:type="paragraph" w:customStyle="1" w:styleId="HHeading4">
    <w:name w:val="H_Heading 4"/>
    <w:next w:val="HStandard"/>
    <w:rsid w:val="00860A11"/>
    <w:pPr>
      <w:keepNext/>
      <w:keepLines/>
      <w:numPr>
        <w:ilvl w:val="3"/>
        <w:numId w:val="6"/>
      </w:numPr>
      <w:tabs>
        <w:tab w:val="clear" w:pos="1080"/>
        <w:tab w:val="left" w:pos="680"/>
      </w:tabs>
      <w:spacing w:before="240" w:after="140" w:line="240" w:lineRule="auto"/>
      <w:ind w:left="680" w:hanging="680"/>
      <w:outlineLvl w:val="3"/>
    </w:pPr>
    <w:rPr>
      <w:rFonts w:ascii="Helvetica LT Pro" w:eastAsia="Times New Roman" w:hAnsi="Helvetica LT Pro" w:cs="Times New Roman"/>
      <w:b/>
      <w:color w:val="5F5F5F"/>
      <w:sz w:val="18"/>
      <w:szCs w:val="20"/>
      <w:lang w:val="fr-FR" w:eastAsia="fr-FR" w:bidi="fr-FR"/>
    </w:rPr>
  </w:style>
  <w:style w:type="paragraph" w:customStyle="1" w:styleId="HHeading5">
    <w:name w:val="H_Heading 5"/>
    <w:next w:val="HStandard"/>
    <w:rsid w:val="00860A11"/>
    <w:pPr>
      <w:keepNext/>
      <w:keepLines/>
      <w:spacing w:before="200" w:after="100" w:line="240" w:lineRule="auto"/>
      <w:outlineLvl w:val="4"/>
    </w:pPr>
    <w:rPr>
      <w:rFonts w:ascii="Arial" w:eastAsia="Times New Roman" w:hAnsi="Arial" w:cs="Arial"/>
      <w:b/>
      <w:color w:val="57825E"/>
      <w:sz w:val="20"/>
      <w:szCs w:val="20"/>
      <w:lang w:val="fr-FR" w:eastAsia="fr-FR" w:bidi="fr-FR"/>
    </w:rPr>
  </w:style>
  <w:style w:type="paragraph" w:customStyle="1" w:styleId="HHeading9">
    <w:name w:val="H_Heading 9"/>
    <w:basedOn w:val="HHeading1"/>
    <w:next w:val="HStandard"/>
    <w:rsid w:val="00860A11"/>
    <w:pPr>
      <w:numPr>
        <w:numId w:val="0"/>
      </w:numPr>
    </w:pPr>
    <w:rPr>
      <w:noProof/>
    </w:rPr>
  </w:style>
  <w:style w:type="character" w:styleId="Hyperlink">
    <w:name w:val="Hyperlink"/>
    <w:basedOn w:val="DefaultParagraphFont"/>
    <w:uiPriority w:val="99"/>
    <w:rsid w:val="00860A11"/>
    <w:rPr>
      <w:color w:val="E7E6E6" w:themeColor="background2"/>
      <w:u w:val="single"/>
    </w:rPr>
  </w:style>
  <w:style w:type="paragraph" w:customStyle="1" w:styleId="HStandard">
    <w:name w:val="H_Standard"/>
    <w:rsid w:val="00860A11"/>
    <w:pPr>
      <w:spacing w:after="120" w:line="280" w:lineRule="atLeast"/>
      <w:jc w:val="both"/>
    </w:pPr>
    <w:rPr>
      <w:rFonts w:ascii="Arial" w:eastAsia="Times New Roman" w:hAnsi="Arial" w:cs="Arial"/>
      <w:color w:val="576C88" w:themeColor="text2" w:themeTint="D9"/>
      <w:sz w:val="20"/>
      <w:szCs w:val="20"/>
      <w:lang w:val="fr-FR" w:eastAsia="fr-FR" w:bidi="fr-FR"/>
    </w:rPr>
  </w:style>
  <w:style w:type="paragraph" w:styleId="DocumentMap">
    <w:name w:val="Document Map"/>
    <w:basedOn w:val="Normal"/>
    <w:link w:val="DocumentMapChar"/>
    <w:semiHidden/>
    <w:rsid w:val="00860A11"/>
    <w:pPr>
      <w:shd w:val="clear" w:color="auto" w:fill="000080"/>
      <w:spacing w:before="60" w:after="140" w:line="220" w:lineRule="atLeast"/>
      <w:jc w:val="both"/>
    </w:pPr>
    <w:rPr>
      <w:rFonts w:ascii="Tahoma" w:eastAsia="Times New Roman" w:hAnsi="Tahoma" w:cs="Tahoma"/>
      <w:sz w:val="18"/>
      <w:szCs w:val="24"/>
      <w:lang w:val="fr-FR" w:eastAsia="fr-FR" w:bidi="fr-FR"/>
    </w:rPr>
  </w:style>
  <w:style w:type="character" w:customStyle="1" w:styleId="DocumentMapChar">
    <w:name w:val="Document Map Char"/>
    <w:basedOn w:val="DefaultParagraphFont"/>
    <w:link w:val="DocumentMap"/>
    <w:semiHidden/>
    <w:rsid w:val="00860A11"/>
    <w:rPr>
      <w:rFonts w:ascii="Tahoma" w:eastAsia="Times New Roman" w:hAnsi="Tahoma" w:cs="Tahoma"/>
      <w:sz w:val="18"/>
      <w:szCs w:val="24"/>
      <w:shd w:val="clear" w:color="auto" w:fill="000080"/>
      <w:lang w:val="fr-FR" w:eastAsia="fr-FR" w:bidi="fr-FR"/>
    </w:rPr>
  </w:style>
  <w:style w:type="paragraph" w:styleId="BalloonText">
    <w:name w:val="Balloon Text"/>
    <w:basedOn w:val="Normal"/>
    <w:link w:val="BalloonTextChar"/>
    <w:uiPriority w:val="99"/>
    <w:semiHidden/>
    <w:unhideWhenUsed/>
    <w:rsid w:val="00860A11"/>
    <w:pPr>
      <w:spacing w:after="0" w:line="240" w:lineRule="auto"/>
      <w:jc w:val="both"/>
    </w:pPr>
    <w:rPr>
      <w:rFonts w:ascii="Tahoma" w:eastAsia="Times New Roman" w:hAnsi="Tahoma" w:cs="Tahoma"/>
      <w:sz w:val="16"/>
      <w:szCs w:val="16"/>
      <w:lang w:val="fr-FR" w:eastAsia="fr-FR" w:bidi="fr-FR"/>
    </w:rPr>
  </w:style>
  <w:style w:type="character" w:customStyle="1" w:styleId="BalloonTextChar">
    <w:name w:val="Balloon Text Char"/>
    <w:basedOn w:val="DefaultParagraphFont"/>
    <w:link w:val="BalloonText"/>
    <w:uiPriority w:val="99"/>
    <w:semiHidden/>
    <w:rsid w:val="00860A11"/>
    <w:rPr>
      <w:rFonts w:ascii="Tahoma" w:eastAsia="Times New Roman" w:hAnsi="Tahoma" w:cs="Tahoma"/>
      <w:sz w:val="16"/>
      <w:szCs w:val="16"/>
      <w:lang w:val="fr-FR" w:eastAsia="fr-FR" w:bidi="fr-FR"/>
    </w:rPr>
  </w:style>
  <w:style w:type="table" w:styleId="TableGrid">
    <w:name w:val="Table Grid"/>
    <w:basedOn w:val="TableNormal"/>
    <w:uiPriority w:val="59"/>
    <w:rsid w:val="00860A11"/>
    <w:pPr>
      <w:spacing w:after="0" w:line="240" w:lineRule="auto"/>
    </w:pPr>
    <w:rPr>
      <w:rFonts w:ascii="Times New Roman" w:eastAsia="Times New Roman" w:hAnsi="Times New Roman" w:cs="Times New Roman"/>
      <w:sz w:val="20"/>
      <w:szCs w:val="20"/>
      <w:lang w:val="fr-FR" w:eastAsia="fr-FR" w:bidi="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Headingtables">
    <w:name w:val="H_Heading_tables"/>
    <w:next w:val="HStandard"/>
    <w:qFormat/>
    <w:rsid w:val="00860A11"/>
    <w:pPr>
      <w:numPr>
        <w:numId w:val="7"/>
      </w:numPr>
      <w:spacing w:before="200" w:after="140" w:line="240" w:lineRule="auto"/>
      <w:ind w:left="0"/>
    </w:pPr>
    <w:rPr>
      <w:rFonts w:ascii="Arial" w:eastAsia="Times New Roman" w:hAnsi="Arial" w:cs="Arial"/>
      <w:b/>
      <w:color w:val="576C88" w:themeColor="text2" w:themeTint="D9"/>
      <w:sz w:val="16"/>
      <w:szCs w:val="20"/>
      <w:lang w:val="fr-FR" w:eastAsia="fr-FR" w:bidi="fr-FR"/>
    </w:rPr>
  </w:style>
  <w:style w:type="paragraph" w:customStyle="1" w:styleId="HHeadingfigures">
    <w:name w:val="H_Heading_figures"/>
    <w:basedOn w:val="HHeadingtables"/>
    <w:next w:val="HStandard"/>
    <w:qFormat/>
    <w:rsid w:val="00860A11"/>
    <w:pPr>
      <w:numPr>
        <w:numId w:val="8"/>
      </w:numPr>
      <w:ind w:left="0"/>
    </w:pPr>
  </w:style>
  <w:style w:type="paragraph" w:customStyle="1" w:styleId="HHeadingmaps">
    <w:name w:val="H_Heading_maps"/>
    <w:basedOn w:val="HHeadingtables"/>
    <w:next w:val="HStandard"/>
    <w:qFormat/>
    <w:rsid w:val="00860A11"/>
    <w:pPr>
      <w:keepNext/>
      <w:keepLines/>
      <w:numPr>
        <w:numId w:val="9"/>
      </w:numPr>
      <w:outlineLvl w:val="5"/>
    </w:pPr>
    <w:rPr>
      <w:b w:val="0"/>
    </w:rPr>
  </w:style>
  <w:style w:type="paragraph" w:customStyle="1" w:styleId="HHeadingboxes">
    <w:name w:val="H_Heading_boxes"/>
    <w:basedOn w:val="HHeadingtables"/>
    <w:next w:val="HStandard"/>
    <w:qFormat/>
    <w:rsid w:val="00860A11"/>
    <w:pPr>
      <w:numPr>
        <w:numId w:val="10"/>
      </w:numPr>
    </w:pPr>
  </w:style>
  <w:style w:type="paragraph" w:customStyle="1" w:styleId="HBox">
    <w:name w:val="H_Box"/>
    <w:next w:val="HStandard"/>
    <w:qFormat/>
    <w:rsid w:val="00860A11"/>
    <w:pPr>
      <w:pBdr>
        <w:top w:val="single" w:sz="4" w:space="4" w:color="auto"/>
        <w:left w:val="single" w:sz="4" w:space="4" w:color="auto"/>
        <w:bottom w:val="single" w:sz="4" w:space="4" w:color="auto"/>
        <w:right w:val="single" w:sz="4" w:space="4" w:color="auto"/>
      </w:pBdr>
      <w:shd w:val="pct10" w:color="auto" w:fill="auto"/>
      <w:spacing w:after="0" w:line="240" w:lineRule="auto"/>
      <w:jc w:val="both"/>
    </w:pPr>
    <w:rPr>
      <w:rFonts w:ascii="Arial" w:eastAsia="Times New Roman" w:hAnsi="Arial" w:cs="Times New Roman"/>
      <w:color w:val="262626"/>
      <w:sz w:val="20"/>
      <w:szCs w:val="20"/>
      <w:lang w:val="fr-FR" w:eastAsia="fr-FR" w:bidi="fr-FR"/>
    </w:rPr>
  </w:style>
  <w:style w:type="paragraph" w:customStyle="1" w:styleId="HBoxbullet">
    <w:name w:val="H_Box_bullet"/>
    <w:next w:val="HStandard"/>
    <w:qFormat/>
    <w:rsid w:val="00860A11"/>
    <w:pPr>
      <w:numPr>
        <w:numId w:val="11"/>
      </w:numPr>
      <w:pBdr>
        <w:top w:val="single" w:sz="4" w:space="4" w:color="auto"/>
        <w:left w:val="single" w:sz="4" w:space="8" w:color="auto"/>
        <w:bottom w:val="single" w:sz="4" w:space="4" w:color="auto"/>
        <w:right w:val="single" w:sz="4" w:space="4" w:color="auto"/>
      </w:pBdr>
      <w:shd w:val="pct10" w:color="auto" w:fill="auto"/>
      <w:spacing w:after="0" w:line="240" w:lineRule="auto"/>
      <w:ind w:left="364" w:hanging="284"/>
      <w:jc w:val="both"/>
    </w:pPr>
    <w:rPr>
      <w:rFonts w:ascii="Helvetica LT Pro Light" w:eastAsia="Times New Roman" w:hAnsi="Helvetica LT Pro Light" w:cs="Times New Roman"/>
      <w:sz w:val="20"/>
      <w:szCs w:val="20"/>
      <w:lang w:val="fr-FR" w:eastAsia="fr-FR" w:bidi="fr-FR"/>
    </w:rPr>
  </w:style>
  <w:style w:type="paragraph" w:customStyle="1" w:styleId="Hdisclaimer">
    <w:name w:val="H_disclaimer"/>
    <w:qFormat/>
    <w:rsid w:val="00860A11"/>
    <w:pPr>
      <w:spacing w:after="120" w:line="280" w:lineRule="atLeast"/>
      <w:jc w:val="both"/>
    </w:pPr>
    <w:rPr>
      <w:rFonts w:ascii="Helvetica LT Pro Light" w:eastAsia="Times New Roman" w:hAnsi="Helvetica LT Pro Light" w:cs="Arial"/>
      <w:color w:val="6F6F6F"/>
      <w:sz w:val="18"/>
      <w:szCs w:val="18"/>
      <w:lang w:val="fr-FR" w:eastAsia="fr-FR" w:bidi="fr-FR"/>
    </w:rPr>
  </w:style>
  <w:style w:type="paragraph" w:styleId="EndnoteText">
    <w:name w:val="endnote text"/>
    <w:basedOn w:val="Normal"/>
    <w:link w:val="EndnoteTextChar"/>
    <w:uiPriority w:val="99"/>
    <w:semiHidden/>
    <w:unhideWhenUsed/>
    <w:rsid w:val="00860A11"/>
    <w:pPr>
      <w:spacing w:after="0" w:line="240" w:lineRule="auto"/>
      <w:jc w:val="both"/>
    </w:pPr>
    <w:rPr>
      <w:rFonts w:ascii="Arial" w:eastAsia="Times New Roman" w:hAnsi="Arial" w:cs="Times New Roman"/>
      <w:sz w:val="20"/>
      <w:szCs w:val="20"/>
      <w:lang w:val="fr-FR" w:eastAsia="fr-FR" w:bidi="fr-FR"/>
    </w:rPr>
  </w:style>
  <w:style w:type="character" w:customStyle="1" w:styleId="EndnoteTextChar">
    <w:name w:val="Endnote Text Char"/>
    <w:basedOn w:val="DefaultParagraphFont"/>
    <w:link w:val="EndnoteText"/>
    <w:uiPriority w:val="99"/>
    <w:semiHidden/>
    <w:rsid w:val="00860A11"/>
    <w:rPr>
      <w:rFonts w:ascii="Arial" w:eastAsia="Times New Roman" w:hAnsi="Arial" w:cs="Times New Roman"/>
      <w:sz w:val="20"/>
      <w:szCs w:val="20"/>
      <w:lang w:val="fr-FR" w:eastAsia="fr-FR" w:bidi="fr-FR"/>
    </w:rPr>
  </w:style>
  <w:style w:type="character" w:styleId="EndnoteReference">
    <w:name w:val="endnote reference"/>
    <w:basedOn w:val="DefaultParagraphFont"/>
    <w:uiPriority w:val="99"/>
    <w:semiHidden/>
    <w:unhideWhenUsed/>
    <w:rsid w:val="00860A11"/>
    <w:rPr>
      <w:vertAlign w:val="superscript"/>
    </w:rPr>
  </w:style>
  <w:style w:type="character" w:styleId="CommentReference">
    <w:name w:val="annotation reference"/>
    <w:basedOn w:val="DefaultParagraphFont"/>
    <w:uiPriority w:val="99"/>
    <w:unhideWhenUsed/>
    <w:rsid w:val="00860A11"/>
    <w:rPr>
      <w:sz w:val="16"/>
      <w:szCs w:val="16"/>
    </w:rPr>
  </w:style>
  <w:style w:type="paragraph" w:styleId="CommentText">
    <w:name w:val="annotation text"/>
    <w:basedOn w:val="Normal"/>
    <w:link w:val="CommentTextChar"/>
    <w:uiPriority w:val="99"/>
    <w:unhideWhenUsed/>
    <w:rsid w:val="00860A11"/>
    <w:pPr>
      <w:spacing w:before="60" w:after="140" w:line="240" w:lineRule="auto"/>
      <w:jc w:val="both"/>
    </w:pPr>
    <w:rPr>
      <w:rFonts w:ascii="Arial" w:eastAsia="Times New Roman" w:hAnsi="Arial" w:cs="Times New Roman"/>
      <w:sz w:val="20"/>
      <w:szCs w:val="20"/>
      <w:lang w:val="fr-FR" w:eastAsia="fr-FR" w:bidi="fr-FR"/>
    </w:rPr>
  </w:style>
  <w:style w:type="character" w:customStyle="1" w:styleId="CommentTextChar">
    <w:name w:val="Comment Text Char"/>
    <w:basedOn w:val="DefaultParagraphFont"/>
    <w:link w:val="CommentText"/>
    <w:uiPriority w:val="99"/>
    <w:rsid w:val="00860A11"/>
    <w:rPr>
      <w:rFonts w:ascii="Arial" w:eastAsia="Times New Roman" w:hAnsi="Arial" w:cs="Times New Roman"/>
      <w:sz w:val="20"/>
      <w:szCs w:val="20"/>
      <w:lang w:val="fr-FR" w:eastAsia="fr-FR" w:bidi="fr-FR"/>
    </w:rPr>
  </w:style>
  <w:style w:type="paragraph" w:styleId="CommentSubject">
    <w:name w:val="annotation subject"/>
    <w:basedOn w:val="CommentText"/>
    <w:next w:val="CommentText"/>
    <w:link w:val="CommentSubjectChar"/>
    <w:uiPriority w:val="99"/>
    <w:semiHidden/>
    <w:unhideWhenUsed/>
    <w:rsid w:val="00860A11"/>
    <w:rPr>
      <w:b/>
      <w:bCs/>
    </w:rPr>
  </w:style>
  <w:style w:type="character" w:customStyle="1" w:styleId="CommentSubjectChar">
    <w:name w:val="Comment Subject Char"/>
    <w:basedOn w:val="CommentTextChar"/>
    <w:link w:val="CommentSubject"/>
    <w:uiPriority w:val="99"/>
    <w:semiHidden/>
    <w:rsid w:val="00860A11"/>
    <w:rPr>
      <w:rFonts w:ascii="Arial" w:eastAsia="Times New Roman" w:hAnsi="Arial" w:cs="Times New Roman"/>
      <w:b/>
      <w:bCs/>
      <w:sz w:val="20"/>
      <w:szCs w:val="20"/>
      <w:lang w:val="fr-FR" w:eastAsia="fr-FR" w:bidi="fr-FR"/>
    </w:rPr>
  </w:style>
  <w:style w:type="character" w:customStyle="1" w:styleId="FootnoteTextChar1">
    <w:name w:val="Footnote Text Char1"/>
    <w:aliases w:val="Fußnote Char,Geneva 9 Char,Font: Geneva 9 Char,Boston 10 Char,f Char,ft Char,Footnote Text Char Char Char Char Char Char Char Char Char Char Char,Footnote Text Char Char Char,Footnote Text2 Char"/>
    <w:basedOn w:val="DefaultParagraphFont"/>
    <w:link w:val="FootnoteText"/>
    <w:rsid w:val="00860A11"/>
    <w:rPr>
      <w:rFonts w:ascii="Arial" w:eastAsia="Times New Roman" w:hAnsi="Arial" w:cs="Times New Roman"/>
      <w:color w:val="808080"/>
      <w:sz w:val="16"/>
      <w:szCs w:val="20"/>
      <w:lang w:val="fr-FR" w:eastAsia="fr-FR" w:bidi="fr-FR"/>
    </w:rPr>
  </w:style>
  <w:style w:type="paragraph" w:styleId="ListParagraph">
    <w:name w:val="List Paragraph"/>
    <w:basedOn w:val="Normal"/>
    <w:uiPriority w:val="34"/>
    <w:qFormat/>
    <w:rsid w:val="00860A11"/>
    <w:pPr>
      <w:ind w:left="720"/>
      <w:contextualSpacing/>
    </w:pPr>
    <w:rPr>
      <w:lang w:val="fr-FR" w:eastAsia="fr-FR" w:bidi="fr-FR"/>
    </w:rPr>
  </w:style>
  <w:style w:type="paragraph" w:customStyle="1" w:styleId="Default">
    <w:name w:val="Default"/>
    <w:rsid w:val="00860A11"/>
    <w:pPr>
      <w:autoSpaceDE w:val="0"/>
      <w:autoSpaceDN w:val="0"/>
      <w:adjustRightInd w:val="0"/>
      <w:spacing w:after="0" w:line="240" w:lineRule="auto"/>
    </w:pPr>
    <w:rPr>
      <w:rFonts w:ascii="EUAlbertina" w:hAnsi="EUAlbertina" w:cs="EUAlbertina"/>
      <w:color w:val="000000"/>
      <w:sz w:val="24"/>
      <w:szCs w:val="24"/>
      <w:lang w:val="fr-FR" w:eastAsia="fr-FR" w:bidi="fr-FR"/>
    </w:rPr>
  </w:style>
  <w:style w:type="paragraph" w:styleId="Caption">
    <w:name w:val="caption"/>
    <w:aliases w:val="Table"/>
    <w:basedOn w:val="Normal"/>
    <w:next w:val="Normal"/>
    <w:link w:val="CaptionChar"/>
    <w:qFormat/>
    <w:rsid w:val="00860A11"/>
    <w:pPr>
      <w:keepNext/>
      <w:keepLines/>
      <w:spacing w:after="120" w:line="240" w:lineRule="auto"/>
      <w:jc w:val="both"/>
    </w:pPr>
    <w:rPr>
      <w:rFonts w:ascii="Arial" w:eastAsia="Times New Roman" w:hAnsi="Arial" w:cs="Times New Roman"/>
      <w:b/>
      <w:bCs/>
      <w:sz w:val="16"/>
      <w:szCs w:val="20"/>
      <w:lang w:val="fr-FR" w:eastAsia="fr-FR" w:bidi="fr-FR"/>
    </w:rPr>
  </w:style>
  <w:style w:type="character" w:customStyle="1" w:styleId="CaptionChar">
    <w:name w:val="Caption Char"/>
    <w:aliases w:val="Table Char"/>
    <w:link w:val="Caption"/>
    <w:locked/>
    <w:rsid w:val="00860A11"/>
    <w:rPr>
      <w:rFonts w:ascii="Arial" w:eastAsia="Times New Roman" w:hAnsi="Arial" w:cs="Times New Roman"/>
      <w:b/>
      <w:bCs/>
      <w:sz w:val="16"/>
      <w:szCs w:val="20"/>
      <w:lang w:val="fr-FR" w:eastAsia="fr-FR" w:bidi="fr-FR"/>
    </w:rPr>
  </w:style>
  <w:style w:type="paragraph" w:styleId="Subtitle">
    <w:name w:val="Subtitle"/>
    <w:basedOn w:val="Normal"/>
    <w:next w:val="Normal"/>
    <w:link w:val="SubtitleChar"/>
    <w:uiPriority w:val="11"/>
    <w:qFormat/>
    <w:rsid w:val="00860A11"/>
    <w:pPr>
      <w:numPr>
        <w:ilvl w:val="1"/>
      </w:numPr>
    </w:pPr>
    <w:rPr>
      <w:rFonts w:eastAsiaTheme="minorEastAsia"/>
      <w:color w:val="5A5A5A" w:themeColor="text1" w:themeTint="A5"/>
      <w:spacing w:val="15"/>
      <w:lang w:val="fr-FR" w:eastAsia="fr-FR" w:bidi="fr-FR"/>
    </w:rPr>
  </w:style>
  <w:style w:type="character" w:customStyle="1" w:styleId="SubtitleChar">
    <w:name w:val="Subtitle Char"/>
    <w:basedOn w:val="DefaultParagraphFont"/>
    <w:link w:val="Subtitle"/>
    <w:uiPriority w:val="11"/>
    <w:rsid w:val="00860A11"/>
    <w:rPr>
      <w:rFonts w:eastAsiaTheme="minorEastAsia"/>
      <w:color w:val="5A5A5A" w:themeColor="text1" w:themeTint="A5"/>
      <w:spacing w:val="15"/>
      <w:lang w:val="fr-FR" w:eastAsia="fr-FR" w:bidi="fr-FR"/>
    </w:rPr>
  </w:style>
  <w:style w:type="character" w:styleId="Emphasis">
    <w:name w:val="Emphasis"/>
    <w:basedOn w:val="DefaultParagraphFont"/>
    <w:uiPriority w:val="20"/>
    <w:qFormat/>
    <w:rsid w:val="00860A11"/>
    <w:rPr>
      <w:i/>
      <w:iCs/>
    </w:rPr>
  </w:style>
  <w:style w:type="paragraph" w:styleId="NormalWeb">
    <w:name w:val="Normal (Web)"/>
    <w:basedOn w:val="Normal"/>
    <w:uiPriority w:val="99"/>
    <w:semiHidden/>
    <w:unhideWhenUsed/>
    <w:rsid w:val="00860A11"/>
    <w:pPr>
      <w:spacing w:before="100" w:beforeAutospacing="1" w:after="100" w:afterAutospacing="1" w:line="240" w:lineRule="auto"/>
    </w:pPr>
    <w:rPr>
      <w:rFonts w:ascii="Times New Roman" w:eastAsia="Times New Roman" w:hAnsi="Times New Roman" w:cs="Times New Roman"/>
      <w:sz w:val="24"/>
      <w:szCs w:val="24"/>
      <w:lang w:val="fr-FR" w:eastAsia="fr-FR" w:bidi="fr-FR"/>
    </w:rPr>
  </w:style>
  <w:style w:type="character" w:styleId="IntenseEmphasis">
    <w:name w:val="Intense Emphasis"/>
    <w:basedOn w:val="DefaultParagraphFont"/>
    <w:uiPriority w:val="21"/>
    <w:qFormat/>
    <w:rsid w:val="00860A11"/>
    <w:rPr>
      <w:i/>
      <w:iCs/>
      <w:color w:val="5B9BD5" w:themeColor="accent1"/>
    </w:rPr>
  </w:style>
  <w:style w:type="character" w:styleId="IntenseReference">
    <w:name w:val="Intense Reference"/>
    <w:basedOn w:val="DefaultParagraphFont"/>
    <w:uiPriority w:val="32"/>
    <w:qFormat/>
    <w:rsid w:val="00860A11"/>
    <w:rPr>
      <w:b/>
      <w:bCs/>
      <w:smallCaps/>
      <w:color w:val="5B9BD5" w:themeColor="accent1"/>
      <w:spacing w:val="5"/>
    </w:rPr>
  </w:style>
  <w:style w:type="paragraph" w:styleId="Title">
    <w:name w:val="Title"/>
    <w:basedOn w:val="Normal"/>
    <w:link w:val="TitleChar"/>
    <w:qFormat/>
    <w:rsid w:val="00860A11"/>
    <w:pPr>
      <w:spacing w:before="240" w:after="60" w:line="240" w:lineRule="auto"/>
      <w:outlineLvl w:val="4"/>
    </w:pPr>
    <w:rPr>
      <w:rFonts w:ascii="Arial" w:eastAsia="Times New Roman" w:hAnsi="Arial" w:cs="Times New Roman"/>
      <w:b/>
      <w:i/>
      <w:snapToGrid w:val="0"/>
      <w:color w:val="749B29"/>
      <w:kern w:val="28"/>
      <w:sz w:val="20"/>
      <w:szCs w:val="20"/>
      <w:lang w:val="fr-FR" w:eastAsia="fr-FR" w:bidi="fr-FR"/>
    </w:rPr>
  </w:style>
  <w:style w:type="character" w:customStyle="1" w:styleId="TitleChar">
    <w:name w:val="Title Char"/>
    <w:basedOn w:val="DefaultParagraphFont"/>
    <w:link w:val="Title"/>
    <w:rsid w:val="00860A11"/>
    <w:rPr>
      <w:rFonts w:ascii="Arial" w:eastAsia="Times New Roman" w:hAnsi="Arial" w:cs="Times New Roman"/>
      <w:b/>
      <w:i/>
      <w:snapToGrid w:val="0"/>
      <w:color w:val="749B29"/>
      <w:kern w:val="28"/>
      <w:sz w:val="20"/>
      <w:szCs w:val="20"/>
      <w:lang w:val="fr-FR" w:eastAsia="fr-FR" w:bidi="fr-FR"/>
    </w:rPr>
  </w:style>
  <w:style w:type="paragraph" w:styleId="BodyText2">
    <w:name w:val="Body Text 2"/>
    <w:basedOn w:val="Normal"/>
    <w:link w:val="BodyText2Char"/>
    <w:rsid w:val="00860A11"/>
    <w:pPr>
      <w:spacing w:after="0" w:line="240" w:lineRule="auto"/>
      <w:jc w:val="both"/>
    </w:pPr>
    <w:rPr>
      <w:rFonts w:ascii="Times New Roman" w:eastAsia="Times New Roman" w:hAnsi="Times New Roman" w:cs="Times New Roman"/>
      <w:sz w:val="24"/>
      <w:szCs w:val="20"/>
      <w:lang w:val="fr-FR" w:eastAsia="fr-FR" w:bidi="fr-FR"/>
    </w:rPr>
  </w:style>
  <w:style w:type="character" w:customStyle="1" w:styleId="BodyText2Char">
    <w:name w:val="Body Text 2 Char"/>
    <w:basedOn w:val="DefaultParagraphFont"/>
    <w:link w:val="BodyText2"/>
    <w:rsid w:val="00860A11"/>
    <w:rPr>
      <w:rFonts w:ascii="Times New Roman" w:eastAsia="Times New Roman" w:hAnsi="Times New Roman" w:cs="Times New Roman"/>
      <w:sz w:val="24"/>
      <w:szCs w:val="20"/>
      <w:lang w:val="fr-FR" w:eastAsia="fr-FR" w:bidi="fr-FR"/>
    </w:rPr>
  </w:style>
  <w:style w:type="paragraph" w:styleId="BodyText">
    <w:name w:val="Body Text"/>
    <w:basedOn w:val="Normal"/>
    <w:link w:val="BodyTextChar"/>
    <w:uiPriority w:val="99"/>
    <w:rsid w:val="00860A11"/>
    <w:pPr>
      <w:spacing w:after="120" w:line="240" w:lineRule="auto"/>
      <w:jc w:val="both"/>
    </w:pPr>
    <w:rPr>
      <w:rFonts w:ascii="Arial" w:eastAsia="Times New Roman" w:hAnsi="Arial" w:cs="Times New Roman"/>
      <w:sz w:val="18"/>
      <w:szCs w:val="20"/>
      <w:lang w:val="fr-FR" w:eastAsia="fr-FR" w:bidi="fr-FR"/>
    </w:rPr>
  </w:style>
  <w:style w:type="character" w:customStyle="1" w:styleId="BodyTextChar">
    <w:name w:val="Body Text Char"/>
    <w:basedOn w:val="DefaultParagraphFont"/>
    <w:link w:val="BodyText"/>
    <w:uiPriority w:val="99"/>
    <w:rsid w:val="00860A11"/>
    <w:rPr>
      <w:rFonts w:ascii="Arial" w:eastAsia="Times New Roman" w:hAnsi="Arial" w:cs="Times New Roman"/>
      <w:sz w:val="18"/>
      <w:szCs w:val="20"/>
      <w:lang w:val="fr-FR" w:eastAsia="fr-FR" w:bidi="fr-FR"/>
    </w:rPr>
  </w:style>
  <w:style w:type="paragraph" w:customStyle="1" w:styleId="Cuerpo">
    <w:name w:val="Cuerpo"/>
    <w:rsid w:val="00860A11"/>
    <w:pPr>
      <w:pBdr>
        <w:top w:val="nil"/>
        <w:left w:val="nil"/>
        <w:bottom w:val="nil"/>
        <w:right w:val="nil"/>
        <w:between w:val="nil"/>
        <w:bar w:val="nil"/>
      </w:pBdr>
      <w:spacing w:after="0" w:line="240" w:lineRule="auto"/>
    </w:pPr>
    <w:rPr>
      <w:rFonts w:ascii="Helvetica" w:eastAsia="Arial Unicode MS" w:hAnsi="Arial Unicode MS" w:cs="Arial Unicode MS"/>
      <w:color w:val="000000"/>
      <w:bdr w:val="nil"/>
      <w:lang w:val="fr-FR" w:eastAsia="fr-FR" w:bidi="fr-FR"/>
    </w:rPr>
  </w:style>
  <w:style w:type="paragraph" w:styleId="Revision">
    <w:name w:val="Revision"/>
    <w:hidden/>
    <w:uiPriority w:val="99"/>
    <w:semiHidden/>
    <w:rsid w:val="00860A11"/>
    <w:pPr>
      <w:spacing w:after="0" w:line="240" w:lineRule="auto"/>
    </w:pPr>
    <w:rPr>
      <w:lang w:val="fr-FR" w:eastAsia="fr-FR" w:bidi="fr-FR"/>
    </w:rPr>
  </w:style>
  <w:style w:type="paragraph" w:customStyle="1" w:styleId="CM4">
    <w:name w:val="CM4"/>
    <w:basedOn w:val="Normal"/>
    <w:next w:val="Normal"/>
    <w:uiPriority w:val="99"/>
    <w:rsid w:val="00860A11"/>
    <w:pPr>
      <w:autoSpaceDE w:val="0"/>
      <w:autoSpaceDN w:val="0"/>
      <w:adjustRightInd w:val="0"/>
      <w:spacing w:after="0" w:line="240" w:lineRule="auto"/>
    </w:pPr>
    <w:rPr>
      <w:rFonts w:ascii="EUAlbertina" w:eastAsia="Times New Roman" w:hAnsi="EUAlbertina" w:cs="Times New Roman"/>
      <w:sz w:val="24"/>
      <w:szCs w:val="24"/>
      <w:lang w:val="fr-FR" w:eastAsia="fr-FR" w:bidi="fr-FR"/>
    </w:rPr>
  </w:style>
  <w:style w:type="table" w:styleId="LightList-Accent3">
    <w:name w:val="Light List Accent 3"/>
    <w:basedOn w:val="TableNormal"/>
    <w:uiPriority w:val="61"/>
    <w:rsid w:val="00860A11"/>
    <w:pPr>
      <w:spacing w:after="0" w:line="240" w:lineRule="auto"/>
    </w:pPr>
    <w:rPr>
      <w:rFonts w:ascii="Times New Roman" w:eastAsia="Times New Roman" w:hAnsi="Times New Roman" w:cs="Times New Roman"/>
      <w:sz w:val="20"/>
      <w:szCs w:val="20"/>
      <w:lang w:val="fr-FR" w:eastAsia="fr-FR" w:bidi="fr-FR"/>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paragraph" w:customStyle="1" w:styleId="Style2">
    <w:name w:val="Style2"/>
    <w:basedOn w:val="NoSpacing"/>
    <w:link w:val="Style2Char"/>
    <w:qFormat/>
    <w:rsid w:val="00860A11"/>
    <w:pPr>
      <w:numPr>
        <w:numId w:val="12"/>
      </w:numPr>
      <w:pBdr>
        <w:top w:val="nil"/>
        <w:left w:val="nil"/>
        <w:bottom w:val="nil"/>
        <w:right w:val="nil"/>
        <w:between w:val="nil"/>
        <w:bar w:val="nil"/>
      </w:pBdr>
    </w:pPr>
    <w:rPr>
      <w:rFonts w:ascii="Calibri" w:eastAsia="Arial Unicode MS" w:hAnsi="Calibri" w:cs="Calibri"/>
      <w:bdr w:val="nil"/>
    </w:rPr>
  </w:style>
  <w:style w:type="character" w:customStyle="1" w:styleId="Style2Char">
    <w:name w:val="Style2 Char"/>
    <w:basedOn w:val="DefaultParagraphFont"/>
    <w:link w:val="Style2"/>
    <w:rsid w:val="00860A11"/>
    <w:rPr>
      <w:rFonts w:ascii="Calibri" w:eastAsia="Arial Unicode MS" w:hAnsi="Calibri" w:cs="Calibri"/>
      <w:bdr w:val="nil"/>
      <w:lang w:val="fr-FR" w:eastAsia="fr-FR" w:bidi="fr-FR"/>
    </w:rPr>
  </w:style>
  <w:style w:type="paragraph" w:styleId="NoSpacing">
    <w:name w:val="No Spacing"/>
    <w:uiPriority w:val="1"/>
    <w:qFormat/>
    <w:rsid w:val="00860A11"/>
    <w:pPr>
      <w:spacing w:after="0" w:line="240" w:lineRule="auto"/>
    </w:pPr>
    <w:rPr>
      <w:lang w:val="fr-FR" w:eastAsia="fr-FR" w:bidi="fr-FR"/>
    </w:rPr>
  </w:style>
  <w:style w:type="table" w:customStyle="1" w:styleId="TableGrid2">
    <w:name w:val="Table Grid2"/>
    <w:basedOn w:val="TableNormal"/>
    <w:next w:val="TableGrid"/>
    <w:uiPriority w:val="39"/>
    <w:rsid w:val="00860A11"/>
    <w:pPr>
      <w:spacing w:after="0" w:line="240" w:lineRule="auto"/>
    </w:pPr>
    <w:rPr>
      <w:lang w:val="fr-FR" w:eastAsia="fr-FR" w:bidi="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860A11"/>
  </w:style>
  <w:style w:type="table" w:customStyle="1" w:styleId="Mriekatabuky1">
    <w:name w:val="Mriežka tabuľky1"/>
    <w:basedOn w:val="TableNormal"/>
    <w:next w:val="TableGrid"/>
    <w:uiPriority w:val="59"/>
    <w:rsid w:val="00860A11"/>
    <w:pPr>
      <w:spacing w:after="0" w:line="240" w:lineRule="auto"/>
    </w:pPr>
    <w:rPr>
      <w:rFonts w:ascii="Calibri" w:eastAsia="Times New Roman" w:hAnsi="Calibri" w:cs="Times New Roman"/>
      <w:sz w:val="24"/>
      <w:szCs w:val="24"/>
      <w:lang w:val="fr-FR" w:eastAsia="fr-FR" w:bidi="fr-FR"/>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styleId="LightShading-Accent2">
    <w:name w:val="Light Shading Accent 2"/>
    <w:basedOn w:val="TableNormal"/>
    <w:uiPriority w:val="60"/>
    <w:rsid w:val="00860A11"/>
    <w:pPr>
      <w:spacing w:after="0" w:line="240" w:lineRule="auto"/>
    </w:pPr>
    <w:rPr>
      <w:rFonts w:ascii="Times New Roman" w:eastAsia="Times New Roman" w:hAnsi="Times New Roman" w:cs="Times New Roman"/>
      <w:color w:val="C45911" w:themeColor="accent2" w:themeShade="BF"/>
      <w:sz w:val="20"/>
      <w:szCs w:val="20"/>
      <w:lang w:val="fr-FR" w:eastAsia="fr-FR" w:bidi="fr-FR"/>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ghtShading-Accent3">
    <w:name w:val="Light Shading Accent 3"/>
    <w:basedOn w:val="TableNormal"/>
    <w:uiPriority w:val="60"/>
    <w:rsid w:val="00860A11"/>
    <w:pPr>
      <w:spacing w:after="0" w:line="240" w:lineRule="auto"/>
    </w:pPr>
    <w:rPr>
      <w:rFonts w:ascii="Times New Roman" w:eastAsia="Times New Roman" w:hAnsi="Times New Roman" w:cs="Times New Roman"/>
      <w:color w:val="7B7B7B" w:themeColor="accent3" w:themeShade="BF"/>
      <w:sz w:val="20"/>
      <w:szCs w:val="20"/>
      <w:lang w:val="fr-FR" w:eastAsia="fr-FR" w:bidi="fr-FR"/>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ghtList-Accent5">
    <w:name w:val="Light List Accent 5"/>
    <w:basedOn w:val="TableNormal"/>
    <w:uiPriority w:val="61"/>
    <w:rsid w:val="00860A11"/>
    <w:pPr>
      <w:spacing w:after="0" w:line="240" w:lineRule="auto"/>
    </w:pPr>
    <w:rPr>
      <w:rFonts w:ascii="Times New Roman" w:eastAsia="Times New Roman" w:hAnsi="Times New Roman" w:cs="Times New Roman"/>
      <w:sz w:val="20"/>
      <w:szCs w:val="20"/>
      <w:lang w:val="fr-FR" w:eastAsia="fr-FR" w:bidi="fr-FR"/>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character" w:styleId="FollowedHyperlink">
    <w:name w:val="FollowedHyperlink"/>
    <w:basedOn w:val="DefaultParagraphFont"/>
    <w:uiPriority w:val="99"/>
    <w:semiHidden/>
    <w:unhideWhenUsed/>
    <w:rsid w:val="00860A11"/>
    <w:rPr>
      <w:color w:val="954F72" w:themeColor="followedHyperlink"/>
      <w:u w:val="single"/>
    </w:rPr>
  </w:style>
  <w:style w:type="paragraph" w:customStyle="1" w:styleId="Normal1">
    <w:name w:val="Normal1"/>
    <w:next w:val="Normal"/>
    <w:rsid w:val="00860A11"/>
    <w:pPr>
      <w:numPr>
        <w:numId w:val="20"/>
      </w:numPr>
      <w:spacing w:after="120" w:line="280" w:lineRule="atLeast"/>
      <w:jc w:val="both"/>
    </w:pPr>
    <w:rPr>
      <w:rFonts w:ascii="Arial" w:eastAsia="Times New Roman" w:hAnsi="Arial" w:cs="Times New Roman"/>
      <w:sz w:val="20"/>
      <w:lang w:val="fr-FR" w:eastAsia="fr-FR" w:bidi="fr-FR"/>
    </w:rPr>
  </w:style>
  <w:style w:type="character" w:customStyle="1" w:styleId="FootnoteTextChar2">
    <w:name w:val="Footnote Text Char2"/>
    <w:aliases w:val="Fußnote Char1,Geneva 9 Char1,Font: Geneva 9 Char1,Boston 10 Char1,f Char1,ft Char1,Footnote Text Char Char Char Char Char Char Char Char Char Char Char1,Footnote Text Char Char Char1,Footnote Text2 Char1"/>
    <w:locked/>
    <w:rsid w:val="00860A11"/>
    <w:rPr>
      <w:rFonts w:ascii="Arial" w:hAnsi="Arial" w:cs="Times New Roman"/>
      <w:sz w:val="16"/>
      <w:lang w:val="fr-FR" w:eastAsia="fr-FR"/>
    </w:rPr>
  </w:style>
  <w:style w:type="paragraph" w:customStyle="1" w:styleId="H-Standard">
    <w:name w:val="H-Standard"/>
    <w:basedOn w:val="Normal"/>
    <w:qFormat/>
    <w:rsid w:val="00860A11"/>
    <w:pPr>
      <w:spacing w:after="120" w:line="280" w:lineRule="atLeast"/>
      <w:jc w:val="both"/>
    </w:pPr>
    <w:rPr>
      <w:rFonts w:ascii="Arial" w:eastAsia="Times New Roman" w:hAnsi="Arial" w:cs="Arial"/>
      <w:color w:val="576C88" w:themeColor="text2" w:themeTint="D9"/>
      <w:sz w:val="20"/>
      <w:szCs w:val="18"/>
      <w:lang w:val="fr-FR" w:eastAsia="fr-FR" w:bidi="fr-FR"/>
    </w:rPr>
  </w:style>
  <w:style w:type="paragraph" w:customStyle="1" w:styleId="H-Heading1">
    <w:name w:val="H-Heading 1"/>
    <w:basedOn w:val="Heading1"/>
    <w:qFormat/>
    <w:rsid w:val="00860A11"/>
    <w:pPr>
      <w:framePr w:hSpace="0" w:vSpace="0" w:wrap="auto" w:vAnchor="margin" w:hAnchor="text" w:yAlign="inline"/>
      <w:numPr>
        <w:numId w:val="23"/>
      </w:numPr>
      <w:pBdr>
        <w:left w:val="none" w:sz="0" w:space="0" w:color="auto"/>
      </w:pBdr>
      <w:tabs>
        <w:tab w:val="clear" w:pos="227"/>
      </w:tabs>
      <w:suppressAutoHyphens w:val="0"/>
      <w:spacing w:before="360" w:after="360" w:line="280" w:lineRule="atLeast"/>
    </w:pPr>
    <w:rPr>
      <w:rFonts w:cs="Times New Roman"/>
      <w:caps/>
      <w:color w:val="DF6532"/>
      <w:szCs w:val="24"/>
    </w:rPr>
  </w:style>
  <w:style w:type="paragraph" w:customStyle="1" w:styleId="H-ParagraphList">
    <w:name w:val="H-Paragraph List"/>
    <w:basedOn w:val="ListParagraph"/>
    <w:qFormat/>
    <w:rsid w:val="00860A11"/>
    <w:pPr>
      <w:numPr>
        <w:numId w:val="21"/>
      </w:numPr>
      <w:spacing w:after="120" w:line="280" w:lineRule="atLeast"/>
      <w:contextualSpacing w:val="0"/>
      <w:jc w:val="both"/>
    </w:pPr>
    <w:rPr>
      <w:rFonts w:ascii="Helvetica" w:eastAsia="Times New Roman" w:hAnsi="Helvetica" w:cs="Arial"/>
      <w:snapToGrid w:val="0"/>
      <w:color w:val="000000"/>
      <w:sz w:val="20"/>
      <w:szCs w:val="24"/>
    </w:rPr>
  </w:style>
  <w:style w:type="paragraph" w:customStyle="1" w:styleId="H-Heading2">
    <w:name w:val="H-Heading 2"/>
    <w:basedOn w:val="H-Heading1"/>
    <w:qFormat/>
    <w:rsid w:val="00860A11"/>
    <w:pPr>
      <w:numPr>
        <w:ilvl w:val="1"/>
        <w:numId w:val="22"/>
      </w:numPr>
      <w:spacing w:before="240" w:after="240"/>
    </w:pPr>
    <w:rPr>
      <w:caps w:val="0"/>
      <w:color w:val="6F6F6F"/>
      <w:sz w:val="20"/>
    </w:rPr>
  </w:style>
  <w:style w:type="paragraph" w:customStyle="1" w:styleId="H-Heading3">
    <w:name w:val="H-Heading 3"/>
    <w:basedOn w:val="H-Heading2"/>
    <w:rsid w:val="00860A11"/>
    <w:pPr>
      <w:numPr>
        <w:ilvl w:val="2"/>
        <w:numId w:val="23"/>
      </w:numPr>
    </w:pPr>
    <w:rPr>
      <w:b w:val="0"/>
      <w:color w:val="DF6532"/>
    </w:rPr>
  </w:style>
  <w:style w:type="paragraph" w:customStyle="1" w:styleId="H-Heading4">
    <w:name w:val="H-Heading 4"/>
    <w:basedOn w:val="H-Heading3"/>
    <w:qFormat/>
    <w:rsid w:val="00860A11"/>
    <w:pPr>
      <w:numPr>
        <w:ilvl w:val="0"/>
        <w:numId w:val="0"/>
      </w:numPr>
    </w:pPr>
    <w:rPr>
      <w:b/>
      <w:color w:val="6E8967"/>
    </w:rPr>
  </w:style>
  <w:style w:type="paragraph" w:styleId="Bibliography">
    <w:name w:val="Bibliography"/>
    <w:basedOn w:val="Normal"/>
    <w:next w:val="Normal"/>
    <w:uiPriority w:val="37"/>
    <w:semiHidden/>
    <w:unhideWhenUsed/>
    <w:rsid w:val="00860A11"/>
    <w:pPr>
      <w:spacing w:before="60" w:after="140" w:line="220" w:lineRule="atLeast"/>
      <w:jc w:val="both"/>
    </w:pPr>
    <w:rPr>
      <w:rFonts w:ascii="Arial" w:eastAsia="Times New Roman" w:hAnsi="Arial" w:cs="Times New Roman"/>
      <w:sz w:val="18"/>
      <w:szCs w:val="24"/>
      <w:lang w:val="fr-FR" w:eastAsia="fr-FR" w:bidi="fr-FR"/>
    </w:rPr>
  </w:style>
  <w:style w:type="paragraph" w:styleId="BlockText">
    <w:name w:val="Block Text"/>
    <w:basedOn w:val="Normal"/>
    <w:uiPriority w:val="99"/>
    <w:semiHidden/>
    <w:unhideWhenUsed/>
    <w:rsid w:val="00860A11"/>
    <w:pPr>
      <w:pBdr>
        <w:top w:val="single" w:sz="2" w:space="10" w:color="5B9BD5" w:themeColor="accent1"/>
        <w:left w:val="single" w:sz="2" w:space="10" w:color="5B9BD5" w:themeColor="accent1"/>
        <w:bottom w:val="single" w:sz="2" w:space="10" w:color="5B9BD5" w:themeColor="accent1"/>
        <w:right w:val="single" w:sz="2" w:space="10" w:color="5B9BD5" w:themeColor="accent1"/>
      </w:pBdr>
      <w:spacing w:before="60" w:after="140" w:line="220" w:lineRule="atLeast"/>
      <w:ind w:left="1152" w:right="1152"/>
      <w:jc w:val="both"/>
    </w:pPr>
    <w:rPr>
      <w:rFonts w:eastAsiaTheme="minorEastAsia"/>
      <w:i/>
      <w:iCs/>
      <w:color w:val="5B9BD5" w:themeColor="accent1"/>
      <w:sz w:val="18"/>
      <w:szCs w:val="24"/>
      <w:lang w:val="fr-FR" w:eastAsia="fr-FR" w:bidi="fr-FR"/>
    </w:rPr>
  </w:style>
  <w:style w:type="paragraph" w:styleId="BodyText3">
    <w:name w:val="Body Text 3"/>
    <w:basedOn w:val="Normal"/>
    <w:link w:val="BodyText3Char"/>
    <w:uiPriority w:val="99"/>
    <w:semiHidden/>
    <w:unhideWhenUsed/>
    <w:rsid w:val="00860A11"/>
    <w:pPr>
      <w:spacing w:before="60" w:after="120" w:line="220" w:lineRule="atLeast"/>
      <w:jc w:val="both"/>
    </w:pPr>
    <w:rPr>
      <w:rFonts w:ascii="Arial" w:eastAsia="Times New Roman" w:hAnsi="Arial" w:cs="Times New Roman"/>
      <w:sz w:val="16"/>
      <w:szCs w:val="16"/>
      <w:lang w:val="fr-FR" w:eastAsia="fr-FR" w:bidi="fr-FR"/>
    </w:rPr>
  </w:style>
  <w:style w:type="character" w:customStyle="1" w:styleId="BodyText3Char">
    <w:name w:val="Body Text 3 Char"/>
    <w:basedOn w:val="DefaultParagraphFont"/>
    <w:link w:val="BodyText3"/>
    <w:uiPriority w:val="99"/>
    <w:semiHidden/>
    <w:rsid w:val="00860A11"/>
    <w:rPr>
      <w:rFonts w:ascii="Arial" w:eastAsia="Times New Roman" w:hAnsi="Arial" w:cs="Times New Roman"/>
      <w:sz w:val="16"/>
      <w:szCs w:val="16"/>
      <w:lang w:val="fr-FR" w:eastAsia="fr-FR" w:bidi="fr-FR"/>
    </w:rPr>
  </w:style>
  <w:style w:type="paragraph" w:styleId="BodyTextFirstIndent">
    <w:name w:val="Body Text First Indent"/>
    <w:basedOn w:val="BodyText"/>
    <w:link w:val="BodyTextFirstIndentChar"/>
    <w:uiPriority w:val="99"/>
    <w:semiHidden/>
    <w:unhideWhenUsed/>
    <w:rsid w:val="00860A11"/>
    <w:pPr>
      <w:spacing w:before="60" w:after="140" w:line="220" w:lineRule="atLeast"/>
      <w:ind w:firstLine="360"/>
    </w:pPr>
    <w:rPr>
      <w:szCs w:val="24"/>
    </w:rPr>
  </w:style>
  <w:style w:type="character" w:customStyle="1" w:styleId="BodyTextFirstIndentChar">
    <w:name w:val="Body Text First Indent Char"/>
    <w:basedOn w:val="BodyTextChar"/>
    <w:link w:val="BodyTextFirstIndent"/>
    <w:uiPriority w:val="99"/>
    <w:semiHidden/>
    <w:rsid w:val="00860A11"/>
    <w:rPr>
      <w:rFonts w:ascii="Arial" w:eastAsia="Times New Roman" w:hAnsi="Arial" w:cs="Times New Roman"/>
      <w:sz w:val="18"/>
      <w:szCs w:val="24"/>
      <w:lang w:val="fr-FR" w:eastAsia="fr-FR" w:bidi="fr-FR"/>
    </w:rPr>
  </w:style>
  <w:style w:type="paragraph" w:styleId="BodyTextIndent">
    <w:name w:val="Body Text Indent"/>
    <w:basedOn w:val="Normal"/>
    <w:link w:val="BodyTextIndentChar"/>
    <w:uiPriority w:val="99"/>
    <w:semiHidden/>
    <w:unhideWhenUsed/>
    <w:rsid w:val="00860A11"/>
    <w:pPr>
      <w:spacing w:before="60" w:after="120" w:line="220" w:lineRule="atLeast"/>
      <w:ind w:left="283"/>
      <w:jc w:val="both"/>
    </w:pPr>
    <w:rPr>
      <w:rFonts w:ascii="Arial" w:eastAsia="Times New Roman" w:hAnsi="Arial" w:cs="Times New Roman"/>
      <w:sz w:val="18"/>
      <w:szCs w:val="24"/>
      <w:lang w:val="fr-FR" w:eastAsia="fr-FR" w:bidi="fr-FR"/>
    </w:rPr>
  </w:style>
  <w:style w:type="character" w:customStyle="1" w:styleId="BodyTextIndentChar">
    <w:name w:val="Body Text Indent Char"/>
    <w:basedOn w:val="DefaultParagraphFont"/>
    <w:link w:val="BodyTextIndent"/>
    <w:uiPriority w:val="99"/>
    <w:semiHidden/>
    <w:rsid w:val="00860A11"/>
    <w:rPr>
      <w:rFonts w:ascii="Arial" w:eastAsia="Times New Roman" w:hAnsi="Arial" w:cs="Times New Roman"/>
      <w:sz w:val="18"/>
      <w:szCs w:val="24"/>
      <w:lang w:val="fr-FR" w:eastAsia="fr-FR" w:bidi="fr-FR"/>
    </w:rPr>
  </w:style>
  <w:style w:type="paragraph" w:styleId="BodyTextFirstIndent2">
    <w:name w:val="Body Text First Indent 2"/>
    <w:basedOn w:val="BodyTextIndent"/>
    <w:link w:val="BodyTextFirstIndent2Char"/>
    <w:uiPriority w:val="99"/>
    <w:semiHidden/>
    <w:unhideWhenUsed/>
    <w:rsid w:val="00860A11"/>
    <w:pPr>
      <w:spacing w:after="140"/>
      <w:ind w:left="360" w:firstLine="360"/>
    </w:pPr>
  </w:style>
  <w:style w:type="character" w:customStyle="1" w:styleId="BodyTextFirstIndent2Char">
    <w:name w:val="Body Text First Indent 2 Char"/>
    <w:basedOn w:val="BodyTextIndentChar"/>
    <w:link w:val="BodyTextFirstIndent2"/>
    <w:uiPriority w:val="99"/>
    <w:semiHidden/>
    <w:rsid w:val="00860A11"/>
    <w:rPr>
      <w:rFonts w:ascii="Arial" w:eastAsia="Times New Roman" w:hAnsi="Arial" w:cs="Times New Roman"/>
      <w:sz w:val="18"/>
      <w:szCs w:val="24"/>
      <w:lang w:val="fr-FR" w:eastAsia="fr-FR" w:bidi="fr-FR"/>
    </w:rPr>
  </w:style>
  <w:style w:type="paragraph" w:styleId="BodyTextIndent2">
    <w:name w:val="Body Text Indent 2"/>
    <w:basedOn w:val="Normal"/>
    <w:link w:val="BodyTextIndent2Char"/>
    <w:uiPriority w:val="99"/>
    <w:semiHidden/>
    <w:unhideWhenUsed/>
    <w:rsid w:val="00860A11"/>
    <w:pPr>
      <w:spacing w:before="60" w:after="120" w:line="480" w:lineRule="auto"/>
      <w:ind w:left="283"/>
      <w:jc w:val="both"/>
    </w:pPr>
    <w:rPr>
      <w:rFonts w:ascii="Arial" w:eastAsia="Times New Roman" w:hAnsi="Arial" w:cs="Times New Roman"/>
      <w:sz w:val="18"/>
      <w:szCs w:val="24"/>
      <w:lang w:val="fr-FR" w:eastAsia="fr-FR" w:bidi="fr-FR"/>
    </w:rPr>
  </w:style>
  <w:style w:type="character" w:customStyle="1" w:styleId="BodyTextIndent2Char">
    <w:name w:val="Body Text Indent 2 Char"/>
    <w:basedOn w:val="DefaultParagraphFont"/>
    <w:link w:val="BodyTextIndent2"/>
    <w:uiPriority w:val="99"/>
    <w:semiHidden/>
    <w:rsid w:val="00860A11"/>
    <w:rPr>
      <w:rFonts w:ascii="Arial" w:eastAsia="Times New Roman" w:hAnsi="Arial" w:cs="Times New Roman"/>
      <w:sz w:val="18"/>
      <w:szCs w:val="24"/>
      <w:lang w:val="fr-FR" w:eastAsia="fr-FR" w:bidi="fr-FR"/>
    </w:rPr>
  </w:style>
  <w:style w:type="paragraph" w:styleId="BodyTextIndent3">
    <w:name w:val="Body Text Indent 3"/>
    <w:basedOn w:val="Normal"/>
    <w:link w:val="BodyTextIndent3Char"/>
    <w:uiPriority w:val="99"/>
    <w:semiHidden/>
    <w:unhideWhenUsed/>
    <w:rsid w:val="00860A11"/>
    <w:pPr>
      <w:spacing w:before="60" w:after="120" w:line="220" w:lineRule="atLeast"/>
      <w:ind w:left="283"/>
      <w:jc w:val="both"/>
    </w:pPr>
    <w:rPr>
      <w:rFonts w:ascii="Arial" w:eastAsia="Times New Roman" w:hAnsi="Arial" w:cs="Times New Roman"/>
      <w:sz w:val="16"/>
      <w:szCs w:val="16"/>
      <w:lang w:val="fr-FR" w:eastAsia="fr-FR" w:bidi="fr-FR"/>
    </w:rPr>
  </w:style>
  <w:style w:type="character" w:customStyle="1" w:styleId="BodyTextIndent3Char">
    <w:name w:val="Body Text Indent 3 Char"/>
    <w:basedOn w:val="DefaultParagraphFont"/>
    <w:link w:val="BodyTextIndent3"/>
    <w:uiPriority w:val="99"/>
    <w:semiHidden/>
    <w:rsid w:val="00860A11"/>
    <w:rPr>
      <w:rFonts w:ascii="Arial" w:eastAsia="Times New Roman" w:hAnsi="Arial" w:cs="Times New Roman"/>
      <w:sz w:val="16"/>
      <w:szCs w:val="16"/>
      <w:lang w:val="fr-FR" w:eastAsia="fr-FR" w:bidi="fr-FR"/>
    </w:rPr>
  </w:style>
  <w:style w:type="paragraph" w:styleId="Closing">
    <w:name w:val="Closing"/>
    <w:basedOn w:val="Normal"/>
    <w:link w:val="ClosingChar"/>
    <w:uiPriority w:val="99"/>
    <w:semiHidden/>
    <w:unhideWhenUsed/>
    <w:rsid w:val="00860A11"/>
    <w:pPr>
      <w:spacing w:after="0" w:line="240" w:lineRule="auto"/>
      <w:ind w:left="4252"/>
      <w:jc w:val="both"/>
    </w:pPr>
    <w:rPr>
      <w:rFonts w:ascii="Arial" w:eastAsia="Times New Roman" w:hAnsi="Arial" w:cs="Times New Roman"/>
      <w:sz w:val="18"/>
      <w:szCs w:val="24"/>
      <w:lang w:val="fr-FR" w:eastAsia="fr-FR" w:bidi="fr-FR"/>
    </w:rPr>
  </w:style>
  <w:style w:type="character" w:customStyle="1" w:styleId="ClosingChar">
    <w:name w:val="Closing Char"/>
    <w:basedOn w:val="DefaultParagraphFont"/>
    <w:link w:val="Closing"/>
    <w:uiPriority w:val="99"/>
    <w:semiHidden/>
    <w:rsid w:val="00860A11"/>
    <w:rPr>
      <w:rFonts w:ascii="Arial" w:eastAsia="Times New Roman" w:hAnsi="Arial" w:cs="Times New Roman"/>
      <w:sz w:val="18"/>
      <w:szCs w:val="24"/>
      <w:lang w:val="fr-FR" w:eastAsia="fr-FR" w:bidi="fr-FR"/>
    </w:rPr>
  </w:style>
  <w:style w:type="paragraph" w:styleId="Date">
    <w:name w:val="Date"/>
    <w:basedOn w:val="Normal"/>
    <w:next w:val="Normal"/>
    <w:link w:val="DateChar"/>
    <w:uiPriority w:val="99"/>
    <w:semiHidden/>
    <w:unhideWhenUsed/>
    <w:rsid w:val="00860A11"/>
    <w:pPr>
      <w:spacing w:before="60" w:after="140" w:line="220" w:lineRule="atLeast"/>
      <w:jc w:val="both"/>
    </w:pPr>
    <w:rPr>
      <w:rFonts w:ascii="Arial" w:eastAsia="Times New Roman" w:hAnsi="Arial" w:cs="Times New Roman"/>
      <w:sz w:val="18"/>
      <w:szCs w:val="24"/>
      <w:lang w:val="fr-FR" w:eastAsia="fr-FR" w:bidi="fr-FR"/>
    </w:rPr>
  </w:style>
  <w:style w:type="character" w:customStyle="1" w:styleId="DateChar">
    <w:name w:val="Date Char"/>
    <w:basedOn w:val="DefaultParagraphFont"/>
    <w:link w:val="Date"/>
    <w:uiPriority w:val="99"/>
    <w:semiHidden/>
    <w:rsid w:val="00860A11"/>
    <w:rPr>
      <w:rFonts w:ascii="Arial" w:eastAsia="Times New Roman" w:hAnsi="Arial" w:cs="Times New Roman"/>
      <w:sz w:val="18"/>
      <w:szCs w:val="24"/>
      <w:lang w:val="fr-FR" w:eastAsia="fr-FR" w:bidi="fr-FR"/>
    </w:rPr>
  </w:style>
  <w:style w:type="paragraph" w:styleId="E-mailSignature">
    <w:name w:val="E-mail Signature"/>
    <w:basedOn w:val="Normal"/>
    <w:link w:val="E-mailSignatureChar"/>
    <w:uiPriority w:val="99"/>
    <w:semiHidden/>
    <w:unhideWhenUsed/>
    <w:rsid w:val="00860A11"/>
    <w:pPr>
      <w:spacing w:after="0" w:line="240" w:lineRule="auto"/>
      <w:jc w:val="both"/>
    </w:pPr>
    <w:rPr>
      <w:rFonts w:ascii="Arial" w:eastAsia="Times New Roman" w:hAnsi="Arial" w:cs="Times New Roman"/>
      <w:sz w:val="18"/>
      <w:szCs w:val="24"/>
      <w:lang w:val="fr-FR" w:eastAsia="fr-FR" w:bidi="fr-FR"/>
    </w:rPr>
  </w:style>
  <w:style w:type="character" w:customStyle="1" w:styleId="E-mailSignatureChar">
    <w:name w:val="E-mail Signature Char"/>
    <w:basedOn w:val="DefaultParagraphFont"/>
    <w:link w:val="E-mailSignature"/>
    <w:uiPriority w:val="99"/>
    <w:semiHidden/>
    <w:rsid w:val="00860A11"/>
    <w:rPr>
      <w:rFonts w:ascii="Arial" w:eastAsia="Times New Roman" w:hAnsi="Arial" w:cs="Times New Roman"/>
      <w:sz w:val="18"/>
      <w:szCs w:val="24"/>
      <w:lang w:val="fr-FR" w:eastAsia="fr-FR" w:bidi="fr-FR"/>
    </w:rPr>
  </w:style>
  <w:style w:type="paragraph" w:styleId="EnvelopeAddress">
    <w:name w:val="envelope address"/>
    <w:basedOn w:val="Normal"/>
    <w:uiPriority w:val="99"/>
    <w:semiHidden/>
    <w:unhideWhenUsed/>
    <w:rsid w:val="00860A11"/>
    <w:pPr>
      <w:framePr w:w="7938" w:h="1985" w:hRule="exact" w:hSpace="141" w:wrap="auto" w:hAnchor="page" w:xAlign="center" w:yAlign="bottom"/>
      <w:spacing w:after="0" w:line="240" w:lineRule="auto"/>
      <w:ind w:left="2835"/>
      <w:jc w:val="both"/>
    </w:pPr>
    <w:rPr>
      <w:rFonts w:asciiTheme="majorHAnsi" w:eastAsiaTheme="majorEastAsia" w:hAnsiTheme="majorHAnsi" w:cstheme="majorBidi"/>
      <w:sz w:val="24"/>
      <w:szCs w:val="24"/>
      <w:lang w:val="fr-FR" w:eastAsia="fr-FR" w:bidi="fr-FR"/>
    </w:rPr>
  </w:style>
  <w:style w:type="paragraph" w:styleId="EnvelopeReturn">
    <w:name w:val="envelope return"/>
    <w:basedOn w:val="Normal"/>
    <w:uiPriority w:val="99"/>
    <w:semiHidden/>
    <w:unhideWhenUsed/>
    <w:rsid w:val="00860A11"/>
    <w:pPr>
      <w:spacing w:after="0" w:line="240" w:lineRule="auto"/>
      <w:jc w:val="both"/>
    </w:pPr>
    <w:rPr>
      <w:rFonts w:asciiTheme="majorHAnsi" w:eastAsiaTheme="majorEastAsia" w:hAnsiTheme="majorHAnsi" w:cstheme="majorBidi"/>
      <w:sz w:val="20"/>
      <w:szCs w:val="20"/>
      <w:lang w:val="fr-FR" w:eastAsia="fr-FR" w:bidi="fr-FR"/>
    </w:rPr>
  </w:style>
  <w:style w:type="paragraph" w:styleId="HTMLAddress">
    <w:name w:val="HTML Address"/>
    <w:basedOn w:val="Normal"/>
    <w:link w:val="HTMLAddressChar"/>
    <w:uiPriority w:val="99"/>
    <w:semiHidden/>
    <w:unhideWhenUsed/>
    <w:rsid w:val="00860A11"/>
    <w:pPr>
      <w:spacing w:after="0" w:line="240" w:lineRule="auto"/>
      <w:jc w:val="both"/>
    </w:pPr>
    <w:rPr>
      <w:rFonts w:ascii="Arial" w:eastAsia="Times New Roman" w:hAnsi="Arial" w:cs="Times New Roman"/>
      <w:i/>
      <w:iCs/>
      <w:sz w:val="18"/>
      <w:szCs w:val="24"/>
      <w:lang w:val="fr-FR" w:eastAsia="fr-FR" w:bidi="fr-FR"/>
    </w:rPr>
  </w:style>
  <w:style w:type="character" w:customStyle="1" w:styleId="HTMLAddressChar">
    <w:name w:val="HTML Address Char"/>
    <w:basedOn w:val="DefaultParagraphFont"/>
    <w:link w:val="HTMLAddress"/>
    <w:uiPriority w:val="99"/>
    <w:semiHidden/>
    <w:rsid w:val="00860A11"/>
    <w:rPr>
      <w:rFonts w:ascii="Arial" w:eastAsia="Times New Roman" w:hAnsi="Arial" w:cs="Times New Roman"/>
      <w:i/>
      <w:iCs/>
      <w:sz w:val="18"/>
      <w:szCs w:val="24"/>
      <w:lang w:val="fr-FR" w:eastAsia="fr-FR" w:bidi="fr-FR"/>
    </w:rPr>
  </w:style>
  <w:style w:type="paragraph" w:styleId="HTMLPreformatted">
    <w:name w:val="HTML Preformatted"/>
    <w:basedOn w:val="Normal"/>
    <w:link w:val="HTMLPreformattedChar"/>
    <w:uiPriority w:val="99"/>
    <w:semiHidden/>
    <w:unhideWhenUsed/>
    <w:rsid w:val="00860A11"/>
    <w:pPr>
      <w:spacing w:after="0" w:line="240" w:lineRule="auto"/>
      <w:jc w:val="both"/>
    </w:pPr>
    <w:rPr>
      <w:rFonts w:ascii="Consolas" w:eastAsia="Times New Roman" w:hAnsi="Consolas" w:cs="Times New Roman"/>
      <w:sz w:val="20"/>
      <w:szCs w:val="20"/>
      <w:lang w:val="fr-FR" w:eastAsia="fr-FR" w:bidi="fr-FR"/>
    </w:rPr>
  </w:style>
  <w:style w:type="character" w:customStyle="1" w:styleId="HTMLPreformattedChar">
    <w:name w:val="HTML Preformatted Char"/>
    <w:basedOn w:val="DefaultParagraphFont"/>
    <w:link w:val="HTMLPreformatted"/>
    <w:uiPriority w:val="99"/>
    <w:semiHidden/>
    <w:rsid w:val="00860A11"/>
    <w:rPr>
      <w:rFonts w:ascii="Consolas" w:eastAsia="Times New Roman" w:hAnsi="Consolas" w:cs="Times New Roman"/>
      <w:sz w:val="20"/>
      <w:szCs w:val="20"/>
      <w:lang w:val="fr-FR" w:eastAsia="fr-FR" w:bidi="fr-FR"/>
    </w:rPr>
  </w:style>
  <w:style w:type="paragraph" w:styleId="Index1">
    <w:name w:val="index 1"/>
    <w:basedOn w:val="Normal"/>
    <w:next w:val="Normal"/>
    <w:autoRedefine/>
    <w:uiPriority w:val="99"/>
    <w:semiHidden/>
    <w:unhideWhenUsed/>
    <w:rsid w:val="00860A11"/>
    <w:pPr>
      <w:spacing w:after="0" w:line="240" w:lineRule="auto"/>
      <w:ind w:left="180" w:hanging="180"/>
      <w:jc w:val="both"/>
    </w:pPr>
    <w:rPr>
      <w:rFonts w:ascii="Arial" w:eastAsia="Times New Roman" w:hAnsi="Arial" w:cs="Times New Roman"/>
      <w:sz w:val="18"/>
      <w:szCs w:val="24"/>
      <w:lang w:val="fr-FR" w:eastAsia="fr-FR" w:bidi="fr-FR"/>
    </w:rPr>
  </w:style>
  <w:style w:type="paragraph" w:styleId="Index2">
    <w:name w:val="index 2"/>
    <w:basedOn w:val="Normal"/>
    <w:next w:val="Normal"/>
    <w:autoRedefine/>
    <w:uiPriority w:val="99"/>
    <w:semiHidden/>
    <w:unhideWhenUsed/>
    <w:rsid w:val="00860A11"/>
    <w:pPr>
      <w:spacing w:after="0" w:line="240" w:lineRule="auto"/>
      <w:ind w:left="360" w:hanging="180"/>
      <w:jc w:val="both"/>
    </w:pPr>
    <w:rPr>
      <w:rFonts w:ascii="Arial" w:eastAsia="Times New Roman" w:hAnsi="Arial" w:cs="Times New Roman"/>
      <w:sz w:val="18"/>
      <w:szCs w:val="24"/>
      <w:lang w:val="fr-FR" w:eastAsia="fr-FR" w:bidi="fr-FR"/>
    </w:rPr>
  </w:style>
  <w:style w:type="paragraph" w:styleId="Index3">
    <w:name w:val="index 3"/>
    <w:basedOn w:val="Normal"/>
    <w:next w:val="Normal"/>
    <w:autoRedefine/>
    <w:uiPriority w:val="99"/>
    <w:semiHidden/>
    <w:unhideWhenUsed/>
    <w:rsid w:val="00860A11"/>
    <w:pPr>
      <w:spacing w:after="0" w:line="240" w:lineRule="auto"/>
      <w:ind w:left="540" w:hanging="180"/>
      <w:jc w:val="both"/>
    </w:pPr>
    <w:rPr>
      <w:rFonts w:ascii="Arial" w:eastAsia="Times New Roman" w:hAnsi="Arial" w:cs="Times New Roman"/>
      <w:sz w:val="18"/>
      <w:szCs w:val="24"/>
      <w:lang w:val="fr-FR" w:eastAsia="fr-FR" w:bidi="fr-FR"/>
    </w:rPr>
  </w:style>
  <w:style w:type="paragraph" w:styleId="Index4">
    <w:name w:val="index 4"/>
    <w:basedOn w:val="Normal"/>
    <w:next w:val="Normal"/>
    <w:autoRedefine/>
    <w:uiPriority w:val="99"/>
    <w:semiHidden/>
    <w:unhideWhenUsed/>
    <w:rsid w:val="00860A11"/>
    <w:pPr>
      <w:spacing w:after="0" w:line="240" w:lineRule="auto"/>
      <w:ind w:left="720" w:hanging="180"/>
      <w:jc w:val="both"/>
    </w:pPr>
    <w:rPr>
      <w:rFonts w:ascii="Arial" w:eastAsia="Times New Roman" w:hAnsi="Arial" w:cs="Times New Roman"/>
      <w:sz w:val="18"/>
      <w:szCs w:val="24"/>
      <w:lang w:val="fr-FR" w:eastAsia="fr-FR" w:bidi="fr-FR"/>
    </w:rPr>
  </w:style>
  <w:style w:type="paragraph" w:styleId="Index5">
    <w:name w:val="index 5"/>
    <w:basedOn w:val="Normal"/>
    <w:next w:val="Normal"/>
    <w:autoRedefine/>
    <w:uiPriority w:val="99"/>
    <w:semiHidden/>
    <w:unhideWhenUsed/>
    <w:rsid w:val="00860A11"/>
    <w:pPr>
      <w:spacing w:after="0" w:line="240" w:lineRule="auto"/>
      <w:ind w:left="900" w:hanging="180"/>
      <w:jc w:val="both"/>
    </w:pPr>
    <w:rPr>
      <w:rFonts w:ascii="Arial" w:eastAsia="Times New Roman" w:hAnsi="Arial" w:cs="Times New Roman"/>
      <w:sz w:val="18"/>
      <w:szCs w:val="24"/>
      <w:lang w:val="fr-FR" w:eastAsia="fr-FR" w:bidi="fr-FR"/>
    </w:rPr>
  </w:style>
  <w:style w:type="paragraph" w:styleId="Index6">
    <w:name w:val="index 6"/>
    <w:basedOn w:val="Normal"/>
    <w:next w:val="Normal"/>
    <w:autoRedefine/>
    <w:uiPriority w:val="99"/>
    <w:semiHidden/>
    <w:unhideWhenUsed/>
    <w:rsid w:val="00860A11"/>
    <w:pPr>
      <w:spacing w:after="0" w:line="240" w:lineRule="auto"/>
      <w:ind w:left="1080" w:hanging="180"/>
      <w:jc w:val="both"/>
    </w:pPr>
    <w:rPr>
      <w:rFonts w:ascii="Arial" w:eastAsia="Times New Roman" w:hAnsi="Arial" w:cs="Times New Roman"/>
      <w:sz w:val="18"/>
      <w:szCs w:val="24"/>
      <w:lang w:val="fr-FR" w:eastAsia="fr-FR" w:bidi="fr-FR"/>
    </w:rPr>
  </w:style>
  <w:style w:type="paragraph" w:styleId="Index7">
    <w:name w:val="index 7"/>
    <w:basedOn w:val="Normal"/>
    <w:next w:val="Normal"/>
    <w:autoRedefine/>
    <w:uiPriority w:val="99"/>
    <w:semiHidden/>
    <w:unhideWhenUsed/>
    <w:rsid w:val="00860A11"/>
    <w:pPr>
      <w:spacing w:after="0" w:line="240" w:lineRule="auto"/>
      <w:ind w:left="1260" w:hanging="180"/>
      <w:jc w:val="both"/>
    </w:pPr>
    <w:rPr>
      <w:rFonts w:ascii="Arial" w:eastAsia="Times New Roman" w:hAnsi="Arial" w:cs="Times New Roman"/>
      <w:sz w:val="18"/>
      <w:szCs w:val="24"/>
      <w:lang w:val="fr-FR" w:eastAsia="fr-FR" w:bidi="fr-FR"/>
    </w:rPr>
  </w:style>
  <w:style w:type="paragraph" w:styleId="Index8">
    <w:name w:val="index 8"/>
    <w:basedOn w:val="Normal"/>
    <w:next w:val="Normal"/>
    <w:autoRedefine/>
    <w:uiPriority w:val="99"/>
    <w:semiHidden/>
    <w:unhideWhenUsed/>
    <w:rsid w:val="00860A11"/>
    <w:pPr>
      <w:spacing w:after="0" w:line="240" w:lineRule="auto"/>
      <w:ind w:left="1440" w:hanging="180"/>
      <w:jc w:val="both"/>
    </w:pPr>
    <w:rPr>
      <w:rFonts w:ascii="Arial" w:eastAsia="Times New Roman" w:hAnsi="Arial" w:cs="Times New Roman"/>
      <w:sz w:val="18"/>
      <w:szCs w:val="24"/>
      <w:lang w:val="fr-FR" w:eastAsia="fr-FR" w:bidi="fr-FR"/>
    </w:rPr>
  </w:style>
  <w:style w:type="paragraph" w:styleId="Index9">
    <w:name w:val="index 9"/>
    <w:basedOn w:val="Normal"/>
    <w:next w:val="Normal"/>
    <w:autoRedefine/>
    <w:uiPriority w:val="99"/>
    <w:semiHidden/>
    <w:unhideWhenUsed/>
    <w:rsid w:val="00860A11"/>
    <w:pPr>
      <w:spacing w:after="0" w:line="240" w:lineRule="auto"/>
      <w:ind w:left="1620" w:hanging="180"/>
      <w:jc w:val="both"/>
    </w:pPr>
    <w:rPr>
      <w:rFonts w:ascii="Arial" w:eastAsia="Times New Roman" w:hAnsi="Arial" w:cs="Times New Roman"/>
      <w:sz w:val="18"/>
      <w:szCs w:val="24"/>
      <w:lang w:val="fr-FR" w:eastAsia="fr-FR" w:bidi="fr-FR"/>
    </w:rPr>
  </w:style>
  <w:style w:type="paragraph" w:styleId="IndexHeading">
    <w:name w:val="index heading"/>
    <w:basedOn w:val="Normal"/>
    <w:next w:val="Index1"/>
    <w:uiPriority w:val="99"/>
    <w:semiHidden/>
    <w:unhideWhenUsed/>
    <w:rsid w:val="00860A11"/>
    <w:pPr>
      <w:spacing w:before="60" w:after="140" w:line="220" w:lineRule="atLeast"/>
      <w:jc w:val="both"/>
    </w:pPr>
    <w:rPr>
      <w:rFonts w:asciiTheme="majorHAnsi" w:eastAsiaTheme="majorEastAsia" w:hAnsiTheme="majorHAnsi" w:cstheme="majorBidi"/>
      <w:b/>
      <w:bCs/>
      <w:sz w:val="18"/>
      <w:szCs w:val="24"/>
      <w:lang w:val="fr-FR" w:eastAsia="fr-FR" w:bidi="fr-FR"/>
    </w:rPr>
  </w:style>
  <w:style w:type="paragraph" w:styleId="IntenseQuote">
    <w:name w:val="Intense Quote"/>
    <w:basedOn w:val="Normal"/>
    <w:next w:val="Normal"/>
    <w:link w:val="IntenseQuoteChar"/>
    <w:uiPriority w:val="30"/>
    <w:qFormat/>
    <w:rsid w:val="00860A11"/>
    <w:pPr>
      <w:pBdr>
        <w:top w:val="single" w:sz="4" w:space="10" w:color="5B9BD5" w:themeColor="accent1"/>
        <w:bottom w:val="single" w:sz="4" w:space="10" w:color="5B9BD5" w:themeColor="accent1"/>
      </w:pBdr>
      <w:spacing w:before="360" w:after="360" w:line="220" w:lineRule="atLeast"/>
      <w:ind w:left="864" w:right="864"/>
      <w:jc w:val="center"/>
    </w:pPr>
    <w:rPr>
      <w:rFonts w:ascii="Arial" w:eastAsia="Times New Roman" w:hAnsi="Arial" w:cs="Times New Roman"/>
      <w:i/>
      <w:iCs/>
      <w:color w:val="5B9BD5" w:themeColor="accent1"/>
      <w:sz w:val="18"/>
      <w:szCs w:val="24"/>
      <w:lang w:val="fr-FR" w:eastAsia="fr-FR" w:bidi="fr-FR"/>
    </w:rPr>
  </w:style>
  <w:style w:type="character" w:customStyle="1" w:styleId="IntenseQuoteChar">
    <w:name w:val="Intense Quote Char"/>
    <w:basedOn w:val="DefaultParagraphFont"/>
    <w:link w:val="IntenseQuote"/>
    <w:uiPriority w:val="30"/>
    <w:rsid w:val="00860A11"/>
    <w:rPr>
      <w:rFonts w:ascii="Arial" w:eastAsia="Times New Roman" w:hAnsi="Arial" w:cs="Times New Roman"/>
      <w:i/>
      <w:iCs/>
      <w:color w:val="5B9BD5" w:themeColor="accent1"/>
      <w:sz w:val="18"/>
      <w:szCs w:val="24"/>
      <w:lang w:val="fr-FR" w:eastAsia="fr-FR" w:bidi="fr-FR"/>
    </w:rPr>
  </w:style>
  <w:style w:type="paragraph" w:styleId="List">
    <w:name w:val="List"/>
    <w:basedOn w:val="Normal"/>
    <w:uiPriority w:val="99"/>
    <w:semiHidden/>
    <w:unhideWhenUsed/>
    <w:rsid w:val="00860A11"/>
    <w:pPr>
      <w:spacing w:before="60" w:after="140" w:line="220" w:lineRule="atLeast"/>
      <w:ind w:left="283" w:hanging="283"/>
      <w:contextualSpacing/>
      <w:jc w:val="both"/>
    </w:pPr>
    <w:rPr>
      <w:rFonts w:ascii="Arial" w:eastAsia="Times New Roman" w:hAnsi="Arial" w:cs="Times New Roman"/>
      <w:sz w:val="18"/>
      <w:szCs w:val="24"/>
      <w:lang w:val="fr-FR" w:eastAsia="fr-FR" w:bidi="fr-FR"/>
    </w:rPr>
  </w:style>
  <w:style w:type="paragraph" w:styleId="List2">
    <w:name w:val="List 2"/>
    <w:basedOn w:val="Normal"/>
    <w:uiPriority w:val="99"/>
    <w:semiHidden/>
    <w:unhideWhenUsed/>
    <w:rsid w:val="00860A11"/>
    <w:pPr>
      <w:spacing w:before="60" w:after="140" w:line="220" w:lineRule="atLeast"/>
      <w:ind w:left="566" w:hanging="283"/>
      <w:contextualSpacing/>
      <w:jc w:val="both"/>
    </w:pPr>
    <w:rPr>
      <w:rFonts w:ascii="Arial" w:eastAsia="Times New Roman" w:hAnsi="Arial" w:cs="Times New Roman"/>
      <w:sz w:val="18"/>
      <w:szCs w:val="24"/>
      <w:lang w:val="fr-FR" w:eastAsia="fr-FR" w:bidi="fr-FR"/>
    </w:rPr>
  </w:style>
  <w:style w:type="paragraph" w:styleId="List3">
    <w:name w:val="List 3"/>
    <w:basedOn w:val="Normal"/>
    <w:uiPriority w:val="99"/>
    <w:semiHidden/>
    <w:unhideWhenUsed/>
    <w:rsid w:val="00860A11"/>
    <w:pPr>
      <w:spacing w:before="60" w:after="140" w:line="220" w:lineRule="atLeast"/>
      <w:ind w:left="849" w:hanging="283"/>
      <w:contextualSpacing/>
      <w:jc w:val="both"/>
    </w:pPr>
    <w:rPr>
      <w:rFonts w:ascii="Arial" w:eastAsia="Times New Roman" w:hAnsi="Arial" w:cs="Times New Roman"/>
      <w:sz w:val="18"/>
      <w:szCs w:val="24"/>
      <w:lang w:val="fr-FR" w:eastAsia="fr-FR" w:bidi="fr-FR"/>
    </w:rPr>
  </w:style>
  <w:style w:type="paragraph" w:styleId="List4">
    <w:name w:val="List 4"/>
    <w:basedOn w:val="Normal"/>
    <w:uiPriority w:val="99"/>
    <w:semiHidden/>
    <w:unhideWhenUsed/>
    <w:rsid w:val="00860A11"/>
    <w:pPr>
      <w:spacing w:before="60" w:after="140" w:line="220" w:lineRule="atLeast"/>
      <w:ind w:left="1132" w:hanging="283"/>
      <w:contextualSpacing/>
      <w:jc w:val="both"/>
    </w:pPr>
    <w:rPr>
      <w:rFonts w:ascii="Arial" w:eastAsia="Times New Roman" w:hAnsi="Arial" w:cs="Times New Roman"/>
      <w:sz w:val="18"/>
      <w:szCs w:val="24"/>
      <w:lang w:val="fr-FR" w:eastAsia="fr-FR" w:bidi="fr-FR"/>
    </w:rPr>
  </w:style>
  <w:style w:type="paragraph" w:styleId="List5">
    <w:name w:val="List 5"/>
    <w:basedOn w:val="Normal"/>
    <w:uiPriority w:val="99"/>
    <w:semiHidden/>
    <w:unhideWhenUsed/>
    <w:rsid w:val="00860A11"/>
    <w:pPr>
      <w:spacing w:before="60" w:after="140" w:line="220" w:lineRule="atLeast"/>
      <w:ind w:left="1415" w:hanging="283"/>
      <w:contextualSpacing/>
      <w:jc w:val="both"/>
    </w:pPr>
    <w:rPr>
      <w:rFonts w:ascii="Arial" w:eastAsia="Times New Roman" w:hAnsi="Arial" w:cs="Times New Roman"/>
      <w:sz w:val="18"/>
      <w:szCs w:val="24"/>
      <w:lang w:val="fr-FR" w:eastAsia="fr-FR" w:bidi="fr-FR"/>
    </w:rPr>
  </w:style>
  <w:style w:type="paragraph" w:styleId="ListBullet">
    <w:name w:val="List Bullet"/>
    <w:basedOn w:val="Normal"/>
    <w:uiPriority w:val="99"/>
    <w:semiHidden/>
    <w:unhideWhenUsed/>
    <w:rsid w:val="00860A11"/>
    <w:pPr>
      <w:numPr>
        <w:numId w:val="28"/>
      </w:numPr>
      <w:spacing w:before="60" w:after="140" w:line="220" w:lineRule="atLeast"/>
      <w:contextualSpacing/>
      <w:jc w:val="both"/>
    </w:pPr>
    <w:rPr>
      <w:rFonts w:ascii="Arial" w:eastAsia="Times New Roman" w:hAnsi="Arial" w:cs="Times New Roman"/>
      <w:sz w:val="18"/>
      <w:szCs w:val="24"/>
      <w:lang w:val="fr-FR" w:eastAsia="fr-FR" w:bidi="fr-FR"/>
    </w:rPr>
  </w:style>
  <w:style w:type="paragraph" w:styleId="ListBullet2">
    <w:name w:val="List Bullet 2"/>
    <w:basedOn w:val="Normal"/>
    <w:uiPriority w:val="99"/>
    <w:semiHidden/>
    <w:unhideWhenUsed/>
    <w:rsid w:val="00860A11"/>
    <w:pPr>
      <w:numPr>
        <w:numId w:val="29"/>
      </w:numPr>
      <w:spacing w:before="60" w:after="140" w:line="220" w:lineRule="atLeast"/>
      <w:contextualSpacing/>
      <w:jc w:val="both"/>
    </w:pPr>
    <w:rPr>
      <w:rFonts w:ascii="Arial" w:eastAsia="Times New Roman" w:hAnsi="Arial" w:cs="Times New Roman"/>
      <w:sz w:val="18"/>
      <w:szCs w:val="24"/>
      <w:lang w:val="fr-FR" w:eastAsia="fr-FR" w:bidi="fr-FR"/>
    </w:rPr>
  </w:style>
  <w:style w:type="paragraph" w:styleId="ListBullet3">
    <w:name w:val="List Bullet 3"/>
    <w:basedOn w:val="Normal"/>
    <w:uiPriority w:val="99"/>
    <w:semiHidden/>
    <w:unhideWhenUsed/>
    <w:rsid w:val="00860A11"/>
    <w:pPr>
      <w:numPr>
        <w:numId w:val="30"/>
      </w:numPr>
      <w:spacing w:before="60" w:after="140" w:line="220" w:lineRule="atLeast"/>
      <w:contextualSpacing/>
      <w:jc w:val="both"/>
    </w:pPr>
    <w:rPr>
      <w:rFonts w:ascii="Arial" w:eastAsia="Times New Roman" w:hAnsi="Arial" w:cs="Times New Roman"/>
      <w:sz w:val="18"/>
      <w:szCs w:val="24"/>
      <w:lang w:val="fr-FR" w:eastAsia="fr-FR" w:bidi="fr-FR"/>
    </w:rPr>
  </w:style>
  <w:style w:type="paragraph" w:styleId="ListBullet4">
    <w:name w:val="List Bullet 4"/>
    <w:basedOn w:val="Normal"/>
    <w:uiPriority w:val="99"/>
    <w:semiHidden/>
    <w:unhideWhenUsed/>
    <w:rsid w:val="00860A11"/>
    <w:pPr>
      <w:numPr>
        <w:numId w:val="31"/>
      </w:numPr>
      <w:spacing w:before="60" w:after="140" w:line="220" w:lineRule="atLeast"/>
      <w:contextualSpacing/>
      <w:jc w:val="both"/>
    </w:pPr>
    <w:rPr>
      <w:rFonts w:ascii="Arial" w:eastAsia="Times New Roman" w:hAnsi="Arial" w:cs="Times New Roman"/>
      <w:sz w:val="18"/>
      <w:szCs w:val="24"/>
      <w:lang w:val="fr-FR" w:eastAsia="fr-FR" w:bidi="fr-FR"/>
    </w:rPr>
  </w:style>
  <w:style w:type="paragraph" w:styleId="ListBullet5">
    <w:name w:val="List Bullet 5"/>
    <w:basedOn w:val="Normal"/>
    <w:uiPriority w:val="99"/>
    <w:semiHidden/>
    <w:unhideWhenUsed/>
    <w:rsid w:val="00860A11"/>
    <w:pPr>
      <w:numPr>
        <w:numId w:val="32"/>
      </w:numPr>
      <w:spacing w:before="60" w:after="140" w:line="220" w:lineRule="atLeast"/>
      <w:contextualSpacing/>
      <w:jc w:val="both"/>
    </w:pPr>
    <w:rPr>
      <w:rFonts w:ascii="Arial" w:eastAsia="Times New Roman" w:hAnsi="Arial" w:cs="Times New Roman"/>
      <w:sz w:val="18"/>
      <w:szCs w:val="24"/>
      <w:lang w:val="fr-FR" w:eastAsia="fr-FR" w:bidi="fr-FR"/>
    </w:rPr>
  </w:style>
  <w:style w:type="paragraph" w:styleId="ListContinue">
    <w:name w:val="List Continue"/>
    <w:basedOn w:val="Normal"/>
    <w:uiPriority w:val="99"/>
    <w:semiHidden/>
    <w:unhideWhenUsed/>
    <w:rsid w:val="00860A11"/>
    <w:pPr>
      <w:spacing w:before="60" w:after="120" w:line="220" w:lineRule="atLeast"/>
      <w:ind w:left="283"/>
      <w:contextualSpacing/>
      <w:jc w:val="both"/>
    </w:pPr>
    <w:rPr>
      <w:rFonts w:ascii="Arial" w:eastAsia="Times New Roman" w:hAnsi="Arial" w:cs="Times New Roman"/>
      <w:sz w:val="18"/>
      <w:szCs w:val="24"/>
      <w:lang w:val="fr-FR" w:eastAsia="fr-FR" w:bidi="fr-FR"/>
    </w:rPr>
  </w:style>
  <w:style w:type="paragraph" w:styleId="ListContinue2">
    <w:name w:val="List Continue 2"/>
    <w:basedOn w:val="Normal"/>
    <w:uiPriority w:val="99"/>
    <w:semiHidden/>
    <w:unhideWhenUsed/>
    <w:rsid w:val="00860A11"/>
    <w:pPr>
      <w:spacing w:before="60" w:after="120" w:line="220" w:lineRule="atLeast"/>
      <w:ind w:left="566"/>
      <w:contextualSpacing/>
      <w:jc w:val="both"/>
    </w:pPr>
    <w:rPr>
      <w:rFonts w:ascii="Arial" w:eastAsia="Times New Roman" w:hAnsi="Arial" w:cs="Times New Roman"/>
      <w:sz w:val="18"/>
      <w:szCs w:val="24"/>
      <w:lang w:val="fr-FR" w:eastAsia="fr-FR" w:bidi="fr-FR"/>
    </w:rPr>
  </w:style>
  <w:style w:type="paragraph" w:styleId="ListContinue3">
    <w:name w:val="List Continue 3"/>
    <w:basedOn w:val="Normal"/>
    <w:uiPriority w:val="99"/>
    <w:semiHidden/>
    <w:unhideWhenUsed/>
    <w:rsid w:val="00860A11"/>
    <w:pPr>
      <w:spacing w:before="60" w:after="120" w:line="220" w:lineRule="atLeast"/>
      <w:ind w:left="849"/>
      <w:contextualSpacing/>
      <w:jc w:val="both"/>
    </w:pPr>
    <w:rPr>
      <w:rFonts w:ascii="Arial" w:eastAsia="Times New Roman" w:hAnsi="Arial" w:cs="Times New Roman"/>
      <w:sz w:val="18"/>
      <w:szCs w:val="24"/>
      <w:lang w:val="fr-FR" w:eastAsia="fr-FR" w:bidi="fr-FR"/>
    </w:rPr>
  </w:style>
  <w:style w:type="paragraph" w:styleId="ListContinue4">
    <w:name w:val="List Continue 4"/>
    <w:basedOn w:val="Normal"/>
    <w:uiPriority w:val="99"/>
    <w:semiHidden/>
    <w:unhideWhenUsed/>
    <w:rsid w:val="00860A11"/>
    <w:pPr>
      <w:spacing w:before="60" w:after="120" w:line="220" w:lineRule="atLeast"/>
      <w:ind w:left="1132"/>
      <w:contextualSpacing/>
      <w:jc w:val="both"/>
    </w:pPr>
    <w:rPr>
      <w:rFonts w:ascii="Arial" w:eastAsia="Times New Roman" w:hAnsi="Arial" w:cs="Times New Roman"/>
      <w:sz w:val="18"/>
      <w:szCs w:val="24"/>
      <w:lang w:val="fr-FR" w:eastAsia="fr-FR" w:bidi="fr-FR"/>
    </w:rPr>
  </w:style>
  <w:style w:type="paragraph" w:styleId="ListContinue5">
    <w:name w:val="List Continue 5"/>
    <w:basedOn w:val="Normal"/>
    <w:uiPriority w:val="99"/>
    <w:semiHidden/>
    <w:unhideWhenUsed/>
    <w:rsid w:val="00860A11"/>
    <w:pPr>
      <w:spacing w:before="60" w:after="120" w:line="220" w:lineRule="atLeast"/>
      <w:ind w:left="1415"/>
      <w:contextualSpacing/>
      <w:jc w:val="both"/>
    </w:pPr>
    <w:rPr>
      <w:rFonts w:ascii="Arial" w:eastAsia="Times New Roman" w:hAnsi="Arial" w:cs="Times New Roman"/>
      <w:sz w:val="18"/>
      <w:szCs w:val="24"/>
      <w:lang w:val="fr-FR" w:eastAsia="fr-FR" w:bidi="fr-FR"/>
    </w:rPr>
  </w:style>
  <w:style w:type="paragraph" w:styleId="ListNumber">
    <w:name w:val="List Number"/>
    <w:basedOn w:val="Normal"/>
    <w:uiPriority w:val="99"/>
    <w:semiHidden/>
    <w:unhideWhenUsed/>
    <w:rsid w:val="00860A11"/>
    <w:pPr>
      <w:numPr>
        <w:numId w:val="33"/>
      </w:numPr>
      <w:spacing w:before="60" w:after="140" w:line="220" w:lineRule="atLeast"/>
      <w:contextualSpacing/>
      <w:jc w:val="both"/>
    </w:pPr>
    <w:rPr>
      <w:rFonts w:ascii="Arial" w:eastAsia="Times New Roman" w:hAnsi="Arial" w:cs="Times New Roman"/>
      <w:sz w:val="18"/>
      <w:szCs w:val="24"/>
      <w:lang w:val="fr-FR" w:eastAsia="fr-FR" w:bidi="fr-FR"/>
    </w:rPr>
  </w:style>
  <w:style w:type="paragraph" w:styleId="ListNumber2">
    <w:name w:val="List Number 2"/>
    <w:basedOn w:val="Normal"/>
    <w:uiPriority w:val="99"/>
    <w:semiHidden/>
    <w:unhideWhenUsed/>
    <w:rsid w:val="00860A11"/>
    <w:pPr>
      <w:numPr>
        <w:numId w:val="34"/>
      </w:numPr>
      <w:spacing w:before="60" w:after="140" w:line="220" w:lineRule="atLeast"/>
      <w:contextualSpacing/>
      <w:jc w:val="both"/>
    </w:pPr>
    <w:rPr>
      <w:rFonts w:ascii="Arial" w:eastAsia="Times New Roman" w:hAnsi="Arial" w:cs="Times New Roman"/>
      <w:sz w:val="18"/>
      <w:szCs w:val="24"/>
      <w:lang w:val="fr-FR" w:eastAsia="fr-FR" w:bidi="fr-FR"/>
    </w:rPr>
  </w:style>
  <w:style w:type="paragraph" w:styleId="ListNumber3">
    <w:name w:val="List Number 3"/>
    <w:basedOn w:val="Normal"/>
    <w:uiPriority w:val="99"/>
    <w:semiHidden/>
    <w:unhideWhenUsed/>
    <w:rsid w:val="00860A11"/>
    <w:pPr>
      <w:numPr>
        <w:numId w:val="35"/>
      </w:numPr>
      <w:spacing w:before="60" w:after="140" w:line="220" w:lineRule="atLeast"/>
      <w:contextualSpacing/>
      <w:jc w:val="both"/>
    </w:pPr>
    <w:rPr>
      <w:rFonts w:ascii="Arial" w:eastAsia="Times New Roman" w:hAnsi="Arial" w:cs="Times New Roman"/>
      <w:sz w:val="18"/>
      <w:szCs w:val="24"/>
      <w:lang w:val="fr-FR" w:eastAsia="fr-FR" w:bidi="fr-FR"/>
    </w:rPr>
  </w:style>
  <w:style w:type="paragraph" w:styleId="ListNumber4">
    <w:name w:val="List Number 4"/>
    <w:basedOn w:val="Normal"/>
    <w:uiPriority w:val="99"/>
    <w:semiHidden/>
    <w:unhideWhenUsed/>
    <w:rsid w:val="00860A11"/>
    <w:pPr>
      <w:numPr>
        <w:numId w:val="36"/>
      </w:numPr>
      <w:spacing w:before="60" w:after="140" w:line="220" w:lineRule="atLeast"/>
      <w:contextualSpacing/>
      <w:jc w:val="both"/>
    </w:pPr>
    <w:rPr>
      <w:rFonts w:ascii="Arial" w:eastAsia="Times New Roman" w:hAnsi="Arial" w:cs="Times New Roman"/>
      <w:sz w:val="18"/>
      <w:szCs w:val="24"/>
      <w:lang w:val="fr-FR" w:eastAsia="fr-FR" w:bidi="fr-FR"/>
    </w:rPr>
  </w:style>
  <w:style w:type="paragraph" w:styleId="ListNumber5">
    <w:name w:val="List Number 5"/>
    <w:basedOn w:val="Normal"/>
    <w:uiPriority w:val="99"/>
    <w:semiHidden/>
    <w:unhideWhenUsed/>
    <w:rsid w:val="00860A11"/>
    <w:pPr>
      <w:numPr>
        <w:numId w:val="37"/>
      </w:numPr>
      <w:spacing w:before="60" w:after="140" w:line="220" w:lineRule="atLeast"/>
      <w:contextualSpacing/>
      <w:jc w:val="both"/>
    </w:pPr>
    <w:rPr>
      <w:rFonts w:ascii="Arial" w:eastAsia="Times New Roman" w:hAnsi="Arial" w:cs="Times New Roman"/>
      <w:sz w:val="18"/>
      <w:szCs w:val="24"/>
      <w:lang w:val="fr-FR" w:eastAsia="fr-FR" w:bidi="fr-FR"/>
    </w:rPr>
  </w:style>
  <w:style w:type="paragraph" w:styleId="MacroText">
    <w:name w:val="macro"/>
    <w:link w:val="MacroTextChar"/>
    <w:uiPriority w:val="99"/>
    <w:semiHidden/>
    <w:unhideWhenUsed/>
    <w:rsid w:val="00860A11"/>
    <w:pPr>
      <w:tabs>
        <w:tab w:val="left" w:pos="480"/>
        <w:tab w:val="left" w:pos="960"/>
        <w:tab w:val="left" w:pos="1440"/>
        <w:tab w:val="left" w:pos="1920"/>
        <w:tab w:val="left" w:pos="2400"/>
        <w:tab w:val="left" w:pos="2880"/>
        <w:tab w:val="left" w:pos="3360"/>
        <w:tab w:val="left" w:pos="3840"/>
        <w:tab w:val="left" w:pos="4320"/>
      </w:tabs>
      <w:spacing w:before="60" w:after="0" w:line="220" w:lineRule="atLeast"/>
      <w:jc w:val="both"/>
    </w:pPr>
    <w:rPr>
      <w:rFonts w:ascii="Consolas" w:eastAsia="Times New Roman" w:hAnsi="Consolas" w:cs="Times New Roman"/>
      <w:sz w:val="20"/>
      <w:szCs w:val="20"/>
      <w:lang w:val="fr-FR" w:eastAsia="fr-FR" w:bidi="fr-FR"/>
    </w:rPr>
  </w:style>
  <w:style w:type="character" w:customStyle="1" w:styleId="MacroTextChar">
    <w:name w:val="Macro Text Char"/>
    <w:basedOn w:val="DefaultParagraphFont"/>
    <w:link w:val="MacroText"/>
    <w:uiPriority w:val="99"/>
    <w:semiHidden/>
    <w:rsid w:val="00860A11"/>
    <w:rPr>
      <w:rFonts w:ascii="Consolas" w:eastAsia="Times New Roman" w:hAnsi="Consolas" w:cs="Times New Roman"/>
      <w:sz w:val="20"/>
      <w:szCs w:val="20"/>
      <w:lang w:val="fr-FR" w:eastAsia="fr-FR" w:bidi="fr-FR"/>
    </w:rPr>
  </w:style>
  <w:style w:type="paragraph" w:styleId="MessageHeader">
    <w:name w:val="Message Header"/>
    <w:basedOn w:val="Normal"/>
    <w:link w:val="MessageHeaderChar"/>
    <w:uiPriority w:val="99"/>
    <w:semiHidden/>
    <w:unhideWhenUsed/>
    <w:rsid w:val="00860A11"/>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jc w:val="both"/>
    </w:pPr>
    <w:rPr>
      <w:rFonts w:asciiTheme="majorHAnsi" w:eastAsiaTheme="majorEastAsia" w:hAnsiTheme="majorHAnsi" w:cstheme="majorBidi"/>
      <w:sz w:val="24"/>
      <w:szCs w:val="24"/>
      <w:lang w:val="fr-FR" w:eastAsia="fr-FR" w:bidi="fr-FR"/>
    </w:rPr>
  </w:style>
  <w:style w:type="character" w:customStyle="1" w:styleId="MessageHeaderChar">
    <w:name w:val="Message Header Char"/>
    <w:basedOn w:val="DefaultParagraphFont"/>
    <w:link w:val="MessageHeader"/>
    <w:uiPriority w:val="99"/>
    <w:semiHidden/>
    <w:rsid w:val="00860A11"/>
    <w:rPr>
      <w:rFonts w:asciiTheme="majorHAnsi" w:eastAsiaTheme="majorEastAsia" w:hAnsiTheme="majorHAnsi" w:cstheme="majorBidi"/>
      <w:sz w:val="24"/>
      <w:szCs w:val="24"/>
      <w:shd w:val="pct20" w:color="auto" w:fill="auto"/>
      <w:lang w:val="fr-FR" w:eastAsia="fr-FR" w:bidi="fr-FR"/>
    </w:rPr>
  </w:style>
  <w:style w:type="paragraph" w:styleId="NormalIndent">
    <w:name w:val="Normal Indent"/>
    <w:basedOn w:val="Normal"/>
    <w:uiPriority w:val="99"/>
    <w:semiHidden/>
    <w:unhideWhenUsed/>
    <w:rsid w:val="00860A11"/>
    <w:pPr>
      <w:spacing w:before="60" w:after="140" w:line="220" w:lineRule="atLeast"/>
      <w:ind w:left="708"/>
      <w:jc w:val="both"/>
    </w:pPr>
    <w:rPr>
      <w:rFonts w:ascii="Arial" w:eastAsia="Times New Roman" w:hAnsi="Arial" w:cs="Times New Roman"/>
      <w:sz w:val="18"/>
      <w:szCs w:val="24"/>
      <w:lang w:val="fr-FR" w:eastAsia="fr-FR" w:bidi="fr-FR"/>
    </w:rPr>
  </w:style>
  <w:style w:type="paragraph" w:styleId="NoteHeading">
    <w:name w:val="Note Heading"/>
    <w:basedOn w:val="Normal"/>
    <w:next w:val="Normal"/>
    <w:link w:val="NoteHeadingChar"/>
    <w:uiPriority w:val="99"/>
    <w:semiHidden/>
    <w:unhideWhenUsed/>
    <w:rsid w:val="00860A11"/>
    <w:pPr>
      <w:spacing w:after="0" w:line="240" w:lineRule="auto"/>
      <w:jc w:val="both"/>
    </w:pPr>
    <w:rPr>
      <w:rFonts w:ascii="Arial" w:eastAsia="Times New Roman" w:hAnsi="Arial" w:cs="Times New Roman"/>
      <w:sz w:val="18"/>
      <w:szCs w:val="24"/>
      <w:lang w:val="fr-FR" w:eastAsia="fr-FR" w:bidi="fr-FR"/>
    </w:rPr>
  </w:style>
  <w:style w:type="character" w:customStyle="1" w:styleId="NoteHeadingChar">
    <w:name w:val="Note Heading Char"/>
    <w:basedOn w:val="DefaultParagraphFont"/>
    <w:link w:val="NoteHeading"/>
    <w:uiPriority w:val="99"/>
    <w:semiHidden/>
    <w:rsid w:val="00860A11"/>
    <w:rPr>
      <w:rFonts w:ascii="Arial" w:eastAsia="Times New Roman" w:hAnsi="Arial" w:cs="Times New Roman"/>
      <w:sz w:val="18"/>
      <w:szCs w:val="24"/>
      <w:lang w:val="fr-FR" w:eastAsia="fr-FR" w:bidi="fr-FR"/>
    </w:rPr>
  </w:style>
  <w:style w:type="paragraph" w:styleId="PlainText">
    <w:name w:val="Plain Text"/>
    <w:basedOn w:val="Normal"/>
    <w:link w:val="PlainTextChar"/>
    <w:uiPriority w:val="99"/>
    <w:semiHidden/>
    <w:unhideWhenUsed/>
    <w:rsid w:val="00860A11"/>
    <w:pPr>
      <w:spacing w:after="0" w:line="240" w:lineRule="auto"/>
      <w:jc w:val="both"/>
    </w:pPr>
    <w:rPr>
      <w:rFonts w:ascii="Consolas" w:eastAsia="Times New Roman" w:hAnsi="Consolas" w:cs="Times New Roman"/>
      <w:sz w:val="21"/>
      <w:szCs w:val="21"/>
      <w:lang w:val="fr-FR" w:eastAsia="fr-FR" w:bidi="fr-FR"/>
    </w:rPr>
  </w:style>
  <w:style w:type="character" w:customStyle="1" w:styleId="PlainTextChar">
    <w:name w:val="Plain Text Char"/>
    <w:basedOn w:val="DefaultParagraphFont"/>
    <w:link w:val="PlainText"/>
    <w:uiPriority w:val="99"/>
    <w:semiHidden/>
    <w:rsid w:val="00860A11"/>
    <w:rPr>
      <w:rFonts w:ascii="Consolas" w:eastAsia="Times New Roman" w:hAnsi="Consolas" w:cs="Times New Roman"/>
      <w:sz w:val="21"/>
      <w:szCs w:val="21"/>
      <w:lang w:val="fr-FR" w:eastAsia="fr-FR" w:bidi="fr-FR"/>
    </w:rPr>
  </w:style>
  <w:style w:type="paragraph" w:styleId="Quote">
    <w:name w:val="Quote"/>
    <w:basedOn w:val="Normal"/>
    <w:next w:val="Normal"/>
    <w:link w:val="QuoteChar"/>
    <w:uiPriority w:val="29"/>
    <w:qFormat/>
    <w:rsid w:val="00860A11"/>
    <w:pPr>
      <w:spacing w:before="200" w:line="220" w:lineRule="atLeast"/>
      <w:ind w:left="864" w:right="864"/>
      <w:jc w:val="center"/>
    </w:pPr>
    <w:rPr>
      <w:rFonts w:ascii="Arial" w:eastAsia="Times New Roman" w:hAnsi="Arial" w:cs="Times New Roman"/>
      <w:i/>
      <w:iCs/>
      <w:color w:val="404040" w:themeColor="text1" w:themeTint="BF"/>
      <w:sz w:val="18"/>
      <w:szCs w:val="24"/>
      <w:lang w:val="fr-FR" w:eastAsia="fr-FR" w:bidi="fr-FR"/>
    </w:rPr>
  </w:style>
  <w:style w:type="character" w:customStyle="1" w:styleId="QuoteChar">
    <w:name w:val="Quote Char"/>
    <w:basedOn w:val="DefaultParagraphFont"/>
    <w:link w:val="Quote"/>
    <w:uiPriority w:val="29"/>
    <w:rsid w:val="00860A11"/>
    <w:rPr>
      <w:rFonts w:ascii="Arial" w:eastAsia="Times New Roman" w:hAnsi="Arial" w:cs="Times New Roman"/>
      <w:i/>
      <w:iCs/>
      <w:color w:val="404040" w:themeColor="text1" w:themeTint="BF"/>
      <w:sz w:val="18"/>
      <w:szCs w:val="24"/>
      <w:lang w:val="fr-FR" w:eastAsia="fr-FR" w:bidi="fr-FR"/>
    </w:rPr>
  </w:style>
  <w:style w:type="paragraph" w:styleId="Salutation">
    <w:name w:val="Salutation"/>
    <w:basedOn w:val="Normal"/>
    <w:next w:val="Normal"/>
    <w:link w:val="SalutationChar"/>
    <w:uiPriority w:val="99"/>
    <w:semiHidden/>
    <w:unhideWhenUsed/>
    <w:rsid w:val="00860A11"/>
    <w:pPr>
      <w:spacing w:before="60" w:after="140" w:line="220" w:lineRule="atLeast"/>
      <w:jc w:val="both"/>
    </w:pPr>
    <w:rPr>
      <w:rFonts w:ascii="Arial" w:eastAsia="Times New Roman" w:hAnsi="Arial" w:cs="Times New Roman"/>
      <w:sz w:val="18"/>
      <w:szCs w:val="24"/>
      <w:lang w:val="fr-FR" w:eastAsia="fr-FR" w:bidi="fr-FR"/>
    </w:rPr>
  </w:style>
  <w:style w:type="character" w:customStyle="1" w:styleId="SalutationChar">
    <w:name w:val="Salutation Char"/>
    <w:basedOn w:val="DefaultParagraphFont"/>
    <w:link w:val="Salutation"/>
    <w:uiPriority w:val="99"/>
    <w:semiHidden/>
    <w:rsid w:val="00860A11"/>
    <w:rPr>
      <w:rFonts w:ascii="Arial" w:eastAsia="Times New Roman" w:hAnsi="Arial" w:cs="Times New Roman"/>
      <w:sz w:val="18"/>
      <w:szCs w:val="24"/>
      <w:lang w:val="fr-FR" w:eastAsia="fr-FR" w:bidi="fr-FR"/>
    </w:rPr>
  </w:style>
  <w:style w:type="paragraph" w:styleId="Signature">
    <w:name w:val="Signature"/>
    <w:basedOn w:val="Normal"/>
    <w:link w:val="SignatureChar"/>
    <w:uiPriority w:val="99"/>
    <w:semiHidden/>
    <w:unhideWhenUsed/>
    <w:rsid w:val="00860A11"/>
    <w:pPr>
      <w:spacing w:after="0" w:line="240" w:lineRule="auto"/>
      <w:ind w:left="4252"/>
      <w:jc w:val="both"/>
    </w:pPr>
    <w:rPr>
      <w:rFonts w:ascii="Arial" w:eastAsia="Times New Roman" w:hAnsi="Arial" w:cs="Times New Roman"/>
      <w:sz w:val="18"/>
      <w:szCs w:val="24"/>
      <w:lang w:val="fr-FR" w:eastAsia="fr-FR" w:bidi="fr-FR"/>
    </w:rPr>
  </w:style>
  <w:style w:type="character" w:customStyle="1" w:styleId="SignatureChar">
    <w:name w:val="Signature Char"/>
    <w:basedOn w:val="DefaultParagraphFont"/>
    <w:link w:val="Signature"/>
    <w:uiPriority w:val="99"/>
    <w:semiHidden/>
    <w:rsid w:val="00860A11"/>
    <w:rPr>
      <w:rFonts w:ascii="Arial" w:eastAsia="Times New Roman" w:hAnsi="Arial" w:cs="Times New Roman"/>
      <w:sz w:val="18"/>
      <w:szCs w:val="24"/>
      <w:lang w:val="fr-FR" w:eastAsia="fr-FR" w:bidi="fr-FR"/>
    </w:rPr>
  </w:style>
  <w:style w:type="paragraph" w:styleId="TableofAuthorities">
    <w:name w:val="table of authorities"/>
    <w:basedOn w:val="Normal"/>
    <w:next w:val="Normal"/>
    <w:uiPriority w:val="99"/>
    <w:semiHidden/>
    <w:unhideWhenUsed/>
    <w:rsid w:val="00860A11"/>
    <w:pPr>
      <w:spacing w:before="60" w:after="0" w:line="220" w:lineRule="atLeast"/>
      <w:ind w:left="180" w:hanging="180"/>
      <w:jc w:val="both"/>
    </w:pPr>
    <w:rPr>
      <w:rFonts w:ascii="Arial" w:eastAsia="Times New Roman" w:hAnsi="Arial" w:cs="Times New Roman"/>
      <w:sz w:val="18"/>
      <w:szCs w:val="24"/>
      <w:lang w:val="fr-FR" w:eastAsia="fr-FR" w:bidi="fr-FR"/>
    </w:rPr>
  </w:style>
  <w:style w:type="paragraph" w:styleId="TOAHeading">
    <w:name w:val="toa heading"/>
    <w:basedOn w:val="Normal"/>
    <w:next w:val="Normal"/>
    <w:uiPriority w:val="99"/>
    <w:semiHidden/>
    <w:unhideWhenUsed/>
    <w:rsid w:val="00860A11"/>
    <w:pPr>
      <w:spacing w:before="120" w:after="140" w:line="220" w:lineRule="atLeast"/>
      <w:jc w:val="both"/>
    </w:pPr>
    <w:rPr>
      <w:rFonts w:asciiTheme="majorHAnsi" w:eastAsiaTheme="majorEastAsia" w:hAnsiTheme="majorHAnsi" w:cstheme="majorBidi"/>
      <w:b/>
      <w:bCs/>
      <w:sz w:val="24"/>
      <w:szCs w:val="24"/>
      <w:lang w:val="fr-FR" w:eastAsia="fr-FR" w:bidi="fr-FR"/>
    </w:rPr>
  </w:style>
  <w:style w:type="paragraph" w:styleId="TOC4">
    <w:name w:val="toc 4"/>
    <w:basedOn w:val="Normal"/>
    <w:next w:val="Normal"/>
    <w:autoRedefine/>
    <w:uiPriority w:val="39"/>
    <w:semiHidden/>
    <w:unhideWhenUsed/>
    <w:rsid w:val="00860A11"/>
    <w:pPr>
      <w:spacing w:before="60" w:after="100" w:line="220" w:lineRule="atLeast"/>
      <w:ind w:left="540"/>
      <w:jc w:val="both"/>
    </w:pPr>
    <w:rPr>
      <w:rFonts w:ascii="Arial" w:eastAsia="Times New Roman" w:hAnsi="Arial" w:cs="Times New Roman"/>
      <w:sz w:val="18"/>
      <w:szCs w:val="24"/>
      <w:lang w:val="fr-FR" w:eastAsia="fr-FR" w:bidi="fr-FR"/>
    </w:rPr>
  </w:style>
  <w:style w:type="paragraph" w:styleId="TOC5">
    <w:name w:val="toc 5"/>
    <w:basedOn w:val="Normal"/>
    <w:next w:val="Normal"/>
    <w:autoRedefine/>
    <w:uiPriority w:val="39"/>
    <w:semiHidden/>
    <w:unhideWhenUsed/>
    <w:rsid w:val="00860A11"/>
    <w:pPr>
      <w:spacing w:before="60" w:after="100" w:line="220" w:lineRule="atLeast"/>
      <w:ind w:left="720"/>
      <w:jc w:val="both"/>
    </w:pPr>
    <w:rPr>
      <w:rFonts w:ascii="Arial" w:eastAsia="Times New Roman" w:hAnsi="Arial" w:cs="Times New Roman"/>
      <w:sz w:val="18"/>
      <w:szCs w:val="24"/>
      <w:lang w:val="fr-FR" w:eastAsia="fr-FR" w:bidi="fr-FR"/>
    </w:rPr>
  </w:style>
  <w:style w:type="paragraph" w:styleId="TOC6">
    <w:name w:val="toc 6"/>
    <w:basedOn w:val="Normal"/>
    <w:next w:val="Normal"/>
    <w:autoRedefine/>
    <w:uiPriority w:val="39"/>
    <w:semiHidden/>
    <w:unhideWhenUsed/>
    <w:rsid w:val="00860A11"/>
    <w:pPr>
      <w:spacing w:before="60" w:after="100" w:line="220" w:lineRule="atLeast"/>
      <w:ind w:left="900"/>
      <w:jc w:val="both"/>
    </w:pPr>
    <w:rPr>
      <w:rFonts w:ascii="Arial" w:eastAsia="Times New Roman" w:hAnsi="Arial" w:cs="Times New Roman"/>
      <w:sz w:val="18"/>
      <w:szCs w:val="24"/>
      <w:lang w:val="fr-FR" w:eastAsia="fr-FR" w:bidi="fr-FR"/>
    </w:rPr>
  </w:style>
  <w:style w:type="paragraph" w:styleId="TOC7">
    <w:name w:val="toc 7"/>
    <w:basedOn w:val="Normal"/>
    <w:next w:val="Normal"/>
    <w:autoRedefine/>
    <w:uiPriority w:val="39"/>
    <w:semiHidden/>
    <w:unhideWhenUsed/>
    <w:rsid w:val="00860A11"/>
    <w:pPr>
      <w:spacing w:before="60" w:after="100" w:line="220" w:lineRule="atLeast"/>
      <w:ind w:left="1080"/>
      <w:jc w:val="both"/>
    </w:pPr>
    <w:rPr>
      <w:rFonts w:ascii="Arial" w:eastAsia="Times New Roman" w:hAnsi="Arial" w:cs="Times New Roman"/>
      <w:sz w:val="18"/>
      <w:szCs w:val="24"/>
      <w:lang w:val="fr-FR" w:eastAsia="fr-FR" w:bidi="fr-FR"/>
    </w:rPr>
  </w:style>
  <w:style w:type="paragraph" w:styleId="TOC8">
    <w:name w:val="toc 8"/>
    <w:basedOn w:val="Normal"/>
    <w:next w:val="Normal"/>
    <w:autoRedefine/>
    <w:uiPriority w:val="39"/>
    <w:semiHidden/>
    <w:unhideWhenUsed/>
    <w:rsid w:val="00860A11"/>
    <w:pPr>
      <w:spacing w:before="60" w:after="100" w:line="220" w:lineRule="atLeast"/>
      <w:ind w:left="1260"/>
      <w:jc w:val="both"/>
    </w:pPr>
    <w:rPr>
      <w:rFonts w:ascii="Arial" w:eastAsia="Times New Roman" w:hAnsi="Arial" w:cs="Times New Roman"/>
      <w:sz w:val="18"/>
      <w:szCs w:val="24"/>
      <w:lang w:val="fr-FR" w:eastAsia="fr-FR" w:bidi="fr-FR"/>
    </w:rPr>
  </w:style>
  <w:style w:type="paragraph" w:styleId="TOC9">
    <w:name w:val="toc 9"/>
    <w:basedOn w:val="Normal"/>
    <w:next w:val="Normal"/>
    <w:autoRedefine/>
    <w:uiPriority w:val="39"/>
    <w:semiHidden/>
    <w:unhideWhenUsed/>
    <w:rsid w:val="00860A11"/>
    <w:pPr>
      <w:spacing w:before="60" w:after="100" w:line="220" w:lineRule="atLeast"/>
      <w:ind w:left="1440"/>
      <w:jc w:val="both"/>
    </w:pPr>
    <w:rPr>
      <w:rFonts w:ascii="Arial" w:eastAsia="Times New Roman" w:hAnsi="Arial" w:cs="Times New Roman"/>
      <w:sz w:val="18"/>
      <w:szCs w:val="24"/>
      <w:lang w:val="fr-FR" w:eastAsia="fr-FR" w:bidi="fr-FR"/>
    </w:rPr>
  </w:style>
  <w:style w:type="paragraph" w:styleId="TOCHeading">
    <w:name w:val="TOC Heading"/>
    <w:basedOn w:val="Heading1"/>
    <w:next w:val="Normal"/>
    <w:uiPriority w:val="39"/>
    <w:semiHidden/>
    <w:unhideWhenUsed/>
    <w:qFormat/>
    <w:rsid w:val="00860A11"/>
    <w:pPr>
      <w:keepLines/>
      <w:framePr w:hSpace="0" w:vSpace="0" w:wrap="auto" w:vAnchor="margin" w:hAnchor="text" w:yAlign="inline"/>
      <w:numPr>
        <w:numId w:val="0"/>
      </w:numPr>
      <w:pBdr>
        <w:left w:val="none" w:sz="0" w:space="0" w:color="auto"/>
      </w:pBdr>
      <w:tabs>
        <w:tab w:val="clear" w:pos="227"/>
      </w:tabs>
      <w:suppressAutoHyphens w:val="0"/>
      <w:spacing w:before="240" w:after="0" w:line="220" w:lineRule="atLeast"/>
      <w:jc w:val="both"/>
      <w:outlineLvl w:val="9"/>
    </w:pPr>
    <w:rPr>
      <w:rFonts w:asciiTheme="majorHAnsi" w:eastAsiaTheme="majorEastAsia" w:hAnsiTheme="majorHAnsi" w:cstheme="majorBidi"/>
      <w:b w:val="0"/>
      <w:bCs w:val="0"/>
      <w:color w:val="2E74B5" w:themeColor="accent1" w:themeShade="BF"/>
      <w:kern w:val="0"/>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hyperlink" Target="http://enrd.ec.europa.eu/enrd-static/app_templates/enrd_assets/pdf/guidebook/nrn_handbook_webversion.pdf" TargetMode="External"/><Relationship Id="rId47" Type="http://schemas.openxmlformats.org/officeDocument/2006/relationships/hyperlink" Target="http://enrd.ec.europa.eu/app_templates/enrd_assets/pdf/evaluation/epe_master.pdf" TargetMode="External"/><Relationship Id="rId63" Type="http://schemas.openxmlformats.org/officeDocument/2006/relationships/image" Target="media/image29.jpg"/><Relationship Id="rId68" Type="http://schemas.openxmlformats.org/officeDocument/2006/relationships/image" Target="media/image34.jpg"/><Relationship Id="rId16" Type="http://schemas.openxmlformats.org/officeDocument/2006/relationships/hyperlink" Target="http://www.fao.org/home/en/" TargetMode="External"/><Relationship Id="rId11" Type="http://schemas.openxmlformats.org/officeDocument/2006/relationships/header" Target="header2.xml"/><Relationship Id="rId24" Type="http://schemas.openxmlformats.org/officeDocument/2006/relationships/image" Target="media/image11.png"/><Relationship Id="rId32" Type="http://schemas.openxmlformats.org/officeDocument/2006/relationships/image" Target="media/image15.png"/><Relationship Id="rId37" Type="http://schemas.openxmlformats.org/officeDocument/2006/relationships/image" Target="media/image20.jpeg"/><Relationship Id="rId40" Type="http://schemas.openxmlformats.org/officeDocument/2006/relationships/hyperlink" Target="http://enrd.ec.europa.eu/enrd-static/evaluation/library/evaluation-helpdesk-publications/en/evaluation-helpdesk-publications_en.html" TargetMode="External"/><Relationship Id="rId45" Type="http://schemas.openxmlformats.org/officeDocument/2006/relationships/hyperlink" Target="http://enrd.ec.europa.eu/enrd-static/app_templates/enrd_assets/pdf/evaluation/national-rural-networks/GPW10_Italy.pdf" TargetMode="External"/><Relationship Id="rId53" Type="http://schemas.openxmlformats.org/officeDocument/2006/relationships/image" Target="media/image26.jpeg"/><Relationship Id="rId58" Type="http://schemas.openxmlformats.org/officeDocument/2006/relationships/hyperlink" Target="http://www.communitymatters.com.au/RE_chapter.pdf" TargetMode="External"/><Relationship Id="rId66" Type="http://schemas.openxmlformats.org/officeDocument/2006/relationships/image" Target="media/image32.jpg"/><Relationship Id="rId74" Type="http://schemas.openxmlformats.org/officeDocument/2006/relationships/footer" Target="footer9.xml"/><Relationship Id="rId79" Type="http://schemas.openxmlformats.org/officeDocument/2006/relationships/customXml" Target="../customXml/item3.xml"/><Relationship Id="rId5" Type="http://schemas.openxmlformats.org/officeDocument/2006/relationships/footnotes" Target="footnotes.xml"/><Relationship Id="rId61" Type="http://schemas.openxmlformats.org/officeDocument/2006/relationships/header" Target="header7.xml"/><Relationship Id="rId19" Type="http://schemas.openxmlformats.org/officeDocument/2006/relationships/image" Target="media/image6.jpeg"/><Relationship Id="rId14" Type="http://schemas.openxmlformats.org/officeDocument/2006/relationships/header" Target="header3.xml"/><Relationship Id="rId22" Type="http://schemas.openxmlformats.org/officeDocument/2006/relationships/image" Target="media/image9.png"/><Relationship Id="rId27" Type="http://schemas.openxmlformats.org/officeDocument/2006/relationships/header" Target="header4.xml"/><Relationship Id="rId30" Type="http://schemas.openxmlformats.org/officeDocument/2006/relationships/footer" Target="footer5.xml"/><Relationship Id="rId35" Type="http://schemas.openxmlformats.org/officeDocument/2006/relationships/image" Target="media/image18.png"/><Relationship Id="rId43" Type="http://schemas.openxmlformats.org/officeDocument/2006/relationships/hyperlink" Target="http://evi.sagepub.com/content/13/4/439.full.pdf" TargetMode="External"/><Relationship Id="rId48" Type="http://schemas.openxmlformats.org/officeDocument/2006/relationships/hyperlink" Target="http://enrd.ec.europa.eu/enrd-static/app_templates/enrd_assets/pdf/guidebook/nrn_handbook_webversion.pdf" TargetMode="External"/><Relationship Id="rId56" Type="http://schemas.openxmlformats.org/officeDocument/2006/relationships/image" Target="media/image27.jpeg"/><Relationship Id="rId64" Type="http://schemas.openxmlformats.org/officeDocument/2006/relationships/image" Target="media/image30.jpg"/><Relationship Id="rId69" Type="http://schemas.openxmlformats.org/officeDocument/2006/relationships/image" Target="media/image35.jpg"/><Relationship Id="rId77" Type="http://schemas.openxmlformats.org/officeDocument/2006/relationships/customXml" Target="../customXml/item1.xml"/><Relationship Id="rId8" Type="http://schemas.openxmlformats.org/officeDocument/2006/relationships/image" Target="media/image2.jpeg"/><Relationship Id="rId51" Type="http://schemas.openxmlformats.org/officeDocument/2006/relationships/image" Target="media/image25.jpeg"/><Relationship Id="rId72" Type="http://schemas.openxmlformats.org/officeDocument/2006/relationships/footer" Target="footer8.xml"/><Relationship Id="rId3"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hyperlink" Target="https://en.wikipedia.org/wiki/Geographic_information_system" TargetMode="External"/><Relationship Id="rId25" Type="http://schemas.openxmlformats.org/officeDocument/2006/relationships/image" Target="media/image12.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3.png"/><Relationship Id="rId59" Type="http://schemas.openxmlformats.org/officeDocument/2006/relationships/header" Target="header6.xml"/><Relationship Id="rId67" Type="http://schemas.openxmlformats.org/officeDocument/2006/relationships/image" Target="media/image33.jpg"/><Relationship Id="rId20" Type="http://schemas.openxmlformats.org/officeDocument/2006/relationships/image" Target="media/image7.png"/><Relationship Id="rId41" Type="http://schemas.openxmlformats.org/officeDocument/2006/relationships/hyperlink" Target="http://enrd.ec.europa.eu/enrd-static/evaluation/library/evaluation-helpdesk-publications/en/evaluation-helpdesk-publications_en.html" TargetMode="External"/><Relationship Id="rId54" Type="http://schemas.openxmlformats.org/officeDocument/2006/relationships/hyperlink" Target="http://betterevaluation.org/plan/approach/critical_system_heuristics" TargetMode="External"/><Relationship Id="rId62" Type="http://schemas.openxmlformats.org/officeDocument/2006/relationships/footer" Target="footer7.xml"/><Relationship Id="rId70" Type="http://schemas.openxmlformats.org/officeDocument/2006/relationships/image" Target="media/image36.pn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3.xml"/><Relationship Id="rId23" Type="http://schemas.openxmlformats.org/officeDocument/2006/relationships/image" Target="media/image10.png"/><Relationship Id="rId28" Type="http://schemas.openxmlformats.org/officeDocument/2006/relationships/footer" Target="footer4.xml"/><Relationship Id="rId36" Type="http://schemas.openxmlformats.org/officeDocument/2006/relationships/image" Target="media/image19.emf"/><Relationship Id="rId49" Type="http://schemas.openxmlformats.org/officeDocument/2006/relationships/hyperlink" Target="http://enrd.ec.europa.eu/enrd-static/networks-and-networking/nrn-self-assessment-tool-kit/practical-tools-for-nrn-self-assessment/en/practical-tools-for-nrn-self-assessment_en.html" TargetMode="External"/><Relationship Id="rId57" Type="http://schemas.openxmlformats.org/officeDocument/2006/relationships/image" Target="media/image28.jpeg"/><Relationship Id="rId10" Type="http://schemas.openxmlformats.org/officeDocument/2006/relationships/header" Target="header1.xml"/><Relationship Id="rId31" Type="http://schemas.openxmlformats.org/officeDocument/2006/relationships/image" Target="media/image14.png"/><Relationship Id="rId44" Type="http://schemas.openxmlformats.org/officeDocument/2006/relationships/hyperlink" Target="http://www.communitymatters.com.au/RE_chapter.pdf" TargetMode="External"/><Relationship Id="rId52" Type="http://schemas.openxmlformats.org/officeDocument/2006/relationships/hyperlink" Target="http://www.cdc.gov/pcd/issues/2005/jan/04_0050.htm" TargetMode="External"/><Relationship Id="rId60" Type="http://schemas.openxmlformats.org/officeDocument/2006/relationships/footer" Target="footer6.xml"/><Relationship Id="rId65" Type="http://schemas.openxmlformats.org/officeDocument/2006/relationships/image" Target="media/image31.jpg"/><Relationship Id="rId73" Type="http://schemas.openxmlformats.org/officeDocument/2006/relationships/header" Target="header9.xml"/><Relationship Id="rId78" Type="http://schemas.openxmlformats.org/officeDocument/2006/relationships/customXml" Target="../customXml/item2.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footer" Target="footer2.xml"/><Relationship Id="rId18" Type="http://schemas.openxmlformats.org/officeDocument/2006/relationships/image" Target="media/image5.png"/><Relationship Id="rId39" Type="http://schemas.openxmlformats.org/officeDocument/2006/relationships/image" Target="media/image22.png"/><Relationship Id="rId34" Type="http://schemas.openxmlformats.org/officeDocument/2006/relationships/image" Target="media/image17.png"/><Relationship Id="rId50" Type="http://schemas.openxmlformats.org/officeDocument/2006/relationships/image" Target="media/image24.jpeg"/><Relationship Id="rId55" Type="http://schemas.openxmlformats.org/officeDocument/2006/relationships/hyperlink" Target="http://oro.open.ac.uk/3464/" TargetMode="External"/><Relationship Id="rId76"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header" Target="header8.xml"/><Relationship Id="rId2" Type="http://schemas.openxmlformats.org/officeDocument/2006/relationships/styles" Target="styles.xml"/><Relationship Id="rId29" Type="http://schemas.openxmlformats.org/officeDocument/2006/relationships/header" Target="header5.xml"/></Relationships>
</file>

<file path=word/_rels/footer1.xml.rels><?xml version="1.0" encoding="UTF-8" standalone="yes"?>
<Relationships xmlns="http://schemas.openxmlformats.org/package/2006/relationships"><Relationship Id="rId1" Type="http://schemas.openxmlformats.org/officeDocument/2006/relationships/image" Target="media/image4.jpeg"/></Relationships>
</file>

<file path=word/_rels/footnotes.xml.rels><?xml version="1.0" encoding="UTF-8" standalone="yes"?>
<Relationships xmlns="http://schemas.openxmlformats.org/package/2006/relationships"><Relationship Id="rId13" Type="http://schemas.openxmlformats.org/officeDocument/2006/relationships/hyperlink" Target="http://ec.europa.eu/smart-regulation/guidelines/tool_13_en.htm" TargetMode="External"/><Relationship Id="rId18" Type="http://schemas.openxmlformats.org/officeDocument/2006/relationships/hyperlink" Target="http://enrd.ec.europa.eu/enrd-static/app_templates/enrd_assets/pdf/guidebook/nrn_handbook_webversion.pdf" TargetMode="External"/><Relationship Id="rId26" Type="http://schemas.openxmlformats.org/officeDocument/2006/relationships/hyperlink" Target="http://enrd.ec.europa.eu/app_templates/filedownload.cfm?id=872FF4F3-F76A-CCF3-63D8-A0B1FB70F601" TargetMode="External"/><Relationship Id="rId39" Type="http://schemas.openxmlformats.org/officeDocument/2006/relationships/hyperlink" Target="http://documents.worldbank.org/curated/en/2004/01/3050371/measuring-social-capital-integrated-questionnaire" TargetMode="External"/><Relationship Id="rId3" Type="http://schemas.openxmlformats.org/officeDocument/2006/relationships/hyperlink" Target="http://enrd.ec.europa.eu/app_templates/enrd_assets/pdf/evaluation/EP_Guidelines_Draft_March2014.pdf" TargetMode="External"/><Relationship Id="rId21" Type="http://schemas.openxmlformats.org/officeDocument/2006/relationships/hyperlink" Target="http://enrd.ec.europa.eu/enrd-static/evaluation/good-practices-workshops/national-rural-network-programmes/en/national-rural-network-programmes_en.html" TargetMode="External"/><Relationship Id="rId34" Type="http://schemas.openxmlformats.org/officeDocument/2006/relationships/hyperlink" Target="http://ec.europa.eu/agriculture/rurdev/eval/guidance/note_b_en.pdf" TargetMode="External"/><Relationship Id="rId42" Type="http://schemas.openxmlformats.org/officeDocument/2006/relationships/hyperlink" Target="http://enrd.ec.europa.eu/enrd-static/evaluation/library/evaluation-helpdesk-publications/en/evaluation-helpdesk-publications_en.html" TargetMode="External"/><Relationship Id="rId47" Type="http://schemas.openxmlformats.org/officeDocument/2006/relationships/hyperlink" Target="http://asgpp.org/pdf/psychodrama.conciseintro.pdf" TargetMode="External"/><Relationship Id="rId50" Type="http://schemas.openxmlformats.org/officeDocument/2006/relationships/hyperlink" Target="https://en.wikipedia.org/wiki/Behavior" TargetMode="External"/><Relationship Id="rId7" Type="http://schemas.openxmlformats.org/officeDocument/2006/relationships/hyperlink" Target="http://www.who.int/workforcealliance/knowledge/toolkit/33.pdf" TargetMode="External"/><Relationship Id="rId12" Type="http://schemas.openxmlformats.org/officeDocument/2006/relationships/hyperlink" Target="https://enrd.ec.europa.eu/en/networking/network-self-assessment" TargetMode="External"/><Relationship Id="rId17" Type="http://schemas.openxmlformats.org/officeDocument/2006/relationships/hyperlink" Target="http://enrd.ec.europa.eu/app_templates/enrd_assets/pdf/gateway/guidance-fiche-art54-nrn-draft-jan2014.pdf" TargetMode="External"/><Relationship Id="rId25" Type="http://schemas.openxmlformats.org/officeDocument/2006/relationships/hyperlink" Target="http://enrd.ec.europa.eu/app_templates/filedownload.cfm?id=872FF4F3-F76A-CCF3-63D8-A0B1FB70F601" TargetMode="External"/><Relationship Id="rId33" Type="http://schemas.openxmlformats.org/officeDocument/2006/relationships/hyperlink" Target="http://enrd.ec.europa.eu/app_templates/filedownload.cfm?id=83C6EDCD-9413-1C64-4EAA-1E4E8EC9ED3E" TargetMode="External"/><Relationship Id="rId38" Type="http://schemas.openxmlformats.org/officeDocument/2006/relationships/hyperlink" Target="http://enrd.ec.europa.eu/enrd-static/evaluation/library/evaluation-helpdesk-publications/en/evaluation-helpdesk-publications_en.html" TargetMode="External"/><Relationship Id="rId46" Type="http://schemas.openxmlformats.org/officeDocument/2006/relationships/hyperlink" Target="http://ec.europa.eu/regional_policy/archive/conferences/evaluation2009/abstracts/martinuzzi.pdf" TargetMode="External"/><Relationship Id="rId2" Type="http://schemas.openxmlformats.org/officeDocument/2006/relationships/hyperlink" Target="http://enrd.ec.europa.eu/app_templates/filedownload.cfm?id=7797A2AE-91CD-8D82-C9DB-D30E043439F1" TargetMode="External"/><Relationship Id="rId16" Type="http://schemas.openxmlformats.org/officeDocument/2006/relationships/hyperlink" Target="http://enrd.ec.europa.eu/app_templates/enrd_assets/pdf/gateway/guidance-fiche-art54-nrn-draft-jan2014.pdf" TargetMode="External"/><Relationship Id="rId20" Type="http://schemas.openxmlformats.org/officeDocument/2006/relationships/hyperlink" Target="http://ec.europa.eu/smart-regulation/guidelines/tool_13_en.htm" TargetMode="External"/><Relationship Id="rId29" Type="http://schemas.openxmlformats.org/officeDocument/2006/relationships/hyperlink" Target="http://enrd.ec.europa.eu/app_templates/filedownload.cfm?id=872FF4F3-F76A-CCF3-63D8-A0B1FB70F601" TargetMode="External"/><Relationship Id="rId41" Type="http://schemas.openxmlformats.org/officeDocument/2006/relationships/hyperlink" Target="http://www.iareg.org/fileadmin/iareg/media/papers/WP2_02.pdf" TargetMode="External"/><Relationship Id="rId1" Type="http://schemas.openxmlformats.org/officeDocument/2006/relationships/hyperlink" Target="http://enrd.ec.europa.eu/app_templates/enrd_assets/pdf/evaluation/EP_Guidelines_Draft_March2014.pdf" TargetMode="External"/><Relationship Id="rId6" Type="http://schemas.openxmlformats.org/officeDocument/2006/relationships/hyperlink" Target="https://enrd.ec.europa.eu/sites/enrd/files/assets/pdf/evaluation/national-rural-networks/GPW_10_NRN_shape.pdf" TargetMode="External"/><Relationship Id="rId11" Type="http://schemas.openxmlformats.org/officeDocument/2006/relationships/hyperlink" Target="R&#233;f&#233;rentiel%20d'auto-&#233;valuation%20%20de%20RRN,%20REDR" TargetMode="External"/><Relationship Id="rId24" Type="http://schemas.openxmlformats.org/officeDocument/2006/relationships/hyperlink" Target="http://enrd.ec.europa.eu/app_templates/filedownload.cfm?id=872FF4F3-F76A-CCF3-63D8-A0B1FB70F601" TargetMode="External"/><Relationship Id="rId32" Type="http://schemas.openxmlformats.org/officeDocument/2006/relationships/hyperlink" Target="http://enrd.ec.europa.eu/app_templates/filedownload.cfm?id=83C6EDCD-9413-1C64-4EAA-1E4E8EC9ED3E" TargetMode="External"/><Relationship Id="rId37" Type="http://schemas.openxmlformats.org/officeDocument/2006/relationships/hyperlink" Target="http://www.wfp.org/evaluation/methods-and-tools/eqas-evaluation-quality-assurance-system" TargetMode="External"/><Relationship Id="rId40" Type="http://schemas.openxmlformats.org/officeDocument/2006/relationships/hyperlink" Target="http://avitem.org/IMG/pdf/cuaderno_resindex_eng.pdf" TargetMode="External"/><Relationship Id="rId45" Type="http://schemas.openxmlformats.org/officeDocument/2006/relationships/hyperlink" Target="https://en.wikipedia.org/wiki/Collective_intelligence" TargetMode="External"/><Relationship Id="rId5" Type="http://schemas.openxmlformats.org/officeDocument/2006/relationships/hyperlink" Target="http://enrd.ec.europa.eu/app_templates/enrd_assets/pdf/evaluation/EP_Guidelines_Draft_March2014.pdf" TargetMode="External"/><Relationship Id="rId15" Type="http://schemas.openxmlformats.org/officeDocument/2006/relationships/hyperlink" Target="http://enrd.ec.europa.eu/app_templates/enrd_assets/pdf/gateway/guidance-fiche-art54-nrn-draft-jan2014.pdf" TargetMode="External"/><Relationship Id="rId23" Type="http://schemas.openxmlformats.org/officeDocument/2006/relationships/hyperlink" Target="http://enrd.ec.europa.eu/enrd-static/evaluation/library/evaluation-helpdesk-publications/en/evaluation-helpdesk-publications_en.html" TargetMode="External"/><Relationship Id="rId28" Type="http://schemas.openxmlformats.org/officeDocument/2006/relationships/hyperlink" Target="http://enrd.ec.europa.eu/app_templates/filedownload.cfm?id=872FF4F3-F76A-CCF3-63D8-A0B1FB70F601" TargetMode="External"/><Relationship Id="rId36" Type="http://schemas.openxmlformats.org/officeDocument/2006/relationships/hyperlink" Target="http://ec.europa.eu/agriculture/rurdev/eval/guidance/note_b_en.pdf" TargetMode="External"/><Relationship Id="rId49" Type="http://schemas.openxmlformats.org/officeDocument/2006/relationships/hyperlink" Target="https://enrd.ec.europa.eu/sites/enrd/files/assets/pdf/evaluation/national-rural-networks/GPW10_Scotland.pdf" TargetMode="External"/><Relationship Id="rId10" Type="http://schemas.openxmlformats.org/officeDocument/2006/relationships/hyperlink" Target="http://enrd.ec.europa.eu/enrd-static/networks-and-networking/nrn-toolkit/principles-and-practice-of-networking/network-definitions-and-diversity/en/rural-networks-and-networking_en.html" TargetMode="External"/><Relationship Id="rId19" Type="http://schemas.openxmlformats.org/officeDocument/2006/relationships/hyperlink" Target="http://enrd.ec.europa.eu/enrd-static/app_templates/enrd_assets/pdf/guidebook/nrn_handbook_webversion.pdf" TargetMode="External"/><Relationship Id="rId31" Type="http://schemas.openxmlformats.org/officeDocument/2006/relationships/hyperlink" Target="http://enrd.ec.europa.eu/app_templates/filedownload.cfm?id=83C6EDCD-9413-1C64-4EAA-1E4E8EC9ED3E" TargetMode="External"/><Relationship Id="rId44" Type="http://schemas.openxmlformats.org/officeDocument/2006/relationships/hyperlink" Target="https://kwiksurveys.com/" TargetMode="External"/><Relationship Id="rId52" Type="http://schemas.openxmlformats.org/officeDocument/2006/relationships/hyperlink" Target="http://ec.europa.eu/agriculture/evaluation/rural-development-reports/2014/investment-support-rdp/fulltext_en.pdf" TargetMode="External"/><Relationship Id="rId4" Type="http://schemas.openxmlformats.org/officeDocument/2006/relationships/hyperlink" Target="http://enrd.ec.europa.eu/app_templates/enrd_assets/pdf/evaluation/EP_Guidelines_Draft_March2014.pdf" TargetMode="External"/><Relationship Id="rId9" Type="http://schemas.openxmlformats.org/officeDocument/2006/relationships/hyperlink" Target="http://www.fao.org/docrep/008/y5702e/y5702e00.htm" TargetMode="External"/><Relationship Id="rId14" Type="http://schemas.openxmlformats.org/officeDocument/2006/relationships/hyperlink" Target="https://enrd.ec.europa.eu/en/evaluation-helpdesks-publications" TargetMode="External"/><Relationship Id="rId22" Type="http://schemas.openxmlformats.org/officeDocument/2006/relationships/hyperlink" Target="http://enrd.ec.europa.eu/enrd-static/evaluation/good-practices-workshops/national-rural-networks/en/national-rural-networks_en.html" TargetMode="External"/><Relationship Id="rId27" Type="http://schemas.openxmlformats.org/officeDocument/2006/relationships/hyperlink" Target="http://ec.europa.eu/agriculture/cap-post-2013/monitoring-evaluation/index_en.htm" TargetMode="External"/><Relationship Id="rId30" Type="http://schemas.openxmlformats.org/officeDocument/2006/relationships/hyperlink" Target="http://enrd.ec.europa.eu/app_templates/filedownload.cfm?id=872FF4F3-F76A-CCF3-63D8-A0B1FB70F601" TargetMode="External"/><Relationship Id="rId35" Type="http://schemas.openxmlformats.org/officeDocument/2006/relationships/hyperlink" Target="http://ec.europa.eu/agriculture/rurdev/eval/guidance/note_b_en.pdf" TargetMode="External"/><Relationship Id="rId43" Type="http://schemas.openxmlformats.org/officeDocument/2006/relationships/hyperlink" Target="https://www.surveymonkey.com/" TargetMode="External"/><Relationship Id="rId48" Type="http://schemas.openxmlformats.org/officeDocument/2006/relationships/hyperlink" Target="http://enrd.ec.europa.eu/enrd-static/networks-and-networking/nrn-self-assessment-tool-kit/practical-tools-for-nrn-self-assessment/en/practical-tools-for-nrn-self-assessment_en.html" TargetMode="External"/><Relationship Id="rId8" Type="http://schemas.openxmlformats.org/officeDocument/2006/relationships/hyperlink" Target="http://www1.worldbank.org/publicsector/anticorrupt/PoliticalEconomy/stakeholderanalysis.htm" TargetMode="External"/><Relationship Id="rId51" Type="http://schemas.openxmlformats.org/officeDocument/2006/relationships/hyperlink" Target="http://enrd.ec.europa.eu/enrd-static/evaluation/library/evaluation-helpdesk-publications/en/evaluation-helpdesk-publications_en.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1279C08E096F64D9575D7E38D98307C" ma:contentTypeVersion="2" ma:contentTypeDescription="Create a new document." ma:contentTypeScope="" ma:versionID="71ede7a5c95837e53d4ce6c4243f2b97">
  <xsd:schema xmlns:xsd="http://www.w3.org/2001/XMLSchema" xmlns:xs="http://www.w3.org/2001/XMLSchema" xmlns:p="http://schemas.microsoft.com/office/2006/metadata/properties" xmlns:ns2="294d1de4-3ac5-42cb-af17-fa7f1cfff024" targetNamespace="http://schemas.microsoft.com/office/2006/metadata/properties" ma:root="true" ma:fieldsID="f90ef1d7018f4d3ca0c16474ab77add8" ns2:_="">
    <xsd:import namespace="294d1de4-3ac5-42cb-af17-fa7f1cfff024"/>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94d1de4-3ac5-42cb-af17-fa7f1cfff024"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D47C051B-799E-4347-920A-D7942C1310E5}"/>
</file>

<file path=customXml/itemProps2.xml><?xml version="1.0" encoding="utf-8"?>
<ds:datastoreItem xmlns:ds="http://schemas.openxmlformats.org/officeDocument/2006/customXml" ds:itemID="{6F99B6F3-37D1-4FD9-805C-CCD5ADBA583E}"/>
</file>

<file path=customXml/itemProps3.xml><?xml version="1.0" encoding="utf-8"?>
<ds:datastoreItem xmlns:ds="http://schemas.openxmlformats.org/officeDocument/2006/customXml" ds:itemID="{F8D5BE69-8C5E-4875-9230-CC565F77EBFA}"/>
</file>

<file path=docProps/app.xml><?xml version="1.0" encoding="utf-8"?>
<Properties xmlns="http://schemas.openxmlformats.org/officeDocument/2006/extended-properties" xmlns:vt="http://schemas.openxmlformats.org/officeDocument/2006/docPropsVTypes">
  <Template>Normal</Template>
  <TotalTime>2</TotalTime>
  <Pages>1</Pages>
  <Words>44509</Words>
  <Characters>253704</Characters>
  <Application>Microsoft Office Word</Application>
  <DocSecurity>0</DocSecurity>
  <Lines>2114</Lines>
  <Paragraphs>595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297618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Myles Stiffler</dc:creator>
  <cp:keywords/>
  <dc:description/>
  <cp:lastModifiedBy>Myles Stiffler</cp:lastModifiedBy>
  <cp:revision>2</cp:revision>
  <dcterms:created xsi:type="dcterms:W3CDTF">2016-10-24T15:45:00Z</dcterms:created>
  <dcterms:modified xsi:type="dcterms:W3CDTF">2016-10-24T15:47:00Z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0x01010061279C08E096F64D9575D7E38D98307C</vt:lpwstr>
  </property>
</Properties>
</file>