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061" w:rsidRPr="00571D58" w:rsidRDefault="000B213F" w:rsidP="000B4920">
      <w:pPr>
        <w:pStyle w:val="HHeadingboxes"/>
      </w:pPr>
      <w:r>
        <w:rPr>
          <w:noProof/>
          <w:szCs w:val="24"/>
          <w:lang w:bidi="ar-SA"/>
        </w:rPr>
        <mc:AlternateContent>
          <mc:Choice Requires="wps">
            <w:drawing>
              <wp:anchor distT="0" distB="0" distL="114300" distR="114300" simplePos="0" relativeHeight="251654656" behindDoc="1" locked="0" layoutInCell="1" allowOverlap="1" wp14:anchorId="59E4466D" wp14:editId="256EB497">
                <wp:simplePos x="0" y="0"/>
                <wp:positionH relativeFrom="page">
                  <wp:posOffset>2053590</wp:posOffset>
                </wp:positionH>
                <wp:positionV relativeFrom="page">
                  <wp:posOffset>5022215</wp:posOffset>
                </wp:positionV>
                <wp:extent cx="4775835" cy="3150870"/>
                <wp:effectExtent l="0" t="0" r="5715" b="11430"/>
                <wp:wrapTight wrapText="bothSides">
                  <wp:wrapPolygon edited="0">
                    <wp:start x="0" y="0"/>
                    <wp:lineTo x="0" y="21548"/>
                    <wp:lineTo x="21540" y="21548"/>
                    <wp:lineTo x="21540" y="0"/>
                    <wp:lineTo x="0" y="0"/>
                  </wp:wrapPolygon>
                </wp:wrapTight>
                <wp:docPr id="9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835" cy="315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F99" w:rsidRPr="00E76949" w:rsidRDefault="00B85F99" w:rsidP="00E76949">
                            <w:pPr>
                              <w:pStyle w:val="HTitle1"/>
                            </w:pPr>
                            <w:r>
                              <w:t>SMERNICE</w:t>
                            </w:r>
                          </w:p>
                          <w:p w:rsidR="00B85F99" w:rsidRPr="00196DF6" w:rsidRDefault="00B85F99" w:rsidP="00196DF6">
                            <w:pPr>
                              <w:pStyle w:val="HTitle2"/>
                            </w:pPr>
                            <w:r>
                              <w:t>Presoja dosežkov in vplivov programov razvoja podeželja v letu 2019</w:t>
                            </w:r>
                          </w:p>
                          <w:p w:rsidR="00B85F99" w:rsidRPr="00F15219" w:rsidRDefault="00B85F99" w:rsidP="00196DF6">
                            <w:pPr>
                              <w:pStyle w:val="HTitle2"/>
                            </w:pPr>
                          </w:p>
                          <w:p w:rsidR="00B85F99" w:rsidRPr="00435F02" w:rsidRDefault="00B85F99" w:rsidP="00196DF6">
                            <w:pPr>
                              <w:pStyle w:val="HTitle3"/>
                              <w:rPr>
                                <w:color w:val="auto"/>
                              </w:rPr>
                            </w:pPr>
                            <w:r>
                              <w:rPr>
                                <w:color w:val="auto"/>
                              </w:rPr>
                              <w:t>Avgust 2018</w:t>
                            </w:r>
                          </w:p>
                          <w:p w:rsidR="00B85F99" w:rsidRDefault="00B85F99" w:rsidP="00196DF6">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4466D" id="_x0000_t202" coordsize="21600,21600" o:spt="202" path="m,l,21600r21600,l21600,xe">
                <v:stroke joinstyle="miter"/>
                <v:path gradientshapeok="t" o:connecttype="rect"/>
              </v:shapetype>
              <v:shape id="Text Box 5" o:spid="_x0000_s1026" type="#_x0000_t202" style="position:absolute;left:0;text-align:left;margin-left:161.7pt;margin-top:395.45pt;width:376.05pt;height:248.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tFsgIAAKw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Y7nMUactNCkRzpodCcGFJr69J1KwO2hA0c9wDb02eaquntRfFeIi3VN+I7eSin6mpIS+Pnmpvvi&#10;6oijDMi2/yRKCEP2WligoZKtKR6UAwE69Onp1BtDpYDNYLkMo3mIUQFncz/0oqXtnkuS6Xonlf5A&#10;RYuMkWIJzbfw5HCvtKFDksnFROMiZ01jBdDwiw1wHHcgOFw1Z4aG7edz7MWbaBMFTjBbbJzAyzLn&#10;Nl8HziL3l2E2z9brzP9l4vpBUrOypNyEmbTlB3/Wu6PKR1Wc1KVEw0oDZygpuduuG4kOBLSd288W&#10;HU7Obu4lDVsEyOVVSv4s8O5msZMvoqUT5EHoxEsvcjw/vosXXhAHWX6Z0j3j9N9TQj3ILpyFo5rO&#10;pF/l5tnvbW4kaZmG6dGwNsXRyYkkRoMbXtrWasKa0X5RCkP/XApo99Roq1gj0lGuetgOgGJkvBXl&#10;E2hXClAWCBRGHhi1kD8x6mF8pFj92BNJMWo+ctC/mTWTISdjOxmEF3A1xRqj0VzrcSbtO8l2NSCP&#10;L4yLW3gjFbPqPbM4viwYCTaJ4/gyM+flv/U6D9nVbwAAAP//AwBQSwMEFAAGAAgAAAAhAE182UTj&#10;AAAADQEAAA8AAABkcnMvZG93bnJldi54bWxMj8FOwzAMhu9IvENkJG4sWcfWtTSdJgQnpImuHDim&#10;rddGa5zSZFt5+2UnuNnyp9/fn20m07Mzjk5bkjCfCWBItW00tRK+yvenNTDnFTWqt4QSftHBJr+/&#10;y1Ta2AsVeN77loUQcqmS0Hk/pJy7ukOj3MwOSOF2sKNRPqxjy5tRXUK46XkkxIobpSl86NSArx3W&#10;x/3JSNh+U/Gmf3bVZ3EodFkmgj5WRykfH6btCzCPk/+D4aYf1CEPTpU9UeNYL2ERLZ4DKiFORALs&#10;Roh4uQRWhSlax3Pgecb/t8ivAAAA//8DAFBLAQItABQABgAIAAAAIQC2gziS/gAAAOEBAAATAAAA&#10;AAAAAAAAAAAAAAAAAABbQ29udGVudF9UeXBlc10ueG1sUEsBAi0AFAAGAAgAAAAhADj9If/WAAAA&#10;lAEAAAsAAAAAAAAAAAAAAAAALwEAAF9yZWxzLy5yZWxzUEsBAi0AFAAGAAgAAAAhAGMTS0WyAgAA&#10;rAUAAA4AAAAAAAAAAAAAAAAALgIAAGRycy9lMm9Eb2MueG1sUEsBAi0AFAAGAAgAAAAhAE182UTj&#10;AAAADQEAAA8AAAAAAAAAAAAAAAAADAUAAGRycy9kb3ducmV2LnhtbFBLBQYAAAAABAAEAPMAAAAc&#10;BgAAAAA=&#10;" filled="f" stroked="f">
                <v:textbox inset="0,0,0,0">
                  <w:txbxContent>
                    <w:p w:rsidR="00B85F99" w:rsidRPr="00E76949" w:rsidRDefault="00B85F99" w:rsidP="00E76949">
                      <w:pPr>
                        <w:pStyle w:val="HTitle1"/>
                      </w:pPr>
                      <w:r>
                        <w:t>SMERNICE</w:t>
                      </w:r>
                    </w:p>
                    <w:p w:rsidR="00B85F99" w:rsidRPr="00196DF6" w:rsidRDefault="00B85F99" w:rsidP="00196DF6">
                      <w:pPr>
                        <w:pStyle w:val="HTitle2"/>
                      </w:pPr>
                      <w:r>
                        <w:t>Presoja dosežkov in vplivov programov razvoja podeželja v letu 2019</w:t>
                      </w:r>
                    </w:p>
                    <w:p w:rsidR="00B85F99" w:rsidRPr="00F15219" w:rsidRDefault="00B85F99" w:rsidP="00196DF6">
                      <w:pPr>
                        <w:pStyle w:val="HTitle2"/>
                      </w:pPr>
                    </w:p>
                    <w:p w:rsidR="00B85F99" w:rsidRPr="00435F02" w:rsidRDefault="00B85F99" w:rsidP="00196DF6">
                      <w:pPr>
                        <w:pStyle w:val="HTitle3"/>
                        <w:rPr>
                          <w:color w:val="auto"/>
                        </w:rPr>
                      </w:pPr>
                      <w:r>
                        <w:rPr>
                          <w:color w:val="auto"/>
                        </w:rPr>
                        <w:t>Avgust 2018</w:t>
                      </w:r>
                    </w:p>
                    <w:p w:rsidR="00B85F99" w:rsidRDefault="00B85F99" w:rsidP="00196DF6">
                      <w:pPr>
                        <w:pStyle w:val="HTitle3"/>
                      </w:pPr>
                    </w:p>
                  </w:txbxContent>
                </v:textbox>
                <w10:wrap type="tight" anchorx="page" anchory="page"/>
              </v:shape>
            </w:pict>
          </mc:Fallback>
        </mc:AlternateContent>
      </w:r>
      <w:r>
        <w:rPr>
          <w:noProof/>
          <w:lang w:bidi="ar-SA"/>
        </w:rPr>
        <w:drawing>
          <wp:anchor distT="0" distB="0" distL="114300" distR="114300" simplePos="0" relativeHeight="251653631" behindDoc="1" locked="0" layoutInCell="1" allowOverlap="1" wp14:anchorId="2312DB66" wp14:editId="2577AA07">
            <wp:simplePos x="0" y="0"/>
            <wp:positionH relativeFrom="margin">
              <wp:posOffset>-918210</wp:posOffset>
            </wp:positionH>
            <wp:positionV relativeFrom="margin">
              <wp:posOffset>-914400</wp:posOffset>
            </wp:positionV>
            <wp:extent cx="7561580" cy="10683240"/>
            <wp:effectExtent l="1905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t xml:space="preserve"> </w:t>
      </w:r>
      <w:r>
        <w:br w:type="page"/>
      </w:r>
    </w:p>
    <w:p w:rsidR="00016061" w:rsidRPr="00571D58" w:rsidRDefault="000B213F" w:rsidP="007C6797">
      <w:pPr>
        <w:pStyle w:val="HStandard"/>
      </w:pPr>
      <w:r>
        <w:rPr>
          <w:noProof/>
          <w:lang w:bidi="ar-SA"/>
        </w:rPr>
        <w:lastRenderedPageBreak/>
        <mc:AlternateContent>
          <mc:Choice Requires="wps">
            <w:drawing>
              <wp:anchor distT="0" distB="0" distL="114300" distR="114300" simplePos="0" relativeHeight="251664896" behindDoc="0" locked="0" layoutInCell="1" allowOverlap="1" wp14:anchorId="7AC29D70" wp14:editId="171EDC28">
                <wp:simplePos x="0" y="0"/>
                <wp:positionH relativeFrom="margin">
                  <wp:posOffset>-426085</wp:posOffset>
                </wp:positionH>
                <wp:positionV relativeFrom="paragraph">
                  <wp:posOffset>4095115</wp:posOffset>
                </wp:positionV>
                <wp:extent cx="6583680" cy="5161915"/>
                <wp:effectExtent l="0" t="0" r="0" b="0"/>
                <wp:wrapNone/>
                <wp:docPr id="9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B85F99" w:rsidRPr="00811EF1" w:rsidRDefault="00B85F99" w:rsidP="00811EF1">
                            <w:pPr>
                              <w:pStyle w:val="Hdisclaimer"/>
                            </w:pPr>
                            <w:r>
                              <w:t>Obvestilo o avtorskih pravicah</w:t>
                            </w:r>
                          </w:p>
                          <w:p w:rsidR="00B85F99" w:rsidRPr="00811EF1" w:rsidRDefault="00B85F99" w:rsidP="00811EF1">
                            <w:pPr>
                              <w:pStyle w:val="Hdisclaimer"/>
                            </w:pPr>
                            <w:r>
                              <w:t>© Evropska unija, 2018</w:t>
                            </w:r>
                          </w:p>
                          <w:p w:rsidR="00B85F99" w:rsidRPr="00811EF1" w:rsidRDefault="00B85F99" w:rsidP="00811EF1">
                            <w:pPr>
                              <w:pStyle w:val="Hdisclaimer"/>
                            </w:pPr>
                            <w:r>
                              <w:t>Razmnoževanje je dovoljeno z navedbo vira.</w:t>
                            </w:r>
                          </w:p>
                          <w:p w:rsidR="00B85F99" w:rsidRPr="00811EF1" w:rsidRDefault="00B85F99" w:rsidP="00811EF1">
                            <w:pPr>
                              <w:pStyle w:val="Hdisclaimer"/>
                            </w:pPr>
                            <w:r>
                              <w:t xml:space="preserve">Priporočeno citiranje: </w:t>
                            </w:r>
                          </w:p>
                          <w:p w:rsidR="00B85F99" w:rsidRDefault="00B85F99" w:rsidP="00435F02">
                            <w:pPr>
                              <w:pStyle w:val="Hdisclaimer"/>
                            </w:pPr>
                            <w:r>
                              <w:t xml:space="preserve">EVROPSKA KOMISIJA – Generalni direktorat za kmetijstvo in razvoj </w:t>
                            </w:r>
                            <w:r>
                              <w:t xml:space="preserve">podeželja – Enota C.4 (2018): Smernice. Presoja dosežkov in vplivov programov razvoja podeželja v letu 2019 Bruselj, avgust 2018. </w:t>
                            </w:r>
                          </w:p>
                          <w:p w:rsidR="00B85F99" w:rsidRPr="00811EF1" w:rsidRDefault="00B85F99" w:rsidP="00811EF1">
                            <w:pPr>
                              <w:pStyle w:val="Hdisclaimer"/>
                            </w:pPr>
                            <w:r>
                              <w:t>Izjava o omejitvi odgovornosti:</w:t>
                            </w:r>
                          </w:p>
                          <w:p w:rsidR="00B85F99" w:rsidRPr="00811EF1" w:rsidRDefault="00B85F99" w:rsidP="00811EF1">
                            <w:pPr>
                              <w:pStyle w:val="Hdisclaimer"/>
                            </w:pPr>
                            <w:r>
                              <w:t>Smernice izražajo navedbe in stališča avtorjev in ne nujno tudi uradnega stališča Komisije. Komisija ne jamči za točnost podatkov, vključenih v te smernice. Niti Evropska komisija niti osebe, ki delujejo v njenem imenu, niso odgovorne za uporabo podatkov iz teh smernic.</w:t>
                            </w:r>
                          </w:p>
                          <w:p w:rsidR="00B85F99" w:rsidRPr="00811EF1" w:rsidRDefault="00B85F99" w:rsidP="005B24FC">
                            <w:pPr>
                              <w:pStyle w:val="Hdisclaimer"/>
                              <w:tabs>
                                <w:tab w:val="right" w:pos="10065"/>
                              </w:tabs>
                            </w:pPr>
                            <w:r>
                              <w:rPr>
                                <w:noProof/>
                                <w:color w:val="auto"/>
                                <w:lang w:bidi="ar-SA"/>
                              </w:rPr>
                              <w:drawing>
                                <wp:inline distT="0" distB="0" distL="0" distR="0" wp14:anchorId="6C00EE35" wp14:editId="7ABF5206">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bidi="ar-SA"/>
                              </w:rPr>
                              <w:drawing>
                                <wp:inline distT="0" distB="0" distL="0" distR="0" wp14:anchorId="18BAAA3E" wp14:editId="4C21BBF4">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B85F99" w:rsidRPr="00811EF1" w:rsidRDefault="00B85F99" w:rsidP="00811EF1">
                            <w:pPr>
                              <w:pStyle w:val="Hdisclaimer"/>
                            </w:pPr>
                            <w:r>
                              <w:t>Služba za pomoč uporabnikom pri vrednotenju je odgovorna za vrednotenje v okviru Evropske mreže za razvoj podeželja (EMRP), pri čemer zagotavlja smernice za vrednotenje programov razvoja podeželja in politik, za katere je pristojna in jih vodi enota C.4 „Spremljanje in vrednotenje“ Generalnega direktorata Evropske komisije (EK) za kmetijstvo in razvoj podeželja (GD AGRI). Da bi se izboljšalo vrednotenje politike razvoja podeželja EU, služba za pomoč uporabnikom pri vrednotenju vsem deležnikom pri vrednotenju, zlasti GD AGRI, nacionalnim organom, organom upravljanja in izvajalcem vrednotenja programov razvoja podeželja, pomaga z razvijanjem in razširjanjem ustreznih metodologij in orodij; zbiranjem in izmenjavo dobrih praks; krepitvijo zmogljivosti; ter komuniciranjem s člani mreže o temah, povezanih z vrednotenjem.</w:t>
                            </w:r>
                          </w:p>
                          <w:p w:rsidR="00B85F99" w:rsidRPr="00811EF1" w:rsidRDefault="00B85F99" w:rsidP="00811EF1">
                            <w:pPr>
                              <w:pStyle w:val="Hdisclaimer"/>
                            </w:pPr>
                            <w:r>
                              <w:t>Dodatne informacije o dejavnostih Evropske službe za pomoč uporabnikom pri vrednotenju razvoja podeželja so prek strežnika Europa na voljo na spletu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29D70" id="Text Box 7" o:spid="_x0000_s1027" type="#_x0000_t202" style="position:absolute;left:0;text-align:left;margin-left:-33.55pt;margin-top:322.45pt;width:518.4pt;height:406.4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WnGwIAACEEAAAOAAAAZHJzL2Uyb0RvYy54bWysU9uO2yAQfa/Uf0C8N46zSTax4qy2WaWq&#10;tL1Iu/0AjLGNihkKJHb69R0gm03bt6p+QJ4LZ2bOGTZ3Y6/IUVgnQZc0n0wpEZpDLXVb0m/P+3cr&#10;SpxnumYKtCjpSTh6t337ZjOYQsygA1ULSxBEu2IwJe28N0WWOd6JnrkJGKEx2IDtmUfTtllt2YDo&#10;vcpm0+kyG8DWxgIXzqH3IQXpNuI3jeD+S9M44YkqKfbm42njWYUz225Y0VpmOsnPbbB/6KJnUmPR&#10;C9QD84wcrPwLqpfcgoPGTzj0GTSN5CLOgNPk0z+meeqYEXEWJMeZC03u/8Hyz8evlsi6pOsblEqz&#10;HkV6FqMn72Ekt4GfwbgC054MJvoR3ahznNWZR+DfHdGw65huxb21MHSC1dhfHm5mV1cTjgsg1fAJ&#10;aizDDh4i0NjYPpCHdBBER51OF21CKxydy8XqZrnCEMfYIl/m63wRa7Di5bqxzn8Q0JPwU1KL4kd4&#10;dnx0PrTDipeUUM2BkvVeKhUN21Y7ZcmR4aLs45fuKtOx5I3LghgupUa83zCUDkgaAmYqlzw4wrmB&#10;wEegIJHhx2qM1EeyQqyC+oQEWUh7iu8KfzqwPykZcEdL6n4cmBWUqI8aSV7n83lY6mjMF7czNOx1&#10;pLqOMM0RqqSekvS78+khHIyVbYeVkqwa7lGYRkbKXrs6y4l7GCc/v5mw6Nd2zHp92dtfAAAA//8D&#10;AFBLAwQUAAYACAAAACEAC2/AZuIAAAAMAQAADwAAAGRycy9kb3ducmV2LnhtbEyPTUvDQBCG74L/&#10;YRnBi7SblpgvsylS9CBYwdjeN8mYpGZnQ3bbxn/veNLj8D687zP5ZjaDOOPkeksKVssABFJtm55a&#10;BfuP50UCwnlNjR4soYJvdLAprq9ynTX2Qu94Ln0ruIRcphV03o+ZlK7u0Gi3tCMSZ592MtrzObWy&#10;mfSFy80g10EQSaN74oVOj7jtsP4qT4Z3n+ZkPFSv2+NLeVcd12/U7xJS6vZmfnwA4XH2fzD86rM6&#10;FOxU2RM1TgwKFlG8YlRBFIYpCCbSKI1BVIyG93ECssjl/yeKHwAAAP//AwBQSwECLQAUAAYACAAA&#10;ACEAtoM4kv4AAADhAQAAEwAAAAAAAAAAAAAAAAAAAAAAW0NvbnRlbnRfVHlwZXNdLnhtbFBLAQIt&#10;ABQABgAIAAAAIQA4/SH/1gAAAJQBAAALAAAAAAAAAAAAAAAAAC8BAABfcmVscy8ucmVsc1BLAQIt&#10;ABQABgAIAAAAIQCvUbWnGwIAACEEAAAOAAAAAAAAAAAAAAAAAC4CAABkcnMvZTJvRG9jLnhtbFBL&#10;AQItABQABgAIAAAAIQALb8Bm4gAAAAwBAAAPAAAAAAAAAAAAAAAAAHUEAABkcnMvZG93bnJldi54&#10;bWxQSwUGAAAAAAQABADzAAAAhAUAAAAA&#10;" stroked="f">
                <v:fill opacity="0"/>
                <v:textbox>
                  <w:txbxContent>
                    <w:p w:rsidR="00B85F99" w:rsidRPr="00811EF1" w:rsidRDefault="00B85F99" w:rsidP="00811EF1">
                      <w:pPr>
                        <w:pStyle w:val="Hdisclaimer"/>
                      </w:pPr>
                      <w:r>
                        <w:t>Obvestilo o avtorskih pravicah</w:t>
                      </w:r>
                    </w:p>
                    <w:p w:rsidR="00B85F99" w:rsidRPr="00811EF1" w:rsidRDefault="00B85F99" w:rsidP="00811EF1">
                      <w:pPr>
                        <w:pStyle w:val="Hdisclaimer"/>
                      </w:pPr>
                      <w:r>
                        <w:t>© Evropska unija, 2018</w:t>
                      </w:r>
                    </w:p>
                    <w:p w:rsidR="00B85F99" w:rsidRPr="00811EF1" w:rsidRDefault="00B85F99" w:rsidP="00811EF1">
                      <w:pPr>
                        <w:pStyle w:val="Hdisclaimer"/>
                      </w:pPr>
                      <w:r>
                        <w:t>Razmnoževanje je dovoljeno z navedbo vira.</w:t>
                      </w:r>
                    </w:p>
                    <w:p w:rsidR="00B85F99" w:rsidRPr="00811EF1" w:rsidRDefault="00B85F99" w:rsidP="00811EF1">
                      <w:pPr>
                        <w:pStyle w:val="Hdisclaimer"/>
                      </w:pPr>
                      <w:r>
                        <w:t xml:space="preserve">Priporočeno citiranje: </w:t>
                      </w:r>
                    </w:p>
                    <w:p w:rsidR="00B85F99" w:rsidRDefault="00B85F99" w:rsidP="00435F02">
                      <w:pPr>
                        <w:pStyle w:val="Hdisclaimer"/>
                      </w:pPr>
                      <w:r>
                        <w:t xml:space="preserve">EVROPSKA KOMISIJA – Generalni direktorat za kmetijstvo in razvoj </w:t>
                      </w:r>
                      <w:r>
                        <w:t xml:space="preserve">podeželja – Enota C.4 (2018): Smernice. Presoja dosežkov in vplivov programov razvoja podeželja v letu 2019 Bruselj, avgust 2018. </w:t>
                      </w:r>
                    </w:p>
                    <w:p w:rsidR="00B85F99" w:rsidRPr="00811EF1" w:rsidRDefault="00B85F99" w:rsidP="00811EF1">
                      <w:pPr>
                        <w:pStyle w:val="Hdisclaimer"/>
                      </w:pPr>
                      <w:r>
                        <w:t>Izjava o omejitvi odgovornosti:</w:t>
                      </w:r>
                    </w:p>
                    <w:p w:rsidR="00B85F99" w:rsidRPr="00811EF1" w:rsidRDefault="00B85F99" w:rsidP="00811EF1">
                      <w:pPr>
                        <w:pStyle w:val="Hdisclaimer"/>
                      </w:pPr>
                      <w:r>
                        <w:t>Smernice izražajo navedbe in stališča avtorjev in ne nujno tudi uradnega stališča Komisije. Komisija ne jamči za točnost podatkov, vključenih v te smernice. Niti Evropska komisija niti osebe, ki delujejo v njenem imenu, niso odgovorne za uporabo podatkov iz teh smernic.</w:t>
                      </w:r>
                    </w:p>
                    <w:p w:rsidR="00B85F99" w:rsidRPr="00811EF1" w:rsidRDefault="00B85F99" w:rsidP="005B24FC">
                      <w:pPr>
                        <w:pStyle w:val="Hdisclaimer"/>
                        <w:tabs>
                          <w:tab w:val="right" w:pos="10065"/>
                        </w:tabs>
                      </w:pPr>
                      <w:r>
                        <w:rPr>
                          <w:noProof/>
                          <w:color w:val="auto"/>
                          <w:lang w:bidi="ar-SA"/>
                        </w:rPr>
                        <w:drawing>
                          <wp:inline distT="0" distB="0" distL="0" distR="0" wp14:anchorId="6C00EE35" wp14:editId="7ABF5206">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bidi="ar-SA"/>
                        </w:rPr>
                        <w:drawing>
                          <wp:inline distT="0" distB="0" distL="0" distR="0" wp14:anchorId="18BAAA3E" wp14:editId="4C21BBF4">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B85F99" w:rsidRPr="00811EF1" w:rsidRDefault="00B85F99" w:rsidP="00811EF1">
                      <w:pPr>
                        <w:pStyle w:val="Hdisclaimer"/>
                      </w:pPr>
                      <w:r>
                        <w:t>Služba za pomoč uporabnikom pri vrednotenju je odgovorna za vrednotenje v okviru Evropske mreže za razvoj podeželja (EMRP), pri čemer zagotavlja smernice za vrednotenje programov razvoja podeželja in politik, za katere je pristojna in jih vodi enota C.4 „Spremljanje in vrednotenje“ Generalnega direktorata Evropske komisije (EK) za kmetijstvo in razvoj podeželja (GD AGRI). Da bi se izboljšalo vrednotenje politike razvoja podeželja EU, služba za pomoč uporabnikom pri vrednotenju vsem deležnikom pri vrednotenju, zlasti GD AGRI, nacionalnim organom, organom upravljanja in izvajalcem vrednotenja programov razvoja podeželja, pomaga z razvijanjem in razširjanjem ustreznih metodologij in orodij; zbiranjem in izmenjavo dobrih praks; krepitvijo zmogljivosti; ter komuniciranjem s člani mreže o temah, povezanih z vrednotenjem.</w:t>
                      </w:r>
                    </w:p>
                    <w:p w:rsidR="00B85F99" w:rsidRPr="00811EF1" w:rsidRDefault="00B85F99" w:rsidP="00811EF1">
                      <w:pPr>
                        <w:pStyle w:val="Hdisclaimer"/>
                      </w:pPr>
                      <w:r>
                        <w:t>Dodatne informacije o dejavnostih Evropske službe za pomoč uporabnikom pri vrednotenju razvoja podeželja so prek strežnika Europa na voljo na spletu (http://enrd.ec.europa.eu).</w:t>
                      </w:r>
                    </w:p>
                  </w:txbxContent>
                </v:textbox>
                <w10:wrap anchorx="margin"/>
              </v:shape>
            </w:pict>
          </mc:Fallback>
        </mc:AlternateContent>
      </w:r>
      <w:r>
        <w:br w:type="page"/>
      </w:r>
    </w:p>
    <w:p w:rsidR="00016061" w:rsidRPr="00571D58" w:rsidRDefault="00016061" w:rsidP="007C6797">
      <w:pPr>
        <w:pStyle w:val="HStandard"/>
      </w:pPr>
    </w:p>
    <w:p w:rsidR="00016061" w:rsidRPr="00571D58" w:rsidRDefault="00016061" w:rsidP="007C6797">
      <w:pPr>
        <w:pStyle w:val="HStandard"/>
      </w:pPr>
    </w:p>
    <w:p w:rsidR="00016061" w:rsidRPr="00571D58" w:rsidRDefault="00016061" w:rsidP="007C6797">
      <w:pPr>
        <w:pStyle w:val="HStandard"/>
      </w:pPr>
    </w:p>
    <w:p w:rsidR="00016061" w:rsidRPr="00571D58" w:rsidRDefault="000B213F" w:rsidP="007C6797">
      <w:pPr>
        <w:pStyle w:val="HStandard"/>
      </w:pPr>
      <w:r>
        <w:rPr>
          <w:noProof/>
          <w:lang w:bidi="ar-SA"/>
        </w:rPr>
        <mc:AlternateContent>
          <mc:Choice Requires="wps">
            <w:drawing>
              <wp:anchor distT="0" distB="0" distL="114300" distR="114300" simplePos="0" relativeHeight="251665920" behindDoc="1" locked="0" layoutInCell="1" allowOverlap="1" wp14:anchorId="15F0B7C9" wp14:editId="4EC757E9">
                <wp:simplePos x="0" y="0"/>
                <wp:positionH relativeFrom="page">
                  <wp:posOffset>2204720</wp:posOffset>
                </wp:positionH>
                <wp:positionV relativeFrom="page">
                  <wp:posOffset>5175250</wp:posOffset>
                </wp:positionV>
                <wp:extent cx="4958080" cy="3855720"/>
                <wp:effectExtent l="0" t="0" r="13970" b="11430"/>
                <wp:wrapTight wrapText="bothSides">
                  <wp:wrapPolygon edited="0">
                    <wp:start x="0" y="0"/>
                    <wp:lineTo x="0" y="21557"/>
                    <wp:lineTo x="21578" y="21557"/>
                    <wp:lineTo x="21578" y="0"/>
                    <wp:lineTo x="0" y="0"/>
                  </wp:wrapPolygon>
                </wp:wrapTight>
                <wp:docPr id="9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F99" w:rsidRPr="00F15219" w:rsidRDefault="00B85F99" w:rsidP="00E76949">
                            <w:pPr>
                              <w:pStyle w:val="HTitle1"/>
                            </w:pPr>
                            <w:r>
                              <w:t>Smernice</w:t>
                            </w:r>
                          </w:p>
                          <w:p w:rsidR="00B85F99" w:rsidRPr="00F15219" w:rsidRDefault="00B85F99" w:rsidP="00BE49CF">
                            <w:pPr>
                              <w:pStyle w:val="HTitle2"/>
                            </w:pPr>
                            <w:r>
                              <w:t>PRESOJA DOSEŽKOV IN VPLIVOV PROGRAMOV RAZVOJA PODEŽELJA V LETU 2019</w:t>
                            </w:r>
                          </w:p>
                          <w:p w:rsidR="00B85F99" w:rsidRPr="00F15219" w:rsidRDefault="00B85F99" w:rsidP="00196DF6">
                            <w:pPr>
                              <w:pStyle w:val="HTitle2"/>
                            </w:pPr>
                          </w:p>
                          <w:p w:rsidR="00B85F99" w:rsidRPr="00D46054" w:rsidRDefault="00B85F99" w:rsidP="00BE49CF">
                            <w:pPr>
                              <w:pStyle w:val="HTitle3"/>
                              <w:rPr>
                                <w:color w:val="auto"/>
                              </w:rPr>
                            </w:pPr>
                            <w:r>
                              <w:rPr>
                                <w:color w:val="auto"/>
                              </w:rPr>
                              <w:t>Avgust 2018</w:t>
                            </w:r>
                          </w:p>
                          <w:p w:rsidR="00B85F99" w:rsidRPr="00D46054" w:rsidRDefault="00B85F99" w:rsidP="00196DF6">
                            <w:pPr>
                              <w:pStyle w:val="HTitle3"/>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0B7C9" id="Text Box 16" o:spid="_x0000_s1028" type="#_x0000_t202" style="position:absolute;left:0;text-align:left;margin-left:173.6pt;margin-top:407.5pt;width:390.4pt;height:303.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82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8slRpx00KQHOmp0K0bkL0yBhl6lYHffg6Ue4R4abZNV/Z0ovyvExbohfEdvpBRDQ0kFAfrmpfvs&#10;6YSjDMh2+CQq8EP2WligsZadqR7UAwE6NOrx1BwTSwmXYRLFXgyqEnSXcRQtA9s+l6Tz814q/YGK&#10;DhkhwxK6b+HJ4U5pEw5JZxPjjYuCta1lQMtfXIDhdAPO4anRmTBsQ58SL9nEmzh0wmCxcUIvz52b&#10;Yh06i8JfRvllvl7n/i/j1w/ThlUV5cbNTC4//LPmHWk+0eJELyVaVhk4E5KSu+26lehAgNyF/WzR&#10;QXM2c1+GYYsAubxKyQ9C7zZInGIRL52wCCMnWXqx4/nJbbLwwiTMi5cp3TFO/z0lNADvoiCa2HQO&#10;+lVunv3e5kbSjmlYHy3rMhyfjEhqOLjhlW2tJqyd5GelMOGfSwHtnhttGWtIOtFVj9vRTkcwD8JW&#10;VI9AYSmAYEBGWH0gNEL+xGiANZJh9WNPJMWo/chhDMzOmQU5C9tZILyEpxnWGE3iWk+7ad9LtmsA&#10;eRo0Lm5gVGpmSWxmaoriOGCwGmwuxzVmds/zf2t1Xrar3wAAAP//AwBQSwMEFAAGAAgAAAAhAHnP&#10;tdThAAAADQEAAA8AAABkcnMvZG93bnJldi54bWxMj8FOwzAQRO9I/IO1SNyoE1NKCHGqCsEJCTUN&#10;B45O7CZW43WI3Tb8PdsT3Ga0T7MzxXp2AzuZKViPEtJFAsxg67XFTsJn/XaXAQtRoVaDRyPhxwRY&#10;l9dXhcq1P2NlTrvYMQrBkCsJfYxjznloe+NUWPjRIN32fnIqkp06rid1pnA3cJEkK+6URfrQq9G8&#10;9KY97I5OwuYLq1f7/dFsq31l6/opwffVQcrbm3nzDCyaOf7BcKlP1aGkTo0/og5skHC/fBSESsjS&#10;Bxp1IVKRkWpILYUQwMuC/19R/gIAAP//AwBQSwECLQAUAAYACAAAACEAtoM4kv4AAADhAQAAEwAA&#10;AAAAAAAAAAAAAAAAAAAAW0NvbnRlbnRfVHlwZXNdLnhtbFBLAQItABQABgAIAAAAIQA4/SH/1gAA&#10;AJQBAAALAAAAAAAAAAAAAAAAAC8BAABfcmVscy8ucmVsc1BLAQItABQABgAIAAAAIQAzOS82tQIA&#10;ALQFAAAOAAAAAAAAAAAAAAAAAC4CAABkcnMvZTJvRG9jLnhtbFBLAQItABQABgAIAAAAIQB5z7XU&#10;4QAAAA0BAAAPAAAAAAAAAAAAAAAAAA8FAABkcnMvZG93bnJldi54bWxQSwUGAAAAAAQABADzAAAA&#10;HQYAAAAA&#10;" filled="f" stroked="f">
                <v:textbox inset="0,0,0,0">
                  <w:txbxContent>
                    <w:p w:rsidR="00B85F99" w:rsidRPr="00F15219" w:rsidRDefault="00B85F99" w:rsidP="00E76949">
                      <w:pPr>
                        <w:pStyle w:val="HTitle1"/>
                      </w:pPr>
                      <w:r>
                        <w:t>Smernice</w:t>
                      </w:r>
                    </w:p>
                    <w:p w:rsidR="00B85F99" w:rsidRPr="00F15219" w:rsidRDefault="00B85F99" w:rsidP="00BE49CF">
                      <w:pPr>
                        <w:pStyle w:val="HTitle2"/>
                      </w:pPr>
                      <w:r>
                        <w:t>PRESOJA DOSEŽKOV IN VPLIVOV PROGRAMOV RAZVOJA PODEŽELJA V LETU 2019</w:t>
                      </w:r>
                    </w:p>
                    <w:p w:rsidR="00B85F99" w:rsidRPr="00F15219" w:rsidRDefault="00B85F99" w:rsidP="00196DF6">
                      <w:pPr>
                        <w:pStyle w:val="HTitle2"/>
                      </w:pPr>
                    </w:p>
                    <w:p w:rsidR="00B85F99" w:rsidRPr="00D46054" w:rsidRDefault="00B85F99" w:rsidP="00BE49CF">
                      <w:pPr>
                        <w:pStyle w:val="HTitle3"/>
                        <w:rPr>
                          <w:color w:val="auto"/>
                        </w:rPr>
                      </w:pPr>
                      <w:r>
                        <w:rPr>
                          <w:color w:val="auto"/>
                        </w:rPr>
                        <w:t>Avgust 2018</w:t>
                      </w:r>
                    </w:p>
                    <w:p w:rsidR="00B85F99" w:rsidRPr="00D46054" w:rsidRDefault="00B85F99" w:rsidP="00196DF6">
                      <w:pPr>
                        <w:pStyle w:val="HTitle3"/>
                        <w:rPr>
                          <w:color w:val="auto"/>
                        </w:rPr>
                      </w:pPr>
                    </w:p>
                  </w:txbxContent>
                </v:textbox>
                <w10:wrap type="tight" anchorx="page" anchory="page"/>
              </v:shape>
            </w:pict>
          </mc:Fallback>
        </mc:AlternateContent>
      </w:r>
    </w:p>
    <w:p w:rsidR="00016061" w:rsidRPr="00571D58" w:rsidRDefault="00016061" w:rsidP="007C6797">
      <w:pPr>
        <w:pStyle w:val="HStandard"/>
        <w:sectPr w:rsidR="00016061" w:rsidRPr="00571D58" w:rsidSect="00FA7E7B">
          <w:footerReference w:type="first" r:id="rId11"/>
          <w:pgSz w:w="11906" w:h="16838" w:code="9"/>
          <w:pgMar w:top="1440" w:right="1440" w:bottom="1134" w:left="1440" w:header="284" w:footer="709" w:gutter="0"/>
          <w:cols w:space="708"/>
          <w:titlePg/>
          <w:docGrid w:linePitch="360"/>
        </w:sectPr>
      </w:pPr>
    </w:p>
    <w:p w:rsidR="008B6E5C" w:rsidRPr="00571D58" w:rsidRDefault="008B6E5C">
      <w:pPr>
        <w:spacing w:before="0" w:after="0" w:line="240" w:lineRule="auto"/>
        <w:jc w:val="left"/>
        <w:rPr>
          <w:rFonts w:cs="Arial"/>
          <w:b/>
          <w:bCs/>
          <w:caps/>
          <w:color w:val="F07E31" w:themeColor="accent1"/>
          <w:kern w:val="32"/>
          <w:sz w:val="20"/>
          <w:szCs w:val="32"/>
        </w:rPr>
      </w:pPr>
      <w:r>
        <w:lastRenderedPageBreak/>
        <w:br w:type="page"/>
      </w:r>
    </w:p>
    <w:p w:rsidR="000B62C2" w:rsidRPr="00571D58" w:rsidRDefault="000B62C2" w:rsidP="000B62C2">
      <w:pPr>
        <w:pStyle w:val="HContent"/>
      </w:pPr>
      <w:r>
        <w:lastRenderedPageBreak/>
        <w:t>Vsebina</w:t>
      </w:r>
    </w:p>
    <w:p w:rsidR="00FB5A40" w:rsidRDefault="00FB5A40" w:rsidP="00FB5A40">
      <w:r>
        <w:t>Zahvala</w:t>
      </w:r>
      <w:r>
        <w:tab/>
        <w:t>1</w:t>
      </w:r>
    </w:p>
    <w:p w:rsidR="00FB5A40" w:rsidRDefault="00FB5A40" w:rsidP="00FB5A40">
      <w:r>
        <w:t>UVOD</w:t>
      </w:r>
      <w:r>
        <w:tab/>
        <w:t>2</w:t>
      </w:r>
    </w:p>
    <w:p w:rsidR="00FB5A40" w:rsidRDefault="00FB5A40" w:rsidP="00FB5A40">
      <w:r>
        <w:t>1</w:t>
      </w:r>
      <w:r>
        <w:tab/>
        <w:t xml:space="preserve"> Kaj mora vsebovati poročanje o vrednotenju v letnem poročilu o izvajanju, predloženem leta 2019? (Del I)</w:t>
      </w:r>
      <w:r>
        <w:tab/>
        <w:t>3</w:t>
      </w:r>
    </w:p>
    <w:p w:rsidR="00FB5A40" w:rsidRDefault="00FB5A40" w:rsidP="00FB5A40">
      <w:r>
        <w:t>1.1</w:t>
      </w:r>
      <w:r>
        <w:tab/>
        <w:t>Pravni okvir in glavni cilj vrednotenja v letu 2019</w:t>
      </w:r>
      <w:r>
        <w:tab/>
        <w:t>3</w:t>
      </w:r>
    </w:p>
    <w:p w:rsidR="00FB5A40" w:rsidRDefault="00FB5A40" w:rsidP="00FB5A40">
      <w:r>
        <w:t>1.2</w:t>
      </w:r>
      <w:r>
        <w:tab/>
        <w:t>Kako v letu 2019 poročati o skupnih vprašanjih za vrednotenje?</w:t>
      </w:r>
      <w:r>
        <w:tab/>
        <w:t>6</w:t>
      </w:r>
    </w:p>
    <w:p w:rsidR="00FB5A40" w:rsidRDefault="00FB5A40" w:rsidP="00FB5A40">
      <w:r>
        <w:t>1.3</w:t>
      </w:r>
      <w:r>
        <w:tab/>
        <w:t>Priprave na letno poročilo o izvajanju v letu 2019</w:t>
      </w:r>
      <w:r>
        <w:tab/>
        <w:t>8</w:t>
      </w:r>
    </w:p>
    <w:p w:rsidR="00FB5A40" w:rsidRDefault="00FB5A40" w:rsidP="00FB5A40">
      <w:r>
        <w:t>2</w:t>
      </w:r>
      <w:r>
        <w:tab/>
        <w:t>Pristopi k presoji vplivov programov razvoja podeželja v letu 2019 (DEL II)</w:t>
      </w:r>
      <w:r>
        <w:tab/>
        <w:t>12</w:t>
      </w:r>
    </w:p>
    <w:p w:rsidR="00FB5A40" w:rsidRDefault="00FB5A40" w:rsidP="00FB5A40">
      <w:r>
        <w:t>2.1</w:t>
      </w:r>
      <w:r>
        <w:tab/>
        <w:t>Izbira ustreznih pristopov k vrednotenju za presojo vplivov programov razvoja podeželja</w:t>
      </w:r>
      <w:r>
        <w:tab/>
        <w:t>12</w:t>
      </w:r>
    </w:p>
    <w:p w:rsidR="00FB5A40" w:rsidRDefault="00FB5A40" w:rsidP="00FB5A40">
      <w:r>
        <w:t>2.1.1</w:t>
      </w:r>
      <w:r>
        <w:tab/>
        <w:t>Kako je mogoče uporabiti logične modele za določitev, kateri pristopi k vrednotenju so ustrezni?</w:t>
      </w:r>
      <w:r>
        <w:tab/>
        <w:t>12</w:t>
      </w:r>
    </w:p>
    <w:p w:rsidR="00FB5A40" w:rsidRDefault="00FB5A40" w:rsidP="00FB5A40">
      <w:r>
        <w:t>2.1.2</w:t>
      </w:r>
      <w:r>
        <w:tab/>
        <w:t>Pregled priporočenih pristopov k vrednotenju za presojo kazalnikov vpliva SKP</w:t>
      </w:r>
      <w:r>
        <w:tab/>
        <w:t>23</w:t>
      </w:r>
    </w:p>
    <w:p w:rsidR="00016061" w:rsidRPr="001C6ACF" w:rsidRDefault="00542440" w:rsidP="000B62C2">
      <w:pPr>
        <w:pStyle w:val="HContent"/>
      </w:pPr>
      <w:r>
        <w:lastRenderedPageBreak/>
        <w:t xml:space="preserve">Preglednice in slike </w:t>
      </w:r>
    </w:p>
    <w:p w:rsidR="00FB5A40" w:rsidRDefault="00FB5A40" w:rsidP="00FB5A40">
      <w:r>
        <w:t>Preglednica 1.</w:t>
      </w:r>
      <w:r>
        <w:tab/>
        <w:t>Navodila za odgovarjanje na skupna vprašanja za vrednotenje v letnem poročilu o izvajanju v letu 2019</w:t>
      </w:r>
      <w:r>
        <w:tab/>
        <w:t>7</w:t>
      </w:r>
    </w:p>
    <w:p w:rsidR="00FB5A40" w:rsidRDefault="00FB5A40" w:rsidP="00FB5A40">
      <w:r>
        <w:t>Preglednica 2.</w:t>
      </w:r>
      <w:r>
        <w:tab/>
        <w:t>Kontrolni seznam priporočenih korakov za vrednotenje v letu 2019</w:t>
      </w:r>
      <w:r>
        <w:tab/>
        <w:t>9</w:t>
      </w:r>
    </w:p>
    <w:p w:rsidR="00FB5A40" w:rsidRDefault="00FB5A40" w:rsidP="00FB5A40">
      <w:r>
        <w:t>Preglednica 3.</w:t>
      </w:r>
      <w:r>
        <w:tab/>
        <w:t>Primeri priporočenih pristopov k vrednotenju za presojo kazalnikov vpliva SKP</w:t>
      </w:r>
      <w:r>
        <w:tab/>
        <w:t>24</w:t>
      </w:r>
    </w:p>
    <w:p w:rsidR="00FE491B" w:rsidRPr="00571D58" w:rsidRDefault="00FE491B" w:rsidP="00FE491B">
      <w:pPr>
        <w:pStyle w:val="HContent"/>
      </w:pPr>
      <w:r>
        <w:lastRenderedPageBreak/>
        <w:t>Seznam kratic</w:t>
      </w:r>
    </w:p>
    <w:p w:rsidR="001B782D" w:rsidRPr="00FB6C06" w:rsidRDefault="001B782D" w:rsidP="00FE491B">
      <w:pPr>
        <w:pStyle w:val="HStandard"/>
        <w:ind w:left="993" w:hanging="993"/>
      </w:pPr>
      <w:r>
        <w:t>AEI</w:t>
      </w:r>
      <w:r>
        <w:tab/>
      </w:r>
      <w:r>
        <w:tab/>
        <w:t>Kmetijsko-okoljski kazalniki</w:t>
      </w:r>
    </w:p>
    <w:p w:rsidR="001B782D" w:rsidRPr="007645B4" w:rsidRDefault="001B782D" w:rsidP="00FE491B">
      <w:pPr>
        <w:pStyle w:val="HStandard"/>
        <w:ind w:left="993" w:hanging="993"/>
      </w:pPr>
      <w:r>
        <w:t>AFI</w:t>
      </w:r>
      <w:r>
        <w:tab/>
      </w:r>
      <w:r>
        <w:tab/>
        <w:t>Faktorski dohodek kmetijstva</w:t>
      </w:r>
    </w:p>
    <w:p w:rsidR="001B782D" w:rsidRPr="001C6ACF" w:rsidRDefault="001B782D" w:rsidP="00FE491B">
      <w:pPr>
        <w:pStyle w:val="HStandard"/>
        <w:ind w:left="993" w:hanging="993"/>
      </w:pPr>
      <w:r>
        <w:t>AROPE</w:t>
      </w:r>
      <w:r>
        <w:tab/>
      </w:r>
      <w:r>
        <w:tab/>
        <w:t>Tveganje revščine ali socialne izključenosti</w:t>
      </w:r>
    </w:p>
    <w:p w:rsidR="001B782D" w:rsidRPr="001C6ACF" w:rsidRDefault="001B782D" w:rsidP="00FE491B">
      <w:pPr>
        <w:pStyle w:val="HStandard"/>
        <w:ind w:left="993" w:hanging="993"/>
      </w:pPr>
      <w:r>
        <w:t>ATT</w:t>
      </w:r>
      <w:r>
        <w:tab/>
      </w:r>
      <w:r>
        <w:tab/>
        <w:t>Povprečni učinki obravnave na obravnavane</w:t>
      </w:r>
    </w:p>
    <w:p w:rsidR="001B782D" w:rsidRPr="001C6ACF" w:rsidRDefault="001B782D" w:rsidP="00FE491B">
      <w:pPr>
        <w:pStyle w:val="HStandard"/>
        <w:ind w:left="993" w:hanging="993"/>
      </w:pPr>
      <w:r>
        <w:t>BDP</w:t>
      </w:r>
      <w:r>
        <w:tab/>
      </w:r>
      <w:r>
        <w:tab/>
        <w:t xml:space="preserve">Bruto domači proizvod </w:t>
      </w:r>
    </w:p>
    <w:p w:rsidR="001B782D" w:rsidRPr="001C6ACF" w:rsidRDefault="001B782D" w:rsidP="00FE491B">
      <w:pPr>
        <w:pStyle w:val="HStandard"/>
        <w:ind w:left="993" w:hanging="993"/>
      </w:pPr>
      <w:r>
        <w:t xml:space="preserve">CGE </w:t>
      </w:r>
      <w:r>
        <w:tab/>
      </w:r>
      <w:r>
        <w:tab/>
        <w:t>Izračunljivi model splošnega ravnovesja</w:t>
      </w:r>
    </w:p>
    <w:p w:rsidR="001B782D" w:rsidRPr="001C6ACF" w:rsidRDefault="001B782D" w:rsidP="00FE491B">
      <w:pPr>
        <w:pStyle w:val="HStandard"/>
        <w:ind w:left="993" w:hanging="993"/>
      </w:pPr>
      <w:r>
        <w:t>CK</w:t>
      </w:r>
      <w:r>
        <w:tab/>
      </w:r>
      <w:r>
        <w:tab/>
        <w:t>Ciljni kazalnik</w:t>
      </w:r>
    </w:p>
    <w:p w:rsidR="001B782D" w:rsidRPr="001C6ACF" w:rsidRDefault="001B782D" w:rsidP="00FE491B">
      <w:pPr>
        <w:pStyle w:val="HStandard"/>
        <w:ind w:left="993" w:hanging="993"/>
      </w:pPr>
      <w:r>
        <w:t>CLLD</w:t>
      </w:r>
      <w:r>
        <w:tab/>
      </w:r>
      <w:r>
        <w:tab/>
        <w:t>Lokalni razvoj, ki ga vodi skupnost</w:t>
      </w:r>
    </w:p>
    <w:p w:rsidR="001B782D" w:rsidRPr="001C6ACF" w:rsidRDefault="001B782D" w:rsidP="00FE491B">
      <w:pPr>
        <w:pStyle w:val="HStandard"/>
        <w:ind w:left="993" w:hanging="993"/>
      </w:pPr>
      <w:r>
        <w:t xml:space="preserve">CMES </w:t>
      </w:r>
      <w:r>
        <w:tab/>
      </w:r>
      <w:r>
        <w:tab/>
        <w:t>Skupni sistem spremljanja in vrednotenja</w:t>
      </w:r>
    </w:p>
    <w:p w:rsidR="001B782D" w:rsidRPr="001C6ACF" w:rsidRDefault="001B782D" w:rsidP="00FE491B">
      <w:pPr>
        <w:pStyle w:val="HStandard"/>
        <w:ind w:left="993" w:hanging="993"/>
      </w:pPr>
      <w:r>
        <w:t>CORINE</w:t>
      </w:r>
      <w:r>
        <w:tab/>
      </w:r>
      <w:r>
        <w:tab/>
        <w:t>Usklajevanje informacij o okolju</w:t>
      </w:r>
    </w:p>
    <w:p w:rsidR="001B782D" w:rsidRPr="001C6ACF" w:rsidRDefault="001B782D" w:rsidP="00FE491B">
      <w:pPr>
        <w:pStyle w:val="HStandard"/>
        <w:ind w:left="993" w:hanging="993"/>
      </w:pPr>
      <w:r>
        <w:t>DČ</w:t>
      </w:r>
      <w:r>
        <w:tab/>
      </w:r>
      <w:r>
        <w:tab/>
        <w:t>Država članica</w:t>
      </w:r>
    </w:p>
    <w:p w:rsidR="001B782D" w:rsidRPr="001C6ACF" w:rsidRDefault="001B782D" w:rsidP="00FE491B">
      <w:pPr>
        <w:pStyle w:val="HStandard"/>
        <w:ind w:left="993" w:hanging="993"/>
      </w:pPr>
      <w:r>
        <w:t>DD</w:t>
      </w:r>
      <w:r>
        <w:tab/>
      </w:r>
      <w:r>
        <w:tab/>
        <w:t>Delovni dokument</w:t>
      </w:r>
    </w:p>
    <w:p w:rsidR="001B782D" w:rsidRPr="001C6ACF" w:rsidRDefault="001B782D" w:rsidP="00FE491B">
      <w:pPr>
        <w:pStyle w:val="HStandard"/>
        <w:ind w:left="993" w:hanging="993"/>
      </w:pPr>
      <w:r>
        <w:t>DDE</w:t>
      </w:r>
      <w:r>
        <w:tab/>
      </w:r>
      <w:r>
        <w:tab/>
        <w:t xml:space="preserve">Družinska delovna enota </w:t>
      </w:r>
    </w:p>
    <w:p w:rsidR="001B782D" w:rsidRPr="001C6ACF" w:rsidRDefault="001B782D" w:rsidP="00FE491B">
      <w:pPr>
        <w:pStyle w:val="HStandard"/>
        <w:ind w:left="993" w:hanging="993"/>
      </w:pPr>
      <w:r>
        <w:t>DiD</w:t>
      </w:r>
      <w:r>
        <w:tab/>
      </w:r>
      <w:r>
        <w:tab/>
        <w:t>Razlika v razlikah</w:t>
      </w:r>
    </w:p>
    <w:p w:rsidR="001B782D" w:rsidRPr="001C6ACF" w:rsidRDefault="001B782D" w:rsidP="00FE491B">
      <w:pPr>
        <w:pStyle w:val="HStandard"/>
        <w:ind w:left="993" w:hanging="993"/>
      </w:pPr>
      <w:r>
        <w:t>DN</w:t>
      </w:r>
      <w:r>
        <w:tab/>
      </w:r>
      <w:r>
        <w:tab/>
        <w:t>Direktiva o nitratih</w:t>
      </w:r>
    </w:p>
    <w:p w:rsidR="001B782D" w:rsidRPr="001C6ACF" w:rsidRDefault="001B782D" w:rsidP="00FE491B">
      <w:pPr>
        <w:pStyle w:val="HStandard"/>
        <w:ind w:left="993" w:hanging="993"/>
      </w:pPr>
      <w:r>
        <w:t>EAP</w:t>
      </w:r>
      <w:r>
        <w:tab/>
      </w:r>
      <w:r>
        <w:tab/>
        <w:t>Okoljski akcijski program</w:t>
      </w:r>
    </w:p>
    <w:p w:rsidR="001B782D" w:rsidRPr="001C6ACF" w:rsidRDefault="001B782D" w:rsidP="00FE491B">
      <w:pPr>
        <w:pStyle w:val="HStandard"/>
        <w:ind w:left="993" w:hanging="993"/>
      </w:pPr>
      <w:r>
        <w:t>EDGAR</w:t>
      </w:r>
      <w:r>
        <w:tab/>
      </w:r>
      <w:r>
        <w:tab/>
        <w:t>Zbirka podatkov o emisijah za globalne raziskave ozračja</w:t>
      </w:r>
    </w:p>
    <w:p w:rsidR="001B782D" w:rsidRPr="001C6ACF" w:rsidRDefault="001B782D" w:rsidP="00FE491B">
      <w:pPr>
        <w:pStyle w:val="HStandard"/>
        <w:ind w:left="993" w:hanging="993"/>
      </w:pPr>
      <w:r>
        <w:t>EIP</w:t>
      </w:r>
      <w:r>
        <w:tab/>
      </w:r>
      <w:r>
        <w:tab/>
        <w:t>Evropsko partnerstvo za inovacije</w:t>
      </w:r>
    </w:p>
    <w:p w:rsidR="001B782D" w:rsidRPr="001C6ACF" w:rsidRDefault="001B782D" w:rsidP="00FE491B">
      <w:pPr>
        <w:pStyle w:val="HStandard"/>
        <w:ind w:left="993" w:hanging="993"/>
      </w:pPr>
      <w:r>
        <w:t>EKR</w:t>
      </w:r>
      <w:r>
        <w:tab/>
      </w:r>
      <w:r>
        <w:tab/>
        <w:t>Ekonomski kmetijski račun</w:t>
      </w:r>
    </w:p>
    <w:p w:rsidR="001B782D" w:rsidRPr="001C6ACF" w:rsidRDefault="001B782D" w:rsidP="00FE491B">
      <w:pPr>
        <w:pStyle w:val="HStandard"/>
        <w:ind w:left="993" w:hanging="993"/>
      </w:pPr>
      <w:r>
        <w:t>EKSRP</w:t>
      </w:r>
      <w:r>
        <w:tab/>
      </w:r>
      <w:r>
        <w:tab/>
        <w:t>Evropski kmetijski sklad za razvoj podeželja</w:t>
      </w:r>
    </w:p>
    <w:p w:rsidR="001B782D" w:rsidRPr="001C6ACF" w:rsidRDefault="001B782D" w:rsidP="00FE491B">
      <w:pPr>
        <w:pStyle w:val="HStandard"/>
        <w:ind w:left="993" w:hanging="993"/>
      </w:pPr>
      <w:r>
        <w:t>ESDAC</w:t>
      </w:r>
      <w:r>
        <w:tab/>
      </w:r>
      <w:r>
        <w:tab/>
        <w:t>Evropski center za podatke o tleh</w:t>
      </w:r>
    </w:p>
    <w:p w:rsidR="001B782D" w:rsidRPr="001C6ACF" w:rsidRDefault="001B782D" w:rsidP="00FE491B">
      <w:pPr>
        <w:pStyle w:val="HStandard"/>
        <w:ind w:left="993" w:hanging="993"/>
      </w:pPr>
      <w:r>
        <w:t>ESI</w:t>
      </w:r>
      <w:r>
        <w:tab/>
      </w:r>
      <w:r>
        <w:tab/>
        <w:t>Evropski strukturni in investicijski skladi</w:t>
      </w:r>
    </w:p>
    <w:p w:rsidR="001B782D" w:rsidRPr="001C6ACF" w:rsidRDefault="001B782D" w:rsidP="00FE491B">
      <w:pPr>
        <w:pStyle w:val="HStandard"/>
        <w:ind w:left="993" w:hanging="993"/>
      </w:pPr>
      <w:r>
        <w:t>EU</w:t>
      </w:r>
      <w:r>
        <w:tab/>
      </w:r>
      <w:r>
        <w:tab/>
        <w:t>Evropska unija</w:t>
      </w:r>
    </w:p>
    <w:p w:rsidR="001B782D" w:rsidRPr="001C6ACF" w:rsidRDefault="001B782D" w:rsidP="00FE491B">
      <w:pPr>
        <w:pStyle w:val="HStandard"/>
        <w:ind w:left="993" w:hanging="993"/>
      </w:pPr>
      <w:r>
        <w:t>EzV</w:t>
      </w:r>
      <w:r>
        <w:tab/>
      </w:r>
      <w:r>
        <w:tab/>
        <w:t>Enota za vrednotenje</w:t>
      </w:r>
    </w:p>
    <w:p w:rsidR="001B782D" w:rsidRPr="001C6ACF" w:rsidRDefault="001B782D" w:rsidP="00FE491B">
      <w:pPr>
        <w:pStyle w:val="HStandard"/>
        <w:ind w:left="993" w:hanging="993"/>
      </w:pPr>
      <w:r>
        <w:t>FADN</w:t>
      </w:r>
      <w:r>
        <w:tab/>
      </w:r>
      <w:r>
        <w:tab/>
        <w:t>Mreža za zbiranje računovodskih podatkov s kmetijskih gospodarstev</w:t>
      </w:r>
    </w:p>
    <w:p w:rsidR="001B782D" w:rsidRPr="001C6ACF" w:rsidRDefault="001B782D" w:rsidP="00FE491B">
      <w:pPr>
        <w:pStyle w:val="HStandard"/>
        <w:ind w:left="993" w:hanging="993"/>
      </w:pPr>
      <w:r>
        <w:t>GAEC</w:t>
      </w:r>
      <w:r>
        <w:tab/>
      </w:r>
      <w:r>
        <w:tab/>
        <w:t>Dobri kmetijski in okoljski pogoji</w:t>
      </w:r>
    </w:p>
    <w:p w:rsidR="001B782D" w:rsidRPr="001C6ACF" w:rsidRDefault="001B782D" w:rsidP="00FE491B">
      <w:pPr>
        <w:pStyle w:val="HStandard"/>
        <w:ind w:left="993" w:hanging="993"/>
      </w:pPr>
      <w:r>
        <w:t>GD AGRI</w:t>
      </w:r>
      <w:r>
        <w:tab/>
      </w:r>
      <w:r>
        <w:tab/>
        <w:t>Generalni direktorat za kmetijstvo in razvoj podeželja</w:t>
      </w:r>
    </w:p>
    <w:p w:rsidR="001B782D" w:rsidRPr="001C6ACF" w:rsidRDefault="001B782D" w:rsidP="00FE491B">
      <w:pPr>
        <w:pStyle w:val="HStandard"/>
        <w:ind w:left="993" w:hanging="993"/>
      </w:pPr>
      <w:r>
        <w:t>GERD</w:t>
      </w:r>
      <w:r>
        <w:tab/>
      </w:r>
      <w:r>
        <w:tab/>
        <w:t>Bruto domače naložbe v raziskave in razvoj</w:t>
      </w:r>
    </w:p>
    <w:p w:rsidR="001B782D" w:rsidRPr="001C6ACF" w:rsidRDefault="001B782D" w:rsidP="00FE491B">
      <w:pPr>
        <w:pStyle w:val="HStandard"/>
        <w:ind w:left="993" w:hanging="993"/>
      </w:pPr>
      <w:r>
        <w:t>GES</w:t>
      </w:r>
      <w:r>
        <w:tab/>
      </w:r>
      <w:r>
        <w:tab/>
        <w:t>Dobro ekološko stanje</w:t>
      </w:r>
    </w:p>
    <w:p w:rsidR="001B782D" w:rsidRPr="001C6ACF" w:rsidRDefault="001B782D" w:rsidP="00FE491B">
      <w:pPr>
        <w:pStyle w:val="HStandard"/>
        <w:ind w:left="993" w:hanging="993"/>
      </w:pPr>
      <w:r>
        <w:t>GIS</w:t>
      </w:r>
      <w:r>
        <w:tab/>
      </w:r>
      <w:r>
        <w:tab/>
        <w:t>Geografski informacijski sistem</w:t>
      </w:r>
    </w:p>
    <w:p w:rsidR="001B782D" w:rsidRPr="001C6ACF" w:rsidRDefault="001B782D" w:rsidP="00FE491B">
      <w:pPr>
        <w:pStyle w:val="HStandard"/>
        <w:ind w:left="993" w:hanging="993"/>
      </w:pPr>
      <w:r>
        <w:t>GNB</w:t>
      </w:r>
      <w:r>
        <w:tab/>
      </w:r>
      <w:r>
        <w:tab/>
        <w:t>Bruto bilanca hranil</w:t>
      </w:r>
    </w:p>
    <w:p w:rsidR="001B782D" w:rsidRPr="001C6ACF" w:rsidRDefault="001B782D" w:rsidP="00FE491B">
      <w:pPr>
        <w:pStyle w:val="HStandard"/>
        <w:ind w:left="993" w:hanging="993"/>
      </w:pPr>
      <w:r>
        <w:t>GPSM</w:t>
      </w:r>
      <w:r>
        <w:tab/>
      </w:r>
      <w:r>
        <w:tab/>
      </w:r>
      <w:r w:rsidR="00B85F99">
        <w:t>Posplošeno parjenje izidov nagn</w:t>
      </w:r>
      <w:r w:rsidR="00B007B8">
        <w:t>je</w:t>
      </w:r>
      <w:r w:rsidR="00B85F99">
        <w:t>nja</w:t>
      </w:r>
    </w:p>
    <w:p w:rsidR="001B782D" w:rsidRPr="001C6ACF" w:rsidRDefault="001B782D" w:rsidP="00FE491B">
      <w:pPr>
        <w:pStyle w:val="HStandard"/>
        <w:ind w:left="993" w:hanging="993"/>
      </w:pPr>
      <w:r>
        <w:t>GRIT</w:t>
      </w:r>
      <w:r>
        <w:tab/>
      </w:r>
      <w:r>
        <w:tab/>
        <w:t>Oblikovanje regionalnih input–output tabel</w:t>
      </w:r>
    </w:p>
    <w:p w:rsidR="001B782D" w:rsidRPr="001C6ACF" w:rsidRDefault="001B782D" w:rsidP="00FE491B">
      <w:pPr>
        <w:pStyle w:val="HStandard"/>
        <w:ind w:left="993" w:hanging="993"/>
      </w:pPr>
      <w:r>
        <w:t>GVŽ</w:t>
      </w:r>
      <w:r>
        <w:tab/>
      </w:r>
      <w:r>
        <w:tab/>
        <w:t>Glava velike živine</w:t>
      </w:r>
    </w:p>
    <w:p w:rsidR="001B782D" w:rsidRPr="001C6ACF" w:rsidRDefault="001B782D" w:rsidP="00FE491B">
      <w:pPr>
        <w:pStyle w:val="HStandard"/>
        <w:ind w:left="993" w:hanging="993"/>
      </w:pPr>
      <w:r>
        <w:lastRenderedPageBreak/>
        <w:t>HNV</w:t>
      </w:r>
      <w:r>
        <w:tab/>
      </w:r>
      <w:r>
        <w:tab/>
        <w:t>Kmetovanje z visoko naravno vrednostjo</w:t>
      </w:r>
    </w:p>
    <w:p w:rsidR="001B782D" w:rsidRPr="001C6ACF" w:rsidRDefault="001B782D" w:rsidP="00FE491B">
      <w:pPr>
        <w:pStyle w:val="HStandard"/>
        <w:ind w:left="993" w:hanging="993"/>
      </w:pPr>
      <w:r>
        <w:t>IAKS</w:t>
      </w:r>
      <w:r>
        <w:tab/>
      </w:r>
      <w:r>
        <w:tab/>
        <w:t>Integrirani administrativni in kontrolni sistem</w:t>
      </w:r>
    </w:p>
    <w:p w:rsidR="001B782D" w:rsidRPr="00482ABA" w:rsidRDefault="001B782D" w:rsidP="00FE491B">
      <w:pPr>
        <w:pStyle w:val="HStandard"/>
        <w:ind w:left="993" w:hanging="993"/>
      </w:pPr>
      <w:r>
        <w:t xml:space="preserve">IKT </w:t>
      </w:r>
      <w:r>
        <w:tab/>
      </w:r>
      <w:r>
        <w:tab/>
        <w:t>Informacijske in komunikacijske tehnologije</w:t>
      </w:r>
    </w:p>
    <w:p w:rsidR="001B782D" w:rsidRPr="00482ABA" w:rsidRDefault="001B782D" w:rsidP="00FE491B">
      <w:pPr>
        <w:pStyle w:val="HStandard"/>
        <w:ind w:left="993" w:hanging="993"/>
      </w:pPr>
      <w:r>
        <w:t>IL</w:t>
      </w:r>
      <w:r>
        <w:tab/>
      </w:r>
      <w:r>
        <w:tab/>
        <w:t>Intervencijska logika</w:t>
      </w:r>
    </w:p>
    <w:p w:rsidR="001B782D" w:rsidRPr="001C6ACF" w:rsidRDefault="001B782D" w:rsidP="00FE491B">
      <w:pPr>
        <w:pStyle w:val="HStandard"/>
        <w:ind w:left="993" w:hanging="993"/>
      </w:pPr>
      <w:r>
        <w:t>IO</w:t>
      </w:r>
      <w:r>
        <w:tab/>
      </w:r>
      <w:r>
        <w:tab/>
        <w:t>Input-output analiza</w:t>
      </w:r>
    </w:p>
    <w:p w:rsidR="001B782D" w:rsidRPr="001C6ACF" w:rsidRDefault="001B782D" w:rsidP="00FE491B">
      <w:pPr>
        <w:pStyle w:val="HStandard"/>
        <w:ind w:left="993" w:hanging="993"/>
      </w:pPr>
      <w:r>
        <w:t>IPKK</w:t>
      </w:r>
      <w:r>
        <w:tab/>
      </w:r>
      <w:r>
        <w:tab/>
        <w:t>Indeks ptic kmetijske krajine</w:t>
      </w:r>
    </w:p>
    <w:p w:rsidR="001B782D" w:rsidRPr="001C6ACF" w:rsidRDefault="001B782D" w:rsidP="00FE491B">
      <w:pPr>
        <w:pStyle w:val="HStandard"/>
        <w:ind w:left="993" w:hanging="993"/>
      </w:pPr>
      <w:r>
        <w:t>IPPC</w:t>
      </w:r>
      <w:r>
        <w:tab/>
      </w:r>
      <w:r>
        <w:tab/>
        <w:t>Celovito preprečevanje in nadzorovanje onesnaževanja</w:t>
      </w:r>
    </w:p>
    <w:p w:rsidR="001B782D" w:rsidRPr="00FB5A40" w:rsidRDefault="001B782D" w:rsidP="00FE491B">
      <w:pPr>
        <w:pStyle w:val="HStandard"/>
        <w:ind w:left="993" w:hanging="993"/>
      </w:pPr>
      <w:r>
        <w:t>IS</w:t>
      </w:r>
      <w:r>
        <w:tab/>
      </w:r>
      <w:r>
        <w:tab/>
        <w:t>Instrumentalne spremenljivke</w:t>
      </w:r>
    </w:p>
    <w:p w:rsidR="001B782D" w:rsidRPr="001C6ACF" w:rsidRDefault="001B782D" w:rsidP="00FE491B">
      <w:pPr>
        <w:pStyle w:val="HStandard"/>
        <w:ind w:left="993" w:hanging="993"/>
      </w:pPr>
      <w:r>
        <w:t>IV</w:t>
      </w:r>
      <w:r>
        <w:tab/>
      </w:r>
      <w:r>
        <w:tab/>
        <w:t>Izvajalec vrednotenja</w:t>
      </w:r>
    </w:p>
    <w:p w:rsidR="001B782D" w:rsidRPr="001C6ACF" w:rsidRDefault="001B782D" w:rsidP="00FE491B">
      <w:pPr>
        <w:pStyle w:val="HStandard"/>
        <w:ind w:left="993" w:hanging="993"/>
      </w:pPr>
      <w:r>
        <w:t>JRC</w:t>
      </w:r>
      <w:r>
        <w:tab/>
      </w:r>
      <w:r>
        <w:tab/>
        <w:t>Skupno raziskovalno središče</w:t>
      </w:r>
    </w:p>
    <w:p w:rsidR="001B782D" w:rsidRPr="001C6ACF" w:rsidRDefault="001B782D" w:rsidP="00FE491B">
      <w:pPr>
        <w:pStyle w:val="HStandard"/>
        <w:ind w:left="993" w:hanging="993"/>
      </w:pPr>
      <w:r>
        <w:t>KR</w:t>
      </w:r>
      <w:r>
        <w:tab/>
      </w:r>
      <w:r>
        <w:tab/>
        <w:t>Kazalniki rezultatov</w:t>
      </w:r>
    </w:p>
    <w:p w:rsidR="001B782D" w:rsidRPr="001C6ACF" w:rsidRDefault="001B782D" w:rsidP="00FE491B">
      <w:pPr>
        <w:pStyle w:val="HStandard"/>
        <w:ind w:left="993" w:hanging="993"/>
      </w:pPr>
      <w:r>
        <w:t>KV</w:t>
      </w:r>
      <w:r>
        <w:tab/>
      </w:r>
      <w:r>
        <w:tab/>
        <w:t>Kazalnik vpliva</w:t>
      </w:r>
    </w:p>
    <w:p w:rsidR="001B782D" w:rsidRPr="001C6ACF" w:rsidRDefault="001B782D" w:rsidP="00FE491B">
      <w:pPr>
        <w:pStyle w:val="HStandard"/>
        <w:ind w:left="993" w:hanging="993"/>
      </w:pPr>
      <w:r>
        <w:t>KZU</w:t>
      </w:r>
      <w:r>
        <w:tab/>
      </w:r>
      <w:r>
        <w:tab/>
        <w:t>Kmetijsko zemljišče v uporabi</w:t>
      </w:r>
    </w:p>
    <w:p w:rsidR="001B782D" w:rsidRPr="001C6ACF" w:rsidRDefault="001B782D" w:rsidP="00FE491B">
      <w:pPr>
        <w:pStyle w:val="HStandard"/>
        <w:ind w:left="993" w:hanging="993"/>
      </w:pPr>
      <w:r>
        <w:t>LAU</w:t>
      </w:r>
      <w:r>
        <w:tab/>
      </w:r>
      <w:r>
        <w:tab/>
        <w:t>Upravna enota za zemljišča</w:t>
      </w:r>
    </w:p>
    <w:p w:rsidR="001B782D" w:rsidRPr="001C6ACF" w:rsidRDefault="001B782D" w:rsidP="00FE491B">
      <w:pPr>
        <w:pStyle w:val="HStandard"/>
        <w:ind w:left="993" w:hanging="993"/>
      </w:pPr>
      <w:r>
        <w:t>LDU</w:t>
      </w:r>
      <w:r>
        <w:tab/>
      </w:r>
      <w:r>
        <w:tab/>
        <w:t>Letna delovna enota</w:t>
      </w:r>
    </w:p>
    <w:p w:rsidR="001B782D" w:rsidRPr="001C6ACF" w:rsidRDefault="001B782D" w:rsidP="00FE491B">
      <w:pPr>
        <w:pStyle w:val="HStandard"/>
        <w:ind w:left="993" w:hanging="993"/>
      </w:pPr>
      <w:r>
        <w:t>LPI</w:t>
      </w:r>
      <w:r>
        <w:tab/>
      </w:r>
      <w:r>
        <w:tab/>
        <w:t>Letno poročilo o izvajanju</w:t>
      </w:r>
    </w:p>
    <w:p w:rsidR="001B782D" w:rsidRPr="001C6ACF" w:rsidRDefault="001B782D" w:rsidP="00FE491B">
      <w:pPr>
        <w:pStyle w:val="HStandard"/>
        <w:ind w:left="993" w:hanging="993"/>
      </w:pPr>
      <w:r>
        <w:t>LPIS</w:t>
      </w:r>
      <w:r>
        <w:tab/>
      </w:r>
      <w:r>
        <w:tab/>
        <w:t>Identifikacijski sistem za zemljišča</w:t>
      </w:r>
    </w:p>
    <w:p w:rsidR="001B782D" w:rsidRPr="001C6ACF" w:rsidRDefault="001B782D" w:rsidP="00FE491B">
      <w:pPr>
        <w:pStyle w:val="HStandard"/>
        <w:ind w:left="993" w:hanging="993"/>
      </w:pPr>
      <w:r>
        <w:t>LUCAS</w:t>
      </w:r>
      <w:r>
        <w:tab/>
      </w:r>
      <w:r>
        <w:tab/>
        <w:t>Statistično raziskovanje rabe in pokrovnosti tal</w:t>
      </w:r>
    </w:p>
    <w:p w:rsidR="001B782D" w:rsidRPr="001C6ACF" w:rsidRDefault="001B782D" w:rsidP="00FE491B">
      <w:pPr>
        <w:pStyle w:val="HStandard"/>
        <w:ind w:left="993" w:hanging="993"/>
      </w:pPr>
      <w:r>
        <w:t>LULUCF</w:t>
      </w:r>
      <w:r>
        <w:tab/>
      </w:r>
      <w:r>
        <w:tab/>
        <w:t>Raba zemljišč, sprememba rabe zemljišč in gozdarstvo</w:t>
      </w:r>
    </w:p>
    <w:p w:rsidR="001B782D" w:rsidRPr="001C6ACF" w:rsidRDefault="001B782D" w:rsidP="00FE491B">
      <w:pPr>
        <w:pStyle w:val="HStandard"/>
        <w:ind w:left="993" w:hanging="993"/>
      </w:pPr>
      <w:r>
        <w:t>MAPP</w:t>
      </w:r>
      <w:r>
        <w:tab/>
      </w:r>
      <w:r>
        <w:tab/>
        <w:t>Metoda za presojo vpliva programov in projekta</w:t>
      </w:r>
    </w:p>
    <w:p w:rsidR="001B782D" w:rsidRPr="001C6ACF" w:rsidRDefault="001B782D" w:rsidP="00FE491B">
      <w:pPr>
        <w:pStyle w:val="HStandard"/>
        <w:ind w:left="993" w:hanging="993"/>
      </w:pPr>
      <w:r>
        <w:t>MDR</w:t>
      </w:r>
      <w:r>
        <w:tab/>
      </w:r>
      <w:r>
        <w:tab/>
        <w:t>Matrika družbenih računov</w:t>
      </w:r>
    </w:p>
    <w:p w:rsidR="001B782D" w:rsidRPr="001C6ACF" w:rsidRDefault="001B782D" w:rsidP="00FE491B">
      <w:pPr>
        <w:pStyle w:val="HStandard"/>
        <w:ind w:left="993" w:hanging="993"/>
      </w:pPr>
      <w:r>
        <w:t>NO</w:t>
      </w:r>
      <w:r>
        <w:tab/>
      </w:r>
      <w:r>
        <w:tab/>
        <w:t>Nadzorni odbor</w:t>
      </w:r>
    </w:p>
    <w:p w:rsidR="001B782D" w:rsidRPr="001C6ACF" w:rsidRDefault="001B782D" w:rsidP="00FE491B">
      <w:pPr>
        <w:pStyle w:val="HStandard"/>
        <w:ind w:left="993" w:hanging="993"/>
      </w:pPr>
      <w:r>
        <w:t>NRN</w:t>
      </w:r>
      <w:r>
        <w:tab/>
      </w:r>
      <w:r>
        <w:tab/>
        <w:t>Nacionalna mreža za podeželje</w:t>
      </w:r>
    </w:p>
    <w:p w:rsidR="001B782D" w:rsidRPr="001C6ACF" w:rsidRDefault="001B782D" w:rsidP="00FE491B">
      <w:pPr>
        <w:pStyle w:val="HStandard"/>
        <w:ind w:left="993" w:hanging="993"/>
      </w:pPr>
      <w:r>
        <w:t>NUTS</w:t>
      </w:r>
      <w:r>
        <w:tab/>
      </w:r>
      <w:r>
        <w:tab/>
        <w:t>Skupna klasifikacija statističnih teritorialnih enot</w:t>
      </w:r>
      <w:r>
        <w:tab/>
      </w:r>
    </w:p>
    <w:p w:rsidR="001B782D" w:rsidRPr="001C6ACF" w:rsidRDefault="001B782D" w:rsidP="00FE491B">
      <w:pPr>
        <w:pStyle w:val="HStandard"/>
        <w:ind w:left="993" w:hanging="993"/>
      </w:pPr>
      <w:r>
        <w:t>NVO</w:t>
      </w:r>
      <w:r>
        <w:tab/>
      </w:r>
      <w:r>
        <w:tab/>
        <w:t>Nevladna organizacija</w:t>
      </w:r>
    </w:p>
    <w:p w:rsidR="001B782D" w:rsidRPr="001C6ACF" w:rsidRDefault="001B782D" w:rsidP="00FE491B">
      <w:pPr>
        <w:pStyle w:val="HStandard"/>
        <w:ind w:left="993" w:hanging="993"/>
      </w:pPr>
      <w:r>
        <w:t>ODV</w:t>
      </w:r>
      <w:r>
        <w:tab/>
      </w:r>
      <w:r>
        <w:tab/>
        <w:t>Okvirna direktiva o vodah</w:t>
      </w:r>
    </w:p>
    <w:p w:rsidR="001B782D" w:rsidRPr="00FB5A40" w:rsidRDefault="001B782D" w:rsidP="00FE491B">
      <w:pPr>
        <w:pStyle w:val="HStandard"/>
        <w:ind w:left="993" w:hanging="993"/>
      </w:pPr>
      <w:r>
        <w:t>OM</w:t>
      </w:r>
      <w:r>
        <w:tab/>
      </w:r>
      <w:r>
        <w:tab/>
        <w:t>Ocenjevalna merila</w:t>
      </w:r>
    </w:p>
    <w:p w:rsidR="001B782D" w:rsidRPr="001C6ACF" w:rsidRDefault="001B782D" w:rsidP="00FE491B">
      <w:pPr>
        <w:pStyle w:val="HStandard"/>
        <w:ind w:left="993" w:hanging="993"/>
      </w:pPr>
      <w:r>
        <w:t>ONO</w:t>
      </w:r>
      <w:r>
        <w:tab/>
      </w:r>
      <w:r>
        <w:tab/>
        <w:t>Območja z naravnimi omejitvami</w:t>
      </w:r>
    </w:p>
    <w:p w:rsidR="001B782D" w:rsidRPr="00FB5A40" w:rsidRDefault="001B782D" w:rsidP="00FE491B">
      <w:pPr>
        <w:pStyle w:val="HStandard"/>
        <w:ind w:left="993" w:hanging="993"/>
      </w:pPr>
      <w:r>
        <w:t>OOT</w:t>
      </w:r>
      <w:r>
        <w:tab/>
      </w:r>
      <w:r>
        <w:tab/>
        <w:t>Organski ogljik v tleh</w:t>
      </w:r>
    </w:p>
    <w:p w:rsidR="001B782D" w:rsidRPr="00FB5A40" w:rsidRDefault="001B782D" w:rsidP="00FE491B">
      <w:pPr>
        <w:pStyle w:val="HStandard"/>
        <w:ind w:left="993" w:hanging="993"/>
      </w:pPr>
      <w:r>
        <w:t>OST</w:t>
      </w:r>
      <w:r>
        <w:tab/>
      </w:r>
      <w:r>
        <w:tab/>
        <w:t xml:space="preserve">Organska snov v tleh </w:t>
      </w:r>
    </w:p>
    <w:p w:rsidR="001B782D" w:rsidRPr="001C6ACF" w:rsidRDefault="001B782D" w:rsidP="00FE491B">
      <w:pPr>
        <w:pStyle w:val="HStandard"/>
        <w:ind w:left="993" w:hanging="993"/>
      </w:pPr>
      <w:r>
        <w:t>OU</w:t>
      </w:r>
      <w:r>
        <w:tab/>
      </w:r>
      <w:r>
        <w:tab/>
        <w:t>Organ upravljanja</w:t>
      </w:r>
    </w:p>
    <w:p w:rsidR="001B782D" w:rsidRPr="001C6ACF" w:rsidRDefault="001B782D" w:rsidP="00FE491B">
      <w:pPr>
        <w:pStyle w:val="HStandard"/>
        <w:ind w:left="993" w:hanging="993"/>
      </w:pPr>
      <w:r>
        <w:t>PA</w:t>
      </w:r>
      <w:r>
        <w:tab/>
      </w:r>
      <w:r>
        <w:tab/>
        <w:t>Plačilna agencija</w:t>
      </w:r>
    </w:p>
    <w:p w:rsidR="001B782D" w:rsidRPr="00336531" w:rsidRDefault="001B782D" w:rsidP="00FE491B">
      <w:pPr>
        <w:pStyle w:val="HStandard"/>
        <w:ind w:left="993" w:hanging="993"/>
      </w:pPr>
      <w:r>
        <w:t>PDK</w:t>
      </w:r>
      <w:r>
        <w:tab/>
      </w:r>
      <w:r>
        <w:tab/>
        <w:t>Podjetniški dohodek kmetijstva</w:t>
      </w:r>
    </w:p>
    <w:p w:rsidR="001B782D" w:rsidRPr="001C6ACF" w:rsidRDefault="001B782D" w:rsidP="00FE491B">
      <w:pPr>
        <w:pStyle w:val="HStandard"/>
        <w:ind w:left="993" w:hanging="993"/>
      </w:pPr>
      <w:r>
        <w:t>PP</w:t>
      </w:r>
      <w:r>
        <w:tab/>
      </w:r>
      <w:r>
        <w:tab/>
        <w:t>Ponudnik podatkov</w:t>
      </w:r>
    </w:p>
    <w:p w:rsidR="001B782D" w:rsidRPr="001C6ACF" w:rsidRDefault="001B782D" w:rsidP="00FE491B">
      <w:pPr>
        <w:pStyle w:val="HStandard"/>
        <w:ind w:left="993" w:hanging="993"/>
      </w:pPr>
      <w:r>
        <w:t>PP</w:t>
      </w:r>
      <w:r>
        <w:tab/>
      </w:r>
      <w:r>
        <w:tab/>
        <w:t>Prednostna področja</w:t>
      </w:r>
    </w:p>
    <w:p w:rsidR="001B782D" w:rsidRPr="001C6ACF" w:rsidRDefault="001B782D" w:rsidP="00FE491B">
      <w:pPr>
        <w:pStyle w:val="HStandard"/>
        <w:ind w:left="993" w:hanging="993"/>
      </w:pPr>
      <w:r>
        <w:lastRenderedPageBreak/>
        <w:t>PRP</w:t>
      </w:r>
      <w:r>
        <w:tab/>
      </w:r>
      <w:r>
        <w:tab/>
        <w:t>Program razvoja podeželja</w:t>
      </w:r>
    </w:p>
    <w:p w:rsidR="001B782D" w:rsidRPr="001C6ACF" w:rsidRDefault="001B782D" w:rsidP="00FE491B">
      <w:pPr>
        <w:pStyle w:val="HStandard"/>
        <w:ind w:left="993" w:hanging="993"/>
      </w:pPr>
      <w:r>
        <w:t>PSEQ</w:t>
      </w:r>
      <w:r>
        <w:tab/>
      </w:r>
      <w:r>
        <w:tab/>
        <w:t>Vprašanje za vrednotenje posameznega programa</w:t>
      </w:r>
    </w:p>
    <w:p w:rsidR="001B782D" w:rsidRPr="001C6ACF" w:rsidRDefault="001B782D" w:rsidP="00FE491B">
      <w:pPr>
        <w:pStyle w:val="HStandard"/>
        <w:ind w:left="993" w:hanging="993"/>
      </w:pPr>
      <w:r>
        <w:t>PSM</w:t>
      </w:r>
      <w:r>
        <w:tab/>
      </w:r>
      <w:r>
        <w:tab/>
      </w:r>
      <w:r w:rsidR="00B007B8">
        <w:t>Parjenje izidov nagnje</w:t>
      </w:r>
      <w:r w:rsidR="00B85F99">
        <w:t>nja</w:t>
      </w:r>
    </w:p>
    <w:p w:rsidR="001B782D" w:rsidRPr="001C6ACF" w:rsidRDefault="001B782D" w:rsidP="00FE491B">
      <w:pPr>
        <w:pStyle w:val="HStandard"/>
        <w:ind w:left="993" w:hanging="993"/>
      </w:pPr>
      <w:r>
        <w:t>RDD</w:t>
      </w:r>
      <w:r>
        <w:tab/>
      </w:r>
      <w:r>
        <w:tab/>
      </w:r>
      <w:r w:rsidR="00B85F99">
        <w:t>Zasnova regresijske nezveznosti</w:t>
      </w:r>
      <w:r>
        <w:t xml:space="preserve"> </w:t>
      </w:r>
    </w:p>
    <w:p w:rsidR="001B782D" w:rsidRPr="001C6ACF" w:rsidRDefault="001B782D" w:rsidP="00FE491B">
      <w:pPr>
        <w:pStyle w:val="HStandard"/>
        <w:ind w:left="993" w:hanging="993"/>
      </w:pPr>
      <w:r>
        <w:t>RUSLE</w:t>
      </w:r>
      <w:r>
        <w:tab/>
      </w:r>
      <w:r>
        <w:tab/>
        <w:t>Popravljena univerzalna enačba izgube prsti</w:t>
      </w:r>
    </w:p>
    <w:p w:rsidR="001B782D" w:rsidRPr="001C6ACF" w:rsidRDefault="001B782D" w:rsidP="00FE491B">
      <w:pPr>
        <w:pStyle w:val="HStandard"/>
        <w:ind w:left="993" w:hanging="993"/>
      </w:pPr>
      <w:r>
        <w:t>SAPM</w:t>
      </w:r>
      <w:r>
        <w:tab/>
      </w:r>
      <w:r>
        <w:tab/>
        <w:t>Raziskovanje metod kmetijske proizvodnje</w:t>
      </w:r>
    </w:p>
    <w:p w:rsidR="001B782D" w:rsidRPr="001C6ACF" w:rsidRDefault="001B782D" w:rsidP="00FE491B">
      <w:pPr>
        <w:pStyle w:val="HStandard"/>
        <w:ind w:left="993" w:hanging="993"/>
      </w:pPr>
      <w:r>
        <w:t>SEBI</w:t>
      </w:r>
      <w:r>
        <w:tab/>
      </w:r>
      <w:r>
        <w:tab/>
        <w:t>Racionalizacija kazalnikov evropske biotske raznovrstnosti</w:t>
      </w:r>
    </w:p>
    <w:p w:rsidR="001B782D" w:rsidRPr="001C6ACF" w:rsidRDefault="001B782D" w:rsidP="00FE491B">
      <w:pPr>
        <w:pStyle w:val="HStandard"/>
        <w:ind w:left="993" w:hanging="993"/>
      </w:pPr>
      <w:r>
        <w:t>SFC</w:t>
      </w:r>
      <w:r>
        <w:tab/>
      </w:r>
      <w:r>
        <w:tab/>
        <w:t>Skupni sistem deljenega upravljanja sklada</w:t>
      </w:r>
    </w:p>
    <w:p w:rsidR="001B782D" w:rsidRPr="001C6ACF" w:rsidRDefault="001B782D" w:rsidP="00FE491B">
      <w:pPr>
        <w:pStyle w:val="HStandard"/>
        <w:ind w:left="993" w:hanging="993"/>
      </w:pPr>
      <w:r>
        <w:t>SFP</w:t>
      </w:r>
      <w:r>
        <w:tab/>
      </w:r>
      <w:r>
        <w:tab/>
        <w:t>Skupna faktorska produktivnosti</w:t>
      </w:r>
    </w:p>
    <w:p w:rsidR="001B782D" w:rsidRPr="001C6ACF" w:rsidRDefault="001B782D" w:rsidP="00FE491B">
      <w:pPr>
        <w:pStyle w:val="HStandard"/>
        <w:ind w:left="993" w:hanging="993"/>
      </w:pPr>
      <w:r>
        <w:t>SKP</w:t>
      </w:r>
      <w:r>
        <w:tab/>
      </w:r>
      <w:r>
        <w:tab/>
        <w:t xml:space="preserve">Skupna kmetijska politika </w:t>
      </w:r>
    </w:p>
    <w:p w:rsidR="001B782D" w:rsidRPr="001C6ACF" w:rsidRDefault="001B782D" w:rsidP="00FE491B">
      <w:pPr>
        <w:pStyle w:val="HStandard"/>
        <w:ind w:left="993" w:hanging="993"/>
      </w:pPr>
      <w:r>
        <w:t>SKS</w:t>
      </w:r>
      <w:r>
        <w:tab/>
      </w:r>
      <w:r>
        <w:tab/>
        <w:t>Skupni kazalniki stanja</w:t>
      </w:r>
    </w:p>
    <w:p w:rsidR="001B782D" w:rsidRPr="001C6ACF" w:rsidRDefault="001B782D" w:rsidP="00FE491B">
      <w:pPr>
        <w:pStyle w:val="HStandard"/>
        <w:ind w:left="993" w:hanging="993"/>
      </w:pPr>
      <w:r>
        <w:t>SVV</w:t>
      </w:r>
      <w:r>
        <w:tab/>
      </w:r>
      <w:r>
        <w:tab/>
        <w:t>Skupna vprašanja za vrednotenje</w:t>
      </w:r>
    </w:p>
    <w:p w:rsidR="001B782D" w:rsidRPr="001C6ACF" w:rsidRDefault="001B782D" w:rsidP="00FE491B">
      <w:pPr>
        <w:pStyle w:val="HStandard"/>
        <w:ind w:left="993" w:hanging="993"/>
      </w:pPr>
      <w:r>
        <w:t>SWOT</w:t>
      </w:r>
      <w:r>
        <w:tab/>
      </w:r>
      <w:r>
        <w:tab/>
        <w:t xml:space="preserve"> Analiza prednosti in pomanjkljivosti ter priložnosti in nevarnosti </w:t>
      </w:r>
    </w:p>
    <w:p w:rsidR="001B782D" w:rsidRPr="001C6ACF" w:rsidRDefault="001B782D" w:rsidP="00FE491B">
      <w:pPr>
        <w:pStyle w:val="HStandard"/>
        <w:ind w:left="993" w:hanging="993"/>
      </w:pPr>
      <w:r>
        <w:t>ToR</w:t>
      </w:r>
      <w:r>
        <w:tab/>
      </w:r>
      <w:r>
        <w:tab/>
        <w:t>Projektna naloga</w:t>
      </w:r>
    </w:p>
    <w:p w:rsidR="001B782D" w:rsidRPr="001C6ACF" w:rsidRDefault="001B782D" w:rsidP="00FE491B">
      <w:pPr>
        <w:pStyle w:val="HStandard"/>
        <w:ind w:left="993" w:hanging="993"/>
      </w:pPr>
      <w:r>
        <w:t>TP</w:t>
      </w:r>
      <w:r>
        <w:tab/>
      </w:r>
      <w:r>
        <w:tab/>
        <w:t>Tehnična pomoč</w:t>
      </w:r>
    </w:p>
    <w:p w:rsidR="001B782D" w:rsidRPr="001C6ACF" w:rsidRDefault="001B782D" w:rsidP="00FE491B">
      <w:pPr>
        <w:pStyle w:val="HStandard"/>
        <w:ind w:left="993" w:hanging="993"/>
      </w:pPr>
      <w:r>
        <w:t>TPG</w:t>
      </w:r>
      <w:r>
        <w:tab/>
      </w:r>
      <w:r>
        <w:tab/>
        <w:t>Toplogredni plin</w:t>
      </w:r>
    </w:p>
    <w:p w:rsidR="001B782D" w:rsidRPr="001C6ACF" w:rsidRDefault="001B782D" w:rsidP="00FE491B">
      <w:pPr>
        <w:pStyle w:val="HStandard"/>
        <w:ind w:left="993" w:hanging="993"/>
      </w:pPr>
      <w:r>
        <w:t>U</w:t>
      </w:r>
      <w:r>
        <w:tab/>
      </w:r>
      <w:r>
        <w:tab/>
        <w:t xml:space="preserve">Ukrep </w:t>
      </w:r>
    </w:p>
    <w:p w:rsidR="001B782D" w:rsidRPr="001C6ACF" w:rsidRDefault="001B782D" w:rsidP="00FE491B">
      <w:pPr>
        <w:pStyle w:val="HStandard"/>
        <w:ind w:left="993" w:hanging="993"/>
      </w:pPr>
      <w:r>
        <w:t xml:space="preserve">USV </w:t>
      </w:r>
      <w:r>
        <w:tab/>
      </w:r>
      <w:r>
        <w:tab/>
        <w:t>Usmerjevalna skupina za vrednotenje</w:t>
      </w:r>
    </w:p>
    <w:p w:rsidR="001B782D" w:rsidRPr="001C6ACF" w:rsidRDefault="001B782D" w:rsidP="00FE491B">
      <w:pPr>
        <w:pStyle w:val="HStandard"/>
        <w:ind w:left="993" w:hanging="993"/>
      </w:pPr>
      <w:r>
        <w:t>VO</w:t>
      </w:r>
      <w:r>
        <w:tab/>
      </w:r>
      <w:r>
        <w:tab/>
        <w:t>Vodno območje</w:t>
      </w:r>
    </w:p>
    <w:p w:rsidR="001B782D" w:rsidRPr="001C6ACF" w:rsidRDefault="001B782D" w:rsidP="00FE491B">
      <w:pPr>
        <w:pStyle w:val="HStandard"/>
        <w:ind w:left="993" w:hanging="993"/>
      </w:pPr>
      <w:r>
        <w:t>VTT</w:t>
      </w:r>
      <w:r>
        <w:tab/>
      </w:r>
      <w:r>
        <w:tab/>
        <w:t>Vrednotenje, ki temelji na teoriji</w:t>
      </w:r>
    </w:p>
    <w:p w:rsidR="00D32538" w:rsidRPr="001C6ACF" w:rsidRDefault="00D32538" w:rsidP="0095356C">
      <w:pPr>
        <w:pStyle w:val="HStandard"/>
        <w:ind w:left="993" w:hanging="993"/>
        <w:sectPr w:rsidR="00D32538" w:rsidRPr="001C6ACF" w:rsidSect="00C702ED">
          <w:headerReference w:type="default" r:id="rId12"/>
          <w:footerReference w:type="first" r:id="rId13"/>
          <w:pgSz w:w="11906" w:h="16838" w:code="9"/>
          <w:pgMar w:top="1440" w:right="1440" w:bottom="1134" w:left="1440" w:header="567" w:footer="737" w:gutter="0"/>
          <w:cols w:space="708"/>
          <w:titlePg/>
          <w:docGrid w:linePitch="360"/>
        </w:sectPr>
      </w:pPr>
    </w:p>
    <w:p w:rsidR="006F7D30" w:rsidRPr="001C6ACF" w:rsidRDefault="006F7D30" w:rsidP="006F7D30">
      <w:pPr>
        <w:pStyle w:val="HHeading1"/>
        <w:numPr>
          <w:ilvl w:val="0"/>
          <w:numId w:val="0"/>
        </w:numPr>
        <w:rPr>
          <w:sz w:val="28"/>
        </w:rPr>
      </w:pPr>
      <w:r>
        <w:rPr>
          <w:sz w:val="28"/>
        </w:rPr>
        <w:lastRenderedPageBreak/>
        <w:t>Zahvala</w:t>
      </w:r>
    </w:p>
    <w:p w:rsidR="00EB120C" w:rsidRPr="001C6ACF" w:rsidRDefault="00EB120C" w:rsidP="00EB120C">
      <w:pPr>
        <w:spacing w:after="120" w:line="280" w:lineRule="atLeast"/>
        <w:rPr>
          <w:rFonts w:ascii="Calibri" w:hAnsi="Calibri"/>
          <w:i/>
          <w:iCs/>
          <w:color w:val="373737" w:themeColor="text1"/>
          <w:sz w:val="20"/>
          <w:szCs w:val="20"/>
        </w:rPr>
      </w:pPr>
      <w:r>
        <w:rPr>
          <w:i/>
          <w:color w:val="373737" w:themeColor="text1"/>
          <w:sz w:val="20"/>
        </w:rPr>
        <w:t>Smernice je pripravila mednarodna ekipa strokovnjakov za vrednotenje</w:t>
      </w:r>
      <w:r>
        <w:rPr>
          <w:color w:val="373737" w:themeColor="text1"/>
          <w:sz w:val="20"/>
        </w:rPr>
        <w:t xml:space="preserve"> </w:t>
      </w:r>
      <w:r>
        <w:rPr>
          <w:i/>
          <w:color w:val="373737" w:themeColor="text1"/>
          <w:sz w:val="20"/>
        </w:rPr>
        <w:t xml:space="preserve">programov razvoja podeželja, katere člani so med drugim Jerzy Michalek (sektorski vplivi), Demetrios Psaltopoulos (socialno-ekonomski vplivi, Marili Parisaki (kvalitativne metode), Tomáš Ratinger (sektorski vplivi), Gerald Schwarz (vplivi na okolje), Dimitris Skuras (vplivi na okolje) in Darko Znaor (vplivi na okolje). Povezano tematsko delovno skupino je usklajevala služba za pomoč uporabnikom pri vrednotenju pod vodstvom Jele Tvrdonove in Hannesa Wimmerja. Valérie Dumont, Myles Stiffler, Matteo Metta, Valdis Kudins in Harriet Mackaill-Hill so pomagali pri razvojnem delu ter zagotovili kakovost in končno zunanjo podobo smernic. </w:t>
      </w:r>
    </w:p>
    <w:p w:rsidR="00EB120C" w:rsidRPr="001C6ACF" w:rsidRDefault="00EB120C" w:rsidP="00EB120C">
      <w:pPr>
        <w:spacing w:after="120" w:line="280" w:lineRule="atLeast"/>
        <w:rPr>
          <w:i/>
          <w:iCs/>
          <w:color w:val="373737" w:themeColor="text1"/>
          <w:sz w:val="20"/>
          <w:szCs w:val="20"/>
        </w:rPr>
      </w:pPr>
      <w:r>
        <w:rPr>
          <w:i/>
          <w:color w:val="373737" w:themeColor="text1"/>
          <w:sz w:val="20"/>
        </w:rPr>
        <w:t>Različni strokovnjaki so sodelovali kot strokovni ocenjevalci (Rolf Bergs, Kit Macleod, Žymantas Morkvėnas). Predstavniki GD za kmetijstvo in razvoj podeželja so zagotovili, da so smernice skladne z okvirom politike EU.</w:t>
      </w:r>
    </w:p>
    <w:p w:rsidR="006F7D30" w:rsidRPr="001C6ACF" w:rsidRDefault="00EB120C" w:rsidP="00EB120C">
      <w:pPr>
        <w:pStyle w:val="HStandard"/>
      </w:pPr>
      <w:r>
        <w:rPr>
          <w:i/>
        </w:rPr>
        <w:t>Predstavniki iz držav članic so pripombe k osnutkom smernic predložili na sestankih posvetovalnega odbora januarja in aprila 2018. Člani strokovne skupine za spremljanje in vrednotenje SKP</w:t>
      </w:r>
      <w:r>
        <w:t xml:space="preserve"> </w:t>
      </w:r>
      <w:r>
        <w:rPr>
          <w:i/>
        </w:rPr>
        <w:t>so pripombe h končnemu osnutku predložili junija 2018. </w:t>
      </w:r>
    </w:p>
    <w:p w:rsidR="00860B72" w:rsidRPr="001C6ACF" w:rsidRDefault="00860B72" w:rsidP="000B2A17">
      <w:pPr>
        <w:pStyle w:val="HStandard"/>
      </w:pPr>
    </w:p>
    <w:p w:rsidR="008E728A" w:rsidRPr="001C6ACF" w:rsidRDefault="008549B5" w:rsidP="008E3ACB">
      <w:pPr>
        <w:pStyle w:val="HHeading1"/>
        <w:numPr>
          <w:ilvl w:val="0"/>
          <w:numId w:val="0"/>
        </w:numPr>
        <w:rPr>
          <w:sz w:val="28"/>
        </w:rPr>
      </w:pPr>
      <w:r>
        <w:rPr>
          <w:sz w:val="28"/>
        </w:rPr>
        <w:lastRenderedPageBreak/>
        <w:t>UVOD</w:t>
      </w:r>
    </w:p>
    <w:p w:rsidR="00CD63F6" w:rsidRPr="001C6ACF" w:rsidRDefault="00CD63F6" w:rsidP="00CD63F6">
      <w:pPr>
        <w:pStyle w:val="HHeading4"/>
      </w:pPr>
      <w:r>
        <w:t>Pomen vrednotenja</w:t>
      </w:r>
    </w:p>
    <w:p w:rsidR="00CD63F6" w:rsidRPr="001C6ACF" w:rsidRDefault="00CD63F6" w:rsidP="00CD63F6">
      <w:pPr>
        <w:pStyle w:val="HStandard"/>
      </w:pPr>
      <w:r>
        <w:t xml:space="preserve">Evropski strukturni in investicijski skladi (skladi ESI) so pomembni </w:t>
      </w:r>
      <w:r>
        <w:rPr>
          <w:b/>
        </w:rPr>
        <w:t>javni instrumenti</w:t>
      </w:r>
      <w:r>
        <w:t xml:space="preserve"> za podporo ukrepov, povezanih s ključnimi prednostnimi nalogami Unije, in se v državah članicah in regijah izvajajo z večletnimi programi. Zato je v interesu oblikovalcev politike in javnosti, da so seznanjeni s tem, ali se pri uresničevanju ciljev politike EU denar porablja odgovorno, ali prinaša pričakovane rezultate in ali je ukrepanje usmerjeno v prave upravičence. </w:t>
      </w:r>
    </w:p>
    <w:p w:rsidR="00CD63F6" w:rsidRPr="001C6ACF" w:rsidRDefault="00CD63F6" w:rsidP="00CC00DA">
      <w:pPr>
        <w:pStyle w:val="HStandard"/>
      </w:pPr>
      <w:r>
        <w:rPr>
          <w:b/>
        </w:rPr>
        <w:t xml:space="preserve">Vrednotenje </w:t>
      </w:r>
      <w:r>
        <w:t>je orodje, s katerim se pri politiki merijo uspešnost, učinkovitost, rezultati in vplivi</w:t>
      </w:r>
      <w:r>
        <w:rPr>
          <w:rStyle w:val="FootnoteReference"/>
        </w:rPr>
        <w:footnoteReference w:id="1"/>
      </w:r>
      <w:r>
        <w:t xml:space="preserve">, ustreznost, skladnost in dodana vrednost EU, da se zagotovi njena odgovornost in preglednost ter navsezadnje izboljšanje njene zasnove. V okviru razvoja podeželja obstajata </w:t>
      </w:r>
      <w:r>
        <w:rPr>
          <w:b/>
        </w:rPr>
        <w:t xml:space="preserve">v programskem obdobju 2014–2020 </w:t>
      </w:r>
      <w:r>
        <w:t xml:space="preserve">dva mejnika vrednotenja. Eden je leto 2017, ko deležniki ocenijo rezultate politike, drugi pa leto 2019, ko se izmerijo rezultati in vplivi politike. Poleg tega se </w:t>
      </w:r>
      <w:r>
        <w:rPr>
          <w:b/>
        </w:rPr>
        <w:t>po programskem obdobju</w:t>
      </w:r>
      <w:r>
        <w:t xml:space="preserve"> izvede naknadno vrednotenje.</w:t>
      </w:r>
      <w:r>
        <w:rPr>
          <w:b/>
        </w:rPr>
        <w:t xml:space="preserve"> </w:t>
      </w:r>
    </w:p>
    <w:p w:rsidR="00CD63F6" w:rsidRPr="001C6ACF" w:rsidRDefault="00CD63F6" w:rsidP="005C0884">
      <w:pPr>
        <w:pStyle w:val="HHeading4"/>
      </w:pPr>
      <w:r>
        <w:t xml:space="preserve">Namen smernic </w:t>
      </w:r>
    </w:p>
    <w:p w:rsidR="00CD63F6" w:rsidRPr="00571D58" w:rsidRDefault="00BD7C99" w:rsidP="00CD63F6">
      <w:pPr>
        <w:pStyle w:val="HStandard"/>
      </w:pPr>
      <w:r>
        <w:t>Države članice morajo leta 2019 v skladu s pravnim okvirom poročati o dosežkih programa razvoja podeželja (PRP) pri uresničevanju ciljev programa ter njegovih prispevkih k strategiji EU za pametno, trajnostno in vključujočo rast. To storijo z letnimi poročili o izvajanju, ki jih predložijo leta 2019. V vrednotenjih bi bilo treba oceniti neto prispevek programa k spremembam v vrednostih kazalnikov vpliva v okviru SKP in odgovoriti na vprašanja za vrednotenje</w:t>
      </w:r>
      <w:r>
        <w:rPr>
          <w:rStyle w:val="FootnoteReference"/>
        </w:rPr>
        <w:footnoteReference w:id="2"/>
      </w:r>
      <w:r>
        <w:t xml:space="preserve">. </w:t>
      </w:r>
    </w:p>
    <w:p w:rsidR="00CD63F6" w:rsidRPr="001C6ACF" w:rsidRDefault="009642AA" w:rsidP="009F77FD">
      <w:pPr>
        <w:pStyle w:val="HStandard"/>
      </w:pPr>
      <w:r>
        <w:t xml:space="preserve">Namen teh smernic je </w:t>
      </w:r>
      <w:r>
        <w:rPr>
          <w:b/>
        </w:rPr>
        <w:t>proučiti izzive</w:t>
      </w:r>
      <w:r>
        <w:t xml:space="preserve"> v zvezi z dejavnostmi vrednotenja za letno poročilo o izvajanju v letu 2019, </w:t>
      </w:r>
      <w:r>
        <w:rPr>
          <w:b/>
        </w:rPr>
        <w:t>predstaviti praktične pristope</w:t>
      </w:r>
      <w:r>
        <w:t xml:space="preserve"> za oceno neto prispevkov PRP k skupnim kazalnikom vpliva SKP in oceniti napredek pri doseganju ciljev na ravni EU ter </w:t>
      </w:r>
      <w:r>
        <w:rPr>
          <w:b/>
        </w:rPr>
        <w:t>zagotoviti pomoč pri odgovarjanju</w:t>
      </w:r>
      <w:r>
        <w:t xml:space="preserve"> na skupna vprašanja za vrednotenje od št. 22 do 30 in pri poročanju Evropski komisiji o ugotovitvah vrednotenja v letnih poročilih o izvajanju, ki se bodo predložila leta 2019.</w:t>
      </w:r>
    </w:p>
    <w:p w:rsidR="00CD63F6" w:rsidRPr="001C6ACF" w:rsidRDefault="00CD63F6" w:rsidP="005C0884">
      <w:pPr>
        <w:pStyle w:val="HHeading4"/>
      </w:pPr>
      <w:r>
        <w:t xml:space="preserve">Struktura in vsebina smernic </w:t>
      </w:r>
    </w:p>
    <w:p w:rsidR="00CD63F6" w:rsidRPr="001C6ACF" w:rsidRDefault="00BD7C99" w:rsidP="005C0884">
      <w:pPr>
        <w:pStyle w:val="HStandard"/>
      </w:pPr>
      <w:r>
        <w:rPr>
          <w:b/>
        </w:rPr>
        <w:t>NEZAVEZUJOČE smernice</w:t>
      </w:r>
      <w:r>
        <w:t xml:space="preserve"> z naslovom </w:t>
      </w:r>
      <w:r>
        <w:rPr>
          <w:i/>
        </w:rPr>
        <w:t>Presoja dosežkov in vplivov programov razvoja podeželja v letu 2019</w:t>
      </w:r>
      <w:r>
        <w:t xml:space="preserve"> zajemajo naslednje: </w:t>
      </w:r>
    </w:p>
    <w:p w:rsidR="00CD63F6" w:rsidRPr="001C6ACF" w:rsidRDefault="008358D0" w:rsidP="00AD4DC6">
      <w:pPr>
        <w:pStyle w:val="Hlistbullet"/>
        <w:spacing w:line="276" w:lineRule="auto"/>
      </w:pPr>
      <w:r>
        <w:rPr>
          <w:b/>
          <w:color w:val="F07E31" w:themeColor="accent1"/>
        </w:rPr>
        <w:t>DEL I</w:t>
      </w:r>
      <w:r>
        <w:t xml:space="preserve"> </w:t>
      </w:r>
      <w:r>
        <w:rPr>
          <w:b/>
          <w:color w:val="F07E31" w:themeColor="accent1"/>
        </w:rPr>
        <w:t xml:space="preserve">(namenjen predvsem organom upravljanja): </w:t>
      </w:r>
      <w:r>
        <w:t xml:space="preserve">zagotavlja informacije o pravnih zahtevah in navodila o tem, kako leta 2019 poročati o skupnih vprašanjih za vrednotenje od št. 22 do 30. Del I vsebuje sklice na druge obstoječe smernice. </w:t>
      </w:r>
    </w:p>
    <w:p w:rsidR="00CD63F6" w:rsidRPr="001C6ACF" w:rsidRDefault="008358D0" w:rsidP="00AD4DC6">
      <w:pPr>
        <w:pStyle w:val="Hlistbullet"/>
        <w:spacing w:line="276" w:lineRule="auto"/>
      </w:pPr>
      <w:r>
        <w:rPr>
          <w:b/>
          <w:color w:val="F07E31" w:themeColor="accent1"/>
        </w:rPr>
        <w:t>DEL II</w:t>
      </w:r>
      <w:r>
        <w:t xml:space="preserve"> </w:t>
      </w:r>
      <w:r>
        <w:rPr>
          <w:b/>
          <w:color w:val="F07E31" w:themeColor="accent1"/>
        </w:rPr>
        <w:t>(namenjen predvsem izvajalcem vrednotenja):</w:t>
      </w:r>
      <w:r>
        <w:t xml:space="preserve"> zagotavlja metodološko pomoč pri presoji skupnih kazalnikov vpliva drugega stebra (sektorski vplivi, vplivi na okolje ter socialno-ekonomski vplivi). V tem delu so pojasnjeni intervencijska logika, uporaba dodatnih elementov vrednotenja, zahteve glede podatkov in enote presoje, bralcu pa so zagotovljena navodila, kako izbrati najustreznejše pristope k vrednotenju, da se prikaže, kakšni so neto prispevki PRP pri vrednosti kazalnikov vpliva SKP. Poleg tega del II vsebuje tudi predlagane pristope k oceni prispevkov PRP za uresničevanje strategije Evropa 2020 in inovacij. </w:t>
      </w:r>
    </w:p>
    <w:p w:rsidR="00800238" w:rsidRPr="001C6ACF" w:rsidRDefault="00800238" w:rsidP="00AD4DC6">
      <w:pPr>
        <w:pStyle w:val="Hlistbullet"/>
        <w:spacing w:line="276" w:lineRule="auto"/>
      </w:pPr>
      <w:r>
        <w:rPr>
          <w:b/>
          <w:color w:val="F07E31" w:themeColor="accent1"/>
        </w:rPr>
        <w:t>DEL III:</w:t>
      </w:r>
      <w:r>
        <w:rPr>
          <w:color w:val="F07E31" w:themeColor="accent1"/>
        </w:rPr>
        <w:t xml:space="preserve"> </w:t>
      </w:r>
      <w:r>
        <w:t>vsebuje tehnične liste za odgovarjanje na skupna vprašanja za vrednotenje od št. 22 do 30.</w:t>
      </w:r>
    </w:p>
    <w:p w:rsidR="00CD63F6" w:rsidRPr="001C6ACF" w:rsidRDefault="00FE491B" w:rsidP="00AD4DC6">
      <w:pPr>
        <w:pStyle w:val="Hlistbullet"/>
        <w:spacing w:line="276" w:lineRule="auto"/>
      </w:pPr>
      <w:r>
        <w:rPr>
          <w:b/>
          <w:color w:val="F07E31" w:themeColor="accent1"/>
        </w:rPr>
        <w:t>DEL IV:</w:t>
      </w:r>
      <w:r w:rsidR="001844B4">
        <w:rPr>
          <w:b/>
          <w:color w:val="F07E31" w:themeColor="accent1"/>
        </w:rPr>
        <w:t xml:space="preserve"> </w:t>
      </w:r>
      <w:r>
        <w:t xml:space="preserve">vsebuje tehnično prilogo, ki vključuje podrobnejše informacije o pristopih k presoji kazalnikov vpliva SKP in slovar izrazov. </w:t>
      </w:r>
    </w:p>
    <w:p w:rsidR="001C2076" w:rsidRPr="001C6ACF" w:rsidRDefault="001C2076" w:rsidP="008D52EA">
      <w:pPr>
        <w:pStyle w:val="HHeading1"/>
        <w:tabs>
          <w:tab w:val="clear" w:pos="474"/>
          <w:tab w:val="clear" w:pos="567"/>
        </w:tabs>
        <w:rPr>
          <w:sz w:val="28"/>
        </w:rPr>
      </w:pPr>
      <w:r>
        <w:rPr>
          <w:sz w:val="28"/>
        </w:rPr>
        <w:lastRenderedPageBreak/>
        <w:t>Kaj mora vsebovati poročanje o vrednotenju v letnem poročilu o izvajanju, predloženem leta 2019? (Del I)</w:t>
      </w:r>
    </w:p>
    <w:p w:rsidR="001C2076" w:rsidRPr="001C6ACF" w:rsidRDefault="000C5796" w:rsidP="00E35440">
      <w:pPr>
        <w:pStyle w:val="HHeading2"/>
      </w:pPr>
      <w:r>
        <w:t xml:space="preserve">Pravni okvir in glavni cilj vrednotenja v letu 2019 </w:t>
      </w:r>
    </w:p>
    <w:p w:rsidR="00B013D7" w:rsidRPr="00571D58" w:rsidRDefault="006A3698" w:rsidP="001C2076">
      <w:pPr>
        <w:pStyle w:val="HStandard"/>
      </w:pPr>
      <w:r>
        <w:t>Države članice Evropski komisiji od junija 2016 in nato vsako leto do leta 2024</w:t>
      </w:r>
      <w:r>
        <w:rPr>
          <w:rStyle w:val="FootnoteReference"/>
        </w:rPr>
        <w:footnoteReference w:id="3"/>
      </w:r>
      <w:r>
        <w:t xml:space="preserve"> predložijo letno poročilo o izvajanju. V njem navedejo informacije v zvezi z izvajanjem PRP ter informacije o napredku pri izvajanju načrta vrednotenja</w:t>
      </w:r>
      <w:r>
        <w:rPr>
          <w:rStyle w:val="FootnoteReference"/>
        </w:rPr>
        <w:footnoteReference w:id="4"/>
      </w:r>
      <w:r>
        <w:t xml:space="preserve">. </w:t>
      </w:r>
    </w:p>
    <w:p w:rsidR="001C2076" w:rsidRPr="0036731C" w:rsidRDefault="001C2076" w:rsidP="001C2076">
      <w:pPr>
        <w:pStyle w:val="HStandard"/>
      </w:pPr>
      <w:r>
        <w:rPr>
          <w:b/>
        </w:rPr>
        <w:t xml:space="preserve">Leta 2017 </w:t>
      </w:r>
      <w:r>
        <w:t>je</w:t>
      </w:r>
      <w:r>
        <w:rPr>
          <w:b/>
        </w:rPr>
        <w:t xml:space="preserve"> letno poročilo o izvajanju</w:t>
      </w:r>
      <w:r>
        <w:t xml:space="preserve"> vključevalo količinsko opredelitev dosežkov programa (z oceno kazalnikov rezultatov, vključno z dopolnilnimi kazalniki rezultatov). Za razlago kazalnikov rezultatov in odgovarjanje na skupna vprašanja za vrednotenje od št. 1 do 21</w:t>
      </w:r>
      <w:r>
        <w:rPr>
          <w:rStyle w:val="FootnoteReference"/>
        </w:rPr>
        <w:footnoteReference w:id="5"/>
      </w:r>
      <w:r>
        <w:t xml:space="preserve"> so se uporabila ocenjevalna merila. Smernice z naslovom</w:t>
      </w:r>
      <w:r>
        <w:rPr>
          <w:i/>
        </w:rPr>
        <w:t xml:space="preserve"> </w:t>
      </w:r>
      <w:hyperlink r:id="rId14">
        <w:r>
          <w:rPr>
            <w:rStyle w:val="Hyperlink"/>
            <w:i/>
          </w:rPr>
          <w:t xml:space="preserve"> Assessment of RDP Results: how to prepare for reporting on evaluation in 2017 (Presoja rezultatov PRP: kako se pripraviti na poročanje o vrednotenju v letu 2017)</w:t>
        </w:r>
      </w:hyperlink>
      <w:r>
        <w:t xml:space="preserve"> so lahko prav tako v pomoč pri teh dejavnostih, zaradi česar so pomembne tudi za postopek v letu 2019</w:t>
      </w:r>
      <w:r>
        <w:rPr>
          <w:rStyle w:val="FootnoteReference"/>
        </w:rPr>
        <w:footnoteReference w:id="6"/>
      </w:r>
      <w:r>
        <w:t xml:space="preserve">. </w:t>
      </w:r>
    </w:p>
    <w:p w:rsidR="00BA41C1" w:rsidRPr="001C6ACF" w:rsidRDefault="001C2076" w:rsidP="001C2076">
      <w:pPr>
        <w:pStyle w:val="HStandard"/>
      </w:pPr>
      <w:r>
        <w:rPr>
          <w:b/>
        </w:rPr>
        <w:t>V letnem poročilo o izvajanju</w:t>
      </w:r>
      <w:r>
        <w:t xml:space="preserve">, ki se bo predložilo </w:t>
      </w:r>
      <w:r>
        <w:rPr>
          <w:b/>
        </w:rPr>
        <w:t>leta 2019</w:t>
      </w:r>
      <w:r>
        <w:t xml:space="preserve">, bo treba zagotoviti najnovejše informacije o ugotovitvah vrednotenja, sporočenih leta 2017, </w:t>
      </w:r>
      <w:r>
        <w:rPr>
          <w:u w:val="single"/>
        </w:rPr>
        <w:t>poleg tega</w:t>
      </w:r>
      <w:r>
        <w:t xml:space="preserve"> pa bo vključevalo:</w:t>
      </w:r>
    </w:p>
    <w:p w:rsidR="00BA41C1" w:rsidRPr="001C6ACF" w:rsidRDefault="001C2076" w:rsidP="00BA41C1">
      <w:pPr>
        <w:pStyle w:val="Hlistbullet"/>
      </w:pPr>
      <w:r>
        <w:t xml:space="preserve">ugotovitve iz presoje vplivov PRP, pridobljene z izračunom in razlago neto vrednosti kazalnikov vpliva SKP; </w:t>
      </w:r>
    </w:p>
    <w:p w:rsidR="00BA41C1" w:rsidRPr="001C6ACF" w:rsidRDefault="00BA41C1" w:rsidP="00BA41C1">
      <w:pPr>
        <w:pStyle w:val="Hlistbullet"/>
      </w:pPr>
      <w:r>
        <w:t xml:space="preserve">prispevke PRP k strategiji EU za pametno, trajnostno in vključujočo rast ter k strategiji za biotsko raznovrstnost ter </w:t>
      </w:r>
    </w:p>
    <w:p w:rsidR="001C2076" w:rsidRPr="001C6ACF" w:rsidRDefault="00BA41C1" w:rsidP="00BA41C1">
      <w:pPr>
        <w:pStyle w:val="Hlistbullet"/>
      </w:pPr>
      <w:r>
        <w:t>odgovore na skupna vprašanja za vrednotenje za PRP za obdobje 2014–2020 o ciljih na ravni EU (tj. skupna vprašanja za vrednotenje od št. 22 do 30).</w:t>
      </w:r>
    </w:p>
    <w:p w:rsidR="001C2076" w:rsidRPr="0036731C" w:rsidRDefault="00CA1C02" w:rsidP="001C2076">
      <w:pPr>
        <w:pStyle w:val="HStandard"/>
      </w:pPr>
      <w:r>
        <w:t>Na spodnji sliki je prikazan pregled glavnih zahtev glede poročanja o vrednotenju v letnih poročilih o izvajanju v programskem obdobju, kot jih določajo pravni okvir</w:t>
      </w:r>
      <w:r>
        <w:rPr>
          <w:rStyle w:val="FootnoteReference"/>
        </w:rPr>
        <w:footnoteReference w:id="7"/>
      </w:r>
      <w:r>
        <w:t xml:space="preserve"> in povezane smernice. </w:t>
      </w:r>
    </w:p>
    <w:p w:rsidR="001C2076" w:rsidRPr="00FB6C06" w:rsidRDefault="00CA1C02" w:rsidP="001844B4">
      <w:pPr>
        <w:pStyle w:val="HHeadingfigures"/>
      </w:pPr>
      <w:r>
        <w:t xml:space="preserve">Poročanje o vrednotenju (v skladu s Prilogo VII k Uredbi (EU) št. 808/2014) </w:t>
      </w:r>
    </w:p>
    <w:p w:rsidR="001C2076" w:rsidRPr="00571D58" w:rsidRDefault="00D93607" w:rsidP="00744BAA">
      <w:pPr>
        <w:pStyle w:val="HStandard"/>
        <w:jc w:val="center"/>
      </w:pPr>
      <w:r>
        <w:rPr>
          <w:noProof/>
          <w:lang w:bidi="ar-SA"/>
        </w:rPr>
        <w:drawing>
          <wp:inline distT="0" distB="0" distL="0" distR="0" wp14:anchorId="3AC688FE" wp14:editId="7C8B4729">
            <wp:extent cx="4207287" cy="2422566"/>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10971" cy="2424687"/>
                    </a:xfrm>
                    <a:prstGeom prst="rect">
                      <a:avLst/>
                    </a:prstGeom>
                  </pic:spPr>
                </pic:pic>
              </a:graphicData>
            </a:graphic>
          </wp:inline>
        </w:drawing>
      </w:r>
    </w:p>
    <w:p w:rsidR="001C2076" w:rsidRPr="007645B4" w:rsidRDefault="001C2076" w:rsidP="008D52EA">
      <w:pPr>
        <w:pStyle w:val="HSource"/>
        <w:rPr>
          <w:i w:val="0"/>
        </w:rPr>
      </w:pPr>
      <w:r>
        <w:t>Vir:  Evropska služba za pomoč uporabnikom pri vrednotenju razvoja podeželja (2018).</w:t>
      </w:r>
    </w:p>
    <w:p w:rsidR="00E52E73" w:rsidRPr="007645B4" w:rsidRDefault="00E52E73" w:rsidP="00E52E73">
      <w:pPr>
        <w:pStyle w:val="HHeading4"/>
      </w:pPr>
      <w:r>
        <w:lastRenderedPageBreak/>
        <w:t xml:space="preserve">Pravni okvir </w:t>
      </w:r>
    </w:p>
    <w:p w:rsidR="00DE65AB" w:rsidRPr="001C6ACF" w:rsidRDefault="00BA41C1" w:rsidP="001C2076">
      <w:pPr>
        <w:pStyle w:val="HStandard"/>
      </w:pPr>
      <w:r>
        <w:t xml:space="preserve">Temelje za vrednotenje PRP zagotavljata pravni okvir in skupni sistem spremljanja in vrednotenja (CMES). </w:t>
      </w:r>
    </w:p>
    <w:p w:rsidR="001A2395" w:rsidRPr="00863E73" w:rsidRDefault="00BA41C1" w:rsidP="001C2076">
      <w:pPr>
        <w:pStyle w:val="HStandard"/>
      </w:pPr>
      <w:r>
        <w:rPr>
          <w:b/>
        </w:rPr>
        <w:t>Pravni okvir</w:t>
      </w:r>
      <w:r>
        <w:rPr>
          <w:rStyle w:val="FootnoteReference"/>
        </w:rPr>
        <w:footnoteReference w:id="8"/>
      </w:r>
      <w:r>
        <w:t xml:space="preserve"> je osnova za vrednotenje dosežkov PRP in njihovih prispevkov k višjim ciljem politike EU. </w:t>
      </w:r>
    </w:p>
    <w:p w:rsidR="001C2076" w:rsidRPr="001C6ACF" w:rsidRDefault="00CA1C02" w:rsidP="001C2076">
      <w:pPr>
        <w:pStyle w:val="HStandard"/>
      </w:pPr>
      <w:r>
        <w:rPr>
          <w:b/>
        </w:rPr>
        <w:t>Splošne določbe</w:t>
      </w:r>
      <w:r>
        <w:t xml:space="preserve"> za vrednotenje so določene v </w:t>
      </w:r>
      <w:r>
        <w:rPr>
          <w:b/>
        </w:rPr>
        <w:t>Uredbi (EU) št. 1303/2013</w:t>
      </w:r>
      <w:r>
        <w:t xml:space="preserve"> in določajo vlogo vrednotenja pri:</w:t>
      </w:r>
    </w:p>
    <w:p w:rsidR="001C2076" w:rsidRPr="001C6ACF" w:rsidRDefault="001C2076" w:rsidP="008D52EA">
      <w:pPr>
        <w:pStyle w:val="Hlistbullet"/>
      </w:pPr>
      <w:r>
        <w:t xml:space="preserve">izboljšanju kakovosti zasnove in izvajanja programov ter </w:t>
      </w:r>
    </w:p>
    <w:p w:rsidR="001C2076" w:rsidRPr="00571D58" w:rsidRDefault="001C2076" w:rsidP="008D52EA">
      <w:pPr>
        <w:pStyle w:val="Hlistbullet"/>
      </w:pPr>
      <w:r>
        <w:t>oceni njihove uspešnosti, učinkovitosti in vplivov</w:t>
      </w:r>
      <w:r>
        <w:rPr>
          <w:rStyle w:val="FootnoteReference"/>
        </w:rPr>
        <w:footnoteReference w:id="9"/>
      </w:r>
      <w:r>
        <w:t xml:space="preserve">. </w:t>
      </w:r>
    </w:p>
    <w:p w:rsidR="00087412" w:rsidRPr="001C6ACF" w:rsidRDefault="00D42EC7" w:rsidP="001C2076">
      <w:pPr>
        <w:pStyle w:val="HStandard"/>
      </w:pPr>
      <w:r>
        <w:t xml:space="preserve">V ta namen države članice zagotovijo </w:t>
      </w:r>
      <w:r>
        <w:rPr>
          <w:b/>
        </w:rPr>
        <w:t>vire za izvedbo vrednotenj</w:t>
      </w:r>
      <w:r>
        <w:t xml:space="preserve"> ter vzpostavijo postopke za </w:t>
      </w:r>
      <w:r>
        <w:rPr>
          <w:b/>
        </w:rPr>
        <w:t>zagotavljanje in zbiranje podatkov, potrebnih za vrednotenja</w:t>
      </w:r>
      <w:r>
        <w:t xml:space="preserve">, vključno s podatki o skupnih kazalnikih in, kadar je ustrezno, kazalnikih za posamezne programe. </w:t>
      </w:r>
    </w:p>
    <w:p w:rsidR="001C2076" w:rsidRPr="00571D58" w:rsidRDefault="001C2076" w:rsidP="001C2076">
      <w:pPr>
        <w:pStyle w:val="HStandard"/>
      </w:pPr>
      <w:r>
        <w:t xml:space="preserve">Vrednotenje se izvede skladno z </w:t>
      </w:r>
      <w:r>
        <w:rPr>
          <w:b/>
        </w:rPr>
        <w:t>načrtom vrednotenja</w:t>
      </w:r>
      <w:r>
        <w:t>, nadaljnji ukrepi na podlagi ugotovitev pa se izvedejo skladno s pravili za posamezni sklad. Vsaj enkrat v programskem obdobju se ovrednoti, kako je podpora iz skladov ESI prispevala k ciljem za vsako prednostno nalogo</w:t>
      </w:r>
      <w:r>
        <w:rPr>
          <w:rStyle w:val="FootnoteReference"/>
        </w:rPr>
        <w:footnoteReference w:id="10"/>
      </w:r>
      <w:r>
        <w:t>.</w:t>
      </w:r>
    </w:p>
    <w:p w:rsidR="001C2076" w:rsidRPr="00571D58" w:rsidRDefault="001C2076" w:rsidP="001C2076">
      <w:pPr>
        <w:pStyle w:val="HStandard"/>
      </w:pPr>
      <w:r>
        <w:rPr>
          <w:b/>
        </w:rPr>
        <w:t>V Uredbi (EU) št. 1306/2013</w:t>
      </w:r>
      <w:r>
        <w:t xml:space="preserve"> so določene zahteve glede spremljanja in vrednotenja skupne kmetijske politike (SKP)</w:t>
      </w:r>
      <w:r>
        <w:rPr>
          <w:rStyle w:val="FootnoteReference"/>
        </w:rPr>
        <w:footnoteReference w:id="11"/>
      </w:r>
      <w:r>
        <w:t xml:space="preserve">. V njej je določeno, da Evropska komisija zagotavlja uspešnost SKP pri doseganju </w:t>
      </w:r>
      <w:r>
        <w:rPr>
          <w:b/>
        </w:rPr>
        <w:t>skupnih ciljev.</w:t>
      </w:r>
      <w:r>
        <w:t xml:space="preserve"> Skupni učinek vseh instrumentov SKP se meri in oceni na podlagi informacij iz dejavnosti spremljanja in vrednotenja, izvedenih v državah članicah.</w:t>
      </w:r>
      <w:r>
        <w:rPr>
          <w:b/>
        </w:rPr>
        <w:t xml:space="preserve"> </w:t>
      </w:r>
      <w:r>
        <w:t xml:space="preserve">Skupni cilji se ocenijo s </w:t>
      </w:r>
      <w:r>
        <w:rPr>
          <w:b/>
        </w:rPr>
        <w:t>skupnimi kazalniki vpliva</w:t>
      </w:r>
      <w:r>
        <w:t xml:space="preserve">, specifični cilji pa na podlagi </w:t>
      </w:r>
      <w:r>
        <w:rPr>
          <w:b/>
        </w:rPr>
        <w:t>skupnih kazalnikov rezultatov</w:t>
      </w:r>
      <w:r>
        <w:t>. Zbrane informacije temeljijo na priznanih virih podatkov, kot sta mreža FADN in Eurostat. Evropska komisija upošteva potrebe po podatkih in sinergije med potencialnimi viri podatkov, zlasti njihovo uporabo v statistične namene, kadar je to ustrezno</w:t>
      </w:r>
      <w:r>
        <w:rPr>
          <w:rStyle w:val="FootnoteReference"/>
        </w:rPr>
        <w:footnoteReference w:id="12"/>
      </w:r>
      <w:r>
        <w:t>.</w:t>
      </w:r>
    </w:p>
    <w:p w:rsidR="001C2076" w:rsidRPr="001C6ACF" w:rsidRDefault="001C2076" w:rsidP="001C2076">
      <w:pPr>
        <w:pStyle w:val="HStandard"/>
      </w:pPr>
      <w:r>
        <w:rPr>
          <w:b/>
        </w:rPr>
        <w:t>V Uredbi (EU) št. 1305/2013 so določeni skupni sistem spremljanja in vrednotenja</w:t>
      </w:r>
      <w:r>
        <w:t>, njegovi cilji</w:t>
      </w:r>
      <w:r>
        <w:rPr>
          <w:rStyle w:val="FootnoteReference"/>
        </w:rPr>
        <w:footnoteReference w:id="13"/>
      </w:r>
      <w:r>
        <w:t xml:space="preserve"> in skupni kazalniki</w:t>
      </w:r>
      <w:r>
        <w:rPr>
          <w:rStyle w:val="FootnoteReference"/>
        </w:rPr>
        <w:footnoteReference w:id="14"/>
      </w:r>
      <w:r>
        <w:t>. Ti kazalniki se nanašajo na izhodiščno stanje (kazalniki stanja) ter na finančno izvajanje, učinke, rezultate in vpliv programa. Skupni kazalniki temeljijo na razpoložljivih podatkih in so povezani s strukturo in cilji okvira politike razvoja podeželja ter omogočajo oceno napredka, učinkovitosti in uspešnosti izvajanja politike glede na cilje na ravni Unije, nacionalni ravni in ravni programa.</w:t>
      </w:r>
    </w:p>
    <w:p w:rsidR="001C2076" w:rsidRPr="001C6ACF" w:rsidRDefault="001C2076" w:rsidP="001C2076">
      <w:pPr>
        <w:pStyle w:val="HStandard"/>
        <w:rPr>
          <w:b/>
        </w:rPr>
      </w:pPr>
      <w:r>
        <w:t xml:space="preserve">Vplivi programov razvoja podeželja se presojajo s skupnimi kazalniki vpliva (ter dodatnimi kazalniki in kazalniki za posamezni program). </w:t>
      </w:r>
      <w:r>
        <w:rPr>
          <w:b/>
        </w:rPr>
        <w:t xml:space="preserve">Za presojo vplivov programa so odgovorne države članice. </w:t>
      </w:r>
    </w:p>
    <w:p w:rsidR="00E52E73" w:rsidRPr="001C6ACF" w:rsidRDefault="00E52E73" w:rsidP="00E52E73">
      <w:pPr>
        <w:pStyle w:val="HHeading4"/>
      </w:pPr>
      <w:r>
        <w:t>Skupni elementi vrednotenja</w:t>
      </w:r>
    </w:p>
    <w:p w:rsidR="00D42EC7" w:rsidRPr="00CB20AA" w:rsidRDefault="00D42EC7" w:rsidP="00D42EC7">
      <w:pPr>
        <w:pStyle w:val="HStandard"/>
      </w:pPr>
      <w:r>
        <w:t>Sistem CMES je del skupnega okvira spremljanja in vrednotenja SKP</w:t>
      </w:r>
      <w:r>
        <w:rPr>
          <w:rStyle w:val="FootnoteReference"/>
        </w:rPr>
        <w:footnoteReference w:id="15"/>
      </w:r>
      <w:r>
        <w:t xml:space="preserve"> ter vključuje več smernic o uporabi skupnih vprašanj za vrednotenje in kazalnikov pri spremljanju in vrednotenju politike razvoja podeželja. V </w:t>
      </w:r>
      <w:r>
        <w:rPr>
          <w:b/>
        </w:rPr>
        <w:t>Izvedbeni uredbi Komisije</w:t>
      </w:r>
      <w:r>
        <w:t xml:space="preserve"> </w:t>
      </w:r>
      <w:r>
        <w:rPr>
          <w:b/>
        </w:rPr>
        <w:t>(EU) št. 808/2014</w:t>
      </w:r>
      <w:r>
        <w:rPr>
          <w:rStyle w:val="FootnoteReference"/>
          <w:b/>
        </w:rPr>
        <w:footnoteReference w:id="16"/>
      </w:r>
      <w:r>
        <w:t xml:space="preserve"> je podrobneje opisan, določeni pa so tudi njegovi elementi: </w:t>
      </w:r>
    </w:p>
    <w:p w:rsidR="001C2076" w:rsidRPr="00FB6C06" w:rsidRDefault="001C2076" w:rsidP="008D52EA">
      <w:pPr>
        <w:pStyle w:val="Hlistbullet"/>
      </w:pPr>
      <w:r>
        <w:lastRenderedPageBreak/>
        <w:t xml:space="preserve">intervencijska logika, ki izraža medsebojno delovanje prednostnih nalog, prednostnih področij in ukrepov; </w:t>
      </w:r>
    </w:p>
    <w:p w:rsidR="001C2076" w:rsidRPr="00571D58" w:rsidRDefault="001C2076" w:rsidP="008D52EA">
      <w:pPr>
        <w:pStyle w:val="Hlistbullet"/>
      </w:pPr>
      <w:r>
        <w:t>sklop skupnih kazalnikov stanja, rezultatov in učinka, vključno s kazalniki, ki se uporabljajo za določitev količinsko opredeljenih ciljev v zvezi s prednostnimi področji razvoja podeželja</w:t>
      </w:r>
      <w:r>
        <w:rPr>
          <w:rStyle w:val="FootnoteReference"/>
        </w:rPr>
        <w:footnoteReference w:id="17"/>
      </w:r>
      <w:r>
        <w:t xml:space="preserve">; </w:t>
      </w:r>
    </w:p>
    <w:p w:rsidR="001C2076" w:rsidRPr="00571D58" w:rsidRDefault="001C2076" w:rsidP="008D52EA">
      <w:pPr>
        <w:pStyle w:val="Hlistbullet"/>
      </w:pPr>
      <w:r>
        <w:t>skupna vprašanja za vrednotenje</w:t>
      </w:r>
      <w:r>
        <w:rPr>
          <w:rStyle w:val="FootnoteReference"/>
        </w:rPr>
        <w:footnoteReference w:id="18"/>
      </w:r>
      <w:r>
        <w:t>;</w:t>
      </w:r>
    </w:p>
    <w:p w:rsidR="001C2076" w:rsidRPr="00FB6C06" w:rsidRDefault="001C2076" w:rsidP="008D52EA">
      <w:pPr>
        <w:pStyle w:val="Hlistbullet"/>
      </w:pPr>
      <w:r>
        <w:t xml:space="preserve">zbiranje, hramba in pošiljanje podatkov; </w:t>
      </w:r>
    </w:p>
    <w:p w:rsidR="001C2076" w:rsidRPr="00571D58" w:rsidRDefault="001C2076" w:rsidP="008D52EA">
      <w:pPr>
        <w:pStyle w:val="Hlistbullet"/>
      </w:pPr>
      <w:r>
        <w:t>redno poročanje o dejavnostih spremljanja in vrednotenja</w:t>
      </w:r>
      <w:r>
        <w:rPr>
          <w:rStyle w:val="FootnoteReference"/>
        </w:rPr>
        <w:footnoteReference w:id="19"/>
      </w:r>
      <w:r>
        <w:t xml:space="preserve">; </w:t>
      </w:r>
    </w:p>
    <w:p w:rsidR="001C2076" w:rsidRPr="00571D58" w:rsidRDefault="001C2076" w:rsidP="008D52EA">
      <w:pPr>
        <w:pStyle w:val="Hlistbullet"/>
      </w:pPr>
      <w:r>
        <w:t>načrt vrednotenja</w:t>
      </w:r>
      <w:r>
        <w:rPr>
          <w:rStyle w:val="FootnoteReference"/>
        </w:rPr>
        <w:footnoteReference w:id="20"/>
      </w:r>
      <w:r>
        <w:t xml:space="preserve">; </w:t>
      </w:r>
    </w:p>
    <w:p w:rsidR="001C2076" w:rsidRPr="00571D58" w:rsidRDefault="001C2076" w:rsidP="008D52EA">
      <w:pPr>
        <w:pStyle w:val="Hlistbullet"/>
      </w:pPr>
      <w:r>
        <w:t>predhodna in naknadna vrednotenja ter vse druge dejavnosti vrednotenja, povezane s programom razvoja podeželja, vključno s tistimi, ki so potrebne za izpolnitev večjih zahtev iz letnih poročil o izvajanju za leti 2017 in 2019</w:t>
      </w:r>
      <w:r>
        <w:rPr>
          <w:rStyle w:val="FootnoteReference"/>
        </w:rPr>
        <w:footnoteReference w:id="21"/>
      </w:r>
      <w:r>
        <w:t>;</w:t>
      </w:r>
    </w:p>
    <w:p w:rsidR="001C2076" w:rsidRPr="00571D58" w:rsidRDefault="001C2076" w:rsidP="008D52EA">
      <w:pPr>
        <w:pStyle w:val="Hlistbullet"/>
      </w:pPr>
      <w:r>
        <w:t>podpora, s katero se vsem akterjem, odgovornim za spremljanje in vrednotenje, omogoči izpolnjevanje njihovih obveznosti</w:t>
      </w:r>
      <w:r>
        <w:rPr>
          <w:rStyle w:val="FootnoteReference"/>
        </w:rPr>
        <w:footnoteReference w:id="22"/>
      </w:r>
      <w:r>
        <w:t xml:space="preserve">. </w:t>
      </w:r>
    </w:p>
    <w:p w:rsidR="00F40273" w:rsidRPr="00CB20AA" w:rsidRDefault="00D42EC7" w:rsidP="001C2076">
      <w:pPr>
        <w:pStyle w:val="HStandard"/>
      </w:pPr>
      <w:r>
        <w:t xml:space="preserve">Evropska komisija zagotavlja tudi podrobne </w:t>
      </w:r>
      <w:r>
        <w:rPr>
          <w:b/>
        </w:rPr>
        <w:t xml:space="preserve">tehnične liste </w:t>
      </w:r>
      <w:r>
        <w:t xml:space="preserve">za vsakega od skupnih kazalnikov, o katerih je treba poročati v letnem poročilu o izvajanju v letih 2017 in 2019, med katerimi je 16 skupnih </w:t>
      </w:r>
      <w:hyperlink r:id="rId16">
        <w:r>
          <w:rPr>
            <w:rStyle w:val="Hyperlink"/>
          </w:rPr>
          <w:t>kazalnikov vpliva SKP</w:t>
        </w:r>
      </w:hyperlink>
      <w:r>
        <w:t xml:space="preserve">. </w:t>
      </w:r>
      <w:r>
        <w:rPr>
          <w:b/>
        </w:rPr>
        <w:t>Vsak tehnični list za kazalnike vpliva</w:t>
      </w:r>
      <w:r>
        <w:t xml:space="preserve"> vsebuje povezavo na:</w:t>
      </w:r>
    </w:p>
    <w:p w:rsidR="00F40273" w:rsidRPr="001C6ACF" w:rsidRDefault="00A3244E" w:rsidP="00DA263D">
      <w:pPr>
        <w:pStyle w:val="Hlistbullet"/>
      </w:pPr>
      <w:r>
        <w:t xml:space="preserve">zadevni cilj politike; </w:t>
      </w:r>
    </w:p>
    <w:p w:rsidR="00F40273" w:rsidRPr="001C6ACF" w:rsidRDefault="001C2076" w:rsidP="00DA263D">
      <w:pPr>
        <w:pStyle w:val="Hlistbullet"/>
      </w:pPr>
      <w:r>
        <w:t xml:space="preserve">opredelitev kazalnika; </w:t>
      </w:r>
    </w:p>
    <w:p w:rsidR="00F40273" w:rsidRPr="001C6ACF" w:rsidRDefault="001C2076" w:rsidP="00DA263D">
      <w:pPr>
        <w:pStyle w:val="Hlistbullet"/>
      </w:pPr>
      <w:r>
        <w:t xml:space="preserve">mersko enoto; </w:t>
      </w:r>
    </w:p>
    <w:p w:rsidR="00F40273" w:rsidRPr="001C6ACF" w:rsidRDefault="001C2076" w:rsidP="00DA263D">
      <w:pPr>
        <w:pStyle w:val="Hlistbullet"/>
      </w:pPr>
      <w:r>
        <w:t xml:space="preserve">metodologijo/formulo za izračun; </w:t>
      </w:r>
    </w:p>
    <w:p w:rsidR="00F40273" w:rsidRPr="001C6ACF" w:rsidRDefault="001C2076" w:rsidP="00DA263D">
      <w:pPr>
        <w:pStyle w:val="Hlistbullet"/>
      </w:pPr>
      <w:r>
        <w:t xml:space="preserve">potrebne podatke in podatkovne vire; </w:t>
      </w:r>
    </w:p>
    <w:p w:rsidR="00F40273" w:rsidRPr="001C6ACF" w:rsidRDefault="003304E5" w:rsidP="00DA263D">
      <w:pPr>
        <w:pStyle w:val="Hlistbullet"/>
      </w:pPr>
      <w:r>
        <w:t xml:space="preserve">raven in pogostost zbiranja podatkov; </w:t>
      </w:r>
    </w:p>
    <w:p w:rsidR="001C2076" w:rsidRPr="001C6ACF" w:rsidRDefault="001C2076" w:rsidP="00DA263D">
      <w:pPr>
        <w:pStyle w:val="Hlistbullet"/>
      </w:pPr>
      <w:r>
        <w:t xml:space="preserve">informacije o zamudah pri zbiranju podatkov. </w:t>
      </w:r>
    </w:p>
    <w:p w:rsidR="001C2076" w:rsidRPr="001C6ACF" w:rsidRDefault="001C2076" w:rsidP="001C2076">
      <w:pPr>
        <w:pStyle w:val="HStandard"/>
      </w:pPr>
      <w:r>
        <w:rPr>
          <w:b/>
        </w:rPr>
        <w:t>13 od 16 skupnih kazalnikov vpliva SKP</w:t>
      </w:r>
      <w:r>
        <w:t xml:space="preserve"> se uporabi v presoji vplivov PRP:</w:t>
      </w:r>
    </w:p>
    <w:p w:rsidR="001C2076" w:rsidRPr="001C6ACF" w:rsidRDefault="001C2076" w:rsidP="008D52EA">
      <w:pPr>
        <w:pStyle w:val="Hlistbullet"/>
      </w:pPr>
      <w:r>
        <w:t>I.01 Podjetniški dohodek kmetijstva</w:t>
      </w:r>
    </w:p>
    <w:p w:rsidR="001C2076" w:rsidRPr="001C6ACF" w:rsidRDefault="001C2076" w:rsidP="008D52EA">
      <w:pPr>
        <w:pStyle w:val="Hlistbullet"/>
      </w:pPr>
      <w:r>
        <w:t>I.02 Faktorski dohodek kmetijstva</w:t>
      </w:r>
    </w:p>
    <w:p w:rsidR="001C2076" w:rsidRPr="001C6ACF" w:rsidRDefault="001C2076" w:rsidP="008D52EA">
      <w:pPr>
        <w:pStyle w:val="Hlistbullet"/>
      </w:pPr>
      <w:r>
        <w:t>I.03 Skupna faktorska produktivnost v kmetijstvu</w:t>
      </w:r>
    </w:p>
    <w:p w:rsidR="001C2076" w:rsidRPr="001C6ACF" w:rsidRDefault="001C2076" w:rsidP="008D52EA">
      <w:pPr>
        <w:pStyle w:val="Hlistbullet"/>
      </w:pPr>
      <w:r>
        <w:t>I.07 Emisije iz kmetijstva</w:t>
      </w:r>
    </w:p>
    <w:p w:rsidR="001C2076" w:rsidRPr="001C6ACF" w:rsidRDefault="001C2076" w:rsidP="008D52EA">
      <w:pPr>
        <w:pStyle w:val="Hlistbullet"/>
      </w:pPr>
      <w:r>
        <w:t>I.08 Indeks ptic kmetijske krajine</w:t>
      </w:r>
    </w:p>
    <w:p w:rsidR="001C2076" w:rsidRPr="001C6ACF" w:rsidRDefault="001C2076" w:rsidP="008D52EA">
      <w:pPr>
        <w:pStyle w:val="Hlistbullet"/>
      </w:pPr>
      <w:r>
        <w:t>I.09 Kmetovanje z visoko naravno vrednostjo</w:t>
      </w:r>
    </w:p>
    <w:p w:rsidR="001C2076" w:rsidRPr="001C6ACF" w:rsidRDefault="001C2076" w:rsidP="008D52EA">
      <w:pPr>
        <w:pStyle w:val="Hlistbullet"/>
      </w:pPr>
      <w:r>
        <w:t>I.10 Odvzem vode v kmetijstvu</w:t>
      </w:r>
    </w:p>
    <w:p w:rsidR="001C2076" w:rsidRPr="001C6ACF" w:rsidRDefault="001C2076" w:rsidP="008D52EA">
      <w:pPr>
        <w:pStyle w:val="Hlistbullet"/>
      </w:pPr>
      <w:r>
        <w:t>I.11 Kakovost vode</w:t>
      </w:r>
    </w:p>
    <w:p w:rsidR="001C2076" w:rsidRPr="001C6ACF" w:rsidRDefault="001C2076" w:rsidP="008D52EA">
      <w:pPr>
        <w:pStyle w:val="Hlistbullet"/>
      </w:pPr>
      <w:r>
        <w:t>I.12 Organske snovi v tleh na ornih zemljiščih</w:t>
      </w:r>
    </w:p>
    <w:p w:rsidR="001C2076" w:rsidRPr="001C6ACF" w:rsidRDefault="001C2076" w:rsidP="008D52EA">
      <w:pPr>
        <w:pStyle w:val="Hlistbullet"/>
      </w:pPr>
      <w:r>
        <w:t>I.13 Erozija tal zaradi vode</w:t>
      </w:r>
    </w:p>
    <w:p w:rsidR="001C2076" w:rsidRPr="001C6ACF" w:rsidRDefault="001C2076" w:rsidP="008D52EA">
      <w:pPr>
        <w:pStyle w:val="Hlistbullet"/>
      </w:pPr>
      <w:r>
        <w:t>I.14 Stopnja zaposlenosti na podeželju</w:t>
      </w:r>
    </w:p>
    <w:p w:rsidR="001C2076" w:rsidRPr="001C6ACF" w:rsidRDefault="001C2076" w:rsidP="008D52EA">
      <w:pPr>
        <w:pStyle w:val="Hlistbullet"/>
      </w:pPr>
      <w:r>
        <w:t>I.15 Stopnja revščine na podeželju</w:t>
      </w:r>
    </w:p>
    <w:p w:rsidR="001C2076" w:rsidRPr="001C6ACF" w:rsidRDefault="001C2076" w:rsidP="008D52EA">
      <w:pPr>
        <w:pStyle w:val="Hlistbullet"/>
      </w:pPr>
      <w:r>
        <w:t>I.16 BDP na prebivalca na podeželskih območjih</w:t>
      </w:r>
    </w:p>
    <w:p w:rsidR="001C2076" w:rsidRPr="001C6ACF" w:rsidRDefault="00B21618" w:rsidP="00E35440">
      <w:pPr>
        <w:pStyle w:val="HHeading2"/>
      </w:pPr>
      <w:r>
        <w:t xml:space="preserve"> Kako v letu 2019 poročati o skupnih vprašanjih za vrednotenje?</w:t>
      </w:r>
    </w:p>
    <w:p w:rsidR="001C2076" w:rsidRPr="001C6ACF" w:rsidRDefault="003304E5" w:rsidP="003304E5">
      <w:pPr>
        <w:pStyle w:val="HStandard"/>
      </w:pPr>
      <w:r>
        <w:t xml:space="preserve">Leta 2019 države članice o svojih ugotovitvah vrednotenja poročajo tako, da odgovorijo na vsa ustrezna skupna vprašanja za vrednotenje in vprašanja za vrednotenje posameznega programa v vsakem ustreznem delu letnega poročila o izvajanju. </w:t>
      </w:r>
    </w:p>
    <w:p w:rsidR="001C2076" w:rsidRPr="001C6ACF" w:rsidRDefault="00906DAF" w:rsidP="003304E5">
      <w:pPr>
        <w:pStyle w:val="HStandard"/>
      </w:pPr>
      <w:r>
        <w:t xml:space="preserve">Podobno kot odgovori na skupna vprašanja za vrednotenje od št. 1 do 21 bi morali odgovori na skupna vprašanja za vrednotenje v zvezi s cilji na ravni EU (vprašanja od št. 22 do 30) temeljiti na dokazih iz </w:t>
      </w:r>
      <w:r>
        <w:lastRenderedPageBreak/>
        <w:t>ugotovitev vrednotenja. Presoje o uspešnosti ukrepanja se oblikujejo s pomočjo ocenjevalnih meril in merijo s skupnimi in dodatnimi kazalniki vpliva ter kazalniki, povezanimi s strategijo EU za pametno, trajnostno in vključujočo rast. Poleg tega se lahko zberejo kvalitativne informacije, da je v primeru pomanjkljivih podatkov mogoče odgovoriti na vprašanja za vrednotenje.</w:t>
      </w:r>
    </w:p>
    <w:p w:rsidR="00970A15" w:rsidRPr="001C6ACF" w:rsidRDefault="00C16EB2" w:rsidP="00970A15">
      <w:pPr>
        <w:pStyle w:val="HHeading4"/>
      </w:pPr>
      <w:r>
        <w:t>Kateri so splošni koraki za odgovore na vprašanja za vrednotenje?</w:t>
      </w:r>
    </w:p>
    <w:p w:rsidR="001C2076" w:rsidRPr="001C6ACF" w:rsidRDefault="001C2076" w:rsidP="007D2D54">
      <w:pPr>
        <w:pStyle w:val="HStandard"/>
        <w:rPr>
          <w:rFonts w:cs="Arial"/>
        </w:rPr>
      </w:pPr>
      <w:r>
        <w:t>Za oblikovanje odgovorov na skupna vprašanja za vrednotenje od št. 22 do 30 se priporočajo naslednji splošni koraki:</w:t>
      </w:r>
    </w:p>
    <w:p w:rsidR="001C2076" w:rsidRPr="001C6ACF" w:rsidRDefault="007B324B" w:rsidP="00E35440">
      <w:pPr>
        <w:pStyle w:val="Hlistbullet"/>
      </w:pPr>
      <w:r>
        <w:t>pregledati intervencijsko logiko programa, povezano s cilji SKP / cilji strategije Evropa 2020, prednostnimi nalogami na področju razvoja podeželja, prednostnimi področji in ukrepi za vsako posamezno skupno vprašanje za vrednotenje;</w:t>
      </w:r>
    </w:p>
    <w:p w:rsidR="001C2076" w:rsidRPr="001C6ACF" w:rsidRDefault="00DA263D" w:rsidP="00E35440">
      <w:pPr>
        <w:pStyle w:val="Hlistbullet"/>
      </w:pPr>
      <w:r>
        <w:t xml:space="preserve">opredeliti ocenjevalna merila in jih povezati s skupnimi (in dodatnimi) kazalniki vpliva, ki se uporabijo pri odgovoru na vprašanje za vrednotenje; </w:t>
      </w:r>
    </w:p>
    <w:p w:rsidR="001C2076" w:rsidRPr="00863E73" w:rsidRDefault="007B324B" w:rsidP="00E35440">
      <w:pPr>
        <w:pStyle w:val="Hlistbullet"/>
      </w:pPr>
      <w:r>
        <w:t>izbrati kvantitativne in kvalitativne metode, s katerimi je mogoče oceniti neto vrednosti</w:t>
      </w:r>
      <w:r>
        <w:rPr>
          <w:rStyle w:val="FootnoteReference"/>
          <w:i w:val="0"/>
          <w:position w:val="0"/>
          <w:sz w:val="20"/>
          <w:vertAlign w:val="superscript"/>
        </w:rPr>
        <w:footnoteReference w:id="23"/>
      </w:r>
      <w:r>
        <w:rPr>
          <w:vertAlign w:val="superscript"/>
        </w:rPr>
        <w:t xml:space="preserve"> </w:t>
      </w:r>
      <w:r>
        <w:t>kazalnikov vpliva;</w:t>
      </w:r>
    </w:p>
    <w:p w:rsidR="001C2076" w:rsidRPr="001C6ACF" w:rsidRDefault="007B324B" w:rsidP="00E35440">
      <w:pPr>
        <w:pStyle w:val="Hlistbullet"/>
      </w:pPr>
      <w:r>
        <w:t xml:space="preserve">zagotoviti kvantitativne vrednosti za kazalnike rezultatov in vpliva ter tudi ustrezne kvalitativne ugotovitve za odgovore na vprašanja za vrednotenje; </w:t>
      </w:r>
    </w:p>
    <w:p w:rsidR="001C2076" w:rsidRPr="001C6ACF" w:rsidRDefault="007B324B" w:rsidP="00E35440">
      <w:pPr>
        <w:pStyle w:val="Hlistbullet"/>
      </w:pPr>
      <w:r>
        <w:t>odgovoriti na vprašanja za vrednotenje.</w:t>
      </w:r>
    </w:p>
    <w:p w:rsidR="001C2076" w:rsidRPr="001C6ACF" w:rsidRDefault="00217482" w:rsidP="007D2D54">
      <w:pPr>
        <w:pStyle w:val="HStandard"/>
      </w:pPr>
      <w:r>
        <w:t xml:space="preserve">Navedeni koraki so podobni tistim, ki so bili predlagani za izvedbo vrednotenja leta 2017. Vendar se lahko leta 2019 pojavijo nekateri novi izzivi, ki so podrobneje pojasnjeni v </w:t>
      </w:r>
      <w:r>
        <w:rPr>
          <w:color w:val="F07E31" w:themeColor="accent1"/>
        </w:rPr>
        <w:t xml:space="preserve">delu II </w:t>
      </w:r>
      <w:r>
        <w:t xml:space="preserve">smernic. </w:t>
      </w:r>
    </w:p>
    <w:p w:rsidR="001C2076" w:rsidRPr="001C6ACF" w:rsidRDefault="001C2076" w:rsidP="00812032">
      <w:pPr>
        <w:pStyle w:val="HHeading4"/>
      </w:pPr>
      <w:r>
        <w:t xml:space="preserve">Kje poiskati navodila za skupna vprašanja za vrednotenje, na katera bo treba odgovoriti leta 2019? </w:t>
      </w:r>
    </w:p>
    <w:p w:rsidR="00217482" w:rsidRPr="001C6ACF" w:rsidRDefault="00217482" w:rsidP="00217482">
      <w:pPr>
        <w:pStyle w:val="HStandard"/>
      </w:pPr>
      <w:r>
        <w:t xml:space="preserve">V teh smernicah so podrobne informacije o tem, kako odgovoriti na skupna vprašanja za vrednotenje, povezana s cilji na ravni EU pri teh vprašanjih od št. 22 do 30. Smernice po potrebi vsebujejo sklic na druge ustrezne smernice, kot je prikazano v preglednici 1. </w:t>
      </w:r>
    </w:p>
    <w:p w:rsidR="001C2076" w:rsidRPr="001C6ACF" w:rsidRDefault="001C2076" w:rsidP="001C2076">
      <w:pPr>
        <w:spacing w:after="0" w:line="280" w:lineRule="atLeast"/>
        <w:rPr>
          <w:rFonts w:cs="Arial"/>
          <w:color w:val="373737" w:themeColor="text1"/>
          <w:sz w:val="20"/>
          <w:szCs w:val="20"/>
        </w:rPr>
      </w:pPr>
      <w:r>
        <w:rPr>
          <w:color w:val="373737" w:themeColor="text1"/>
          <w:sz w:val="20"/>
        </w:rPr>
        <w:t>Navodila za odgovarjanje na skupna vprašanja za vrednotenje, povezana s prednostnimi področji za razvoj podeželja, sinergijami programa, tehnično pomočjo in nacionalnimi mrežami za podeželje (vprašanja od št. 1 do 21) so na voljo v:</w:t>
      </w:r>
    </w:p>
    <w:p w:rsidR="008E3ACB" w:rsidRPr="001C6ACF" w:rsidRDefault="00217482" w:rsidP="00E35440">
      <w:pPr>
        <w:pStyle w:val="Hlistbullet"/>
      </w:pPr>
      <w:r>
        <w:rPr>
          <w:i/>
        </w:rPr>
        <w:t xml:space="preserve">Smernicah </w:t>
      </w:r>
      <w:r>
        <w:t>z naslovom</w:t>
      </w:r>
      <w:r>
        <w:rPr>
          <w:i/>
        </w:rPr>
        <w:t xml:space="preserve"> </w:t>
      </w:r>
      <w:hyperlink r:id="rId17">
        <w:r>
          <w:rPr>
            <w:rStyle w:val="Hyperlink"/>
            <w:i/>
            <w:color w:val="373737" w:themeColor="text1"/>
            <w:u w:val="none"/>
          </w:rPr>
          <w:t>Presoja rezultatov PRP: kako se pripraviti na poročanje o vrednotenju v letu 2017</w:t>
        </w:r>
      </w:hyperlink>
      <w:r>
        <w:t xml:space="preserve">: v tem dokumentu je navedeno, kako poročati o vrednotenjih v letnem poročilu o izvajanju za leto 2017 in pozneje. Smernice vsebujejo možne pristope k vrednotenju za presojo rezultatov PRP v letu 2017, ki pa se v zvezi s skupnimi vprašanji za vrednotenje od št. 1 do 21 uporabljajo tudi za leto 2019. </w:t>
      </w:r>
    </w:p>
    <w:p w:rsidR="001C2076" w:rsidRPr="001C6ACF" w:rsidRDefault="0014533D" w:rsidP="00E35440">
      <w:pPr>
        <w:pStyle w:val="Hlistbullet"/>
      </w:pPr>
      <w:hyperlink r:id="rId18">
        <w:r w:rsidR="006F62E2">
          <w:rPr>
            <w:rStyle w:val="Hyperlink"/>
            <w:i/>
            <w:color w:val="373737" w:themeColor="text1"/>
            <w:u w:val="none"/>
          </w:rPr>
          <w:t>Priloga 11 – Tehnični listi za odgovarjanje na skupna vprašanja za vrednotenje za programe razvoja podeželja za obdobje 2014–2020</w:t>
        </w:r>
      </w:hyperlink>
      <w:r w:rsidR="006F62E2">
        <w:rPr>
          <w:rStyle w:val="Hyperlink"/>
          <w:i/>
          <w:color w:val="373737" w:themeColor="text1"/>
          <w:u w:val="none"/>
        </w:rPr>
        <w:t>:</w:t>
      </w:r>
      <w:r w:rsidR="006F62E2">
        <w:t xml:space="preserve"> zagotavlja tehnično podporo pri odgovarjanju na skupna vprašanja za vrednotenje. Št. 1 do 21. Prikazuje intervencijsko logiko, povezano z vsakim skupnim vprašanjem za vrednotenje, opisuje koristne elemente vrednotenja in predlaga metode za ocenjevanje.</w:t>
      </w:r>
    </w:p>
    <w:p w:rsidR="0020488A" w:rsidRPr="001C6ACF" w:rsidRDefault="0020488A" w:rsidP="005A56B7">
      <w:pPr>
        <w:pStyle w:val="HStandard"/>
      </w:pPr>
      <w:r>
        <w:t xml:space="preserve">Preglednica 1 vsebuje pregled najpomembnejših dokumentov za odgovarjanje na skupna vprašanja o vrednotenju v letnem poročilu o izvajanju za leto 2019: </w:t>
      </w:r>
    </w:p>
    <w:p w:rsidR="00AB3BA1" w:rsidRPr="001C6ACF" w:rsidRDefault="009F77FD" w:rsidP="001844B4">
      <w:pPr>
        <w:pStyle w:val="HHeadingtables"/>
        <w:ind w:left="1418" w:hanging="1418"/>
      </w:pPr>
      <w:r>
        <w:br w:type="column"/>
      </w:r>
      <w:r>
        <w:lastRenderedPageBreak/>
        <w:t>Navodila za odgovarjanje na skupna vprašanja za vrednotenje v letnem poročilu o izvajanju v letu 2019</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50"/>
        <w:gridCol w:w="2367"/>
        <w:gridCol w:w="5299"/>
      </w:tblGrid>
      <w:tr w:rsidR="00AB3BA1" w:rsidRPr="001C6ACF" w:rsidTr="00A746BC">
        <w:trPr>
          <w:tblHeader/>
        </w:trPr>
        <w:tc>
          <w:tcPr>
            <w:tcW w:w="1129" w:type="dxa"/>
            <w:shd w:val="clear" w:color="auto" w:fill="F07E31" w:themeFill="accent1"/>
          </w:tcPr>
          <w:p w:rsidR="00AB3BA1" w:rsidRPr="001C6ACF" w:rsidRDefault="007038B3" w:rsidP="00A746BC">
            <w:pPr>
              <w:pStyle w:val="HStandard"/>
              <w:jc w:val="center"/>
              <w:rPr>
                <w:b/>
                <w:color w:val="FFFFFF" w:themeColor="background1"/>
              </w:rPr>
            </w:pPr>
            <w:r>
              <w:rPr>
                <w:b/>
                <w:color w:val="FFFFFF" w:themeColor="background1"/>
              </w:rPr>
              <w:t>Skupno vprašanje za vrednotenje</w:t>
            </w:r>
          </w:p>
        </w:tc>
        <w:tc>
          <w:tcPr>
            <w:tcW w:w="2410" w:type="dxa"/>
            <w:shd w:val="clear" w:color="auto" w:fill="F07E31" w:themeFill="accent1"/>
          </w:tcPr>
          <w:p w:rsidR="00AB3BA1" w:rsidRPr="001C6ACF" w:rsidRDefault="00116A79" w:rsidP="008D52EA">
            <w:pPr>
              <w:pStyle w:val="HStandard"/>
              <w:jc w:val="center"/>
              <w:rPr>
                <w:b/>
                <w:color w:val="FFFFFF" w:themeColor="background1"/>
              </w:rPr>
            </w:pPr>
            <w:r>
              <w:rPr>
                <w:b/>
                <w:color w:val="FFFFFF" w:themeColor="background1"/>
              </w:rPr>
              <w:t>Dokument</w:t>
            </w:r>
          </w:p>
        </w:tc>
        <w:tc>
          <w:tcPr>
            <w:tcW w:w="5477" w:type="dxa"/>
            <w:shd w:val="clear" w:color="auto" w:fill="F07E31" w:themeFill="accent1"/>
          </w:tcPr>
          <w:p w:rsidR="00AB3BA1" w:rsidRPr="001C6ACF" w:rsidRDefault="00146C75" w:rsidP="008D52EA">
            <w:pPr>
              <w:pStyle w:val="HStandard"/>
              <w:jc w:val="center"/>
              <w:rPr>
                <w:b/>
                <w:color w:val="FFFFFF" w:themeColor="background1"/>
              </w:rPr>
            </w:pPr>
            <w:r>
              <w:rPr>
                <w:b/>
                <w:color w:val="FFFFFF" w:themeColor="background1"/>
              </w:rPr>
              <w:t>Relevantnost za letno poročilo o izvajanju za leto 2019</w:t>
            </w:r>
          </w:p>
        </w:tc>
      </w:tr>
      <w:tr w:rsidR="009F7952" w:rsidRPr="001C6ACF" w:rsidTr="00A746BC">
        <w:trPr>
          <w:trHeight w:val="1091"/>
        </w:trPr>
        <w:tc>
          <w:tcPr>
            <w:tcW w:w="1129" w:type="dxa"/>
            <w:vMerge w:val="restart"/>
          </w:tcPr>
          <w:p w:rsidR="009F7952" w:rsidRPr="001C6ACF" w:rsidRDefault="009F7952" w:rsidP="00A746BC">
            <w:pPr>
              <w:pStyle w:val="HStandard"/>
              <w:jc w:val="center"/>
            </w:pPr>
            <w:r>
              <w:t>Od št. 1 do 21</w:t>
            </w:r>
          </w:p>
        </w:tc>
        <w:tc>
          <w:tcPr>
            <w:tcW w:w="2410" w:type="dxa"/>
          </w:tcPr>
          <w:p w:rsidR="009F7952" w:rsidRPr="00571D58" w:rsidRDefault="0014533D" w:rsidP="00DF22D0">
            <w:pPr>
              <w:pStyle w:val="HStandard"/>
              <w:jc w:val="left"/>
            </w:pPr>
            <w:hyperlink r:id="rId19">
              <w:r w:rsidR="006F62E2">
                <w:rPr>
                  <w:rStyle w:val="Hyperlink"/>
                </w:rPr>
                <w:t>Tehnični listi za ciljne kazalnike za drugi steber (prednostni nalogi I in II)</w:t>
              </w:r>
            </w:hyperlink>
          </w:p>
        </w:tc>
        <w:tc>
          <w:tcPr>
            <w:tcW w:w="5477" w:type="dxa"/>
          </w:tcPr>
          <w:p w:rsidR="009F7952" w:rsidRPr="00FB6C06" w:rsidRDefault="009F7952" w:rsidP="005A56B7">
            <w:pPr>
              <w:pStyle w:val="HStandard"/>
            </w:pPr>
            <w:r>
              <w:t>Za vsak kazalnik so navedene povezave do zadevne prednostne naloge in prednostnega področja, opredelitev in merska enota, metodologija za izračun, potreba po podatkih in podatkovni viri, pogostost zbiranja in način predložitve Evropski komisiji.</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14533D" w:rsidP="00DF22D0">
            <w:pPr>
              <w:pStyle w:val="HStandard"/>
              <w:jc w:val="left"/>
            </w:pPr>
            <w:hyperlink r:id="rId20">
              <w:r w:rsidR="006F62E2">
                <w:rPr>
                  <w:rStyle w:val="Hyperlink"/>
                </w:rPr>
                <w:t>Tehnični listi za dopolnilne kazalnike rezultata za drugi steber</w:t>
              </w:r>
            </w:hyperlink>
          </w:p>
        </w:tc>
        <w:tc>
          <w:tcPr>
            <w:tcW w:w="5477" w:type="dxa"/>
          </w:tcPr>
          <w:p w:rsidR="009F7952" w:rsidRPr="00336531" w:rsidRDefault="009F7952" w:rsidP="005A56B7">
            <w:pPr>
              <w:pStyle w:val="HStandard"/>
            </w:pPr>
            <w:r>
              <w:t>Vsebuje podobna navodila za vsakega od dopolnilnih kazalnikov rezultatov.</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863E73" w:rsidRDefault="0014533D" w:rsidP="00DF22D0">
            <w:pPr>
              <w:pStyle w:val="HStandard"/>
              <w:jc w:val="left"/>
            </w:pPr>
            <w:hyperlink r:id="rId21">
              <w:r w:rsidR="006F62E2">
                <w:rPr>
                  <w:rStyle w:val="Hyperlink"/>
                </w:rPr>
                <w:t>Presoja rezultatov PRP: kako se pripraviti na poročanje o vrednotenju v letu 2017</w:t>
              </w:r>
            </w:hyperlink>
            <w:r w:rsidR="006F62E2">
              <w:rPr>
                <w:rStyle w:val="Hyperlink"/>
              </w:rPr>
              <w:t xml:space="preserve"> (ločena Priloga 11)</w:t>
            </w:r>
          </w:p>
        </w:tc>
        <w:tc>
          <w:tcPr>
            <w:tcW w:w="5477" w:type="dxa"/>
          </w:tcPr>
          <w:p w:rsidR="009F7952" w:rsidRPr="001C6ACF" w:rsidRDefault="00116A79" w:rsidP="00593F3E">
            <w:pPr>
              <w:pStyle w:val="HStandard"/>
            </w:pPr>
            <w:r>
              <w:t>Vsebuje predloge, kako poročati o vrednotenjih v letnem poročilu o izvajanju za leto 2017, kako izvesti dejavnosti vrednotenja in s katerimi metodami odgovoriti na skupna vprašanja za vrednotenje od št. 1 do 21.</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14533D" w:rsidP="00DF22D0">
            <w:pPr>
              <w:pStyle w:val="HStandard"/>
              <w:jc w:val="left"/>
            </w:pPr>
            <w:hyperlink r:id="rId22">
              <w:r w:rsidR="006F62E2">
                <w:rPr>
                  <w:rStyle w:val="Hyperlink"/>
                </w:rPr>
                <w:t>Smernice z naslovom Vrednotenje pristopa LEADER/CLLD</w:t>
              </w:r>
            </w:hyperlink>
          </w:p>
        </w:tc>
        <w:tc>
          <w:tcPr>
            <w:tcW w:w="5477" w:type="dxa"/>
          </w:tcPr>
          <w:p w:rsidR="009F7952" w:rsidRPr="007645B4" w:rsidRDefault="00116A79" w:rsidP="005A56B7">
            <w:pPr>
              <w:pStyle w:val="HStandard"/>
            </w:pPr>
            <w:r>
              <w:t xml:space="preserve">Pojasnjuje, kako oceniti primarne in sekundarne prispevke pristopa LEADER/CLLD k prednostnim področjem razvoja podeželja. </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14533D" w:rsidP="00DF22D0">
            <w:pPr>
              <w:pStyle w:val="HStandard"/>
              <w:jc w:val="left"/>
            </w:pPr>
            <w:hyperlink r:id="rId23">
              <w:r w:rsidR="006F62E2">
                <w:rPr>
                  <w:rStyle w:val="Hyperlink"/>
                </w:rPr>
                <w:t>Smernice z naslovom Vrednotenje inovacij v programih za razvoj podeželja za obdobje 2014–2020</w:t>
              </w:r>
            </w:hyperlink>
          </w:p>
        </w:tc>
        <w:tc>
          <w:tcPr>
            <w:tcW w:w="5477" w:type="dxa"/>
          </w:tcPr>
          <w:p w:rsidR="009F7952" w:rsidRPr="00863E73" w:rsidRDefault="009F7952" w:rsidP="005A56B7">
            <w:pPr>
              <w:pStyle w:val="HStandard"/>
            </w:pPr>
            <w:r>
              <w:t xml:space="preserve">Zagotavlja informacije o oceni inovacij, povezanih s prednostnima področjema 1A in 1B, in o podpori za inovacije z dejavnostmi nacionalnih mrež za podeželje. Poleg tega zagotavlja tudi podporo za odgovarjanje na skupna vprašanja za vrednotenje št. 1, 2 in 21, ki se nanašajo na vidike, povezane z inovacijami. </w:t>
            </w:r>
          </w:p>
        </w:tc>
      </w:tr>
      <w:tr w:rsidR="002C57D4" w:rsidRPr="001C6ACF" w:rsidTr="00A746BC">
        <w:tc>
          <w:tcPr>
            <w:tcW w:w="1129" w:type="dxa"/>
            <w:vMerge w:val="restart"/>
          </w:tcPr>
          <w:p w:rsidR="002C57D4" w:rsidRPr="001C6ACF" w:rsidRDefault="002C57D4" w:rsidP="00A746BC">
            <w:pPr>
              <w:pStyle w:val="HStandard"/>
              <w:jc w:val="center"/>
            </w:pPr>
            <w:r>
              <w:t>Št. 22 do 30</w:t>
            </w:r>
          </w:p>
        </w:tc>
        <w:tc>
          <w:tcPr>
            <w:tcW w:w="2410" w:type="dxa"/>
          </w:tcPr>
          <w:p w:rsidR="002C57D4" w:rsidRPr="00571D58" w:rsidRDefault="0014533D" w:rsidP="00DF22D0">
            <w:pPr>
              <w:pStyle w:val="HStandard"/>
              <w:jc w:val="left"/>
            </w:pPr>
            <w:hyperlink r:id="rId24">
              <w:r w:rsidR="006F62E2">
                <w:rPr>
                  <w:rStyle w:val="Hyperlink"/>
                </w:rPr>
                <w:t>Tehnični listi za kazalnike vpliva</w:t>
              </w:r>
            </w:hyperlink>
            <w:r w:rsidR="006F62E2">
              <w:t xml:space="preserve"> </w:t>
            </w:r>
          </w:p>
        </w:tc>
        <w:tc>
          <w:tcPr>
            <w:tcW w:w="5477" w:type="dxa"/>
          </w:tcPr>
          <w:p w:rsidR="002C57D4" w:rsidRPr="001C6ACF" w:rsidRDefault="002C57D4" w:rsidP="005A56B7">
            <w:pPr>
              <w:pStyle w:val="HStandard"/>
            </w:pPr>
            <w:r>
              <w:t>Zagotavlja informacije o povezavah med kazalnikom in splošnimi cilji SKP, opredelitev kazalnikov, mersko enoto, metodologijo/formulo za izračun, potrebne podatke in podatkovne vire, pogostost/zamude pri zbiranju ter lokacijo podatkov.</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14533D">
            <w:pPr>
              <w:pStyle w:val="HStandard"/>
              <w:jc w:val="left"/>
            </w:pPr>
            <w:hyperlink r:id="rId25">
              <w:r w:rsidR="006F62E2">
                <w:rPr>
                  <w:rStyle w:val="Hyperlink"/>
                </w:rPr>
                <w:t>Najnovejši podatki držav članic o kazalnikih stanja</w:t>
              </w:r>
            </w:hyperlink>
          </w:p>
        </w:tc>
        <w:tc>
          <w:tcPr>
            <w:tcW w:w="5477" w:type="dxa"/>
          </w:tcPr>
          <w:p w:rsidR="00A75E50" w:rsidRPr="00336531" w:rsidRDefault="00A75E50" w:rsidP="00FF4127">
            <w:pPr>
              <w:pStyle w:val="HStandard"/>
            </w:pPr>
            <w:r>
              <w:t>Evropska komisija na podlagi podatkov, ki jih pošljejo države članice, vsako leto zagotavlja najnovejše podatke (če so na voljo) za skupne kazalnike stanja.</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14533D" w:rsidP="00DF22D0">
            <w:pPr>
              <w:pStyle w:val="HStandard"/>
              <w:jc w:val="left"/>
              <w:rPr>
                <w:color w:val="F07E31" w:themeColor="accent1"/>
              </w:rPr>
            </w:pPr>
            <w:hyperlink r:id="rId26">
              <w:r w:rsidR="006F62E2">
                <w:rPr>
                  <w:rStyle w:val="Hyperlink"/>
                </w:rPr>
                <w:t>Smernice z naslovom Vrednotenje inovacij v programih za razvoj podeželja za obdobje 2014–2020</w:t>
              </w:r>
            </w:hyperlink>
          </w:p>
          <w:p w:rsidR="00A75E50" w:rsidRPr="00336531" w:rsidRDefault="00A75E50">
            <w:pPr>
              <w:pStyle w:val="HStandard"/>
              <w:jc w:val="left"/>
            </w:pPr>
          </w:p>
        </w:tc>
        <w:tc>
          <w:tcPr>
            <w:tcW w:w="5477" w:type="dxa"/>
          </w:tcPr>
          <w:p w:rsidR="00A75E50" w:rsidRPr="001C6ACF" w:rsidRDefault="00A75E50" w:rsidP="00FF4127">
            <w:pPr>
              <w:pStyle w:val="HStandard"/>
            </w:pPr>
            <w:r>
              <w:t>Zagotavlja informacije o oceni prispevkov PRP h krovnemu cilju strategije Evropa 2020, da se 3 % BDP EU vložijo v raziskave in razvoj ter inovacije, o oceni prispevka PRP k inovacijam ter o odgovarjanju na skupna vprašanja za vrednotenje št. 23 in 30.</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14533D" w:rsidP="00DF22D0">
            <w:pPr>
              <w:pStyle w:val="HStandard"/>
              <w:jc w:val="left"/>
            </w:pPr>
            <w:hyperlink r:id="rId27">
              <w:r w:rsidR="006F62E2">
                <w:rPr>
                  <w:rStyle w:val="Hyperlink"/>
                </w:rPr>
                <w:t>Informacije o strategiji Evropa 2020</w:t>
              </w:r>
            </w:hyperlink>
          </w:p>
        </w:tc>
        <w:tc>
          <w:tcPr>
            <w:tcW w:w="5477" w:type="dxa"/>
          </w:tcPr>
          <w:p w:rsidR="00A75E50" w:rsidRPr="001C6ACF" w:rsidRDefault="00A75E50" w:rsidP="00EE407C">
            <w:pPr>
              <w:pStyle w:val="HStandard"/>
            </w:pPr>
            <w:r>
              <w:t xml:space="preserve">Strategija Evropa 2020 se uporablja kot referenčni okvir za dejavnosti na ravni EU ter nacionalni in regionalni ravni. Vlade EU so določile nacionalne cilje za pomoč pri doseganju splošnih krovnih ciljev EU in poročajo o njih v </w:t>
            </w:r>
            <w:r>
              <w:lastRenderedPageBreak/>
              <w:t>okviru svojih letnih nacionalnih programov reform. Statistični urad EU Eurostat redno objavlja izčrpna poročila o napredku pri doseganju ciljev (</w:t>
            </w:r>
            <w:hyperlink r:id="rId28">
              <w:r>
                <w:rPr>
                  <w:rStyle w:val="Hyperlink"/>
                </w:rPr>
                <w:t>publikacija „Smarter, greener, more inclusive? Indicators to support the Europe 2020 strategy</w:t>
              </w:r>
            </w:hyperlink>
            <w:r>
              <w:rPr>
                <w:color w:val="F07E31" w:themeColor="accent1"/>
              </w:rPr>
              <w:t>“</w:t>
            </w:r>
            <w:r>
              <w:t xml:space="preserve"> (Pametnejša, bolj zelena in bolj vključujoča? Kazalniki za podporo strategiji Evropa 2020)</w:t>
            </w:r>
            <w:r>
              <w:rPr>
                <w:color w:val="333333"/>
              </w:rPr>
              <w:t>, s katerimi se spremlja napredek pri doseganju posameznih in splošnih ciljev EU, opredeljenih v okviru treh prednostnih nalog, ki se medsebojno dopolnjujejo, tj. pametna, trajnostna in vključujoča rast, ter prikazuje stanje v državah članicah</w:t>
            </w:r>
            <w:r>
              <w:t>.</w:t>
            </w:r>
          </w:p>
        </w:tc>
      </w:tr>
      <w:tr w:rsidR="00A75E50" w:rsidRPr="001C6ACF" w:rsidTr="00A746BC">
        <w:tc>
          <w:tcPr>
            <w:tcW w:w="1129" w:type="dxa"/>
            <w:vMerge w:val="restart"/>
          </w:tcPr>
          <w:p w:rsidR="00A75E50" w:rsidRPr="001C6ACF" w:rsidRDefault="00A75E50" w:rsidP="00A746BC">
            <w:pPr>
              <w:pStyle w:val="HStandard"/>
              <w:jc w:val="center"/>
            </w:pPr>
            <w:r>
              <w:t>Št. 22, 23, 24, 25, 30</w:t>
            </w:r>
          </w:p>
        </w:tc>
        <w:tc>
          <w:tcPr>
            <w:tcW w:w="2410" w:type="dxa"/>
          </w:tcPr>
          <w:p w:rsidR="00A75E50" w:rsidRPr="00571D58" w:rsidRDefault="0014533D">
            <w:pPr>
              <w:pStyle w:val="HStandard"/>
              <w:jc w:val="left"/>
              <w:rPr>
                <w:rFonts w:cs="Arial"/>
                <w:color w:val="F07E31" w:themeColor="accent1"/>
              </w:rPr>
            </w:pPr>
            <w:hyperlink r:id="rId29">
              <w:r w:rsidR="006F62E2">
                <w:rPr>
                  <w:rStyle w:val="Hyperlink"/>
                </w:rPr>
                <w:t>Informacije držav članic o ciljih strategije Evropa 2020</w:t>
              </w:r>
            </w:hyperlink>
          </w:p>
        </w:tc>
        <w:tc>
          <w:tcPr>
            <w:tcW w:w="5477" w:type="dxa"/>
          </w:tcPr>
          <w:p w:rsidR="00A75E50" w:rsidRPr="001C6ACF" w:rsidRDefault="00A75E50" w:rsidP="00823352">
            <w:pPr>
              <w:pStyle w:val="HStandard"/>
            </w:pPr>
            <w:r>
              <w:t>Eurostat redno posodablja informacije o nacionalnih ciljih za izpolnjevanje krovnih ciljev strategije Evropa 2020 za posamezne države članice.</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14533D">
            <w:pPr>
              <w:pStyle w:val="HStandard"/>
              <w:jc w:val="left"/>
              <w:rPr>
                <w:rFonts w:cs="Arial"/>
              </w:rPr>
            </w:pPr>
            <w:hyperlink r:id="rId30">
              <w:r w:rsidR="006F62E2">
                <w:rPr>
                  <w:rStyle w:val="Hyperlink"/>
                </w:rPr>
                <w:t>Tehnični listi za kazalnike stanja</w:t>
              </w:r>
            </w:hyperlink>
            <w:r w:rsidR="006F62E2">
              <w:t xml:space="preserve"> </w:t>
            </w:r>
          </w:p>
        </w:tc>
        <w:tc>
          <w:tcPr>
            <w:tcW w:w="5477" w:type="dxa"/>
          </w:tcPr>
          <w:p w:rsidR="00A75E50" w:rsidRPr="007645B4" w:rsidRDefault="00A75E50" w:rsidP="00FF4127">
            <w:pPr>
              <w:pStyle w:val="HStandard"/>
            </w:pPr>
            <w:r>
              <w:t>45 skupnih kazalnikov stanja SKP (razdeljenih v tri skupine – socialno-ekonomski, sektorski in okoljski) izraža pomembne vidike splošnega razvoja stanja v gospodarstvu, okolju in družbi. Ti bodo verjetno vplivali na izvajanje, dosežke in uspešnost SKP. Informativni listi s kazalniki vsebujejo opis opredelitve, metodologijo in vire podatkov.</w:t>
            </w:r>
          </w:p>
        </w:tc>
      </w:tr>
      <w:tr w:rsidR="00A75E50" w:rsidRPr="001C6ACF" w:rsidTr="00A746BC">
        <w:trPr>
          <w:trHeight w:val="1800"/>
        </w:trPr>
        <w:tc>
          <w:tcPr>
            <w:tcW w:w="1129" w:type="dxa"/>
          </w:tcPr>
          <w:p w:rsidR="00A75E50" w:rsidRPr="001C6ACF" w:rsidRDefault="00A75E50" w:rsidP="00A746BC">
            <w:pPr>
              <w:pStyle w:val="HStandard"/>
              <w:jc w:val="center"/>
            </w:pPr>
            <w:r>
              <w:t>Vsa skupna vprašanja za vrednotenje</w:t>
            </w:r>
          </w:p>
        </w:tc>
        <w:tc>
          <w:tcPr>
            <w:tcW w:w="2410" w:type="dxa"/>
          </w:tcPr>
          <w:p w:rsidR="00A75E50" w:rsidRPr="00571D58" w:rsidRDefault="0014533D" w:rsidP="00E95159">
            <w:pPr>
              <w:pStyle w:val="HStandard"/>
              <w:jc w:val="left"/>
            </w:pPr>
            <w:hyperlink r:id="rId31">
              <w:r w:rsidR="006F62E2">
                <w:rPr>
                  <w:rStyle w:val="Hyperlink"/>
                </w:rPr>
                <w:t>Delovni dokument z naslovom „Common evaluation questions for Rural Development Programmes 2014-2020“ (Skupna vprašanja za vrednotenje za programe razvoja podeželja za obdobje 2014–2020)</w:t>
              </w:r>
            </w:hyperlink>
          </w:p>
        </w:tc>
        <w:tc>
          <w:tcPr>
            <w:tcW w:w="5477" w:type="dxa"/>
          </w:tcPr>
          <w:p w:rsidR="00A75E50" w:rsidRPr="00863E73" w:rsidRDefault="00A75E50" w:rsidP="00E95159">
            <w:pPr>
              <w:pStyle w:val="HStandard"/>
            </w:pPr>
            <w:r>
              <w:t>Pojasnjuje namen in uporabo skupnih vprašanj za vrednotenje v sistemu CMES. Opisuje različne vrste vprašanj za vrednotenje ter navaja ocenjevalna merila ter skupne in dodatne kazalnike za skupna vprašanja za vrednotenje od št. 1 do 21.</w:t>
            </w:r>
          </w:p>
        </w:tc>
      </w:tr>
    </w:tbl>
    <w:p w:rsidR="00154C43" w:rsidRPr="001C6ACF" w:rsidRDefault="00154C43"/>
    <w:p w:rsidR="001C2076" w:rsidRPr="001C6ACF" w:rsidRDefault="001C2076" w:rsidP="00E35440">
      <w:pPr>
        <w:pStyle w:val="HHeading2"/>
      </w:pPr>
      <w:r>
        <w:t xml:space="preserve">Priprave na letno poročilo o izvajanju v letu 2019 </w:t>
      </w:r>
    </w:p>
    <w:p w:rsidR="009B016B" w:rsidRPr="001C6ACF" w:rsidRDefault="00806A70" w:rsidP="00217482">
      <w:pPr>
        <w:pStyle w:val="HStandard"/>
      </w:pPr>
      <w:r>
        <w:t>Pri pripravah na presojo dosežkov in vplivov PRP v letu 2019 lahko različni deležniki vrednotenja v državah članicah izvedejo več korakov</w:t>
      </w:r>
      <w:r>
        <w:rPr>
          <w:rStyle w:val="FootnoteReference"/>
          <w:sz w:val="20"/>
          <w:vertAlign w:val="superscript"/>
        </w:rPr>
        <w:footnoteReference w:id="24"/>
      </w:r>
      <w:r>
        <w:t>, ki bodo pomagali zagotoviti visoko kakovost ugotovitev vrednotenja in njihovo ustreznost za zadevne oblikovalce politike.</w:t>
      </w:r>
    </w:p>
    <w:p w:rsidR="00932C3E" w:rsidRPr="001C6ACF" w:rsidRDefault="003146E6" w:rsidP="00217482">
      <w:pPr>
        <w:pStyle w:val="HStandard"/>
      </w:pPr>
      <w:r>
        <w:t xml:space="preserve">Preglednica 2 vsebuje kontrolni seznam z navedbo potrebnih korakov za vrednotenje v letu 2019. Vključuje tudi nekaj pripravljalnih korakov, ki jih je, če še niso bili uresničeni, še vedno mogoče izvesti pred začetkom dejavnosti vrednotenja leta 2019. V preglednici 2 so navedene odgovornosti različnih </w:t>
      </w:r>
      <w:r>
        <w:lastRenderedPageBreak/>
        <w:t xml:space="preserve">akterjev, ki so lahko udeleženi v dejavnostih vrednotenja na ravni držav članic: organ upravljanja (OU), nadzorni odbor (NO), plačilna agencija (PA), enota za vrednotenje (EzV) (če obstaja), usmerjevalna skupina za vrednotenje (USV) (če obstaja), izvajalci vrednotenja (IV), ponudniki podatkov (PP) in drugi ustrezni deležniki vrednotenja (D). </w:t>
      </w:r>
    </w:p>
    <w:p w:rsidR="004773BB" w:rsidRPr="001C6ACF" w:rsidRDefault="00A75E50" w:rsidP="006B44E5">
      <w:pPr>
        <w:pStyle w:val="HHeadingtables"/>
      </w:pPr>
      <w:r>
        <w:br w:type="column"/>
      </w:r>
      <w:r>
        <w:lastRenderedPageBreak/>
        <w:t>Kontrolni seznam priporočenih korakov za vrednotenje v letu 2019</w:t>
      </w:r>
    </w:p>
    <w:tbl>
      <w:tblPr>
        <w:tblStyle w:val="Tabukasmriekou5tmavzvraznenie61"/>
        <w:tblW w:w="9492" w:type="dxa"/>
        <w:jc w:val="center"/>
        <w:tblLayout w:type="fixed"/>
        <w:tblLook w:val="04A0" w:firstRow="1" w:lastRow="0" w:firstColumn="1" w:lastColumn="0" w:noHBand="0" w:noVBand="1"/>
      </w:tblPr>
      <w:tblGrid>
        <w:gridCol w:w="562"/>
        <w:gridCol w:w="3402"/>
        <w:gridCol w:w="1061"/>
        <w:gridCol w:w="622"/>
        <w:gridCol w:w="549"/>
        <w:gridCol w:w="549"/>
        <w:gridCol w:w="550"/>
        <w:gridCol w:w="593"/>
        <w:gridCol w:w="505"/>
        <w:gridCol w:w="549"/>
        <w:gridCol w:w="550"/>
      </w:tblGrid>
      <w:tr w:rsidR="00055507" w:rsidRPr="001C6ACF" w:rsidTr="00055507">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single" w:sz="4" w:space="0" w:color="6E8967"/>
              <w:left w:val="single" w:sz="4" w:space="0" w:color="6E8967"/>
              <w:right w:val="single" w:sz="4" w:space="0" w:color="FFFFFF"/>
            </w:tcBorders>
            <w:textDirection w:val="btLr"/>
            <w:vAlign w:val="center"/>
          </w:tcPr>
          <w:p w:rsidR="00055507" w:rsidRPr="001C6ACF" w:rsidRDefault="00055507" w:rsidP="00DF22D0">
            <w:pPr>
              <w:spacing w:line="280" w:lineRule="atLeast"/>
              <w:ind w:left="113" w:right="113"/>
              <w:jc w:val="center"/>
              <w:rPr>
                <w:rFonts w:cs="Arial"/>
                <w:sz w:val="16"/>
                <w:szCs w:val="16"/>
              </w:rPr>
            </w:pPr>
            <w:r>
              <w:rPr>
                <w:sz w:val="16"/>
              </w:rPr>
              <w:t>Faza</w:t>
            </w:r>
          </w:p>
        </w:tc>
        <w:tc>
          <w:tcPr>
            <w:tcW w:w="3402" w:type="dxa"/>
            <w:vMerge w:val="restart"/>
            <w:tcBorders>
              <w:top w:val="single" w:sz="4" w:space="0" w:color="6E8967"/>
              <w:left w:val="single" w:sz="4" w:space="0" w:color="FFFFFF"/>
              <w:right w:val="single" w:sz="4" w:space="0" w:color="FFFFFF"/>
            </w:tcBorders>
            <w:vAlign w:val="center"/>
          </w:tcPr>
          <w:p w:rsidR="00055507" w:rsidRPr="001C6ACF"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Korak</w:t>
            </w:r>
          </w:p>
        </w:tc>
        <w:tc>
          <w:tcPr>
            <w:tcW w:w="1061" w:type="dxa"/>
            <w:vMerge w:val="restart"/>
            <w:tcBorders>
              <w:top w:val="single" w:sz="4" w:space="0" w:color="6E8967"/>
              <w:left w:val="single" w:sz="4" w:space="0" w:color="FFFFFF"/>
              <w:right w:val="single" w:sz="4" w:space="0" w:color="FFFFFF" w:themeColor="background1"/>
            </w:tcBorders>
            <w:vAlign w:val="center"/>
          </w:tcPr>
          <w:p w:rsidR="00055507" w:rsidRPr="001C6ACF"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Okvirni časovni razpored</w:t>
            </w:r>
          </w:p>
        </w:tc>
        <w:tc>
          <w:tcPr>
            <w:tcW w:w="4467" w:type="dxa"/>
            <w:gridSpan w:val="8"/>
            <w:tcBorders>
              <w:top w:val="single" w:sz="4" w:space="0" w:color="6E8967"/>
              <w:left w:val="single" w:sz="4" w:space="0" w:color="FFFFFF" w:themeColor="background1"/>
              <w:right w:val="single" w:sz="4" w:space="0" w:color="6E8967"/>
            </w:tcBorders>
            <w:vAlign w:val="center"/>
          </w:tcPr>
          <w:p w:rsidR="00055507" w:rsidRPr="00571D58"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Odgovornost (x) in udeležba (y)</w:t>
            </w:r>
            <w:r>
              <w:rPr>
                <w:rStyle w:val="FootnoteReference"/>
                <w:color w:val="FFFFFF" w:themeColor="background1"/>
                <w:sz w:val="10"/>
              </w:rPr>
              <w:footnoteReference w:id="25"/>
            </w:r>
          </w:p>
        </w:tc>
      </w:tr>
      <w:tr w:rsidR="00BA1544" w:rsidRPr="001C6ACF" w:rsidTr="004C3C30">
        <w:trPr>
          <w:cnfStyle w:val="100000000000" w:firstRow="1" w:lastRow="0" w:firstColumn="0" w:lastColumn="0" w:oddVBand="0" w:evenVBand="0" w:oddHBand="0" w:evenHBand="0" w:firstRowFirstColumn="0" w:firstRowLastColumn="0" w:lastRowFirstColumn="0" w:lastRowLastColumn="0"/>
          <w:trHeight w:val="260"/>
          <w:tblHeader/>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right w:val="single" w:sz="4" w:space="0" w:color="FFFFFF"/>
            </w:tcBorders>
            <w:textDirection w:val="btLr"/>
          </w:tcPr>
          <w:p w:rsidR="00055507" w:rsidRPr="001C6ACF" w:rsidRDefault="00055507" w:rsidP="00DF22D0">
            <w:pPr>
              <w:spacing w:line="280" w:lineRule="atLeast"/>
              <w:ind w:left="113" w:right="113"/>
              <w:jc w:val="right"/>
              <w:rPr>
                <w:rFonts w:cs="Arial"/>
                <w:b w:val="0"/>
                <w:sz w:val="16"/>
                <w:szCs w:val="16"/>
              </w:rPr>
            </w:pPr>
          </w:p>
        </w:tc>
        <w:tc>
          <w:tcPr>
            <w:tcW w:w="3402" w:type="dxa"/>
            <w:vMerge/>
            <w:tcBorders>
              <w:top w:val="single" w:sz="4" w:space="0" w:color="FFFFFF"/>
              <w:left w:val="single" w:sz="4" w:space="0" w:color="FFFFFF"/>
              <w:right w:val="single" w:sz="4" w:space="0" w:color="FFFFFF"/>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1061" w:type="dxa"/>
            <w:vMerge/>
            <w:tcBorders>
              <w:top w:val="single" w:sz="4" w:space="0" w:color="FFFFFF"/>
              <w:left w:val="single" w:sz="4" w:space="0" w:color="FFFFFF"/>
              <w:right w:val="single" w:sz="4" w:space="0" w:color="FFFFFF" w:themeColor="background1"/>
            </w:tcBorders>
          </w:tcPr>
          <w:p w:rsidR="00055507" w:rsidRPr="001C6ACF" w:rsidRDefault="00055507" w:rsidP="00DA3493">
            <w:pPr>
              <w:spacing w:line="280" w:lineRule="atLeast"/>
              <w:jc w:val="lef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622"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OU</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PA</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PP</w:t>
            </w:r>
          </w:p>
        </w:tc>
        <w:tc>
          <w:tcPr>
            <w:tcW w:w="550"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EzV</w:t>
            </w:r>
          </w:p>
        </w:tc>
        <w:tc>
          <w:tcPr>
            <w:tcW w:w="593"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USV</w:t>
            </w:r>
          </w:p>
        </w:tc>
        <w:tc>
          <w:tcPr>
            <w:tcW w:w="505"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IV</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NO</w:t>
            </w:r>
          </w:p>
        </w:tc>
        <w:tc>
          <w:tcPr>
            <w:tcW w:w="550" w:type="dxa"/>
            <w:tcBorders>
              <w:top w:val="single" w:sz="4" w:space="0" w:color="FFFFFF"/>
              <w:left w:val="single" w:sz="4" w:space="0" w:color="FFFFFF" w:themeColor="background1"/>
              <w:bottom w:val="single" w:sz="4" w:space="0" w:color="FFFFFF"/>
              <w:right w:val="single" w:sz="4" w:space="0" w:color="6E8967"/>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D</w:t>
            </w:r>
          </w:p>
        </w:tc>
      </w:tr>
      <w:tr w:rsidR="00810ED5" w:rsidRPr="001C6ACF" w:rsidTr="004C3C30">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Načrtovanje</w:t>
            </w:r>
          </w:p>
        </w:tc>
        <w:tc>
          <w:tcPr>
            <w:tcW w:w="3402"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Posodobiti izhodiščne vrednosti skupnih kazalnikov stanja (v PRP).</w:t>
            </w:r>
          </w:p>
        </w:tc>
        <w:tc>
          <w:tcPr>
            <w:tcW w:w="1061"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Takoj, ko so podatki na voljo</w:t>
            </w:r>
          </w:p>
        </w:tc>
        <w:tc>
          <w:tcPr>
            <w:tcW w:w="622" w:type="dxa"/>
            <w:tcBorders>
              <w:top w:val="single" w:sz="4" w:space="0" w:color="FFFFFF"/>
              <w:right w:val="single" w:sz="4" w:space="0" w:color="FFFFFF"/>
            </w:tcBorders>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Borders>
              <w:top w:val="single" w:sz="4" w:space="0" w:color="FFFFFF"/>
              <w:left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tcBorders>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trHeight w:val="5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Načrtovati dejavnosti vrednotenja, teme, študije, ureditve zbiranja podatkov, povezane s skupnimi kazalniki stanja v načrtu vrednotenja PRP. </w:t>
            </w:r>
          </w:p>
        </w:tc>
        <w:tc>
          <w:tcPr>
            <w:tcW w:w="1061"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Od leta 2013 </w:t>
            </w:r>
          </w:p>
        </w:tc>
        <w:tc>
          <w:tcPr>
            <w:tcW w:w="622" w:type="dxa"/>
            <w:tcBorders>
              <w:right w:val="single" w:sz="4" w:space="0" w:color="FFFFFF"/>
            </w:tcBorders>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tcBorders>
              <w:left w:val="single" w:sz="4" w:space="0" w:color="FFFFFF"/>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2A0D72" w:rsidP="004C3C30">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Pripraviti/posodobiti načrtovanje notranjega vrednotenja (dokument) za podrobnejšo opredelitev tem in dejavnosti vrednotenja (vključno z ureditvami zbiranja podatkov za neto izravnavo kazalnikov vpliva, zbiranje drugih dokazov in povezane študije). </w:t>
            </w:r>
          </w:p>
        </w:tc>
        <w:tc>
          <w:tcPr>
            <w:tcW w:w="1061"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Od leta 2013</w:t>
            </w:r>
          </w:p>
        </w:tc>
        <w:tc>
          <w:tcPr>
            <w:tcW w:w="622"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Priprava</w:t>
            </w:r>
          </w:p>
        </w:tc>
        <w:tc>
          <w:tcPr>
            <w:tcW w:w="3402" w:type="dxa"/>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Oblikovati prostovoljno usmerjevalno skupino za vrednotenje, ki bo vodila postopek vrednotenja (redni sestanki)</w:t>
            </w:r>
          </w:p>
        </w:tc>
        <w:tc>
          <w:tcPr>
            <w:tcW w:w="1061"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Na začetku programskega obdobja </w:t>
            </w:r>
          </w:p>
        </w:tc>
        <w:tc>
          <w:tcPr>
            <w:tcW w:w="622"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05"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95480A">
        <w:trPr>
          <w:cnfStyle w:val="000000100000" w:firstRow="0" w:lastRow="0" w:firstColumn="0" w:lastColumn="0" w:oddVBand="0" w:evenVBand="0" w:oddHBand="1"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Pregledati intervencijsko logiko programa (cilje, prednostne naloge in prednostna področja razvoja podeželja, ukrepe). </w:t>
            </w:r>
          </w:p>
        </w:tc>
        <w:tc>
          <w:tcPr>
            <w:tcW w:w="1061"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Na začetku programskega obdobja in pred vsakim vrednotenjem</w:t>
            </w:r>
          </w:p>
        </w:tc>
        <w:tc>
          <w:tcPr>
            <w:tcW w:w="622"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95480A"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95480A">
        <w:trPr>
          <w:trHeight w:val="502"/>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95134D">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Razviti enotno razumevanje skupnih vprašanj za vrednotenje, oblikovati ocenjevalna merila in povezati merila s skupnimi (in dodatnimi) kazalniki. Zagotoviti skladnost pri povezovanju elementov vrednotenja z intervencijsko logiko PRP. </w:t>
            </w:r>
          </w:p>
        </w:tc>
        <w:tc>
          <w:tcPr>
            <w:tcW w:w="1061"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Na začetku programskega obdobja in pred vsakim vrednotenjem</w:t>
            </w:r>
          </w:p>
        </w:tc>
        <w:tc>
          <w:tcPr>
            <w:tcW w:w="622"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D0DDCC" w:themeFill="accent6" w:themeFillTint="66"/>
          </w:tcPr>
          <w:p w:rsidR="00055507" w:rsidRPr="001C6ACF" w:rsidRDefault="0095480A"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95480A">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Po potrebi pripraviti vprašanja za vrednotenje posameznega programa. Dodati ocenjevalna merila in kazalnike za posamezne programe. Zagotoviti skladnost pri povezovanju elementov vrednotenja z intervencijsko logiko PRP.</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Na začetku programskega obdobja in pred vsakim vrednotenjem</w:t>
            </w:r>
          </w:p>
        </w:tc>
        <w:tc>
          <w:tcPr>
            <w:tcW w:w="62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BA1544" w:rsidRPr="001C6ACF" w:rsidTr="0095480A">
        <w:trPr>
          <w:trHeight w:val="1050"/>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Borders>
              <w:top w:val="single" w:sz="4" w:space="0" w:color="FFFFFF"/>
            </w:tcBorders>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Pregledati obstoječe podatke za izračun skupnih (in dodatnih) kazalnikov za zbiranje dokazov, potrebnih za odgovarjanje na skupna vprašanja za vrednotenje, povezana s strategijo Evropa 2020. Opredeliti možne podatkovne vrzeli v zvezi z izbranimi kazalniki. </w:t>
            </w:r>
          </w:p>
        </w:tc>
        <w:tc>
          <w:tcPr>
            <w:tcW w:w="1061" w:type="dxa"/>
            <w:tcBorders>
              <w:top w:val="single" w:sz="4" w:space="0" w:color="FFFFFF"/>
            </w:tcBorders>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Na začetku programskega obdobja in pred vrednotenjem</w:t>
            </w:r>
          </w:p>
        </w:tc>
        <w:tc>
          <w:tcPr>
            <w:tcW w:w="622"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tcBorders>
              <w:top w:val="single" w:sz="4" w:space="0" w:color="FFFFFF"/>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tcBorders>
              <w:top w:val="single" w:sz="4" w:space="0" w:color="FFFFFF"/>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05" w:type="dxa"/>
            <w:tcBorders>
              <w:top w:val="single" w:sz="4" w:space="0" w:color="FFFFFF"/>
            </w:tcBorders>
            <w:shd w:val="clear" w:color="auto" w:fill="D0DDCC" w:themeFill="accent6" w:themeFillTint="66"/>
          </w:tcPr>
          <w:p w:rsidR="00055507" w:rsidRPr="001C6ACF" w:rsidRDefault="0095480A"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tcBorders>
              <w:top w:val="single" w:sz="4" w:space="0" w:color="FFFFFF"/>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95480A">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Obravnavati možne pristope k vrednotenju za presojo / določitev neto vrednosti kazalnikov vpliva v skladu z obstoječimi podatki. </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Na začetku programskega obdobja in pred vrednotenjem</w:t>
            </w:r>
          </w:p>
        </w:tc>
        <w:tc>
          <w:tcPr>
            <w:tcW w:w="62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05" w:type="dxa"/>
          </w:tcPr>
          <w:p w:rsidR="00055507" w:rsidRPr="001C6ACF"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trHeight w:val="24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Pripraviti projektno nalogo in objaviti javni razpis za vrednotenje (kot pogodbe za vrednotenje ali pogodbe za posamezna vrednotenja, veljavne za leti 2017 in 2019). </w:t>
            </w:r>
          </w:p>
        </w:tc>
        <w:tc>
          <w:tcPr>
            <w:tcW w:w="1061" w:type="dxa"/>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Na začetku programskega obdobja ali v letih 2016 in 2018</w:t>
            </w:r>
          </w:p>
        </w:tc>
        <w:tc>
          <w:tcPr>
            <w:tcW w:w="622"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BA1544"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Strukturiranje</w:t>
            </w:r>
          </w:p>
        </w:tc>
        <w:tc>
          <w:tcPr>
            <w:tcW w:w="340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Obravnavati obstoječe vire podatkov in podatkovnih vrzeli z izvajalci vrednotenja. Sprejeti dogovor o tem, kako zapolniti podatkovne vrzeli. </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Leta 2016 ter drugo in tretje četrtletje leta 2018</w:t>
            </w:r>
          </w:p>
        </w:tc>
        <w:tc>
          <w:tcPr>
            <w:tcW w:w="62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Obravnavati metodološke pristope za presojo vplivov PRP in določitev neto vrednosti skupnih (in dodatnih) kazalnikov vpliva z izvajalci vrednotenja. </w:t>
            </w:r>
          </w:p>
        </w:tc>
        <w:tc>
          <w:tcPr>
            <w:tcW w:w="1061" w:type="dxa"/>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Leta 2016 ter drugo in tretje četrtletje leta 2018</w:t>
            </w:r>
          </w:p>
        </w:tc>
        <w:tc>
          <w:tcPr>
            <w:tcW w:w="622"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Opazovanje</w:t>
            </w: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Zbirati podatke in informacije o upravičencih, kot so povezani s skupnimi (in dodatnimi) kazalniki vpliva, v skladu s predlaganimi metodami. </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Od začetka PRP do konca leta 2018</w:t>
            </w:r>
          </w:p>
        </w:tc>
        <w:tc>
          <w:tcPr>
            <w:tcW w:w="62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Zbirati podatke in informacije o neupravičencih, kot so povezani s skupnimi (in dodatnimi) kazalniki vpliva, v skladu s predlaganimi metodami.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Od začetka PRP do konca leta 2018</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Zagotavljati kakovost podatkov, zbranih iz zbirke podatkov o operacijah in drugih virov (npr. mreža FADN, statistični urad, spremljanje stanja okolja itd.). </w:t>
            </w:r>
          </w:p>
        </w:tc>
        <w:tc>
          <w:tcPr>
            <w:tcW w:w="1061" w:type="dxa"/>
          </w:tcPr>
          <w:p w:rsidR="00055507" w:rsidRPr="001C6ACF" w:rsidRDefault="00AF5B55" w:rsidP="00810ED5">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Poteka</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Analiziranje</w:t>
            </w: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Izvesti oceno in neto izravnavo kazalnikov vpliva v skladu s predlaganim pristopom k vrednotenju in izbranimi metodami vrednotenja. </w:t>
            </w:r>
          </w:p>
        </w:tc>
        <w:tc>
          <w:tcPr>
            <w:tcW w:w="1061" w:type="dxa"/>
          </w:tcPr>
          <w:p w:rsidR="00055507" w:rsidRPr="001C6ACF" w:rsidRDefault="0095480A" w:rsidP="0095480A">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Prvo četrtletje leta 2019</w:t>
            </w:r>
          </w:p>
        </w:tc>
        <w:tc>
          <w:tcPr>
            <w:tcW w:w="622"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Zagotoviti kakovost analize. </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Prvo četrtletje leta 2019</w:t>
            </w:r>
          </w:p>
        </w:tc>
        <w:tc>
          <w:tcPr>
            <w:tcW w:w="62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Presoja</w:t>
            </w: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Razlagati ugotovitve vrednotenja iz analize, oblikovati presojo na podlagi ocenjevalnih meril in odgovoriti na vprašanja za vrednotenje.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Prvo četrtletje leta 2019</w:t>
            </w:r>
          </w:p>
        </w:tc>
        <w:tc>
          <w:tcPr>
            <w:tcW w:w="622"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Oblikovati sklepne ugotovitve v zvezi s presojo in po potrebi pripraviti priporočila.</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Prvo in drugo četrtletje leta 2019</w:t>
            </w:r>
          </w:p>
        </w:tc>
        <w:tc>
          <w:tcPr>
            <w:tcW w:w="622"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Zagotoviti kakovost presoje.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Prvo in drugo četrtletje leta 2019</w:t>
            </w:r>
          </w:p>
        </w:tc>
        <w:tc>
          <w:tcPr>
            <w:tcW w:w="622"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Poročanje</w:t>
            </w: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Pripraviti poročilo o vrednotenju.</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Drugo četrtletje leta 2019</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Predstaviti ugotovitve vrednotenja nadzornemu odboru.</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Drugo četrtletje leta 2019</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CD67A7">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Izpolniti predlogo SFC v letnem poročilu o izvajanju (vključno s poglavjema 2 in 7) in jo predložiti EK.</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Drugo četrtletje leta 2019</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Objaviti letno poročilo o izvajanju in poročila o vrednotenju (ne le poglavje 7 letnega poročila o izvajanju) na javnem spletišču.</w:t>
            </w:r>
          </w:p>
        </w:tc>
        <w:tc>
          <w:tcPr>
            <w:tcW w:w="1061" w:type="dxa"/>
          </w:tcPr>
          <w:p w:rsidR="00055507" w:rsidRPr="001C6ACF" w:rsidRDefault="00025148"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Drugo, tretje in četrto četrtletje leta 2019</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434BEF"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Pripraviti ugotovitve vrednotenja v drugih ustreznih formatih (npr. povzetek za državljane) za različne ciljne skupine.</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Tretje in četrto četrtletje leta 2019.</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Sporočati ugotovitve vrednotenja ciljnim skupinam.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Tretje in četrto četrtletje leta 2019.</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right w:val="single" w:sz="4" w:space="0" w:color="6E8967"/>
            </w:tcBorders>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6E8967"/>
              <w:bottom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Nadaljnji ukrepi</w:t>
            </w:r>
          </w:p>
        </w:tc>
        <w:tc>
          <w:tcPr>
            <w:tcW w:w="3402" w:type="dxa"/>
            <w:tcBorders>
              <w:bottom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Obravnavati sklepne ugotovitve in priporočila iz vrednotenja ter izvesti nadaljnje ukrepe v zvezi z njimi, da se izboljšata zasnova in izvajanje programov razvoja podeželja. </w:t>
            </w:r>
          </w:p>
        </w:tc>
        <w:tc>
          <w:tcPr>
            <w:tcW w:w="1061" w:type="dxa"/>
            <w:tcBorders>
              <w:bottom w:val="single" w:sz="4" w:space="0" w:color="6E8967"/>
            </w:tcBorders>
          </w:tcPr>
          <w:p w:rsidR="00055507" w:rsidRPr="001C6ACF" w:rsidRDefault="00055507" w:rsidP="00DF22D0">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Od drugega četrtletja leta 2019 naprej </w:t>
            </w:r>
          </w:p>
        </w:tc>
        <w:tc>
          <w:tcPr>
            <w:tcW w:w="622" w:type="dxa"/>
            <w:tcBorders>
              <w:bottom w:val="single" w:sz="4" w:space="0" w:color="6E8967"/>
            </w:tcBorders>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93"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tcBorders>
              <w:bottom w:val="single" w:sz="4" w:space="0" w:color="6E8967"/>
              <w:right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bl>
    <w:p w:rsidR="00C744FC" w:rsidRPr="001C6ACF" w:rsidRDefault="00C744FC" w:rsidP="001F25E0">
      <w:pPr>
        <w:pStyle w:val="HStandard"/>
      </w:pPr>
    </w:p>
    <w:p w:rsidR="00425D88" w:rsidRPr="001C6ACF" w:rsidRDefault="00425D88" w:rsidP="00425D88">
      <w:pPr>
        <w:pStyle w:val="HStandard"/>
        <w:sectPr w:rsidR="00425D88" w:rsidRPr="001C6ACF" w:rsidSect="00D32538">
          <w:footerReference w:type="default" r:id="rId32"/>
          <w:footerReference w:type="first" r:id="rId33"/>
          <w:pgSz w:w="11906" w:h="16838" w:code="9"/>
          <w:pgMar w:top="1440" w:right="1440" w:bottom="1134" w:left="1440" w:header="567" w:footer="737" w:gutter="0"/>
          <w:pgNumType w:start="1"/>
          <w:cols w:space="708"/>
          <w:titlePg/>
          <w:docGrid w:linePitch="360"/>
        </w:sectPr>
      </w:pPr>
    </w:p>
    <w:p w:rsidR="00425D88" w:rsidRPr="001C6ACF" w:rsidRDefault="00425D88" w:rsidP="00E93BEA">
      <w:pPr>
        <w:pStyle w:val="HHeading1"/>
        <w:tabs>
          <w:tab w:val="clear" w:pos="474"/>
          <w:tab w:val="clear" w:pos="567"/>
        </w:tabs>
        <w:rPr>
          <w:sz w:val="28"/>
        </w:rPr>
      </w:pPr>
      <w:r>
        <w:rPr>
          <w:sz w:val="28"/>
        </w:rPr>
        <w:lastRenderedPageBreak/>
        <w:t xml:space="preserve">Pristopi k presoji vplivov programov razvoja podeželja v letu 2019  </w:t>
      </w:r>
      <w:r>
        <w:rPr>
          <w:sz w:val="28"/>
        </w:rPr>
        <w:br/>
        <w:t>(DEL II)</w:t>
      </w:r>
    </w:p>
    <w:p w:rsidR="00BB6B80" w:rsidRPr="00571D58" w:rsidRDefault="000B213F" w:rsidP="00B86C6A">
      <w:pPr>
        <w:pStyle w:val="HStandard"/>
      </w:pPr>
      <w:r>
        <w:rPr>
          <w:b/>
          <w:noProof/>
          <w:lang w:bidi="ar-SA"/>
        </w:rPr>
        <mc:AlternateContent>
          <mc:Choice Requires="wps">
            <w:drawing>
              <wp:inline distT="0" distB="0" distL="0" distR="0" wp14:anchorId="32B98344" wp14:editId="11ED9CAD">
                <wp:extent cx="5695950" cy="1638300"/>
                <wp:effectExtent l="0" t="0" r="19050" b="19050"/>
                <wp:docPr id="935" name="Rectangle: Diagonal Corners Rounded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0" cy="1638300"/>
                        </a:xfrm>
                        <a:custGeom>
                          <a:avLst/>
                          <a:gdLst>
                            <a:gd name="T0" fmla="*/ 254411 w 5695950"/>
                            <a:gd name="T1" fmla="*/ 0 h 1464319"/>
                            <a:gd name="T2" fmla="*/ 5695950 w 5695950"/>
                            <a:gd name="T3" fmla="*/ 0 h 1464319"/>
                            <a:gd name="T4" fmla="*/ 5695950 w 5695950"/>
                            <a:gd name="T5" fmla="*/ 0 h 1464319"/>
                            <a:gd name="T6" fmla="*/ 5695950 w 5695950"/>
                            <a:gd name="T7" fmla="*/ 1209908 h 1464319"/>
                            <a:gd name="T8" fmla="*/ 5441539 w 5695950"/>
                            <a:gd name="T9" fmla="*/ 1464319 h 1464319"/>
                            <a:gd name="T10" fmla="*/ 0 w 5695950"/>
                            <a:gd name="T11" fmla="*/ 1464319 h 1464319"/>
                            <a:gd name="T12" fmla="*/ 0 w 5695950"/>
                            <a:gd name="T13" fmla="*/ 1464319 h 1464319"/>
                            <a:gd name="T14" fmla="*/ 0 w 5695950"/>
                            <a:gd name="T15" fmla="*/ 254411 h 1464319"/>
                            <a:gd name="T16" fmla="*/ 254411 w 5695950"/>
                            <a:gd name="T17" fmla="*/ 0 h 14643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695950"/>
                            <a:gd name="T28" fmla="*/ 0 h 1464319"/>
                            <a:gd name="T29" fmla="*/ 5695950 w 5695950"/>
                            <a:gd name="T30" fmla="*/ 1464319 h 146431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695950" h="1464319">
                              <a:moveTo>
                                <a:pt x="254411" y="0"/>
                              </a:moveTo>
                              <a:lnTo>
                                <a:pt x="5695950" y="0"/>
                              </a:lnTo>
                              <a:lnTo>
                                <a:pt x="5695950" y="1209908"/>
                              </a:lnTo>
                              <a:cubicBezTo>
                                <a:pt x="5695950" y="1350415"/>
                                <a:pt x="5582046" y="1464319"/>
                                <a:pt x="5441539" y="1464319"/>
                              </a:cubicBezTo>
                              <a:lnTo>
                                <a:pt x="0" y="1464319"/>
                              </a:lnTo>
                              <a:lnTo>
                                <a:pt x="0" y="254411"/>
                              </a:lnTo>
                              <a:cubicBezTo>
                                <a:pt x="0" y="113904"/>
                                <a:pt x="113904" y="0"/>
                                <a:pt x="254411" y="0"/>
                              </a:cubicBezTo>
                              <a:close/>
                            </a:path>
                          </a:pathLst>
                        </a:custGeom>
                        <a:noFill/>
                        <a:ln w="25400">
                          <a:solidFill>
                            <a:srgbClr val="8BAB80"/>
                          </a:solidFill>
                          <a:miter lim="800000"/>
                          <a:headEnd/>
                          <a:tailEnd/>
                        </a:ln>
                        <a:extLst>
                          <a:ext uri="{909E8E84-426E-40DD-AFC4-6F175D3DCCD1}">
                            <a14:hiddenFill xmlns:a14="http://schemas.microsoft.com/office/drawing/2010/main">
                              <a:solidFill>
                                <a:srgbClr val="FFFFFF"/>
                              </a:solidFill>
                            </a14:hiddenFill>
                          </a:ext>
                        </a:extLst>
                      </wps:spPr>
                      <wps:txbx>
                        <w:txbxContent>
                          <w:p w:rsidR="00B85F99" w:rsidRPr="00B86C6A" w:rsidRDefault="00B85F99" w:rsidP="00BB6B80">
                            <w:pPr>
                              <w:pStyle w:val="Normal12PTcouleurgris"/>
                              <w:rPr>
                                <w:rStyle w:val="HStandardCar"/>
                                <w:color w:val="292929" w:themeColor="text1" w:themeShade="BF"/>
                              </w:rPr>
                            </w:pPr>
                            <w:r>
                              <w:rPr>
                                <w:rStyle w:val="HStandardCar"/>
                                <w:b/>
                                <w:color w:val="F07E31"/>
                                <w:sz w:val="20"/>
                              </w:rPr>
                              <w:t xml:space="preserve">DEL II </w:t>
                            </w:r>
                            <w:r>
                              <w:rPr>
                                <w:rStyle w:val="HStandardCar"/>
                                <w:color w:val="292929" w:themeColor="text1" w:themeShade="BF"/>
                                <w:sz w:val="20"/>
                              </w:rPr>
                              <w:t xml:space="preserve">nezavezujočih smernic z naslovom „Presoja dosežkov in vplivov programov razvoja podeželja v letu 2019“ je treba brati v povezavi z </w:t>
                            </w:r>
                            <w:r>
                              <w:rPr>
                                <w:rStyle w:val="HStandardCar"/>
                                <w:b/>
                                <w:color w:val="F07E31"/>
                                <w:sz w:val="20"/>
                              </w:rPr>
                              <w:t xml:space="preserve">DELOM III </w:t>
                            </w:r>
                            <w:r>
                              <w:rPr>
                                <w:rStyle w:val="HStandardCar"/>
                                <w:color w:val="292929" w:themeColor="text1" w:themeShade="BF"/>
                                <w:sz w:val="20"/>
                              </w:rPr>
                              <w:t xml:space="preserve">(Tehnični listi za odgovarjanje na skupna vprašanja za vrednotenje od št. 22 do 30) in </w:t>
                            </w:r>
                            <w:r>
                              <w:rPr>
                                <w:rStyle w:val="HStandardCar"/>
                                <w:b/>
                                <w:color w:val="F07E31"/>
                                <w:sz w:val="20"/>
                              </w:rPr>
                              <w:t xml:space="preserve">DELOM IV </w:t>
                            </w:r>
                            <w:r>
                              <w:rPr>
                                <w:rStyle w:val="HStandardCar"/>
                                <w:color w:val="292929" w:themeColor="text1" w:themeShade="BF"/>
                                <w:sz w:val="20"/>
                              </w:rPr>
                              <w:t>(Tehnična priloga), ki vsebuje dopolnilne informacije za predlagane pristope k vrednotenju, primere dodatnih kazalnikov, podroben opis delovnih korakov, primernost predlaganih pristopov k vrednotenju, priporočene in odsvetovane ukrepe ter slovar).</w:t>
                            </w:r>
                          </w:p>
                        </w:txbxContent>
                      </wps:txbx>
                      <wps:bodyPr rot="0" vert="horz" wrap="square" lIns="91440" tIns="45720" rIns="91440" bIns="45720" anchor="ctr" anchorCtr="0" upright="1">
                        <a:noAutofit/>
                      </wps:bodyPr>
                    </wps:wsp>
                  </a:graphicData>
                </a:graphic>
              </wp:inline>
            </w:drawing>
          </mc:Choice>
          <mc:Fallback>
            <w:pict>
              <v:shape w14:anchorId="32B98344" id="Rectangle: Diagonal Corners Rounded 48" o:spid="_x0000_s1029" style="width:448.5pt;height:129pt;visibility:visible;mso-wrap-style:square;mso-left-percent:-10001;mso-top-percent:-10001;mso-position-horizontal:absolute;mso-position-horizontal-relative:char;mso-position-vertical:absolute;mso-position-vertical-relative:line;mso-left-percent:-10001;mso-top-percent:-10001;v-text-anchor:middle" coordsize="5695950,14643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JqKmQQAAEMOAAAOAAAAZHJzL2Uyb0RvYy54bWysV9tu4zYQfS/QfyD0WMCRqFssI84isZOi&#10;wHZ3set+AC1RllCJVEk5drbov3dIUQ65XclFUT/Yonl4ODNnNBzevTu3DXqhQtacrT18E3iIspwX&#10;NTusvd92z4ulh2RPWEEazujae6XSe3f/4w93p25FQ17xpqACAQmTq1O39qq+71a+L/OKtkTe8I4y&#10;mCy5aEkPQ3HwC0FOwN42fhgEqX/iougEz6mU8O92mPTuNX9Z0rz/WJaS9qhZe2Bbr7+F/t6rb//+&#10;jqwOgnRVnRszyH+woiU1g00vVFvSE3QU9T+o2joXXPKyv8l56/OyrHOqfQBvcPCNN18q0lHtCwRH&#10;dpcwyf+PNv/w8kmgulh7WZR4iJEWRPoMYSPs0NAV2tbkwBlp0IYLBjKjz/zIClqgeKlid+rkCii+&#10;dJ+E8l5273n+u4QJ35lRAwkYtD/9ygvYgRx7ruN1LkWrVkIk0FnL8nqRhZ57lMOfSZolWQLq5TCH&#10;02gZBVo4n6zG5flR9j9TrqnIy3vZD7oW8KRVKYxnO2Ap2wYk/slHYRLHGKMTGjcwi0YstrABqhCO&#10;0zjCmcmZC2VowQzTNGdkgWc4Ywt2lRN0u/g0w5lasKuctxYYh0GWBcvpCMA7fjFAxTSJsukIZBbY&#10;RHSaGdt6BdOk2NbqOqst2RyrrdZ1Vlu0OVZbL5ODk8mFbdWuJqyt2kwmYFuwAKUBfFCaJFH6bW5D&#10;tr9JO4sMXaVmOENbq3lOV6c5TlupeU5XpTlOW6d5TlukeaSr0GTpCV2FJtMjtPW5+lJHtkbfzWco&#10;qYexaJJqrKP5mZlCCk8IToa1t4McUpW141LVbVVXoTjvsEogIAGcmrXgmQMHYRU8moJDNtnsoJmC&#10;J5Nw7MBBDgW/nYSHDhxireC6sH/P9jBy4KomKTzUnAlnw9hdYLzF0+4m7gLjL552OHUXGI+x4/Lg&#10;i1FOwJmumqBdCCkIbdBOpRg0QjuVQtAK7SA59PnXkV4Jr8MPj+hkHcAVnL/mEFTzLX+hO66RvcqC&#10;oT7p6IwH9BukYTbU5KqDHRHjb6dJbaQ5iUzcR1x+3Nf5I/06xY+jJIBDybg3kCbLMIiHqI0eDd4P&#10;08Mhpq2zplVAnb1GCwZLh7xw8SNi/LWRJlxDEo0AdwMbjnGUBbHthflHZeMo3pQOLm3ecEmHfZXc&#10;+pW96K69fGunGH+um0YHp2EqG8Bs6L+U6pI3daFm9UAc9ptGoBcCWbZ8fHhcjjngwNq6h4a/qVsA&#10;qXPHGF5RUjyxQm/Tk7oZnsGURhcSaAVNTqqmUDfWf2ZB9rR8WsaLOEyfFnGw3S4enjfxIn3Gt8k2&#10;2m42W/yXshPHq6ouCsqUqWOTj+N/10Sb68bQnl/afMclaXv+rD8mQy2Y75qhQw6+jL/aO900qz55&#10;aKz78/6sW3NdN1QPvefFK3TRgg/3GLh3wUPFxVcPneAOs/bkH0ciqIeaXxhcEjIcx5CUvR7Eya06&#10;o4U9s7dnCMuBau3lvfCgyKvBpocxLDp2oj5UsNdQZxl/gP69rFWXrW0e7DIDuKlor8ytSl2F7LFG&#10;vd397v8GAAD//wMAUEsDBBQABgAIAAAAIQDYqSM/3AAAAAUBAAAPAAAAZHJzL2Rvd25yZXYueG1s&#10;TI/NTsMwEITvSLyDtZW4UaflL03jVKiIA+KACH0AN14Sq/E62G6b9ulZuMBlpNGsZr4tV6PrxQFD&#10;tJ4UzKYZCKTGG0utgs3H83UOIiZNRveeUMEJI6yqy4tSF8Yf6R0PdWoFl1AstIIupaGQMjYdOh2n&#10;fkDi7NMHpxPb0EoT9JHLXS/nWXYvnbbEC50ecN1hs6v3TsEi4Ozpbf1ycuPX683utj5vrD0rdTUZ&#10;H5cgEo7p7xh+8BkdKmba+j2ZKHoF/Ej6Vc7yxQPbrYL5XZ6BrEr5n776BgAA//8DAFBLAQItABQA&#10;BgAIAAAAIQC2gziS/gAAAOEBAAATAAAAAAAAAAAAAAAAAAAAAABbQ29udGVudF9UeXBlc10ueG1s&#10;UEsBAi0AFAAGAAgAAAAhADj9If/WAAAAlAEAAAsAAAAAAAAAAAAAAAAALwEAAF9yZWxzLy5yZWxz&#10;UEsBAi0AFAAGAAgAAAAhAPbQmoqZBAAAQw4AAA4AAAAAAAAAAAAAAAAALgIAAGRycy9lMm9Eb2Mu&#10;eG1sUEsBAi0AFAAGAAgAAAAhANipIz/cAAAABQEAAA8AAAAAAAAAAAAAAAAA8wYAAGRycy9kb3du&#10;cmV2LnhtbFBLBQYAAAAABAAEAPMAAAD8BwAAAAA=&#10;" adj="-11796480,,5400" path="m254411,l5695950,r,1209908c5695950,1350415,5582046,1464319,5441539,1464319l,1464319,,254411c,113904,113904,,254411,xe" filled="f" strokecolor="#8bab80" strokeweight="2pt">
                <v:stroke joinstyle="miter"/>
                <v:formulas/>
                <v:path arrowok="t" o:connecttype="custom" o:connectlocs="254411,0;5695950,0;5695950,0;5695950,1353662;5441539,1638300;0,1638300;0,1638300;0,284638;254411,0" o:connectangles="0,0,0,0,0,0,0,0,0" textboxrect="0,0,5695950,1464319"/>
                <v:textbox>
                  <w:txbxContent>
                    <w:p w:rsidR="00B85F99" w:rsidRPr="00B86C6A" w:rsidRDefault="00B85F99" w:rsidP="00BB6B80">
                      <w:pPr>
                        <w:pStyle w:val="Normal12PTcouleurgris"/>
                        <w:rPr>
                          <w:rStyle w:val="HStandardCar"/>
                          <w:color w:val="292929" w:themeColor="text1" w:themeShade="BF"/>
                        </w:rPr>
                      </w:pPr>
                      <w:r>
                        <w:rPr>
                          <w:rStyle w:val="HStandardCar"/>
                          <w:b/>
                          <w:color w:val="F07E31"/>
                          <w:sz w:val="20"/>
                        </w:rPr>
                        <w:t xml:space="preserve">DEL II </w:t>
                      </w:r>
                      <w:r>
                        <w:rPr>
                          <w:rStyle w:val="HStandardCar"/>
                          <w:color w:val="292929" w:themeColor="text1" w:themeShade="BF"/>
                          <w:sz w:val="20"/>
                        </w:rPr>
                        <w:t xml:space="preserve">nezavezujočih smernic z naslovom „Presoja dosežkov in vplivov programov razvoja podeželja v letu 2019“ je treba brati v povezavi z </w:t>
                      </w:r>
                      <w:r>
                        <w:rPr>
                          <w:rStyle w:val="HStandardCar"/>
                          <w:b/>
                          <w:color w:val="F07E31"/>
                          <w:sz w:val="20"/>
                        </w:rPr>
                        <w:t xml:space="preserve">DELOM III </w:t>
                      </w:r>
                      <w:r>
                        <w:rPr>
                          <w:rStyle w:val="HStandardCar"/>
                          <w:color w:val="292929" w:themeColor="text1" w:themeShade="BF"/>
                          <w:sz w:val="20"/>
                        </w:rPr>
                        <w:t xml:space="preserve">(Tehnični listi za odgovarjanje na skupna vprašanja za vrednotenje od št. 22 do 30) in </w:t>
                      </w:r>
                      <w:r>
                        <w:rPr>
                          <w:rStyle w:val="HStandardCar"/>
                          <w:b/>
                          <w:color w:val="F07E31"/>
                          <w:sz w:val="20"/>
                        </w:rPr>
                        <w:t xml:space="preserve">DELOM IV </w:t>
                      </w:r>
                      <w:r>
                        <w:rPr>
                          <w:rStyle w:val="HStandardCar"/>
                          <w:color w:val="292929" w:themeColor="text1" w:themeShade="BF"/>
                          <w:sz w:val="20"/>
                        </w:rPr>
                        <w:t>(Tehnična priloga), ki vsebuje dopolnilne informacije za predlagane pristope k vrednotenju, primere dodatnih kazalnikov, podroben opis delovnih korakov, primernost predlaganih pristopov k vrednotenju, priporočene in odsvetovane ukrepe ter slovar).</w:t>
                      </w:r>
                    </w:p>
                  </w:txbxContent>
                </v:textbox>
                <w10:anchorlock/>
              </v:shape>
            </w:pict>
          </mc:Fallback>
        </mc:AlternateContent>
      </w:r>
    </w:p>
    <w:p w:rsidR="00425D88" w:rsidRPr="007645B4" w:rsidRDefault="00425D88" w:rsidP="00002482">
      <w:pPr>
        <w:pStyle w:val="HHeading2"/>
        <w:tabs>
          <w:tab w:val="clear" w:pos="360"/>
          <w:tab w:val="clear" w:pos="567"/>
        </w:tabs>
      </w:pPr>
      <w:r>
        <w:t>Izbira ustreznih pristopov k vrednotenju za presojo vplivov programov razvoja podeželja</w:t>
      </w:r>
    </w:p>
    <w:p w:rsidR="00E93BEA" w:rsidRPr="001C6ACF" w:rsidRDefault="00E93BEA" w:rsidP="00E93BEA">
      <w:pPr>
        <w:pStyle w:val="HStandard"/>
        <w:rPr>
          <w:rFonts w:cs="Arial"/>
        </w:rPr>
      </w:pPr>
      <w:r>
        <w:t xml:space="preserve">Presoja in določitev neto vrednosti skupnih kazalnikov vpliva v okviru drugega stebra SKP leta 2019 sta velik izziv, pri katerem se zastavlja </w:t>
      </w:r>
      <w:r>
        <w:rPr>
          <w:b/>
        </w:rPr>
        <w:t>več vprašanj:</w:t>
      </w:r>
      <w:r>
        <w:t xml:space="preserve"> </w:t>
      </w:r>
    </w:p>
    <w:p w:rsidR="00E93BEA" w:rsidRPr="001C6ACF" w:rsidRDefault="00E93BEA" w:rsidP="00E93BEA">
      <w:pPr>
        <w:pStyle w:val="Hlistbullet"/>
      </w:pPr>
      <w:r>
        <w:t xml:space="preserve">Kako je mogoče spremembe, opažene na podeželskih območjih, pripisati ukrepanju v okviru PRP in katere pristope k vrednotenju bi bilo treba uporabiti v ta namen? </w:t>
      </w:r>
    </w:p>
    <w:p w:rsidR="00E93BEA" w:rsidRPr="001C6ACF" w:rsidRDefault="00E93BEA" w:rsidP="00E93BEA">
      <w:pPr>
        <w:pStyle w:val="Hlistbullet"/>
      </w:pPr>
      <w:r>
        <w:t xml:space="preserve">Katere podatke iz obstoječih virov (npr. spremljanje, podatkovne zbirke na ravni EU ter nacionalni in regionalni ravni) bi bilo treba uporabiti za obveščanje o predlaganem pristopu k vrednotenju? </w:t>
      </w:r>
    </w:p>
    <w:p w:rsidR="00E93BEA" w:rsidRPr="001C6ACF" w:rsidRDefault="00E93BEA" w:rsidP="00E93BEA">
      <w:pPr>
        <w:pStyle w:val="Hlistbullet"/>
      </w:pPr>
      <w:r>
        <w:t xml:space="preserve">Kako se usklajevati z različnimi ponudniki podatkov? </w:t>
      </w:r>
    </w:p>
    <w:p w:rsidR="00E93BEA" w:rsidRPr="001C6ACF" w:rsidRDefault="00E93BEA" w:rsidP="00E93BEA">
      <w:pPr>
        <w:pStyle w:val="Hlistbullet"/>
      </w:pPr>
      <w:r>
        <w:t xml:space="preserve">Kako je mogoče zagotoviti kakovost podatkov in zapolniti podatkovne vrzeli? </w:t>
      </w:r>
    </w:p>
    <w:p w:rsidR="009B0B1E" w:rsidRPr="001C6ACF" w:rsidRDefault="009B0B1E" w:rsidP="00B63445">
      <w:pPr>
        <w:pStyle w:val="HHeading3"/>
      </w:pPr>
      <w:r>
        <w:t>Kako je mogoče uporabiti logične modele za določitev, kateri pristopi k vrednotenju so ustrezni?</w:t>
      </w:r>
    </w:p>
    <w:p w:rsidR="009B37D9" w:rsidRPr="001C6ACF" w:rsidRDefault="000B213F" w:rsidP="009B37D9">
      <w:pPr>
        <w:pStyle w:val="HStandard"/>
      </w:pPr>
      <w:r>
        <w:rPr>
          <w:b/>
          <w:i/>
          <w:noProof/>
          <w:color w:val="F07E31" w:themeColor="accent1"/>
          <w:lang w:bidi="ar-SA"/>
        </w:rPr>
        <mc:AlternateContent>
          <mc:Choice Requires="wps">
            <w:drawing>
              <wp:anchor distT="0" distB="0" distL="114300" distR="114300" simplePos="0" relativeHeight="251728384" behindDoc="1" locked="0" layoutInCell="1" allowOverlap="1" wp14:anchorId="63A05713" wp14:editId="19395B45">
                <wp:simplePos x="0" y="0"/>
                <wp:positionH relativeFrom="margin">
                  <wp:align>right</wp:align>
                </wp:positionH>
                <wp:positionV relativeFrom="paragraph">
                  <wp:posOffset>35560</wp:posOffset>
                </wp:positionV>
                <wp:extent cx="2447925" cy="2076450"/>
                <wp:effectExtent l="0" t="0" r="28575" b="19050"/>
                <wp:wrapTight wrapText="bothSides">
                  <wp:wrapPolygon edited="0">
                    <wp:start x="672" y="0"/>
                    <wp:lineTo x="0" y="793"/>
                    <wp:lineTo x="0" y="21600"/>
                    <wp:lineTo x="21180" y="21600"/>
                    <wp:lineTo x="21684" y="20807"/>
                    <wp:lineTo x="21684" y="0"/>
                    <wp:lineTo x="672" y="0"/>
                  </wp:wrapPolygon>
                </wp:wrapTight>
                <wp:docPr id="9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2076450"/>
                        </a:xfrm>
                        <a:prstGeom prst="round2DiagRect">
                          <a:avLst>
                            <a:gd name="adj1" fmla="val 8733"/>
                            <a:gd name="adj2" fmla="val 0"/>
                          </a:avLst>
                        </a:prstGeom>
                        <a:noFill/>
                        <a:ln w="25400" cap="flat" cmpd="sng" algn="ctr">
                          <a:solidFill>
                            <a:srgbClr val="BE4A35"/>
                          </a:solidFill>
                          <a:prstDash val="solid"/>
                        </a:ln>
                        <a:effectLst/>
                      </wps:spPr>
                      <wps:txbx>
                        <w:txbxContent>
                          <w:p w:rsidR="00B85F99" w:rsidRPr="00C545E7" w:rsidRDefault="00B85F99" w:rsidP="005166F3">
                            <w:pPr>
                              <w:pStyle w:val="HHeading4"/>
                              <w:spacing w:before="0"/>
                              <w:jc w:val="both"/>
                              <w:rPr>
                                <w:i/>
                                <w:color w:val="F07E31" w:themeColor="accent1"/>
                                <w:sz w:val="18"/>
                              </w:rPr>
                            </w:pPr>
                            <w:r>
                              <w:rPr>
                                <w:noProof/>
                                <w:color w:val="373737"/>
                                <w:lang w:bidi="ar-SA"/>
                              </w:rPr>
                              <w:drawing>
                                <wp:inline distT="0" distB="0" distL="0" distR="0" wp14:anchorId="3EBD10A7" wp14:editId="7634A0C5">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rPr>
                              <w:t>Logični modeli</w:t>
                            </w:r>
                            <w:r>
                              <w:rPr>
                                <w:b w:val="0"/>
                                <w:color w:val="373737"/>
                              </w:rPr>
                              <w:t xml:space="preserve"> so odločitvena drevesa, ki lahko deležnikom pomagajo pri oblikovanju (hipotetičnih) pristopov k vrednotenju ter izbiri najustreznejših metod v skladu z razpoložljivimi podatki in informacijami.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A05713" id="_x0000_s1030" style="position:absolute;left:0;text-align:left;margin-left:141.55pt;margin-top:2.8pt;width:192.75pt;height:163.5pt;z-index:-25158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2447925,2076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rcrQIAAFAFAAAOAAAAZHJzL2Uyb0RvYy54bWysVE1v2zAMvQ/YfxB0X524TtMYdYosWYcB&#10;QVu0HXpmZNnxJouapHx0v36U7KTpttOwiyCJ1CP5Hqmr632r2FZa16Au+PBswJnUAstG1wX/+nTz&#10;4ZIz50GXoFDLgr9Ix6+n799d7UwuU1yjKqVlBKJdvjMFX3tv8iRxYi1bcGdopCZjhbYFT0dbJ6WF&#10;HaG3KkkHg4tkh7Y0FoV0jm4XnZFPI35VSeHvqspJz1TBKTcfVxvXVViT6RXktQWzbkSfBvxDFi00&#10;moIeoRbggW1s8wdU2wiLDit/JrBNsKoaIWMNVM1w8Fs1j2swMtZC5DhzpMn9P1hxu723rCkLPjk/&#10;50xDSyI9EG2gayVztmigRg2KzdFqkpk94EaXsmSTyN3OuJwgHs29DdU7s0Tx3RGpyRtLOLjeZ1/Z&#10;NvhS7WwfhXg5CiH3ngm6TLNsPElHnAmypYPxRTaK4RLID8+Ndf6zxJaFTcFtSCsN2YbkoxSwXTof&#10;NSn7uqD8NuSsahVJvKWaLsdUc9cBJy7pqcshbA9GCRwCB2SNN41SEUFptqNcR9mA2kwAtXKlwNO2&#10;NUSu0zVnoGqaEeFtTM+hasrwPBJn69VcWUZZFfzjp2x2PgqJUbg3biH2Aty684um3k3pACNjx1PZ&#10;BwU60gP9fr/aR52z8CLcrLB8Ie0tdkPhjLhpCH8Jzt+DJYqoEJpsf0dLpZCqw37H2Rrtz7/dB39q&#10;TrJytqOposp/bMBKztQXTW07GWZZGMN4yEbjlA721LI6tehNO0cihESj7OI2+Ht12FYW22f6AGYh&#10;KplAC4rdcdwf5r6bdvpChJzNohuNngG/1I9GBPDAXGD2af8M1vQN5akXb/EwgZDHBugkefXtemC2&#10;8Vg1R847XvsRoLGNMvZfTPgXTs/R6/UjnP4CAAD//wMAUEsDBBQABgAIAAAAIQBsVh0K2QAAAAYB&#10;AAAPAAAAZHJzL2Rvd25yZXYueG1sTI9BS8QwEIXvgv8hjODNTd0lpdSmiwheBau417SZbYvJpDbZ&#10;tv57x5Pe5vEe731THTfvxIJzHANpuN9lIJC6YEfqNby/Pd8VIGIyZI0LhBq+McKxvr6qTGnDSq+4&#10;NKkXXEKxNBqGlKZSytgN6E3chQmJvXOYvUks517a2axc7p3cZ1kuvRmJFwYz4dOA3Wdz8Rrsctra&#10;4sOd1dq/LI1q6WvMSOvbm+3xAUTCLf2F4Ref0aFmpjZcyEbhNPAjSYPKQbB5KJQC0fJx2Ocg60r+&#10;x69/AAAA//8DAFBLAQItABQABgAIAAAAIQC2gziS/gAAAOEBAAATAAAAAAAAAAAAAAAAAAAAAABb&#10;Q29udGVudF9UeXBlc10ueG1sUEsBAi0AFAAGAAgAAAAhADj9If/WAAAAlAEAAAsAAAAAAAAAAAAA&#10;AAAALwEAAF9yZWxzLy5yZWxzUEsBAi0AFAAGAAgAAAAhAAheWtytAgAAUAUAAA4AAAAAAAAAAAAA&#10;AAAALgIAAGRycy9lMm9Eb2MueG1sUEsBAi0AFAAGAAgAAAAhAGxWHQrZAAAABgEAAA8AAAAAAAAA&#10;AAAAAAAABwUAAGRycy9kb3ducmV2LnhtbFBLBQYAAAAABAAEAPMAAAANBgAAAAA=&#10;" adj="-11796480,,5400" path="m181336,l2447925,r,l2447925,1895114v,100149,-81187,181336,-181336,181336l,2076450r,l,181336c,81187,81187,,181336,xe" filled="f" strokecolor="#be4a35" strokeweight="2pt">
                <v:stroke joinstyle="miter"/>
                <v:formulas/>
                <v:path arrowok="t" o:connecttype="custom" o:connectlocs="181336,0;2447925,0;2447925,0;2447925,1895114;2266589,2076450;0,2076450;0,2076450;0,181336;181336,0" o:connectangles="0,0,0,0,0,0,0,0,0" textboxrect="0,0,2447925,2076450"/>
                <v:textbox>
                  <w:txbxContent>
                    <w:p w:rsidR="00B85F99" w:rsidRPr="00C545E7" w:rsidRDefault="00B85F99" w:rsidP="005166F3">
                      <w:pPr>
                        <w:pStyle w:val="HHeading4"/>
                        <w:spacing w:before="0"/>
                        <w:jc w:val="both"/>
                        <w:rPr>
                          <w:i/>
                          <w:color w:val="F07E31" w:themeColor="accent1"/>
                          <w:sz w:val="18"/>
                        </w:rPr>
                      </w:pPr>
                      <w:r>
                        <w:rPr>
                          <w:noProof/>
                          <w:color w:val="373737"/>
                          <w:lang w:bidi="ar-SA"/>
                        </w:rPr>
                        <w:drawing>
                          <wp:inline distT="0" distB="0" distL="0" distR="0" wp14:anchorId="3EBD10A7" wp14:editId="7634A0C5">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rPr>
                        <w:t>Logični modeli</w:t>
                      </w:r>
                      <w:r>
                        <w:rPr>
                          <w:b w:val="0"/>
                          <w:color w:val="373737"/>
                        </w:rPr>
                        <w:t xml:space="preserve"> so odločitvena drevesa, ki lahko deležnikom pomagajo pri oblikovanju (hipotetičnih) pristopov k vrednotenju ter izbiri najustreznejših metod v skladu z razpoložljivimi podatki in informacijami.</w:t>
                      </w:r>
                    </w:p>
                  </w:txbxContent>
                </v:textbox>
                <w10:wrap type="tight" anchorx="margin"/>
              </v:shape>
            </w:pict>
          </mc:Fallback>
        </mc:AlternateContent>
      </w:r>
      <w:r>
        <w:t xml:space="preserve">Logični modeli lahko izvajalca vrednotenja usmerijo k novim pristopom, boljšemu načrtovanju zbiranja podatkov in začetku premisleka o metodah, manj odvisnih od razpoložljivosti podatkov (npr. kvalitativne metode). Poleg tega lahko organi upravljanja z logičnimi modeli bolje načrtujejo in predvidijo izide vrednotenja v danem kontekstu (podatki, proračun vrednotenja in časovni okvir). </w:t>
      </w:r>
    </w:p>
    <w:p w:rsidR="00FF13C7" w:rsidRPr="001C6ACF" w:rsidRDefault="00FF13C7" w:rsidP="00FF13C7">
      <w:pPr>
        <w:pStyle w:val="HStandard"/>
        <w:spacing w:after="0"/>
        <w:rPr>
          <w:rFonts w:cs="Arial"/>
          <w:color w:val="373737"/>
          <w:szCs w:val="18"/>
        </w:rPr>
      </w:pPr>
      <w:r>
        <w:rPr>
          <w:color w:val="373737"/>
        </w:rPr>
        <w:t>Logični modeli zagotavljajo postopna navodila za oblikovanje pristopov k vrednotenju, da se omogoči boljše razumevanje:</w:t>
      </w:r>
    </w:p>
    <w:p w:rsidR="00FF13C7" w:rsidRPr="001C6ACF" w:rsidRDefault="00FF13C7" w:rsidP="00FF13C7">
      <w:pPr>
        <w:pStyle w:val="Hlistbullet"/>
        <w:spacing w:before="0" w:after="0" w:line="280" w:lineRule="atLeast"/>
        <w:ind w:left="502"/>
        <w:rPr>
          <w:rFonts w:cs="Arial"/>
          <w:color w:val="373737"/>
          <w:szCs w:val="18"/>
        </w:rPr>
      </w:pPr>
      <w:r>
        <w:rPr>
          <w:b/>
        </w:rPr>
        <w:t>MOŽNOSTI:</w:t>
      </w:r>
      <w:r>
        <w:t xml:space="preserve"> katere kombinacije podatkov/kazalnikov/metod so na voljo in so primerne za odgovarjanje na vprašanja za vrednotenje.</w:t>
      </w:r>
      <w:r>
        <w:rPr>
          <w:color w:val="373737"/>
        </w:rPr>
        <w:t xml:space="preserve"> </w:t>
      </w:r>
    </w:p>
    <w:p w:rsidR="00FF13C7" w:rsidRPr="001C6ACF" w:rsidRDefault="00FF13C7" w:rsidP="00FF13C7">
      <w:pPr>
        <w:pStyle w:val="Hlistbullet"/>
        <w:spacing w:before="0" w:after="0" w:line="280" w:lineRule="atLeast"/>
        <w:ind w:left="502"/>
        <w:rPr>
          <w:color w:val="373737"/>
          <w:sz w:val="22"/>
        </w:rPr>
      </w:pPr>
      <w:r>
        <w:rPr>
          <w:b/>
        </w:rPr>
        <w:t>ZAHTEV:</w:t>
      </w:r>
      <w:r>
        <w:t xml:space="preserve"> kateri podatki/ kazalniki/metode/pristopi so potrebni za oceno neto vplivov in odgovarjanje na vprašanja za vrednotenje.</w:t>
      </w:r>
    </w:p>
    <w:p w:rsidR="00FF13C7" w:rsidRPr="001C6ACF" w:rsidRDefault="00FF13C7" w:rsidP="00FF13C7">
      <w:pPr>
        <w:pStyle w:val="Hlistbullet"/>
        <w:spacing w:before="0" w:after="0" w:line="280" w:lineRule="atLeast"/>
        <w:ind w:left="502"/>
        <w:rPr>
          <w:color w:val="373737"/>
          <w:sz w:val="22"/>
        </w:rPr>
      </w:pPr>
      <w:r>
        <w:rPr>
          <w:b/>
        </w:rPr>
        <w:t>POSLEDIC:</w:t>
      </w:r>
      <w:r>
        <w:t xml:space="preserve"> kakšne posledice imajo odločitve v različnih fazah na stroške in učinkovitost vrednotenja.</w:t>
      </w:r>
    </w:p>
    <w:p w:rsidR="00E93BEA" w:rsidRPr="00571D58" w:rsidRDefault="009B37D9" w:rsidP="009B37D9">
      <w:pPr>
        <w:pStyle w:val="HStandard"/>
      </w:pPr>
      <w:r>
        <w:lastRenderedPageBreak/>
        <w:t xml:space="preserve">Logični modeli, predstavljeni v teh smernicah, sledijo pristopu, ki je bil v okviru projekta </w:t>
      </w:r>
      <w:hyperlink r:id="rId35">
        <w:r>
          <w:rPr>
            <w:rStyle w:val="Hyperlink"/>
            <w:u w:val="none"/>
          </w:rPr>
          <w:t>ENVIEVAL</w:t>
        </w:r>
      </w:hyperlink>
      <w:r>
        <w:rPr>
          <w:rStyle w:val="FootnoteReference"/>
        </w:rPr>
        <w:footnoteReference w:id="26"/>
      </w:r>
      <w:r>
        <w:t xml:space="preserve"> oblikovan v dokumentu </w:t>
      </w:r>
      <w:hyperlink r:id="rId36">
        <w:r>
          <w:rPr>
            <w:rStyle w:val="Hyperlink"/>
            <w:i/>
            <w:u w:val="none"/>
          </w:rPr>
          <w:t xml:space="preserve">Methodological Handbook for the evaluation of environmental impacts of RDPs (Metodološki priročnik za vrednotenje vplivov PRP na okolje). </w:t>
        </w:r>
      </w:hyperlink>
      <w:r>
        <w:t>Ta izboljšana orodja za vrednotenje vplivov ukrepov in programov razvoja podeželja na okolje v državah članicah EU so bila v okviru projekta ENVIEVAL oblikovana in preskušena</w:t>
      </w:r>
      <w:r>
        <w:rPr>
          <w:rStyle w:val="FootnoteReference"/>
        </w:rPr>
        <w:footnoteReference w:id="27"/>
      </w:r>
      <w:r>
        <w:t xml:space="preserve">. </w:t>
      </w:r>
    </w:p>
    <w:p w:rsidR="00AE216A" w:rsidRPr="00FB6C06" w:rsidRDefault="00AE216A" w:rsidP="00AE216A">
      <w:pPr>
        <w:pStyle w:val="HHeading4"/>
      </w:pPr>
      <w:r>
        <w:t>Plasti logičnega modela</w:t>
      </w:r>
    </w:p>
    <w:p w:rsidR="00AE216A" w:rsidRPr="001C6ACF" w:rsidRDefault="00AE216A" w:rsidP="00AE216A">
      <w:pPr>
        <w:pStyle w:val="HStandard"/>
        <w:rPr>
          <w:rFonts w:cs="Arial"/>
        </w:rPr>
      </w:pPr>
      <w:r>
        <w:t xml:space="preserve">Pregled </w:t>
      </w:r>
      <w:r>
        <w:rPr>
          <w:b/>
        </w:rPr>
        <w:t>štirih plasti logičnega modela</w:t>
      </w:r>
      <w:r>
        <w:t xml:space="preserve"> je predstavljen na Sliki 2. Slika v </w:t>
      </w:r>
      <w:r>
        <w:rPr>
          <w:b/>
        </w:rPr>
        <w:t>prvi plasti</w:t>
      </w:r>
      <w:r>
        <w:t xml:space="preserve"> prikazuje, kako vzpostaviti okvir za presojo. Pri tem je treba razumeti, kako se v intervencijsko logiko umestijo vplivi ter kakšni so razpoložljivi kazalniki in enote ocenjevanja. Na</w:t>
      </w:r>
      <w:r>
        <w:rPr>
          <w:b/>
        </w:rPr>
        <w:t xml:space="preserve"> drugi plasti</w:t>
      </w:r>
      <w:r>
        <w:t xml:space="preserve"> se opredeljujejo možnosti za hipotetični scenarij, pri čemer se upoštevajo omejevalni dejavniki. Na</w:t>
      </w:r>
      <w:r>
        <w:rPr>
          <w:b/>
        </w:rPr>
        <w:t xml:space="preserve"> tretji plasti</w:t>
      </w:r>
      <w:r>
        <w:t xml:space="preserve"> opredeljuje možnosti na mikro in makro ravneh za oceno neto vplivov. Na</w:t>
      </w:r>
      <w:r>
        <w:rPr>
          <w:b/>
        </w:rPr>
        <w:t xml:space="preserve"> četrti plasti</w:t>
      </w:r>
      <w:r>
        <w:t xml:space="preserve"> se preveri skladnost analize mikro in makro ravni za potrditev ugotovitev. </w:t>
      </w:r>
    </w:p>
    <w:p w:rsidR="00E93BEA" w:rsidRPr="001C6ACF" w:rsidRDefault="00E93BEA" w:rsidP="00E52947">
      <w:pPr>
        <w:pStyle w:val="HHeadingfigures"/>
      </w:pPr>
      <w:r>
        <w:t>Poenostavljen diagram poteka plasti logičnega modela</w:t>
      </w:r>
    </w:p>
    <w:p w:rsidR="00E93BEA" w:rsidRPr="00571D58" w:rsidRDefault="00D93607" w:rsidP="00E93BEA">
      <w:pPr>
        <w:pStyle w:val="HStandard"/>
        <w:jc w:val="center"/>
      </w:pPr>
      <w:r>
        <w:rPr>
          <w:noProof/>
          <w:lang w:bidi="ar-SA"/>
        </w:rPr>
        <w:drawing>
          <wp:inline distT="0" distB="0" distL="0" distR="0" wp14:anchorId="488B0551" wp14:editId="7A37E7E4">
            <wp:extent cx="5295900" cy="3533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95900" cy="3533775"/>
                    </a:xfrm>
                    <a:prstGeom prst="rect">
                      <a:avLst/>
                    </a:prstGeom>
                  </pic:spPr>
                </pic:pic>
              </a:graphicData>
            </a:graphic>
          </wp:inline>
        </w:drawing>
      </w:r>
    </w:p>
    <w:p w:rsidR="004F365B" w:rsidRPr="001C6ACF" w:rsidRDefault="004F365B" w:rsidP="004F365B">
      <w:pPr>
        <w:pStyle w:val="HSource"/>
        <w:rPr>
          <w:i w:val="0"/>
        </w:rPr>
      </w:pPr>
      <w:r>
        <w:t>Vir:  Evropska služba za pomoč uporabnikom pri vrednotenju razvoja podeželja (2018), prilagojeno po publikaciji v okviru projekta ENVIEVAL (2015): Methodological Handbook for the evaluation of environmental impacts of RDPs: Report D9.5 (Metodološki priročnik za vrednotenje vplivov PRP na okolje, Poročilo št. D9.5)</w:t>
      </w:r>
      <w:r>
        <w:rPr>
          <w:i w:val="0"/>
        </w:rPr>
        <w:t>.</w:t>
      </w:r>
      <w:r>
        <w:t xml:space="preserve"> Bruselj: Evropska komisija. </w:t>
      </w:r>
    </w:p>
    <w:p w:rsidR="00B52943" w:rsidRDefault="00B52943" w:rsidP="00AE216A">
      <w:pPr>
        <w:pStyle w:val="HStandard"/>
        <w:rPr>
          <w:rFonts w:cs="Arial"/>
        </w:rPr>
      </w:pPr>
    </w:p>
    <w:p w:rsidR="00AE216A" w:rsidRPr="001C6ACF" w:rsidRDefault="00AE216A" w:rsidP="00AE216A">
      <w:pPr>
        <w:pStyle w:val="HStandard"/>
        <w:rPr>
          <w:rFonts w:cs="Arial"/>
        </w:rPr>
      </w:pPr>
      <w:r>
        <w:t xml:space="preserve">Plasti logičnega modela se uporabljajo kot referenca za opis predlaganih pristopov k vrednotenju za kazalnike vpliva SKP (glej poglavja od 2.2 do 2.9). </w:t>
      </w:r>
    </w:p>
    <w:p w:rsidR="006B44E5" w:rsidRPr="001C6ACF" w:rsidRDefault="006B44E5">
      <w:pPr>
        <w:spacing w:before="0" w:after="0" w:line="240" w:lineRule="auto"/>
        <w:jc w:val="left"/>
        <w:rPr>
          <w:b/>
          <w:color w:val="57825E" w:themeColor="accent4"/>
          <w:sz w:val="20"/>
          <w:szCs w:val="20"/>
        </w:rPr>
      </w:pPr>
      <w:r>
        <w:br w:type="page"/>
      </w:r>
    </w:p>
    <w:p w:rsidR="00E93BEA" w:rsidRPr="001C6ACF" w:rsidRDefault="00E93BEA" w:rsidP="00E93BEA">
      <w:pPr>
        <w:pStyle w:val="HHeading4"/>
      </w:pPr>
      <w:r>
        <w:lastRenderedPageBreak/>
        <w:t>Vzpostavitev okvira za presojo (prva plast)</w:t>
      </w:r>
    </w:p>
    <w:p w:rsidR="00E93BEA" w:rsidRPr="007645B4" w:rsidRDefault="000B213F" w:rsidP="00E93BEA">
      <w:pPr>
        <w:pStyle w:val="HStandard"/>
        <w:rPr>
          <w:rFonts w:cs="Arial"/>
        </w:rPr>
      </w:pPr>
      <w:r>
        <w:rPr>
          <w:b/>
          <w:i/>
          <w:noProof/>
          <w:color w:val="F07E31" w:themeColor="accent1"/>
          <w:lang w:bidi="ar-SA"/>
        </w:rPr>
        <mc:AlternateContent>
          <mc:Choice Requires="wps">
            <w:drawing>
              <wp:anchor distT="0" distB="0" distL="114300" distR="114300" simplePos="0" relativeHeight="251729408" behindDoc="0" locked="0" layoutInCell="1" allowOverlap="1" wp14:anchorId="70CD87F6" wp14:editId="17E5EAD2">
                <wp:simplePos x="0" y="0"/>
                <wp:positionH relativeFrom="margin">
                  <wp:posOffset>-38100</wp:posOffset>
                </wp:positionH>
                <wp:positionV relativeFrom="paragraph">
                  <wp:posOffset>88900</wp:posOffset>
                </wp:positionV>
                <wp:extent cx="2286000" cy="2533650"/>
                <wp:effectExtent l="0" t="0" r="19050" b="19050"/>
                <wp:wrapThrough wrapText="bothSides">
                  <wp:wrapPolygon edited="0">
                    <wp:start x="900" y="0"/>
                    <wp:lineTo x="0" y="812"/>
                    <wp:lineTo x="0" y="21600"/>
                    <wp:lineTo x="20880" y="21600"/>
                    <wp:lineTo x="21060" y="21600"/>
                    <wp:lineTo x="21600" y="20788"/>
                    <wp:lineTo x="21600" y="0"/>
                    <wp:lineTo x="900" y="0"/>
                  </wp:wrapPolygon>
                </wp:wrapThrough>
                <wp:docPr id="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2533650"/>
                        </a:xfrm>
                        <a:prstGeom prst="round2DiagRect">
                          <a:avLst>
                            <a:gd name="adj1" fmla="val 8733"/>
                            <a:gd name="adj2" fmla="val 0"/>
                          </a:avLst>
                        </a:prstGeom>
                        <a:noFill/>
                        <a:ln w="25400" cap="flat" cmpd="sng" algn="ctr">
                          <a:solidFill>
                            <a:srgbClr val="BE4A35"/>
                          </a:solidFill>
                          <a:prstDash val="solid"/>
                        </a:ln>
                        <a:effectLst/>
                      </wps:spPr>
                      <wps:txbx>
                        <w:txbxContent>
                          <w:p w:rsidR="00B85F99" w:rsidRPr="00044269" w:rsidRDefault="00B85F99" w:rsidP="005166F3">
                            <w:pPr>
                              <w:pStyle w:val="HHeading4"/>
                              <w:spacing w:before="0"/>
                              <w:jc w:val="both"/>
                              <w:rPr>
                                <w:b w:val="0"/>
                                <w:i/>
                                <w:color w:val="F07E31" w:themeColor="accent1"/>
                                <w:sz w:val="18"/>
                              </w:rPr>
                            </w:pPr>
                            <w:r>
                              <w:rPr>
                                <w:noProof/>
                                <w:color w:val="373737"/>
                                <w:lang w:bidi="ar-SA"/>
                              </w:rPr>
                              <w:drawing>
                                <wp:inline distT="0" distB="0" distL="0" distR="0" wp14:anchorId="5C08980E" wp14:editId="50BE3FE7">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Presoja danega vpliva </w:t>
                            </w:r>
                            <w:r>
                              <w:rPr>
                                <w:b w:val="0"/>
                                <w:color w:val="373737" w:themeColor="text1"/>
                              </w:rPr>
                              <w:t>(sektorskega, vpliva na okolje ali socialno-ekonomskega) se začne z vzpostavitvijo doslednega okvira za vrednotenje. Tako se pojasni umestitev vpliva v intervencijsko logiko ter prikažejo razpoložljivi kazalniki in enote analize za njegovo merjenje.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0CD87F6" id="_x0000_s1031" style="position:absolute;left:0;text-align:left;margin-left:-3pt;margin-top:7pt;width:180pt;height:199.5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coordsize="2286000,2533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LVqAIAAE8FAAAOAAAAZHJzL2Uyb0RvYy54bWysVNtu2zAMfR+wfxD0vjpxkl6MOkWWrMOA&#10;oC3aDn1mZPmyyaImKbd9/SjZSdNtT8NeBEmkDslzSF3f7FrFNtK6BnXOh2cDzqQWWDS6yvnX59sP&#10;l5w5D7oAhVrmfC8dv5m+f3e9NZlMsUZVSMsIRLtsa3Jee2+yJHGili24MzRSk7FE24Kno62SwsKW&#10;0FuVpIPBebJFWxiLQjpHt4vOyKcRvyyl8Pdl6aRnKueUm4+rjesqrMn0GrLKgqkb0acB/5BFC42m&#10;oEeoBXhga9v8AdU2wqLD0p8JbBMsy0bIWANVMxz8Vs1TDUbGWogcZ440uf8HK+42D5Y1Rc5HI840&#10;tKTRI7EGulIyY4sGKtSg2BytJpXZI651IQt2FanbGpcRwpN5sKF4Z5YovjviNHljCQfX++xK2wZf&#10;Kp3tog77ow5y55mgyzS9PB8MSC5BtnQyGp1PYrgEssNzY53/LLFlYZNzG9JKQ7Yh+agEbJbOR0mK&#10;vi4ovg05K1tFCm+opssLqrlrgBOX9NTlELYHowQOgQOyxttGqYigNNuGXMcxbaBOLhV4qqA1xK3T&#10;FWegKhoR4W1Mz6FqivA8Emer1VxZRlnl/OOn8Ww0CYlRuDduIfYCXN35RVPvpnSAkbHhqeyDAh3p&#10;gX6/W+2izBE43Kyw2JP0FruZcEbcNoS/BOcfwBJFxD8Ntr+npVRI1WG/46xG+/Nv98GfepOsnG1p&#10;qKjyH2uwkjP1RVPXXg3H4zCF8TCeXKR0sKeW1alFr9s5EiEkGmUXt8Hfq8O2tNi+0PzPQlQygRYU&#10;u+O4P8x9N+z0gwg5m0U3mjwDfqmfjAjggbnA7PPuBazpG8pTL97hYQAhiw3QSfLq2/XAbO2xbI6c&#10;d7z2I0BTG2Xsf5jwLZyeo9frPzj9BQAA//8DAFBLAwQUAAYACAAAACEA4EeNndwAAAAJAQAADwAA&#10;AGRycy9kb3ducmV2LnhtbEyPzU7DMBCE70i8g7VI3FonpK1QiFMhEBduhApx3NrbOGpsh9htAk/P&#10;9gSn/ZnV7DfVdna9ONMYu+AV5MsMBHkdTOdbBbv3l8U9iJjQG+yDJwXfFGFbX19VWJow+Tc6N6kV&#10;bOJjiQpsSkMpZdSWHMZlGMizdgijw8Tj2Eoz4sTmrpd3WbaRDjvPHywO9GRJH5uTUzD9TF8f61cs&#10;TJs/N6kn/WmdVur2Zn58AJFoTn/HcMFndKiZaR9O3kTRK1hsOEri/Yor68X60uwVrPIiA1lX8n+C&#10;+hcAAP//AwBQSwECLQAUAAYACAAAACEAtoM4kv4AAADhAQAAEwAAAAAAAAAAAAAAAAAAAAAAW0Nv&#10;bnRlbnRfVHlwZXNdLnhtbFBLAQItABQABgAIAAAAIQA4/SH/1gAAAJQBAAALAAAAAAAAAAAAAAAA&#10;AC8BAABfcmVscy8ucmVsc1BLAQItABQABgAIAAAAIQAFCELVqAIAAE8FAAAOAAAAAAAAAAAAAAAA&#10;AC4CAABkcnMvZTJvRG9jLnhtbFBLAQItABQABgAIAAAAIQDgR42d3AAAAAkBAAAPAAAAAAAAAAAA&#10;AAAAAAIFAABkcnMvZG93bnJldi54bWxQSwUGAAAAAAQABADzAAAACwYAAAAA&#10;" adj="-11796480,,5400" path="m199636,l2286000,r,l2286000,2334014v,110256,-89380,199636,-199636,199636l,2533650r,l,199636c,89380,89380,,199636,xe" filled="f" strokecolor="#be4a35" strokeweight="2pt">
                <v:stroke joinstyle="miter"/>
                <v:formulas/>
                <v:path arrowok="t" o:connecttype="custom" o:connectlocs="199636,0;2286000,0;2286000,0;2286000,2334014;2086364,2533650;0,2533650;0,2533650;0,199636;199636,0" o:connectangles="0,0,0,0,0,0,0,0,0" textboxrect="0,0,2286000,2533650"/>
                <v:textbox>
                  <w:txbxContent>
                    <w:p w:rsidR="00B85F99" w:rsidRPr="00044269" w:rsidRDefault="00B85F99" w:rsidP="005166F3">
                      <w:pPr>
                        <w:pStyle w:val="HHeading4"/>
                        <w:spacing w:before="0"/>
                        <w:jc w:val="both"/>
                        <w:rPr>
                          <w:b w:val="0"/>
                          <w:i/>
                          <w:color w:val="F07E31" w:themeColor="accent1"/>
                          <w:sz w:val="18"/>
                        </w:rPr>
                      </w:pPr>
                      <w:r>
                        <w:rPr>
                          <w:noProof/>
                          <w:color w:val="373737"/>
                          <w:lang w:bidi="ar-SA"/>
                        </w:rPr>
                        <w:drawing>
                          <wp:inline distT="0" distB="0" distL="0" distR="0" wp14:anchorId="5C08980E" wp14:editId="50BE3FE7">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Presoja danega vpliva </w:t>
                      </w:r>
                      <w:r>
                        <w:rPr>
                          <w:b w:val="0"/>
                          <w:color w:val="373737" w:themeColor="text1"/>
                        </w:rPr>
                        <w:t>(sektorskega, vpliva na okolje ali socialno-ekonomskega) se začne z vzpostavitvijo doslednega okvira za vrednotenje. Tako se pojasni umestitev vpliva v intervencijsko logiko ter prikažejo razpoložljivi kazalniki in enote analize za njegovo merjenje.</w:t>
                      </w:r>
                    </w:p>
                  </w:txbxContent>
                </v:textbox>
                <w10:wrap type="through" anchorx="margin"/>
              </v:shape>
            </w:pict>
          </mc:Fallback>
        </mc:AlternateContent>
      </w:r>
      <w:r>
        <w:t>Okvir za presojo je mogoče pripraviti ob upoštevanju naslednjih korakov:</w:t>
      </w:r>
    </w:p>
    <w:p w:rsidR="00E93BEA" w:rsidRPr="001C6ACF" w:rsidRDefault="0084519A" w:rsidP="00E93BEA">
      <w:pPr>
        <w:pStyle w:val="HStandard"/>
        <w:rPr>
          <w:rFonts w:cs="Arial"/>
        </w:rPr>
      </w:pPr>
      <w:r>
        <w:rPr>
          <w:b/>
          <w:color w:val="F07E31" w:themeColor="accent1"/>
        </w:rPr>
        <w:t>Korak 1 –</w:t>
      </w:r>
      <w:r>
        <w:rPr>
          <w:i/>
        </w:rPr>
        <w:t xml:space="preserve"> </w:t>
      </w:r>
      <w:r>
        <w:rPr>
          <w:b/>
          <w:color w:val="F07E31" w:themeColor="accent1"/>
        </w:rPr>
        <w:t>Pojasnitev intervencijske logike sistema CMES:</w:t>
      </w:r>
      <w:r>
        <w:t xml:space="preserve"> Intervencijska logika prikazuje hierarhijo ciljev politike glede na ustrezna vprašanja za vrednotenje, ukrepe in prednostna področja, pa tudi </w:t>
      </w:r>
      <w:r>
        <w:rPr>
          <w:b/>
        </w:rPr>
        <w:t>glede na povezane kazalnike učinka, rezultatov in vpliva sistema CMES.</w:t>
      </w:r>
      <w:r>
        <w:t xml:space="preserve"> Kazalniki se pregledajo na podlagi razpoložljivih podatkov.</w:t>
      </w:r>
    </w:p>
    <w:p w:rsidR="000C2540" w:rsidRPr="001C6ACF" w:rsidRDefault="0084519A" w:rsidP="000C2540">
      <w:pPr>
        <w:pStyle w:val="HStandard"/>
        <w:rPr>
          <w:rFonts w:cs="Arial"/>
          <w:bCs/>
        </w:rPr>
      </w:pPr>
      <w:r>
        <w:rPr>
          <w:b/>
          <w:color w:val="F07E31" w:themeColor="accent1"/>
        </w:rPr>
        <w:t xml:space="preserve">Korak 2 – Izbira dodatnih kazalnikov (rezultatov in/ali vpliva): </w:t>
      </w:r>
      <w:r>
        <w:t xml:space="preserve">Ti kazalniki lahko dopolnjujejo obvezne kazalnike sistema CMES. </w:t>
      </w:r>
      <w:r>
        <w:rPr>
          <w:b/>
        </w:rPr>
        <w:t>Uporaba dodatnih kazalnikov je prostovoljna</w:t>
      </w:r>
      <w:r>
        <w:t xml:space="preserve"> in bi bilo treba o njej temeljito premisliti ter pri tem upoštevati stroške, razpoložljivost podatkov, ustreznost in dodano vrednost za presojo. Dodatni kazalniki so lahko koristni pri količinski opredelitvi neto rezultatov in vplivov, če so podatki za skupne kazalnike pomanjkljivi ali če je treba zapolniti vrzeli v skupnih kazalnikih rezultatov in vpliva.</w:t>
      </w:r>
      <w:r w:rsidR="00937D25">
        <w:t xml:space="preserve"> </w:t>
      </w:r>
      <w:r>
        <w:t xml:space="preserve">Dodatni kazalniki so lahko po naravi tudi kvalitativni (npr. stopnja spremembe, kot jo zaznajo deležniki, po Likertovi lestvici), da se dopolnijo kvantitativni dokazi ali če ni drugih dokazov, ki bi jih bilo mogoče količinsko opredeliti. </w:t>
      </w:r>
    </w:p>
    <w:p w:rsidR="00560A1E" w:rsidRPr="001C6ACF" w:rsidRDefault="0084519A" w:rsidP="00E93BEA">
      <w:pPr>
        <w:pStyle w:val="HStandard"/>
        <w:rPr>
          <w:rFonts w:cs="Arial"/>
        </w:rPr>
      </w:pPr>
      <w:r>
        <w:rPr>
          <w:b/>
          <w:color w:val="F07E31" w:themeColor="accent1"/>
        </w:rPr>
        <w:t xml:space="preserve">Korak 3 – Opredelitev enote analize (= „najmanjši del organiziranega sistema“) za presojo na mikro in makro ravni (če je primerno): </w:t>
      </w:r>
      <w:r>
        <w:t>Enota analize na mikro ravni so lahko kmetije, parcele, skupnosti ali regije, na makro ravni pa prispevno območje, regionalna enota ali celotno ozemlje PRP. Kazalnik lahko na podlagi opredeljene enote analize meri spremembe v upravljanju zemljišč ter okoljske, sektorske ali socialno-ekonomske spremembe, ki so posledica ukrepanja v okviru PRP. Zadevne podatke bi bilo treba zbrati za isto kategorijo enote ter vključiti upravičence in neupravičence programa.</w:t>
      </w:r>
    </w:p>
    <w:p w:rsidR="00E93BEA" w:rsidRPr="001C6ACF" w:rsidRDefault="00E93BEA" w:rsidP="00E93BEA">
      <w:pPr>
        <w:pStyle w:val="HHeading4"/>
      </w:pPr>
      <w:r>
        <w:t>Oblikovanje hipotetičnega scenarija (druga plast)</w:t>
      </w:r>
    </w:p>
    <w:p w:rsidR="00391ECD" w:rsidRPr="001C6ACF" w:rsidRDefault="00044D33" w:rsidP="002D4AB7">
      <w:pPr>
        <w:pStyle w:val="HStandard"/>
        <w:rPr>
          <w:rFonts w:cs="Arial"/>
        </w:rPr>
      </w:pPr>
      <w:r>
        <w:rPr>
          <w:b/>
          <w:i/>
          <w:noProof/>
          <w:color w:val="F07E31" w:themeColor="accent1"/>
          <w:lang w:bidi="ar-SA"/>
        </w:rPr>
        <mc:AlternateContent>
          <mc:Choice Requires="wps">
            <w:drawing>
              <wp:anchor distT="0" distB="0" distL="114300" distR="114300" simplePos="0" relativeHeight="251730432" behindDoc="0" locked="0" layoutInCell="1" allowOverlap="1" wp14:anchorId="6A6E36E7" wp14:editId="213D3A19">
                <wp:simplePos x="0" y="0"/>
                <wp:positionH relativeFrom="column">
                  <wp:posOffset>3238500</wp:posOffset>
                </wp:positionH>
                <wp:positionV relativeFrom="paragraph">
                  <wp:posOffset>38100</wp:posOffset>
                </wp:positionV>
                <wp:extent cx="2447925" cy="1743075"/>
                <wp:effectExtent l="0" t="0" r="28575" b="28575"/>
                <wp:wrapThrough wrapText="bothSides">
                  <wp:wrapPolygon edited="0">
                    <wp:start x="504" y="0"/>
                    <wp:lineTo x="0" y="708"/>
                    <wp:lineTo x="0" y="21718"/>
                    <wp:lineTo x="21348" y="21718"/>
                    <wp:lineTo x="21684" y="21010"/>
                    <wp:lineTo x="21684" y="0"/>
                    <wp:lineTo x="504" y="0"/>
                  </wp:wrapPolygon>
                </wp:wrapThrough>
                <wp:docPr id="38"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743075"/>
                        </a:xfrm>
                        <a:prstGeom prst="round2DiagRect">
                          <a:avLst>
                            <a:gd name="adj1" fmla="val 8733"/>
                            <a:gd name="adj2" fmla="val 0"/>
                          </a:avLst>
                        </a:prstGeom>
                        <a:noFill/>
                        <a:ln w="25400" cap="flat" cmpd="sng" algn="ctr">
                          <a:solidFill>
                            <a:srgbClr val="BE4A35"/>
                          </a:solidFill>
                          <a:prstDash val="solid"/>
                        </a:ln>
                        <a:effectLst/>
                      </wps:spPr>
                      <wps:txbx>
                        <w:txbxContent>
                          <w:p w:rsidR="00B85F99" w:rsidRPr="00044269" w:rsidRDefault="00B85F99" w:rsidP="005166F3">
                            <w:pPr>
                              <w:pStyle w:val="HHeading4"/>
                              <w:spacing w:before="0"/>
                              <w:jc w:val="both"/>
                              <w:rPr>
                                <w:b w:val="0"/>
                                <w:i/>
                                <w:color w:val="373737" w:themeColor="text1"/>
                                <w:sz w:val="18"/>
                              </w:rPr>
                            </w:pPr>
                            <w:r>
                              <w:rPr>
                                <w:noProof/>
                                <w:color w:val="373737" w:themeColor="text1"/>
                                <w:lang w:bidi="ar-SA"/>
                              </w:rPr>
                              <w:drawing>
                                <wp:inline distT="0" distB="0" distL="0" distR="0" wp14:anchorId="2DA6738F" wp14:editId="65AC0B57">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Učinkov programa</w:t>
                            </w:r>
                            <w:r>
                              <w:rPr>
                                <w:b w:val="0"/>
                                <w:color w:val="373737" w:themeColor="text1"/>
                              </w:rPr>
                              <w:t xml:space="preserve"> zaradi drugih vmesnih dejavnikov nikoli ni mogoče neposredno opazovati, zato je za njihovo presojo treba uporabiti analizo hipotetičnega scenarija.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6E36E7" id="_x0000_s1032" style="position:absolute;left:0;text-align:left;margin-left:255pt;margin-top:3pt;width:192.75pt;height:137.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47925,1743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b/rAIAAE8FAAAOAAAAZHJzL2Uyb0RvYy54bWysVE1v2zAMvQ/YfxB0X50Pp2mDOkWWrMOA&#10;oC3aDj0zsvyxyaImKXG6Xz9KdtJ022nYRaBEiuJ7fNTV9b5RbCetq1FnfHg24ExqgXmty4x/fbr5&#10;cMGZ86BzUKhlxl+k49fz9++uWjOTI6xQ5dIySqLdrDUZr7w3syRxopINuDM0UpOzQNuAp60tk9xC&#10;S9kblYwGg/OkRZsbi0I6R6erzsnnMX9RSOHvisJJz1TGqTYfVxvXTViT+RXMSgumqkVfBvxDFQ3U&#10;mh49plqBB7a19R+pmlpYdFj4M4FNgkVRCxkxEJrh4Dc0jxUYGbEQOc4caXL/L6243d1bVucZH1On&#10;NDTUowdiDXSp5IytaihRg2JLtJq6zB5wq3OZs8tIXWvcjDI8mnsbwDuzRvHdEafJG0/YuD5mX9gm&#10;xBJ0to99eDn2Qe49E3Q4StPp5WjCmSDfcJqOB9NJ6FQCs8N1Y53/LLFhwci4DWWNQrWh+NgJ2K2d&#10;jy3Je1yQfxtyVjSKOrwjTBfT8bgXwEnI6DQkoqRn+2RkHR4OmTXe1EpFCSnNWip8kg5IZQJIyYUC&#10;T2ZjiFunS85AlTQiwttYnkNV5+F6JM6Wm6WyjKrK+MdP6WJ8wPsmLLy9Ald1cdHV06J0SCOj4An2&#10;oQMd6YF+v9/sY5vPw41wssH8hVpvsZsJZ8RNTfnX4Pw9WKKIgNBg+ztaCoWEDnuLswrtz7+dh3jS&#10;Jnk5a2moCPmPLVjJmfqiSbWXwzQNUxg36WQ6oo099WxOPXrbLJEIoaZRddEM8V4dzMJi80zzvwiv&#10;kgu0oLc7jvvN0nfDTj+IkItFDKPJM+DX+tGIkDwwF5h92j+DNb2gPGnxFg8D2Augk+BrbKeBxdZj&#10;UR8573jtR4CmNsq2/2HCt3C6j1Gv/+D8FwAAAP//AwBQSwMEFAAGAAgAAAAhAAlkQ8HhAAAACQEA&#10;AA8AAABkcnMvZG93bnJldi54bWxMj81OwzAQhO9IvIO1SNyo3YqENMSpKhCIC6CWXri5yZIE4nWI&#10;nR94epYTnEarWc18k21m24oRe9840rBcKBBIhSsbqjQcXu4uEhA+GCpN6wg1fKGHTX56kpm0dBPt&#10;cNyHSnAI+dRoqEPoUil9UaM1fuE6JPbeXG9N4LOvZNmbicNtK1dKxdKahrihNh3e1Fh87Aer4d3d&#10;vj5up6d5eJDPV7vPezd+x5dan5/N22sQAefw9wy/+IwOOTMd3UClF62GaKl4S9AQs7CfrKMIxFHD&#10;KlERyDyT/xfkPwAAAP//AwBQSwECLQAUAAYACAAAACEAtoM4kv4AAADhAQAAEwAAAAAAAAAAAAAA&#10;AAAAAAAAW0NvbnRlbnRfVHlwZXNdLnhtbFBLAQItABQABgAIAAAAIQA4/SH/1gAAAJQBAAALAAAA&#10;AAAAAAAAAAAAAC8BAABfcmVscy8ucmVsc1BLAQItABQABgAIAAAAIQDyy0b/rAIAAE8FAAAOAAAA&#10;AAAAAAAAAAAAAC4CAABkcnMvZTJvRG9jLnhtbFBLAQItABQABgAIAAAAIQAJZEPB4QAAAAkBAAAP&#10;AAAAAAAAAAAAAAAAAAYFAABkcnMvZG93bnJldi54bWxQSwUGAAAAAAQABADzAAAAFAYAAAAA&#10;" adj="-11796480,,5400" path="m152223,l2447925,r,l2447925,1590852v,84070,-68153,152223,-152223,152223l,1743075r,l,152223c,68153,68153,,152223,xe" filled="f" strokecolor="#be4a35" strokeweight="2pt">
                <v:stroke joinstyle="miter"/>
                <v:formulas/>
                <v:path arrowok="t" o:connecttype="custom" o:connectlocs="152223,0;2447925,0;2447925,0;2447925,1590852;2295702,1743075;0,1743075;0,1743075;0,152223;152223,0" o:connectangles="0,0,0,0,0,0,0,0,0" textboxrect="0,0,2447925,1743075"/>
                <v:textbox>
                  <w:txbxContent>
                    <w:p w:rsidR="00B85F99" w:rsidRPr="00044269" w:rsidRDefault="00B85F99" w:rsidP="005166F3">
                      <w:pPr>
                        <w:pStyle w:val="HHeading4"/>
                        <w:spacing w:before="0"/>
                        <w:jc w:val="both"/>
                        <w:rPr>
                          <w:b w:val="0"/>
                          <w:i/>
                          <w:color w:val="373737" w:themeColor="text1"/>
                          <w:sz w:val="18"/>
                        </w:rPr>
                      </w:pPr>
                      <w:r>
                        <w:rPr>
                          <w:noProof/>
                          <w:color w:val="373737" w:themeColor="text1"/>
                          <w:lang w:bidi="ar-SA"/>
                        </w:rPr>
                        <w:drawing>
                          <wp:inline distT="0" distB="0" distL="0" distR="0" wp14:anchorId="2DA6738F" wp14:editId="65AC0B57">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Učinkov programa</w:t>
                      </w:r>
                      <w:r>
                        <w:rPr>
                          <w:b w:val="0"/>
                          <w:color w:val="373737" w:themeColor="text1"/>
                        </w:rPr>
                        <w:t xml:space="preserve"> zaradi drugih vmesnih dejavnikov nikoli ni mogoče neposredno opazovati, zato je za njihovo presojo treba uporabiti analizo hipotetičnega scenarija.</w:t>
                      </w:r>
                    </w:p>
                  </w:txbxContent>
                </v:textbox>
                <w10:wrap type="through"/>
              </v:shape>
            </w:pict>
          </mc:Fallback>
        </mc:AlternateContent>
      </w:r>
      <w:r w:rsidR="000B213F">
        <w:t>Učinek programa je razlika v vrednosti posameznega izida (npr. bruto dodana vrednost ali produktivnost dela) za isto enoto s programom in brez njega. Ta opredelitev velja za katero koli enoto analize (npr. oseba, kmetija, podjetje, površina zemljišča, skupnost, vas, regija, programsko območje ali država) in kateri koli izid (izražen v sektorskih, okoljskih ali socialno-ekonomskih kazalnikih), ki ga je mogoče verodostojno povezati s programom.</w:t>
      </w:r>
    </w:p>
    <w:p w:rsidR="002D4AB7" w:rsidRPr="001C6ACF" w:rsidRDefault="002D4AB7" w:rsidP="002D4AB7">
      <w:pPr>
        <w:pStyle w:val="HStandard"/>
        <w:rPr>
          <w:rFonts w:cs="Arial"/>
        </w:rPr>
      </w:pPr>
      <w:r>
        <w:t xml:space="preserve">Izvajalcu vrednotenja je lahko druga plast v pomoč pri opredelitvi vrste hipotetičnih scenarijev, ki jih je mogoče oblikovati z razpoložljivimi podatki. Upošteva več omejevalnih dejavnikov (npr. slaba razpoložljivost podatkov, kratkoročne pogodbe o vrednotenju, omejena zmogljivost za vrednotenje) in pomaga tudi opredeliti možne druge najboljše rešitve (npr. za oceno vplivov na okolje). Tudi če ni dovolj podatkov, je treba sistematično preveriti druge možnosti za zasnovo hipotetičnega scenarija. Tako se zagotavljajo dragocene informacije o tem, kateri pogoji morajo biti izpolnjeni za uporabo trdnega hipotetičnega scenarija, in pokažejo druge možnosti (npr. enostavne primerjave skupin, kvalitativne ocene). </w:t>
      </w:r>
    </w:p>
    <w:p w:rsidR="00A41C7D" w:rsidRPr="001C6ACF" w:rsidRDefault="00E93BEA" w:rsidP="000B6372">
      <w:pPr>
        <w:pStyle w:val="HStandard"/>
      </w:pPr>
      <w:r>
        <w:lastRenderedPageBreak/>
        <w:t xml:space="preserve">V logičnem modelu se hipotetična plast uporablja za presoje na mikro in makro ravni, povezana pa je z izbiro pristopa k vrednotenju in metod vrednotenja. </w:t>
      </w:r>
      <w:r>
        <w:rPr>
          <w:b/>
        </w:rPr>
        <w:t>Izvajalec vrednotenja programa se mora odločiti, na kateri ravni (mikro ali makro) se bo izvedla analiza učinkov programa.</w:t>
      </w:r>
      <w:r w:rsidR="00937D25">
        <w:rPr>
          <w:b/>
        </w:rPr>
        <w:t xml:space="preserve"> </w:t>
      </w:r>
      <w:r>
        <w:t xml:space="preserve">Odločitev bo odvisna od razpoložljivih podatkov, sprejme pa se še pred izbiro enote analize, za katero se zbirajo podatki (ekonomski, okoljski ali socialno-ekonomski). </w:t>
      </w:r>
    </w:p>
    <w:p w:rsidR="00A41C7D" w:rsidRPr="00571D58" w:rsidRDefault="00C87859">
      <w:pPr>
        <w:spacing w:before="0" w:after="0" w:line="240" w:lineRule="auto"/>
        <w:jc w:val="left"/>
        <w:rPr>
          <w:color w:val="373737" w:themeColor="text1"/>
          <w:sz w:val="20"/>
          <w:szCs w:val="20"/>
        </w:rPr>
      </w:pPr>
      <w:r>
        <w:rPr>
          <w:noProof/>
          <w:lang w:bidi="ar-SA"/>
        </w:rPr>
        <mc:AlternateContent>
          <mc:Choice Requires="wps">
            <w:drawing>
              <wp:anchor distT="0" distB="0" distL="114300" distR="114300" simplePos="0" relativeHeight="251732480" behindDoc="0" locked="0" layoutInCell="1" allowOverlap="1" wp14:anchorId="44EAA66D" wp14:editId="515A8A05">
                <wp:simplePos x="0" y="0"/>
                <wp:positionH relativeFrom="margin">
                  <wp:align>right</wp:align>
                </wp:positionH>
                <wp:positionV relativeFrom="paragraph">
                  <wp:posOffset>86360</wp:posOffset>
                </wp:positionV>
                <wp:extent cx="5731510" cy="1743075"/>
                <wp:effectExtent l="0" t="0" r="21590" b="28575"/>
                <wp:wrapNone/>
                <wp:docPr id="46"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743075"/>
                        </a:xfrm>
                        <a:prstGeom prst="round2DiagRect">
                          <a:avLst>
                            <a:gd name="adj1" fmla="val 8733"/>
                            <a:gd name="adj2" fmla="val 0"/>
                          </a:avLst>
                        </a:prstGeom>
                        <a:noFill/>
                        <a:ln w="25400" cap="flat" cmpd="sng" algn="ctr">
                          <a:solidFill>
                            <a:srgbClr val="BE4A35"/>
                          </a:solidFill>
                          <a:prstDash val="solid"/>
                        </a:ln>
                        <a:effectLst/>
                      </wps:spPr>
                      <wps:txbx>
                        <w:txbxContent>
                          <w:p w:rsidR="00B85F99" w:rsidRPr="009B4B57" w:rsidRDefault="00B85F99" w:rsidP="005166F3">
                            <w:pPr>
                              <w:pStyle w:val="HHeading4"/>
                              <w:spacing w:before="0"/>
                              <w:jc w:val="both"/>
                              <w:rPr>
                                <w:rFonts w:cs="Arial"/>
                                <w:b w:val="0"/>
                                <w:color w:val="373737" w:themeColor="text1"/>
                              </w:rPr>
                            </w:pPr>
                            <w:r>
                              <w:rPr>
                                <w:noProof/>
                                <w:color w:val="373737" w:themeColor="text1"/>
                                <w:lang w:bidi="ar-SA"/>
                              </w:rPr>
                              <w:drawing>
                                <wp:inline distT="0" distB="0" distL="0" distR="0" wp14:anchorId="143BF302" wp14:editId="5AE64481">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Države članice z več PRP</w:t>
                            </w:r>
                            <w:r>
                              <w:rPr>
                                <w:b w:val="0"/>
                                <w:color w:val="373737" w:themeColor="text1"/>
                              </w:rPr>
                              <w:t xml:space="preserve"> se lahko soočijo z izzivom, da viri podatkov EU (npr. </w:t>
                            </w:r>
                            <w:r>
                              <w:rPr>
                                <w:b w:val="0"/>
                                <w:color w:val="373737" w:themeColor="text1"/>
                              </w:rPr>
                              <w:t>Eurostat) ne zagotavljajo vrednosti za skupne kazalnike vpliva SKP na ravni vsakega regionalnega PRP. V takem primeru je regionalno vrednost kazalnika (NUTS 2) mogoče oceniti na podlagi nacionalnih podatkov ali, če je mogoče, s povzemanjem podatkov na podlagi enot, zbranih v vsaki zadevni regiji (I.01, I.02, I.03).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EAA66D" id="_x0000_s1033" style="position:absolute;margin-left:400.1pt;margin-top:6.8pt;width:451.3pt;height:137.25pt;z-index:25173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5731510,1743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QnuqwIAAE8FAAAOAAAAZHJzL2Uyb0RvYy54bWysVNtu2zAMfR+wfxD0vjrOpWmNOkWWrMOA&#10;oC3aDn1mZPmyyaImKZfu60fJTppuexr2IlAiRfGcQ+rqet8qtpXWNahznp4NOJNaYNHoKudfn24+&#10;XHDmPOgCFGqZ8xfp+PXs/burncnkEGtUhbSMkmiX7UzOa+9NliRO1LIFd4ZGanKWaFvwtLVVUljY&#10;UfZWJcPB4DzZoS2MRSGdo9Nl5+SzmL8spfB3ZemkZyrnVJuPq43rOqzJ7AqyyoKpG9GXAf9QRQuN&#10;pkePqZbggW1s80eqthEWHZb+TGCbYFk2QkYMhCYd/IbmsQYjIxYix5kjTe7/pRW323vLmiLn43PO&#10;NLSk0QOxBrpSMmPLBirUoNgCrSaV2QNudCELdhmp2xmXUYZHc28DeGdWKL474jR54wkb18fsS9uG&#10;WILO9lGHl6MOcu+ZoMPJdJROUpJLkC+djkeD6SQolUB2uG6s858ltiwYObehrGGoNhQflYDtyvko&#10;SdHjguJbylnZKlJ4S5gupqNR3wAnIcPTkIiSnu2TkXV4OGTWeNMoFVtIabbL+XAyHoSygTq5VODJ&#10;bA1x63TFGaiKRkR4G8tzqJoiXI/E2Wq9UJZRVTn/+Gk8Hx3wvgkLby/B1V1cdPW0KB3SyNjwBPug&#10;QEd6oN/v1/so8zTcCCdrLF5IeovdTDgjbhrKvwLn78ESRQSEBtvf0VIqJHTYW5zVaH/+7TzEU2+S&#10;l7MdDRUh/7EBKzlTXzR17WU6HocpjJvxZDqkjT31rE89etMukAgh0ai6aIZ4rw5mabF9pvmfh1fJ&#10;BVrQ2x3H/Wbhu2GnH0TI+TyG0eQZ8Cv9aERIHpgLzD7tn8GavqE89eItHgawb4CuBV9jux6YbzyW&#10;zZHzjtd+BGhqY9v2P0z4Fk73Mer1H5z9AgAA//8DAFBLAwQUAAYACAAAACEAjUVR7dsAAAAHAQAA&#10;DwAAAGRycy9kb3ducmV2LnhtbEyPQU/DMAyF70j8h8hI3Fi6IlVdaToNJCaubJO4ekloqjVOlWRb&#10;4ddjTnDz87Pe+9yuZz+Ki41pCKRguShAWNLBDNQrOOxfH2oQKSMZHANZBV82wbq7vWmxMeFK7/ay&#10;y73gEEoNKnA5T42USTvrMS3CZIm9zxA9ZpaxlybilcP9KMuiqKTHgbjB4WRfnNWn3dkr2JJe9eNJ&#10;b57ddv8Rvyt8Gw6o1P3dvHkCke2c/47hF5/RoWOmYziTSWJUwI9k3j5WINhdFSUPRwVlXS9Bdq38&#10;z9/9AAAA//8DAFBLAQItABQABgAIAAAAIQC2gziS/gAAAOEBAAATAAAAAAAAAAAAAAAAAAAAAABb&#10;Q29udGVudF9UeXBlc10ueG1sUEsBAi0AFAAGAAgAAAAhADj9If/WAAAAlAEAAAsAAAAAAAAAAAAA&#10;AAAALwEAAF9yZWxzLy5yZWxzUEsBAi0AFAAGAAgAAAAhAEjVCe6rAgAATwUAAA4AAAAAAAAAAAAA&#10;AAAALgIAAGRycy9lMm9Eb2MueG1sUEsBAi0AFAAGAAgAAAAhAI1FUe3bAAAABwEAAA8AAAAAAAAA&#10;AAAAAAAABQUAAGRycy9kb3ducmV2LnhtbFBLBQYAAAAABAAEAPMAAAANBgAAAAA=&#10;" adj="-11796480,,5400" path="m152223,l5731510,r,l5731510,1590852v,84070,-68153,152223,-152223,152223l,1743075r,l,152223c,68153,68153,,152223,xe" filled="f" strokecolor="#be4a35" strokeweight="2pt">
                <v:stroke joinstyle="miter"/>
                <v:formulas/>
                <v:path arrowok="t" o:connecttype="custom" o:connectlocs="152223,0;5731510,0;5731510,0;5731510,1590852;5579287,1743075;0,1743075;0,1743075;0,152223;152223,0" o:connectangles="0,0,0,0,0,0,0,0,0" textboxrect="0,0,5731510,1743075"/>
                <v:textbox>
                  <w:txbxContent>
                    <w:p w:rsidR="00B85F99" w:rsidRPr="009B4B57" w:rsidRDefault="00B85F99" w:rsidP="005166F3">
                      <w:pPr>
                        <w:pStyle w:val="HHeading4"/>
                        <w:spacing w:before="0"/>
                        <w:jc w:val="both"/>
                        <w:rPr>
                          <w:rFonts w:cs="Arial"/>
                          <w:b w:val="0"/>
                          <w:color w:val="373737" w:themeColor="text1"/>
                        </w:rPr>
                      </w:pPr>
                      <w:r>
                        <w:rPr>
                          <w:noProof/>
                          <w:color w:val="373737" w:themeColor="text1"/>
                          <w:lang w:bidi="ar-SA"/>
                        </w:rPr>
                        <w:drawing>
                          <wp:inline distT="0" distB="0" distL="0" distR="0" wp14:anchorId="143BF302" wp14:editId="5AE64481">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Države članice z več PRP</w:t>
                      </w:r>
                      <w:r>
                        <w:rPr>
                          <w:b w:val="0"/>
                          <w:color w:val="373737" w:themeColor="text1"/>
                        </w:rPr>
                        <w:t xml:space="preserve"> se lahko soočijo z izzivom, da viri podatkov EU (npr. </w:t>
                      </w:r>
                      <w:r>
                        <w:rPr>
                          <w:b w:val="0"/>
                          <w:color w:val="373737" w:themeColor="text1"/>
                        </w:rPr>
                        <w:t>Eurostat) ne zagotavljajo vrednosti za skupne kazalnike vpliva SKP na ravni vsakega regionalnega PRP. V takem primeru je regionalno vrednost kazalnika (NUTS 2) mogoče oceniti na podlagi nacionalnih podatkov ali, če je mogoče, s povzemanjem podatkov na podlagi enot, zbranih v vsaki zadevni regiji (I.01, I.02, I.03).</w:t>
                      </w:r>
                    </w:p>
                  </w:txbxContent>
                </v:textbox>
                <w10:wrap anchorx="margin"/>
              </v:shape>
            </w:pict>
          </mc:Fallback>
        </mc:AlternateContent>
      </w:r>
      <w:r>
        <w:br w:type="page"/>
      </w:r>
    </w:p>
    <w:p w:rsidR="00A41C7D" w:rsidRPr="00571D58" w:rsidRDefault="000B213F" w:rsidP="000B6372">
      <w:pPr>
        <w:pStyle w:val="HStandard"/>
        <w:rPr>
          <w:rFonts w:cs="Arial"/>
        </w:rPr>
      </w:pPr>
      <w:r>
        <w:rPr>
          <w:b/>
          <w:i/>
          <w:noProof/>
          <w:color w:val="F07E31" w:themeColor="accent1"/>
          <w:lang w:bidi="ar-SA"/>
        </w:rPr>
        <w:lastRenderedPageBreak/>
        <mc:AlternateContent>
          <mc:Choice Requires="wps">
            <w:drawing>
              <wp:anchor distT="0" distB="0" distL="114300" distR="114300" simplePos="0" relativeHeight="251733504" behindDoc="0" locked="0" layoutInCell="1" allowOverlap="1" wp14:anchorId="7BD82ABA" wp14:editId="5E8C60EF">
                <wp:simplePos x="0" y="0"/>
                <wp:positionH relativeFrom="column">
                  <wp:posOffset>-114300</wp:posOffset>
                </wp:positionH>
                <wp:positionV relativeFrom="paragraph">
                  <wp:posOffset>-266700</wp:posOffset>
                </wp:positionV>
                <wp:extent cx="6229350" cy="9105900"/>
                <wp:effectExtent l="0" t="0" r="19050" b="19050"/>
                <wp:wrapNone/>
                <wp:docPr id="946" name="Rectangle: Rounded Corners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9350" cy="9105900"/>
                        </a:xfrm>
                        <a:prstGeom prst="roundRect">
                          <a:avLst>
                            <a:gd name="adj" fmla="val 456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D298C3" id="Rectangle: Rounded Corners 946" o:spid="_x0000_s1026" style="position:absolute;margin-left:-9pt;margin-top:-21pt;width:490.5pt;height:717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jC6xAIAAOcFAAAOAAAAZHJzL2Uyb0RvYy54bWysVEtv2zAMvg/YfxB0X22nSbYYdYogRYcB&#10;QRu0HXpWZSn2JouapLz260fJj2RdscMwHwxRJD+SHyleXR8aRXbCuhp0QbOLlBKhOZS13hT069Pt&#10;h0+UOM90yRRoUdCjcPR6/v7d1d7kYgQVqFJYgiDa5XtT0Mp7kyeJ45VomLsAIzQqJdiGeRTtJikt&#10;2yN6o5JRmk6TPdjSWODCOby9aZV0HvGlFNzfS+mEJ6qgmJuPfxv/L+GfzK9YvrHMVDXv0mD/kEXD&#10;ao1BB6gb5hnZ2voPqKbmFhxIf8GhSUDKmotYA1aTpa+qeayYEbEWJMeZgSb3/2D53W5tSV0WdDae&#10;UqJZg016QNqY3iiRkwfY6lKUZAlWY5dJsELO9sbl6Ppo1jZU7cwK+HeHiuQ3TRBcZ3OQtgm2WDM5&#10;xAYchwaIgyccL6ej0exygn3iqJtl6WSWxhYlLO/djXX+s4CGhENBbcgv5BvZZ7uV87ENZVcKK79R&#10;IhuFTd0xRcaT6WXIHwE7Wzz1kMFRw22tVJwKpWNpoOoy3EUhjKVYKksQrKCMc6H9qAN0J0sEDd6R&#10;jLb+yIQ/KhFglH4QEknHikcx7zjur3GzVlWxUrThJil+fbA+k1hLBAzIEhMdsDuA3vI856yD6eyD&#10;q4ivZXBO/5ZYy+DgESOD9oNzU2uwbwEoP0Ru7XuSWmoCSy9QHnEkLbRv1Rl+W2OrV8z5NbPYRxwP&#10;XDj+Hn9Swb6g0J0oqcD+fOs+2OObQS0le3zsBXU/tswKStQXja9plo3HYTtEYTz5OELBnmtezjV6&#10;2ywB25/hajM8HoO9V/1RWmiecS8tQlRUMc0xdkG5t72w9O0Sws3GxWIRzXAjGOZX+tHwAB5YDaP5&#10;dHhm1nTz7vGp3EG/GLopbttxsg2eGhZbD7L2QXnitRNwm8TB6TZfWFfncrQ67ef5LwAAAP//AwBQ&#10;SwMEFAAGAAgAAAAhAB7QgSjgAAAADAEAAA8AAABkcnMvZG93bnJldi54bWxMj81OwzAQhO9IvIO1&#10;SNxa5wdVdRqnKkigcuiBUji78TaJGttR7Dbm7VlO9Da7O5r9plxH07Mrjr5zVkI6T4ChrZ3ubCPh&#10;8Pk6WwLzQVmtemdRwg96WFf3d6UqtJvsB173oWEUYn2hJLQhDAXnvm7RKD93A1q6ndxoVKBxbLge&#10;1UThpudZkiy4UZ2lD60a8KXF+ry/GAlZkz/H7+1GvKWnSYj3wy5+bXdSPj7EzQpYwBj+zfCHT+hQ&#10;EdPRXaz2rJcwS5fUJZB4ykiQQyxyEkey5oJWvCr5bYnqFwAA//8DAFBLAQItABQABgAIAAAAIQC2&#10;gziS/gAAAOEBAAATAAAAAAAAAAAAAAAAAAAAAABbQ29udGVudF9UeXBlc10ueG1sUEsBAi0AFAAG&#10;AAgAAAAhADj9If/WAAAAlAEAAAsAAAAAAAAAAAAAAAAALwEAAF9yZWxzLy5yZWxzUEsBAi0AFAAG&#10;AAgAAAAhACreMLrEAgAA5wUAAA4AAAAAAAAAAAAAAAAALgIAAGRycy9lMm9Eb2MueG1sUEsBAi0A&#10;FAAGAAgAAAAhAB7QgSjgAAAADAEAAA8AAAAAAAAAAAAAAAAAHgUAAGRycy9kb3ducmV2LnhtbFBL&#10;BQYAAAAABAAEAPMAAAArBgAAAAA=&#10;" filled="f" strokecolor="#be4a35 [3205]" strokeweight="2pt">
                <v:path arrowok="t"/>
              </v:roundrect>
            </w:pict>
          </mc:Fallback>
        </mc:AlternateContent>
      </w:r>
      <w:r>
        <w:rPr>
          <w:b/>
          <w:i/>
          <w:noProof/>
          <w:color w:val="F07E31" w:themeColor="accent1"/>
          <w:lang w:bidi="ar-SA"/>
        </w:rPr>
        <mc:AlternateContent>
          <mc:Choice Requires="wps">
            <w:drawing>
              <wp:inline distT="0" distB="0" distL="0" distR="0" wp14:anchorId="347F332D" wp14:editId="0EDB1CDE">
                <wp:extent cx="6093460" cy="2609850"/>
                <wp:effectExtent l="0" t="0" r="2540" b="0"/>
                <wp:docPr id="909"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3460" cy="2609850"/>
                        </a:xfrm>
                        <a:custGeom>
                          <a:avLst/>
                          <a:gdLst>
                            <a:gd name="T0" fmla="*/ 150406 w 6093460"/>
                            <a:gd name="T1" fmla="*/ 0 h 2609850"/>
                            <a:gd name="T2" fmla="*/ 6093460 w 6093460"/>
                            <a:gd name="T3" fmla="*/ 0 h 2609850"/>
                            <a:gd name="T4" fmla="*/ 6093460 w 6093460"/>
                            <a:gd name="T5" fmla="*/ 0 h 2609850"/>
                            <a:gd name="T6" fmla="*/ 6093460 w 6093460"/>
                            <a:gd name="T7" fmla="*/ 2459444 h 2609850"/>
                            <a:gd name="T8" fmla="*/ 5943054 w 6093460"/>
                            <a:gd name="T9" fmla="*/ 2609850 h 2609850"/>
                            <a:gd name="T10" fmla="*/ 0 w 6093460"/>
                            <a:gd name="T11" fmla="*/ 2609850 h 2609850"/>
                            <a:gd name="T12" fmla="*/ 0 w 6093460"/>
                            <a:gd name="T13" fmla="*/ 2609850 h 2609850"/>
                            <a:gd name="T14" fmla="*/ 0 w 6093460"/>
                            <a:gd name="T15" fmla="*/ 150406 h 2609850"/>
                            <a:gd name="T16" fmla="*/ 150406 w 6093460"/>
                            <a:gd name="T17" fmla="*/ 0 h 2609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093460"/>
                            <a:gd name="T28" fmla="*/ 0 h 2609850"/>
                            <a:gd name="T29" fmla="*/ 6093460 w 6093460"/>
                            <a:gd name="T30" fmla="*/ 2609850 h 2609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093460" h="2609850">
                              <a:moveTo>
                                <a:pt x="150406" y="0"/>
                              </a:moveTo>
                              <a:lnTo>
                                <a:pt x="6093460" y="0"/>
                              </a:lnTo>
                              <a:lnTo>
                                <a:pt x="6093460" y="2459444"/>
                              </a:lnTo>
                              <a:cubicBezTo>
                                <a:pt x="6093460" y="2542511"/>
                                <a:pt x="6026121" y="2609850"/>
                                <a:pt x="5943054" y="2609850"/>
                              </a:cubicBezTo>
                              <a:lnTo>
                                <a:pt x="0" y="2609850"/>
                              </a:lnTo>
                              <a:lnTo>
                                <a:pt x="0" y="150406"/>
                              </a:lnTo>
                              <a:cubicBezTo>
                                <a:pt x="0" y="67339"/>
                                <a:pt x="67339" y="0"/>
                                <a:pt x="150406" y="0"/>
                              </a:cubicBez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B85F99" w:rsidRDefault="00B85F99" w:rsidP="005166F3">
                            <w:pPr>
                              <w:pStyle w:val="HHeading4"/>
                              <w:spacing w:before="0"/>
                              <w:jc w:val="both"/>
                              <w:rPr>
                                <w:rFonts w:cs="Arial"/>
                                <w:color w:val="373737"/>
                                <w:sz w:val="18"/>
                                <w:szCs w:val="18"/>
                              </w:rPr>
                            </w:pPr>
                            <w:r>
                              <w:rPr>
                                <w:noProof/>
                                <w:color w:val="373737"/>
                                <w:lang w:bidi="ar-SA"/>
                              </w:rPr>
                              <w:drawing>
                                <wp:inline distT="0" distB="0" distL="0" distR="0" wp14:anchorId="4EDEEC38" wp14:editId="5918F4A3">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KRATKA NAVODILA št. 1: Kako s pomočjo logičnega modela opredeliti različne možnosti za oblikovanje hipotetične zasnove in izbrati pristop k vrednotenju?</w:t>
                            </w:r>
                          </w:p>
                          <w:p w:rsidR="00B85F99" w:rsidRPr="005D575A" w:rsidRDefault="00B85F99" w:rsidP="005166F3">
                            <w:pPr>
                              <w:pStyle w:val="HStandard"/>
                              <w:spacing w:after="0"/>
                              <w:rPr>
                                <w:rFonts w:cs="Arial"/>
                                <w:sz w:val="18"/>
                              </w:rPr>
                            </w:pPr>
                            <w:r>
                              <w:rPr>
                                <w:sz w:val="18"/>
                              </w:rPr>
                              <w:t xml:space="preserve">Uporaba korakov v odločitvenem drevesu v hipotetični plasti zagotavlja navodila za odgovarjanje na naslednja ključna vprašanja pri zasnovi hipotetičnega scenarija: </w:t>
                            </w:r>
                          </w:p>
                          <w:p w:rsidR="00B85F99" w:rsidRPr="005D575A" w:rsidRDefault="00B85F99" w:rsidP="005166F3">
                            <w:pPr>
                              <w:pStyle w:val="Hlistbullet"/>
                              <w:rPr>
                                <w:sz w:val="18"/>
                              </w:rPr>
                            </w:pPr>
                            <w:r>
                              <w:rPr>
                                <w:sz w:val="18"/>
                              </w:rPr>
                              <w:t>Katere možnosti so na voljo za oblikovanje hipotetičnega scenarija?</w:t>
                            </w:r>
                          </w:p>
                          <w:p w:rsidR="00B85F99" w:rsidRPr="005D575A" w:rsidRDefault="00B85F99" w:rsidP="005166F3">
                            <w:pPr>
                              <w:pStyle w:val="Hlistbullet"/>
                              <w:rPr>
                                <w:sz w:val="18"/>
                              </w:rPr>
                            </w:pPr>
                            <w:r>
                              <w:rPr>
                                <w:sz w:val="18"/>
                              </w:rPr>
                              <w:t>Ali je mogoče z izvajanjem in uporabo ukrepov oblikovati kontrolno skupino?</w:t>
                            </w:r>
                          </w:p>
                          <w:p w:rsidR="00B85F99" w:rsidRPr="005D575A" w:rsidRDefault="00B85F99" w:rsidP="005166F3">
                            <w:pPr>
                              <w:pStyle w:val="Hlistbullet"/>
                              <w:rPr>
                                <w:sz w:val="18"/>
                              </w:rPr>
                            </w:pPr>
                            <w:r>
                              <w:rPr>
                                <w:sz w:val="18"/>
                              </w:rPr>
                              <w:t>Koliko podatkov imam o drugih dejavnikih, ki vplivajo na izbrane kazalnike?</w:t>
                            </w:r>
                          </w:p>
                          <w:p w:rsidR="00B85F99" w:rsidRPr="005D575A" w:rsidRDefault="00B85F99" w:rsidP="005166F3">
                            <w:pPr>
                              <w:pStyle w:val="Hlistbullet"/>
                              <w:rPr>
                                <w:sz w:val="18"/>
                              </w:rPr>
                            </w:pPr>
                            <w:r>
                              <w:rPr>
                                <w:sz w:val="18"/>
                              </w:rPr>
                              <w:t xml:space="preserve">Ali imam na voljo podatke za izbrane kazalnike za različna časovna obdobja (prej in potem) </w:t>
                            </w:r>
                            <w:r>
                              <w:rPr>
                                <w:sz w:val="18"/>
                              </w:rPr>
                              <w:t>za upravičence in neupravičence?</w:t>
                            </w:r>
                          </w:p>
                          <w:p w:rsidR="00B85F99" w:rsidRPr="00A41C7D" w:rsidRDefault="00B85F99" w:rsidP="005166F3">
                            <w:pPr>
                              <w:pStyle w:val="Hlistbullet"/>
                              <w:rPr>
                                <w:sz w:val="18"/>
                              </w:rPr>
                            </w:pPr>
                            <w:r>
                              <w:rPr>
                                <w:sz w:val="18"/>
                              </w:rPr>
                              <w:t>Ali lahko za stroškovno učinkovito količinsko opredelitev neto učinkov ovrednotenih ukrepov uporabim zanesljive metode, ki temeljijo na statističnih podatkih?</w:t>
                            </w:r>
                          </w:p>
                          <w:p w:rsidR="00B85F99" w:rsidRPr="00C545E7" w:rsidRDefault="00B85F99" w:rsidP="00010B08">
                            <w:pPr>
                              <w:pStyle w:val="Hlistbullet"/>
                              <w:numPr>
                                <w:ilvl w:val="0"/>
                                <w:numId w:val="0"/>
                              </w:numPr>
                              <w:spacing w:before="0" w:after="0" w:line="280" w:lineRule="atLeast"/>
                              <w:jc w:val="right"/>
                              <w:rPr>
                                <w:i/>
                                <w:color w:val="F07E31" w:themeColor="accent1"/>
                                <w:sz w:val="18"/>
                              </w:rPr>
                            </w:pPr>
                          </w:p>
                        </w:txbxContent>
                      </wps:txbx>
                      <wps:bodyPr rot="0" vert="horz" wrap="square" lIns="91440" tIns="45720" rIns="91440" bIns="45720" anchor="ctr" anchorCtr="0" upright="1">
                        <a:noAutofit/>
                      </wps:bodyPr>
                    </wps:wsp>
                  </a:graphicData>
                </a:graphic>
              </wp:inline>
            </w:drawing>
          </mc:Choice>
          <mc:Fallback>
            <w:pict>
              <v:shape w14:anchorId="347F332D" id="Rectangle: Diagonal Corners Rounded 90" o:spid="_x0000_s1034" style="width:479.8pt;height:205.5pt;visibility:visible;mso-wrap-style:square;mso-left-percent:-10001;mso-top-percent:-10001;mso-position-horizontal:absolute;mso-position-horizontal-relative:char;mso-position-vertical:absolute;mso-position-vertical-relative:line;mso-left-percent:-10001;mso-top-percent:-10001;v-text-anchor:middle" coordsize="6093460,2609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52xAQAAOsOAAAOAAAAZHJzL2Uyb0RvYy54bWysV9GOozYUfa/Uf7B4rJQBE0NCNJnVTjKp&#10;Kk3b1W76AQ44ARVsapNJZqv+e6+NYcy0kKptHgjGx8e+91xfX99/uFYlemFSFYKvPXwXeIjxVGQF&#10;P629X/a72dJDqqE8o6XgbO29MuV9ePj2m/tLvWKhyEWZMYmAhKvVpV57edPUK99Xac4qqu5EzTh0&#10;HoWsaANNefIzSS/AXpV+GASxfxEyq6VImVLwddt2eg+G/3hkafPz8ahYg8q1B2trzFOa50E//Yd7&#10;ujpJWudFapdB/8UqKlpwmLSn2tKGorMs/kJVFakUShybu1RUvjgei5QZG8AaHLyz5ktOa2ZsAeeo&#10;uneT+v9o059ePklUZGsvCRIPcVqBSJ/BbZSfSrZC24KeBKcl2gjJQWb0WZx5xjKUGN9darUCii/1&#10;J6mtV/WzSH9V4FR/0KMbCjDocPlRZDADPTfC+Ot6lJUeCZ5AVyPLay8LuzYohY9xkMxJDOql0BdC&#10;axmZyX266oanZ9V8z4Shoi/Pqml1zeDNqJJZy/bAcqxKkPg7H+EoIEGMLqibwA7qsNjBBihHztQg&#10;dE8ZOjDLNM45d8ATnMSB3eSMHPAEZ+zAbnIuHHBIooQQMu4B2OO9UwE6DyIy7gGIsh5sPTrOjF29&#10;gnFS7Gp1m9WVbIrVVes2qyvaFKurl43B0eDCrmo3A9ZVbSISsCtYAOEPPxRH0Ty2+bCPbeyqNYkM&#10;h0pNcIauVtOcQ52mOF2lpjmHKk1xujpNc7oiTSOHCo2mnnCo0Gh4hK4+Nzf13NXob+MZUuqpS5o0&#10;7/JoeuU2kcIbgpNh7e0hhnRmrYXSeVvnVUjOe6wDCEgAp3sdeDKAg7AaPh+DQzS57KCZhkejcDyA&#10;gxwavhiFhwM4+FrDk1H4fADXOUnjIeeMGBuS4QBrLR43NxoOsPbicYPj4QBrMR6Y3OpglZNwpusi&#10;aB9CCEIZtNchBoXQXocQlEJ7CA5z/tW00cIb98MrujgHcP52/ur+SrywvTDIRkdBm5+Md7oD+g1S&#10;chdqY3WA7RDdf21IXaQ9iazfO1x6PhTpI/s6xh9GJIxatSBgLWkYY52IQEi7Eaz1ptseYu+7tUMH&#10;c3UraEnbuHDoAN8hun8Xad3VBlEHGE7gwuPFfG5itDfCfNAmdNKNqTAkTUuhWDurFtts2F51Y+Nb&#10;McXFrihLExil2dL9B2Oc1h7KNBsvumAzRe/vUEw+LZ+WZEbC+GlGgu129nG3IbN4hxfRdr7dbLb4&#10;Dx3CmKzyIssY19N0BTgm/6zAtVeBtnTuS3AlyiLTdHpxSp4Om1KiFwqxvzM/Gz0OzB8uwzgEbLHG&#10;dSbhkASPYTLbxcvFjOxINEsWwXIW4OQxiQOSkO1uaNJzwdl/N0lvQIjgoM2IzqrfGacPcQC1ug5g&#10;VdHAHassqrW37EF0lTOaPfHMaNvQomzfHV/o9b/5AvTulDbFva7n9TVLrZrr4WquEEs9u/5yENkr&#10;VPtSQKKBXQH3Q3jJhfzqoQvctdae+u1MJfNQ+QOHy0yCCQFYYxokWuhaQro9B7eH8hSo1l7aSA8O&#10;I93YNNCGQedaFqcc5mrPAy4+wj3jWOjbgFlzuy7bgBuVsc7e/vSVzW0b1Nsd9eFPAAAA//8DAFBL&#10;AwQUAAYACAAAACEAeXRvtd0AAAAFAQAADwAAAGRycy9kb3ducmV2LnhtbEyPQUvDQBCF70L/wzIF&#10;L8VuEjTYmE2xQvEiiq3gdZudJml3Z0N22sZ/7+pFLwOP93jvm3I5OivOOITOk4J0noBAqr3pqFHw&#10;sV3f3IMIrMlo6wkVfGGAZTW5KnVh/IXe8bzhRsQSCoVW0DL3hZShbtHpMPc9UvT2fnCaoxwaaQZ9&#10;ieXOyixJcul0R3Gh1T0+tVgfNyenoHtdrbLPWZrtty+z57V9YzrkrNT1dHx8AME48l8YfvAjOlSR&#10;aedPZIKwCuIj/Hujt7hb5CB2Cm7TNAFZlfI/ffUNAAD//wMAUEsBAi0AFAAGAAgAAAAhALaDOJL+&#10;AAAA4QEAABMAAAAAAAAAAAAAAAAAAAAAAFtDb250ZW50X1R5cGVzXS54bWxQSwECLQAUAAYACAAA&#10;ACEAOP0h/9YAAACUAQAACwAAAAAAAAAAAAAAAAAvAQAAX3JlbHMvLnJlbHNQSwECLQAUAAYACAAA&#10;ACEAdkY+dsQEAADrDgAADgAAAAAAAAAAAAAAAAAuAgAAZHJzL2Uyb0RvYy54bWxQSwECLQAUAAYA&#10;CAAAACEAeXRvtd0AAAAFAQAADwAAAAAAAAAAAAAAAAAeBwAAZHJzL2Rvd25yZXYueG1sUEsFBgAA&#10;AAAEAAQA8wAAACgIAAAAAA==&#10;" adj="-11796480,,5400" path="m150406,l6093460,r,2459444c6093460,2542511,6026121,2609850,5943054,2609850l,2609850,,150406c,67339,67339,,150406,xe" filled="f" stroked="f" strokeweight="2pt">
                <v:stroke joinstyle="miter"/>
                <v:formulas/>
                <v:path arrowok="t" o:connecttype="custom" o:connectlocs="150406,0;6093460,0;6093460,0;6093460,2459444;5943054,2609850;0,2609850;0,2609850;0,150406;150406,0" o:connectangles="0,0,0,0,0,0,0,0,0" textboxrect="0,0,6093460,2609850"/>
                <v:textbox>
                  <w:txbxContent>
                    <w:p w:rsidR="00B85F99" w:rsidRDefault="00B85F99" w:rsidP="005166F3">
                      <w:pPr>
                        <w:pStyle w:val="HHeading4"/>
                        <w:spacing w:before="0"/>
                        <w:jc w:val="both"/>
                        <w:rPr>
                          <w:rFonts w:cs="Arial"/>
                          <w:color w:val="373737"/>
                          <w:sz w:val="18"/>
                          <w:szCs w:val="18"/>
                        </w:rPr>
                      </w:pPr>
                      <w:r>
                        <w:rPr>
                          <w:noProof/>
                          <w:color w:val="373737"/>
                          <w:lang w:bidi="ar-SA"/>
                        </w:rPr>
                        <w:drawing>
                          <wp:inline distT="0" distB="0" distL="0" distR="0" wp14:anchorId="4EDEEC38" wp14:editId="5918F4A3">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KRATKA NAVODILA št. 1: Kako s pomočjo logičnega modela opredeliti različne možnosti za oblikovanje hipotetične zasnove in izbrati pristop k vrednotenju?</w:t>
                      </w:r>
                    </w:p>
                    <w:p w:rsidR="00B85F99" w:rsidRPr="005D575A" w:rsidRDefault="00B85F99" w:rsidP="005166F3">
                      <w:pPr>
                        <w:pStyle w:val="HStandard"/>
                        <w:spacing w:after="0"/>
                        <w:rPr>
                          <w:rFonts w:cs="Arial"/>
                          <w:sz w:val="18"/>
                        </w:rPr>
                      </w:pPr>
                      <w:r>
                        <w:rPr>
                          <w:sz w:val="18"/>
                        </w:rPr>
                        <w:t xml:space="preserve">Uporaba korakov v odločitvenem drevesu v hipotetični plasti zagotavlja navodila za odgovarjanje na naslednja ključna vprašanja pri zasnovi hipotetičnega scenarija: </w:t>
                      </w:r>
                    </w:p>
                    <w:p w:rsidR="00B85F99" w:rsidRPr="005D575A" w:rsidRDefault="00B85F99" w:rsidP="005166F3">
                      <w:pPr>
                        <w:pStyle w:val="Hlistbullet"/>
                        <w:rPr>
                          <w:sz w:val="18"/>
                        </w:rPr>
                      </w:pPr>
                      <w:r>
                        <w:rPr>
                          <w:sz w:val="18"/>
                        </w:rPr>
                        <w:t>Katere možnosti so na voljo za oblikovanje hipotetičnega scenarija?</w:t>
                      </w:r>
                    </w:p>
                    <w:p w:rsidR="00B85F99" w:rsidRPr="005D575A" w:rsidRDefault="00B85F99" w:rsidP="005166F3">
                      <w:pPr>
                        <w:pStyle w:val="Hlistbullet"/>
                        <w:rPr>
                          <w:sz w:val="18"/>
                        </w:rPr>
                      </w:pPr>
                      <w:r>
                        <w:rPr>
                          <w:sz w:val="18"/>
                        </w:rPr>
                        <w:t>Ali je mogoče z izvajanjem in uporabo ukrepov oblikovati kontrolno skupino?</w:t>
                      </w:r>
                    </w:p>
                    <w:p w:rsidR="00B85F99" w:rsidRPr="005D575A" w:rsidRDefault="00B85F99" w:rsidP="005166F3">
                      <w:pPr>
                        <w:pStyle w:val="Hlistbullet"/>
                        <w:rPr>
                          <w:sz w:val="18"/>
                        </w:rPr>
                      </w:pPr>
                      <w:r>
                        <w:rPr>
                          <w:sz w:val="18"/>
                        </w:rPr>
                        <w:t>Koliko podatkov imam o drugih dejavnikih, ki vplivajo na izbrane kazalnike?</w:t>
                      </w:r>
                    </w:p>
                    <w:p w:rsidR="00B85F99" w:rsidRPr="005D575A" w:rsidRDefault="00B85F99" w:rsidP="005166F3">
                      <w:pPr>
                        <w:pStyle w:val="Hlistbullet"/>
                        <w:rPr>
                          <w:sz w:val="18"/>
                        </w:rPr>
                      </w:pPr>
                      <w:r>
                        <w:rPr>
                          <w:sz w:val="18"/>
                        </w:rPr>
                        <w:t xml:space="preserve">Ali imam na voljo podatke za izbrane kazalnike za različna časovna obdobja (prej in potem) </w:t>
                      </w:r>
                      <w:r>
                        <w:rPr>
                          <w:sz w:val="18"/>
                        </w:rPr>
                        <w:t>za upravičence in neupravičence?</w:t>
                      </w:r>
                    </w:p>
                    <w:p w:rsidR="00B85F99" w:rsidRPr="00A41C7D" w:rsidRDefault="00B85F99" w:rsidP="005166F3">
                      <w:pPr>
                        <w:pStyle w:val="Hlistbullet"/>
                        <w:rPr>
                          <w:sz w:val="18"/>
                        </w:rPr>
                      </w:pPr>
                      <w:r>
                        <w:rPr>
                          <w:sz w:val="18"/>
                        </w:rPr>
                        <w:t>Ali lahko za stroškovno učinkovito količinsko opredelitev neto učinkov ovrednotenih ukrepov uporabim zanesljive metode, ki temeljijo na statističnih podatkih?</w:t>
                      </w:r>
                    </w:p>
                    <w:p w:rsidR="00B85F99" w:rsidRPr="00C545E7" w:rsidRDefault="00B85F99" w:rsidP="00010B08">
                      <w:pPr>
                        <w:pStyle w:val="Hlistbullet"/>
                        <w:numPr>
                          <w:ilvl w:val="0"/>
                          <w:numId w:val="0"/>
                        </w:numPr>
                        <w:spacing w:before="0" w:after="0" w:line="280" w:lineRule="atLeast"/>
                        <w:jc w:val="right"/>
                        <w:rPr>
                          <w:i/>
                          <w:color w:val="F07E31" w:themeColor="accent1"/>
                          <w:sz w:val="18"/>
                        </w:rPr>
                      </w:pPr>
                    </w:p>
                  </w:txbxContent>
                </v:textbox>
                <w10:anchorlock/>
              </v:shape>
            </w:pict>
          </mc:Fallback>
        </mc:AlternateContent>
      </w:r>
    </w:p>
    <w:p w:rsidR="00EB120C" w:rsidRPr="005934AE" w:rsidRDefault="00EC01C3" w:rsidP="00EB120C">
      <w:pPr>
        <w:pStyle w:val="HHeadingfigures"/>
      </w:pPr>
      <w:r>
        <w:t>Logični model za opredelitev možnosti za oblikovanje hipotetičnega scenarija</w:t>
      </w:r>
    </w:p>
    <w:p w:rsidR="00727DDF" w:rsidRPr="00571D58" w:rsidRDefault="00EC01C3" w:rsidP="00727DDF">
      <w:pPr>
        <w:pStyle w:val="HStandard"/>
      </w:pPr>
      <w:r>
        <w:rPr>
          <w:noProof/>
          <w:color w:val="auto"/>
          <w:sz w:val="18"/>
        </w:rPr>
        <w:t xml:space="preserve"> </w:t>
      </w:r>
      <w:r w:rsidR="00B85F99">
        <w:rPr>
          <w:noProof/>
          <w:lang w:bidi="ar-SA"/>
        </w:rPr>
        <w:drawing>
          <wp:inline distT="0" distB="0" distL="0" distR="0" wp14:anchorId="5AFE0B7E" wp14:editId="5F0BD5E3">
            <wp:extent cx="5972810" cy="4263390"/>
            <wp:effectExtent l="0" t="0" r="889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72810" cy="4263390"/>
                    </a:xfrm>
                    <a:prstGeom prst="rect">
                      <a:avLst/>
                    </a:prstGeom>
                  </pic:spPr>
                </pic:pic>
              </a:graphicData>
            </a:graphic>
          </wp:inline>
        </w:drawing>
      </w:r>
      <w:r w:rsidR="00B85F99" w:rsidRPr="00FB030D">
        <w:rPr>
          <w:noProof/>
          <w:lang w:eastAsia="en-GB" w:bidi="ar-SA"/>
        </w:rPr>
        <w:t xml:space="preserve"> </w:t>
      </w:r>
    </w:p>
    <w:p w:rsidR="00EB120C" w:rsidRPr="00AC6A80" w:rsidRDefault="00EB120C" w:rsidP="00B42D5D">
      <w:pPr>
        <w:pStyle w:val="HSource"/>
      </w:pPr>
      <w:r>
        <w:t>Vir: Prilagojeno po publikaciji v okviru projekta ENVIEVAL (2015).</w:t>
      </w:r>
    </w:p>
    <w:p w:rsidR="00EB120C" w:rsidRDefault="00EB120C" w:rsidP="00EB120C">
      <w:pPr>
        <w:pStyle w:val="Hlistbullet"/>
        <w:numPr>
          <w:ilvl w:val="0"/>
          <w:numId w:val="0"/>
        </w:numPr>
        <w:spacing w:before="0" w:after="0" w:line="280" w:lineRule="atLeast"/>
        <w:rPr>
          <w:sz w:val="18"/>
        </w:rPr>
      </w:pPr>
      <w:bookmarkStart w:id="0" w:name="_GoBack"/>
      <w:bookmarkEnd w:id="0"/>
      <w:r>
        <w:rPr>
          <w:sz w:val="18"/>
        </w:rPr>
        <w:t xml:space="preserve">Logični model se začne z opisom uporabe PRP in stanja podatkov z vidika razpoložljivih kazalnikov vpliva (in rezultatov) sistema CMES, pa tudi z vidika dodatnih kazalnikov, če so izbrani (izpolnjena temno siva polja). Vrsta vprašanj za odločanje (rdeča polja) vodi do drugih možnosti za oblikovanje hipotetičnega scenarija (izpolnjena rdeča polja). </w:t>
      </w:r>
    </w:p>
    <w:p w:rsidR="00044D33" w:rsidRPr="007645B4" w:rsidRDefault="00044D33" w:rsidP="00EB120C">
      <w:pPr>
        <w:pStyle w:val="Hlistbullet"/>
        <w:numPr>
          <w:ilvl w:val="0"/>
          <w:numId w:val="0"/>
        </w:numPr>
        <w:spacing w:before="0" w:after="0" w:line="280" w:lineRule="atLeast"/>
        <w:rPr>
          <w:rFonts w:cs="Arial"/>
          <w:sz w:val="18"/>
        </w:rPr>
      </w:pPr>
    </w:p>
    <w:p w:rsidR="00EB120C" w:rsidRPr="00571D58" w:rsidRDefault="00EB120C" w:rsidP="00B42D5D">
      <w:pPr>
        <w:pStyle w:val="Hlistbullet"/>
        <w:numPr>
          <w:ilvl w:val="0"/>
          <w:numId w:val="0"/>
        </w:numPr>
        <w:spacing w:before="0" w:after="0" w:line="280" w:lineRule="atLeast"/>
        <w:jc w:val="center"/>
        <w:rPr>
          <w:i/>
          <w:color w:val="F07E31" w:themeColor="accent1"/>
          <w:sz w:val="18"/>
        </w:rPr>
      </w:pPr>
      <w:r>
        <w:rPr>
          <w:i/>
          <w:color w:val="F07E31" w:themeColor="accent1"/>
          <w:sz w:val="18"/>
        </w:rPr>
        <w:lastRenderedPageBreak/>
        <w:t xml:space="preserve">Več informacij o uporabi logičnih modelov je na voljo v </w:t>
      </w:r>
      <w:hyperlink r:id="rId39">
        <w:r>
          <w:rPr>
            <w:rStyle w:val="Hyperlink"/>
            <w:i/>
            <w:sz w:val="18"/>
          </w:rPr>
          <w:t>raziskovalnem projektu v okviru sedmega okvirnega programa ENVIEVAL</w:t>
        </w:r>
      </w:hyperlink>
      <w:r>
        <w:rPr>
          <w:rStyle w:val="Hyperlink"/>
          <w:i/>
          <w:sz w:val="18"/>
        </w:rPr>
        <w:t xml:space="preserve"> </w:t>
      </w:r>
      <w:r>
        <w:rPr>
          <w:rStyle w:val="Hyperlink"/>
          <w:i/>
          <w:sz w:val="18"/>
          <w:u w:val="none"/>
        </w:rPr>
        <w:t xml:space="preserve">in njegovem priročniku z naslovom </w:t>
      </w:r>
      <w:r>
        <w:rPr>
          <w:i/>
          <w:color w:val="F07E31" w:themeColor="accent1"/>
          <w:sz w:val="18"/>
        </w:rPr>
        <w:t xml:space="preserve"> </w:t>
      </w:r>
      <w:hyperlink r:id="rId40">
        <w:r>
          <w:rPr>
            <w:rStyle w:val="Hyperlink"/>
            <w:i/>
            <w:sz w:val="18"/>
          </w:rPr>
          <w:t>Methodological Handbook for the evaluation of environmental impacts of RDPs (Metodološki priročnik za vrednotenje vplivov PRP na okolje)</w:t>
        </w:r>
      </w:hyperlink>
    </w:p>
    <w:p w:rsidR="00EB120C" w:rsidRPr="00336531" w:rsidRDefault="00EB120C" w:rsidP="00EB120C">
      <w:pPr>
        <w:pStyle w:val="HStandard"/>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D4194" w:rsidRPr="001C6ACF" w:rsidTr="00F74B7E">
        <w:tc>
          <w:tcPr>
            <w:tcW w:w="9026" w:type="dxa"/>
            <w:shd w:val="clear" w:color="auto" w:fill="auto"/>
          </w:tcPr>
          <w:p w:rsidR="006D4194" w:rsidRPr="00571D58" w:rsidRDefault="006D4194" w:rsidP="00010B08">
            <w:pPr>
              <w:pStyle w:val="Hlistbullet"/>
              <w:numPr>
                <w:ilvl w:val="0"/>
                <w:numId w:val="0"/>
              </w:numPr>
              <w:spacing w:before="0" w:after="0" w:line="280" w:lineRule="atLeast"/>
              <w:rPr>
                <w:sz w:val="18"/>
                <w:szCs w:val="18"/>
              </w:rPr>
            </w:pPr>
            <w:r>
              <w:lastRenderedPageBreak/>
              <w:br w:type="column"/>
            </w:r>
            <w:r>
              <w:rPr>
                <w:b/>
                <w:i/>
                <w:noProof/>
                <w:color w:val="F07E31" w:themeColor="accent1"/>
                <w:lang w:bidi="ar-SA"/>
              </w:rPr>
              <mc:AlternateContent>
                <mc:Choice Requires="wps">
                  <w:drawing>
                    <wp:inline distT="0" distB="0" distL="0" distR="0" wp14:anchorId="5F24A140" wp14:editId="1B4B0073">
                      <wp:extent cx="5567045" cy="8601075"/>
                      <wp:effectExtent l="0" t="0" r="14605" b="28575"/>
                      <wp:docPr id="90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7045" cy="8601075"/>
                              </a:xfrm>
                              <a:custGeom>
                                <a:avLst/>
                                <a:gdLst>
                                  <a:gd name="T0" fmla="*/ 276626 w 5567045"/>
                                  <a:gd name="T1" fmla="*/ 0 h 8401050"/>
                                  <a:gd name="T2" fmla="*/ 5567045 w 5567045"/>
                                  <a:gd name="T3" fmla="*/ 0 h 8401050"/>
                                  <a:gd name="T4" fmla="*/ 5567045 w 5567045"/>
                                  <a:gd name="T5" fmla="*/ 0 h 8401050"/>
                                  <a:gd name="T6" fmla="*/ 5567045 w 5567045"/>
                                  <a:gd name="T7" fmla="*/ 8124424 h 8401050"/>
                                  <a:gd name="T8" fmla="*/ 5290419 w 5567045"/>
                                  <a:gd name="T9" fmla="*/ 8401050 h 8401050"/>
                                  <a:gd name="T10" fmla="*/ 0 w 5567045"/>
                                  <a:gd name="T11" fmla="*/ 8401050 h 8401050"/>
                                  <a:gd name="T12" fmla="*/ 0 w 5567045"/>
                                  <a:gd name="T13" fmla="*/ 8401050 h 8401050"/>
                                  <a:gd name="T14" fmla="*/ 0 w 5567045"/>
                                  <a:gd name="T15" fmla="*/ 276626 h 8401050"/>
                                  <a:gd name="T16" fmla="*/ 276626 w 5567045"/>
                                  <a:gd name="T17" fmla="*/ 0 h 84010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67045"/>
                                  <a:gd name="T28" fmla="*/ 0 h 8401050"/>
                                  <a:gd name="T29" fmla="*/ 5567045 w 5567045"/>
                                  <a:gd name="T30" fmla="*/ 8401050 h 84010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67045" h="8401050">
                                    <a:moveTo>
                                      <a:pt x="276626" y="0"/>
                                    </a:moveTo>
                                    <a:lnTo>
                                      <a:pt x="5567045" y="0"/>
                                    </a:lnTo>
                                    <a:lnTo>
                                      <a:pt x="5567045" y="8124424"/>
                                    </a:lnTo>
                                    <a:cubicBezTo>
                                      <a:pt x="5567045" y="8277200"/>
                                      <a:pt x="5443195" y="8401050"/>
                                      <a:pt x="5290419" y="8401050"/>
                                    </a:cubicBezTo>
                                    <a:lnTo>
                                      <a:pt x="0" y="8401050"/>
                                    </a:lnTo>
                                    <a:lnTo>
                                      <a:pt x="0" y="276626"/>
                                    </a:lnTo>
                                    <a:cubicBezTo>
                                      <a:pt x="0" y="123850"/>
                                      <a:pt x="123850" y="0"/>
                                      <a:pt x="276626"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B85F99" w:rsidRPr="00391ECD" w:rsidRDefault="00B85F99" w:rsidP="005C7C25">
                                  <w:pPr>
                                    <w:pStyle w:val="HHeading4"/>
                                  </w:pPr>
                                  <w:r>
                                    <w:rPr>
                                      <w:noProof/>
                                      <w:color w:val="373737"/>
                                      <w:lang w:bidi="ar-SA"/>
                                    </w:rPr>
                                    <w:drawing>
                                      <wp:inline distT="0" distB="0" distL="0" distR="0" wp14:anchorId="2D6DF851" wp14:editId="6EDC12DD">
                                        <wp:extent cx="664845" cy="487680"/>
                                        <wp:effectExtent l="0" t="0" r="0" b="7620"/>
                                        <wp:docPr id="91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KRATKA NAVODILA ŠT. 2: Kako oblikovati </w:t>
                                  </w:r>
                                  <w:r>
                                    <w:t>kontrolno skupino na mikro ravni? (povezano z drugo plastjo)</w:t>
                                  </w:r>
                                </w:p>
                                <w:p w:rsidR="00B85F99" w:rsidRPr="007008C0" w:rsidRDefault="00B85F99" w:rsidP="005C7C25">
                                  <w:pPr>
                                    <w:pStyle w:val="HStandard"/>
                                    <w:spacing w:after="0"/>
                                    <w:rPr>
                                      <w:rFonts w:cs="Arial"/>
                                      <w:color w:val="373737"/>
                                      <w:sz w:val="18"/>
                                      <w:szCs w:val="18"/>
                                    </w:rPr>
                                  </w:pPr>
                                  <w:r>
                                    <w:rPr>
                                      <w:color w:val="373737"/>
                                      <w:sz w:val="18"/>
                                    </w:rPr>
                                    <w:t>Analiza hipotetičnega scenarija na mikro ravni bi morala temeljiti na primerjavah kontrolnih skupin, sestavljenih iz upravičencev in neupravičencev programa, ki so si čim bolj podobne (v razsežnostih, ki jih je mogoče pridobiti z opazovanjem teh skupin, in razsežnostih, ki jih ni mogoče pridobiti z njihovim opazovanjem). Če sta si dve skupini statistično dovolj podobni (imata podobne značilnosti), je mogoče predvidevati, da je kakršna koli razlika v izidih posledica programa. Z analizo hipotetičnega scenarija se lahko vzpostavi vzročnost – opažene spremembe v izidih se pripišejo programu in hkrati se odstranijo moteči dejavniki.</w:t>
                                  </w:r>
                                </w:p>
                                <w:p w:rsidR="00B85F99" w:rsidRPr="007008C0" w:rsidRDefault="00B85F99" w:rsidP="005C7C25">
                                  <w:pPr>
                                    <w:pStyle w:val="HStandard"/>
                                    <w:spacing w:after="0"/>
                                    <w:rPr>
                                      <w:rFonts w:cs="Arial"/>
                                      <w:color w:val="373737"/>
                                      <w:sz w:val="18"/>
                                      <w:szCs w:val="18"/>
                                    </w:rPr>
                                  </w:pPr>
                                </w:p>
                                <w:p w:rsidR="00B85F99" w:rsidRPr="007008C0" w:rsidRDefault="00B85F99" w:rsidP="005C7C25">
                                  <w:pPr>
                                    <w:pStyle w:val="HStandard"/>
                                    <w:spacing w:after="0"/>
                                    <w:rPr>
                                      <w:rFonts w:cs="Arial"/>
                                      <w:color w:val="373737"/>
                                      <w:sz w:val="18"/>
                                      <w:szCs w:val="18"/>
                                    </w:rPr>
                                  </w:pPr>
                                  <w:r>
                                    <w:rPr>
                                      <w:color w:val="373737"/>
                                      <w:sz w:val="18"/>
                                    </w:rPr>
                                    <w:t xml:space="preserve">Oblikovanje ustrezne kontrolne skupine je lahko zaradi velike samoizbire v okviru programa in strogih pogojev za upravičenost do programa zahtevna naloga. Upravičenci programa, vključeni v oceno, ki so prejeli podporo iz programa, se lahko od neupravičencev močno razlikujejo z vidika strukturnih značilnosti ter z vidika gospodarske, okoljske in socialno-ekonomske uspešnosti. </w:t>
                                  </w:r>
                                </w:p>
                                <w:p w:rsidR="00B85F99" w:rsidRPr="007008C0" w:rsidRDefault="00B85F99" w:rsidP="005C7C25">
                                  <w:pPr>
                                    <w:pStyle w:val="HStandard"/>
                                    <w:spacing w:after="0"/>
                                    <w:rPr>
                                      <w:rFonts w:cs="Arial"/>
                                      <w:color w:val="373737"/>
                                      <w:sz w:val="18"/>
                                      <w:szCs w:val="18"/>
                                    </w:rPr>
                                  </w:pPr>
                                </w:p>
                                <w:p w:rsidR="00B85F99" w:rsidRPr="007008C0" w:rsidRDefault="00B85F99" w:rsidP="005C7C25">
                                  <w:pPr>
                                    <w:pStyle w:val="HStandard"/>
                                    <w:spacing w:after="0"/>
                                    <w:rPr>
                                      <w:rFonts w:cs="Arial"/>
                                      <w:color w:val="373737"/>
                                      <w:sz w:val="18"/>
                                      <w:szCs w:val="18"/>
                                    </w:rPr>
                                  </w:pPr>
                                  <w:r>
                                    <w:rPr>
                                      <w:color w:val="373737"/>
                                      <w:sz w:val="18"/>
                                    </w:rPr>
                                    <w:t>Oblikovanje ustrezne kontrolne skupine poteka na naslednji način:</w:t>
                                  </w:r>
                                </w:p>
                                <w:p w:rsidR="00B85F99" w:rsidRPr="007008C0" w:rsidRDefault="00B85F99" w:rsidP="005C7C25">
                                  <w:pPr>
                                    <w:pStyle w:val="Hlistbullet"/>
                                    <w:spacing w:before="0" w:after="0" w:line="280" w:lineRule="atLeast"/>
                                    <w:ind w:left="604" w:hanging="604"/>
                                    <w:rPr>
                                      <w:color w:val="373737"/>
                                      <w:sz w:val="18"/>
                                      <w:szCs w:val="18"/>
                                    </w:rPr>
                                  </w:pPr>
                                  <w:r>
                                    <w:rPr>
                                      <w:b/>
                                      <w:color w:val="F07E31" w:themeColor="accent1"/>
                                      <w:sz w:val="18"/>
                                    </w:rPr>
                                    <w:t>Prvi korak:</w:t>
                                  </w:r>
                                  <w:r>
                                    <w:rPr>
                                      <w:color w:val="373737"/>
                                      <w:sz w:val="18"/>
                                    </w:rPr>
                                    <w:t xml:space="preserve"> Poiščite vzorec upravičencev PRP (npr. kmetije/kmetje/podjetja, ki ne opravljajo kmetijske dejavnosti/skupnosti/področja/regije) v razpoložljivi podatkovni zbirki (npr. mreža FADN) in kot referenčno točko uporabite sistem spremljanja PRP (npr. podatkovno zbirko plačilne agencije). </w:t>
                                  </w:r>
                                </w:p>
                                <w:p w:rsidR="00B85F99" w:rsidRPr="00AF5661" w:rsidRDefault="00B85F99" w:rsidP="005C7C25">
                                  <w:pPr>
                                    <w:pStyle w:val="Hlistbullet"/>
                                    <w:spacing w:before="0" w:after="0" w:line="280" w:lineRule="atLeast"/>
                                    <w:ind w:left="604" w:hanging="604"/>
                                    <w:rPr>
                                      <w:color w:val="373737"/>
                                      <w:sz w:val="18"/>
                                      <w:szCs w:val="18"/>
                                    </w:rPr>
                                  </w:pPr>
                                  <w:r>
                                    <w:rPr>
                                      <w:b/>
                                      <w:color w:val="F07E31" w:themeColor="accent1"/>
                                      <w:sz w:val="18"/>
                                    </w:rPr>
                                    <w:t>Drugi korak:</w:t>
                                  </w:r>
                                  <w:r>
                                    <w:rPr>
                                      <w:color w:val="373737"/>
                                      <w:sz w:val="18"/>
                                    </w:rPr>
                                    <w:t xml:space="preserve"> Izmed vseh ustreznih enot v podatkovni zbirki izberite tiste, ki v istem obdobju niso prejele podpore iz ukrepov v okviru PRP („neupravičenci“).</w:t>
                                  </w:r>
                                </w:p>
                                <w:p w:rsidR="00B85F99" w:rsidRPr="00AF5661" w:rsidRDefault="00B85F99" w:rsidP="005C7C25">
                                  <w:pPr>
                                    <w:pStyle w:val="Hlistbullet"/>
                                    <w:spacing w:before="0" w:after="0" w:line="280" w:lineRule="atLeast"/>
                                    <w:ind w:left="604" w:hanging="604"/>
                                    <w:rPr>
                                      <w:color w:val="373737"/>
                                      <w:sz w:val="18"/>
                                      <w:szCs w:val="18"/>
                                    </w:rPr>
                                  </w:pPr>
                                  <w:r>
                                    <w:rPr>
                                      <w:b/>
                                      <w:color w:val="F07E31" w:themeColor="accent1"/>
                                      <w:sz w:val="18"/>
                                    </w:rPr>
                                    <w:t>Tretji korak:</w:t>
                                  </w:r>
                                  <w:r>
                                    <w:rPr>
                                      <w:color w:val="373737"/>
                                      <w:sz w:val="18"/>
                                    </w:rPr>
                                    <w:t xml:space="preserve"> Iz skupine neupravičencev predhodno izberite tiste enote, ki NISO izpolnile pogojev za upravičenost do programa (zaradi visokega dohodka, velikosti, lokacije itd.), in jih odstranite iz analize. </w:t>
                                  </w:r>
                                </w:p>
                                <w:p w:rsidR="00B85F99" w:rsidRPr="007008C0" w:rsidRDefault="00B85F99" w:rsidP="005C7C25">
                                  <w:pPr>
                                    <w:pStyle w:val="Hlistbullet"/>
                                    <w:spacing w:before="0" w:after="0" w:line="280" w:lineRule="atLeast"/>
                                    <w:ind w:left="604" w:hanging="604"/>
                                    <w:rPr>
                                      <w:color w:val="373737"/>
                                      <w:sz w:val="18"/>
                                      <w:szCs w:val="18"/>
                                    </w:rPr>
                                  </w:pPr>
                                  <w:r>
                                    <w:rPr>
                                      <w:b/>
                                      <w:color w:val="F07E31" w:themeColor="accent1"/>
                                      <w:sz w:val="18"/>
                                    </w:rPr>
                                    <w:t>Četrti korak:</w:t>
                                  </w:r>
                                  <w:r>
                                    <w:rPr>
                                      <w:color w:val="373737"/>
                                      <w:sz w:val="18"/>
                                    </w:rPr>
                                    <w:t xml:space="preserve"> Zberite podatke za vse enote v obeh skupinah (upravičenci in neupravičenci) o njihovih pomembnih značilnostih (spremenljivkah) za leto 2013 (tj. pred programom). Upoštevajte, da morajo spremenljivke, vključene v analizo, vplivati na izbiro enote ter kazalnike, izračunane na mikro ravni (skupni in dodatni kazalniki vpliva). Ena od predlaganih spremenljivk (ki se uporabi kot pomembna kontrolna spremenljivka) je lahko: i) raven podpore, ki jo je dana enota („upravičenec“ in „neupravičenec“) prejela v prejšnjem programskem obdobju 2007–2013, in/ali ii) raven podpore, ki jo je dana enota („upravičenec“ in „neupravičenec“) prejela iz drugih javnih virov (npr. strukturnih skladov EU, prvega stebra) v analiziranem obdobju.</w:t>
                                  </w:r>
                                </w:p>
                                <w:p w:rsidR="00B85F99" w:rsidRPr="00AF5661" w:rsidRDefault="00B85F99" w:rsidP="005C7C25">
                                  <w:pPr>
                                    <w:pStyle w:val="Hlistbullet"/>
                                    <w:spacing w:before="0" w:after="0" w:line="280" w:lineRule="atLeast"/>
                                    <w:ind w:left="604" w:hanging="604"/>
                                    <w:rPr>
                                      <w:color w:val="373737"/>
                                      <w:sz w:val="18"/>
                                      <w:szCs w:val="18"/>
                                    </w:rPr>
                                  </w:pPr>
                                  <w:r>
                                    <w:rPr>
                                      <w:b/>
                                      <w:color w:val="F07E31" w:themeColor="accent1"/>
                                      <w:sz w:val="18"/>
                                    </w:rPr>
                                    <w:t>Peti korak:</w:t>
                                  </w:r>
                                  <w:r>
                                    <w:rPr>
                                      <w:color w:val="373737"/>
                                      <w:sz w:val="18"/>
                                    </w:rPr>
                                    <w:t xml:space="preserve"> Uporabite ustrezne tehnike (npr. parjenje), s katerimi lahko v vzorcu „neupravičencev“ (glej: drugi in tretji korak) opredelite ustrezne „kontrolne skupine“ (nekateri „neupravičenci“ in/ali „upravičenci“ bodo izpadli iz analize zaradi pomanjkanja ustreznih kontrolnih enot).</w:t>
                                  </w:r>
                                </w:p>
                                <w:p w:rsidR="00B85F99" w:rsidRPr="0025164E" w:rsidRDefault="00B85F99" w:rsidP="005C7C25">
                                  <w:pPr>
                                    <w:pStyle w:val="Hlistbullet"/>
                                    <w:spacing w:before="0" w:after="0" w:line="280" w:lineRule="atLeast"/>
                                    <w:ind w:left="604" w:hanging="604"/>
                                  </w:pPr>
                                  <w:r>
                                    <w:rPr>
                                      <w:b/>
                                      <w:color w:val="F07E31" w:themeColor="accent1"/>
                                      <w:sz w:val="18"/>
                                    </w:rPr>
                                    <w:t>Šesti korak:</w:t>
                                  </w:r>
                                  <w:r>
                                    <w:rPr>
                                      <w:color w:val="373737"/>
                                      <w:sz w:val="18"/>
                                    </w:rPr>
                                    <w:t xml:space="preserve"> Statistično preverite „podobnost“ obeh skupin pred prejemom podpore iz programa (npr. z izvedbo statističnih testov kovariat, vključenih v analizo). Povprečna vrednost enote v skupini „upravičencev“ se ne bi smela znatno razlikovati od ustrezne enote v „kontrolni skupini“.</w:t>
                                  </w:r>
                                </w:p>
                                <w:p w:rsidR="00B85F99" w:rsidRPr="0025164E" w:rsidRDefault="00B85F99" w:rsidP="00735F08">
                                  <w:pPr>
                                    <w:pStyle w:val="Hlistbullet"/>
                                    <w:numPr>
                                      <w:ilvl w:val="0"/>
                                      <w:numId w:val="0"/>
                                    </w:numPr>
                                    <w:jc w:val="center"/>
                                    <w:rPr>
                                      <w:i/>
                                      <w:color w:val="F07E31" w:themeColor="accent1"/>
                                      <w:sz w:val="18"/>
                                      <w:szCs w:val="18"/>
                                    </w:rPr>
                                  </w:pPr>
                                  <w:r>
                                    <w:rPr>
                                      <w:i/>
                                      <w:color w:val="F07E31" w:themeColor="accent1"/>
                                      <w:sz w:val="18"/>
                                    </w:rPr>
                                    <w:t xml:space="preserve">Več informacij o oblikovanju kontrolnih skupin, parjenju itd. je na voljo v 4. poglavju dokumenta  </w:t>
                                  </w:r>
                                  <w:r>
                                    <w:rPr>
                                      <w:color w:val="F07E31" w:themeColor="accent1"/>
                                      <w:sz w:val="18"/>
                                      <w:szCs w:val="18"/>
                                    </w:rPr>
                                    <w:br/>
                                  </w:r>
                                  <w:r>
                                    <w:rPr>
                                      <w:i/>
                                      <w:color w:val="F07E31" w:themeColor="accent1"/>
                                      <w:sz w:val="18"/>
                                    </w:rPr>
                                    <w:t xml:space="preserve"> </w:t>
                                  </w:r>
                                  <w:hyperlink r:id="rId41" w:history="1">
                                    <w:r>
                                      <w:rPr>
                                        <w:rStyle w:val="Hyperlink"/>
                                        <w:i/>
                                        <w:color w:val="F07E31" w:themeColor="accent1"/>
                                        <w:sz w:val="18"/>
                                      </w:rPr>
                                      <w:t>Guidelines for ex post evaluation of 2007-2013 RDPs (Smernice za naknadno vrednotenje programov razvoja podeželja za obdobje 2007–2013</w:t>
                                    </w:r>
                                  </w:hyperlink>
                                  <w:r>
                                    <w:rPr>
                                      <w:rStyle w:val="Hyperlink"/>
                                      <w:i/>
                                      <w:color w:val="F07E31" w:themeColor="accent1"/>
                                      <w:sz w:val="18"/>
                                    </w:rPr>
                                    <w:t>).</w:t>
                                  </w:r>
                                </w:p>
                              </w:txbxContent>
                            </wps:txbx>
                            <wps:bodyPr rot="0" vert="horz" wrap="square" lIns="91440" tIns="45720" rIns="91440" bIns="45720" anchor="ctr" anchorCtr="0" upright="1">
                              <a:noAutofit/>
                            </wps:bodyPr>
                          </wps:wsp>
                        </a:graphicData>
                      </a:graphic>
                    </wp:inline>
                  </w:drawing>
                </mc:Choice>
                <mc:Fallback>
                  <w:pict>
                    <v:shape w14:anchorId="5F24A140" id="AutoShape 67" o:spid="_x0000_s1035" style="width:438.35pt;height:677.25pt;visibility:visible;mso-wrap-style:square;mso-left-percent:-10001;mso-top-percent:-10001;mso-position-horizontal:absolute;mso-position-horizontal-relative:char;mso-position-vertical:absolute;mso-position-vertical-relative:line;mso-left-percent:-10001;mso-top-percent:-10001;v-text-anchor:middle" coordsize="5567045,8401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CqjAQAACkOAAAOAAAAZHJzL2Uyb0RvYy54bWysV9uO2zYQfS/QfyD0WGBXokzJF6w32Ni7&#10;RYG0CRDnA2hdLKGSqJL02pug/97hRV4yG8lFUT/Ionh0ODNnNBzevTu3DXouuKhZtw7wbRSgostY&#10;XneHdfBl93SzCJCQtMtpw7piHbwUInh3//NPd6d+VcSsYk1ecAQknVid+nVQSdmvwlBkVdFSccv6&#10;ooPJkvGWShjyQ5hzegL2tgnjKErDE+N5z1lWCAFPt2YyuNf8ZVlk8mNZikKiZh2AbVJfub7u1TW8&#10;v6OrA6d9VWfWDPofrGhp3cGiF6otlRQdef2Gqq0zzgQr5W3G2pCVZZ0V2gfwBkffefO5on2hfYHg&#10;iP4SJvH/0WZ/PH/iqM7XwTICqTragkgPR8n02iidqwiderEC4Of+E1c+iv4Dy/4UMBF6M2ogAIP2&#10;p99ZDjwUeHRUziVv1ZvgLzrr4L9cgl+cJcrgYZKk84gkAcpgbpFCNOaJWjykq+H17CjkrwXTVPT5&#10;g5BGvRzudOxza/8OlC7bBoT8JUTxPE3jFJ3QsIB9acBiBxuhCi0ILJ0MmXGhjB2YZRrnnDngCU7i&#10;wK5yQmQuPk1wpg7sKufcAS9wTEhMxiMA6XExIImXEcHL8QgsHbCN6DgzdvWKxkmxq9V1VleyKVZX&#10;reusrmhTrK5eNgdHkwu7ql1NWFe1iUzArmARSiP4oTRJZqmtepfcxq5ak8jYV2qCM3a1mub0dZri&#10;dJWa5vRVmuJ0dZrmdEWaRvoKjZae2FdoND1iV5+rH/XM1eiH+Qwl9TAUTVoNdTQ7d7aQwh2iagPf&#10;QQ6pytozoeq2qqtQnHfY1mXAqVkHvvTgIKyCz8bgkE0uO2im4EPVf8MOKeXCQQ4F1zsUePQWHntw&#10;iLWCL0eNmXlwVZMUHmqO2YTe8hP/BestHnc38V+w/uJxh1P/Besx9lw2rlvlODQ8qtXZxZCC0Ozs&#10;VIpBu7NTKQQNzw6SQ+9/PZVKeB1PuEUnZwOuYP+1m6Cab9lzsWMaKVUWmPqko6PJwIBXSNO5UJur&#10;HnZADP+9JnWRdieycR9w2XFfZ++Lr2P8i3g+h47QumdICZnhJXzgIOTgkfHeTJtN7PtpFVBvrcEC&#10;Y6nJC4cO8ANi+HeRNlwmiQaAv4ALx/FsMXQf5rl9opzwvPuBDj5t1jBRmHWV3LqVuuiuvXxtpzr2&#10;VDeNDk7TqWyIEwLBVKoL1tS5mtUDfthvGo6eKWTZ+0fyMBuy14O1tYS2vqlbCLzad6zhVUHzxy7X&#10;y0haN+ZeB1CRQytoc1I1hbp9/raMlo+LxwW5IXH6eEOi7fbm4WlDbtInPE+2s+1ms8V/KzsxWVV1&#10;nhedMnVo5TH5d62yPVSYJvzSzHsuCdfzJ/2zGerAQt8MHXLwZfjX3ummWfXJprGW5/3ZNOCKTvXQ&#10;e5a/QBfNmTmtwOkKbirGvwboBCeVdSD+OlJeBKj5rYOjwBITAkkp9YAk8BHAJ+/O7N0Z2mVAtQ4y&#10;yQMo8mqwkTCGl449rw8VrGXqbMfUOaCsVZetbTZ22QGcR7RX9uykDjzuWKNeT3j3/wAAAP//AwBQ&#10;SwMEFAAGAAgAAAAhAJNLqzPdAAAABgEAAA8AAABkcnMvZG93bnJldi54bWxMj09Lw0AQxe+C32EZ&#10;wZvd+CdtSbMpUhCqeGkset0k02zo7mzIbpv02zt60cvA8N68+b18PTkrzjiEzpOC+1kCAqn2TUet&#10;gv3Hy90SRIiaGm09oYILBlgX11e5zho/0g7PZWwFh1DItAITY59JGWqDToeZ75FYO/jB6cjr0Mpm&#10;0COHOysfkmQune6IPxjd48ZgfSxPjjHa963/3G/HN+MuFR3KdGO/XpW6vZmeVyAiTvHPDD/4fAMF&#10;M1X+RE0QVgEXib+TteVivgBRsekxfUpBFrn8j198AwAA//8DAFBLAQItABQABgAIAAAAIQC2gziS&#10;/gAAAOEBAAATAAAAAAAAAAAAAAAAAAAAAABbQ29udGVudF9UeXBlc10ueG1sUEsBAi0AFAAGAAgA&#10;AAAhADj9If/WAAAAlAEAAAsAAAAAAAAAAAAAAAAALwEAAF9yZWxzLy5yZWxzUEsBAi0AFAAGAAgA&#10;AAAhACHYQKqMBAAAKQ4AAA4AAAAAAAAAAAAAAAAALgIAAGRycy9lMm9Eb2MueG1sUEsBAi0AFAAG&#10;AAgAAAAhAJNLqzPdAAAABgEAAA8AAAAAAAAAAAAAAAAA5gYAAGRycy9kb3ducmV2LnhtbFBLBQYA&#10;AAAABAAEAPMAAADwBwAAAAA=&#10;" adj="-11796480,,5400" path="m276626,l5567045,r,8124424c5567045,8277200,5443195,8401050,5290419,8401050l,8401050,,276626c,123850,123850,,276626,xe" filled="f" strokecolor="#be4a35" strokeweight="2pt">
                      <v:stroke joinstyle="miter"/>
                      <v:formulas/>
                      <v:path arrowok="t" o:connecttype="custom" o:connectlocs="276626,0;5567045,0;5567045,0;5567045,8317863;5290419,8601075;0,8601075;0,8601075;0,283212;276626,0" o:connectangles="0,0,0,0,0,0,0,0,0" textboxrect="0,0,5567045,8401050"/>
                      <v:textbox>
                        <w:txbxContent>
                          <w:p w:rsidR="00B85F99" w:rsidRPr="00391ECD" w:rsidRDefault="00B85F99" w:rsidP="005C7C25">
                            <w:pPr>
                              <w:pStyle w:val="HHeading4"/>
                            </w:pPr>
                            <w:r>
                              <w:rPr>
                                <w:noProof/>
                                <w:color w:val="373737"/>
                                <w:lang w:bidi="ar-SA"/>
                              </w:rPr>
                              <w:drawing>
                                <wp:inline distT="0" distB="0" distL="0" distR="0" wp14:anchorId="2D6DF851" wp14:editId="6EDC12DD">
                                  <wp:extent cx="664845" cy="487680"/>
                                  <wp:effectExtent l="0" t="0" r="0" b="7620"/>
                                  <wp:docPr id="91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KRATKA NAVODILA ŠT. 2: Kako oblikovati </w:t>
                            </w:r>
                            <w:r>
                              <w:t>kontrolno skupino na mikro ravni? (povezano z drugo plastjo)</w:t>
                            </w:r>
                          </w:p>
                          <w:p w:rsidR="00B85F99" w:rsidRPr="007008C0" w:rsidRDefault="00B85F99" w:rsidP="005C7C25">
                            <w:pPr>
                              <w:pStyle w:val="HStandard"/>
                              <w:spacing w:after="0"/>
                              <w:rPr>
                                <w:rFonts w:cs="Arial"/>
                                <w:color w:val="373737"/>
                                <w:sz w:val="18"/>
                                <w:szCs w:val="18"/>
                              </w:rPr>
                            </w:pPr>
                            <w:r>
                              <w:rPr>
                                <w:color w:val="373737"/>
                                <w:sz w:val="18"/>
                              </w:rPr>
                              <w:t>Analiza hipotetičnega scenarija na mikro ravni bi morala temeljiti na primerjavah kontrolnih skupin, sestavljenih iz upravičencev in neupravičencev programa, ki so si čim bolj podobne (v razsežnostih, ki jih je mogoče pridobiti z opazovanjem teh skupin, in razsežnostih, ki jih ni mogoče pridobiti z njihovim opazovanjem). Če sta si dve skupini statistično dovolj podobni (imata podobne značilnosti), je mogoče predvidevati, da je kakršna koli razlika v izidih posledica programa. Z analizo hipotetičnega scenarija se lahko vzpostavi vzročnost – opažene spremembe v izidih se pripišejo programu in hkrati se odstranijo moteči dejavniki.</w:t>
                            </w:r>
                          </w:p>
                          <w:p w:rsidR="00B85F99" w:rsidRPr="007008C0" w:rsidRDefault="00B85F99" w:rsidP="005C7C25">
                            <w:pPr>
                              <w:pStyle w:val="HStandard"/>
                              <w:spacing w:after="0"/>
                              <w:rPr>
                                <w:rFonts w:cs="Arial"/>
                                <w:color w:val="373737"/>
                                <w:sz w:val="18"/>
                                <w:szCs w:val="18"/>
                              </w:rPr>
                            </w:pPr>
                          </w:p>
                          <w:p w:rsidR="00B85F99" w:rsidRPr="007008C0" w:rsidRDefault="00B85F99" w:rsidP="005C7C25">
                            <w:pPr>
                              <w:pStyle w:val="HStandard"/>
                              <w:spacing w:after="0"/>
                              <w:rPr>
                                <w:rFonts w:cs="Arial"/>
                                <w:color w:val="373737"/>
                                <w:sz w:val="18"/>
                                <w:szCs w:val="18"/>
                              </w:rPr>
                            </w:pPr>
                            <w:r>
                              <w:rPr>
                                <w:color w:val="373737"/>
                                <w:sz w:val="18"/>
                              </w:rPr>
                              <w:t xml:space="preserve">Oblikovanje ustrezne kontrolne skupine je lahko zaradi velike samoizbire v okviru programa in strogih pogojev za upravičenost do programa zahtevna naloga. Upravičenci programa, vključeni v oceno, ki so prejeli podporo iz programa, se lahko od neupravičencev močno razlikujejo z vidika strukturnih značilnosti ter z vidika gospodarske, okoljske in socialno-ekonomske uspešnosti. </w:t>
                            </w:r>
                          </w:p>
                          <w:p w:rsidR="00B85F99" w:rsidRPr="007008C0" w:rsidRDefault="00B85F99" w:rsidP="005C7C25">
                            <w:pPr>
                              <w:pStyle w:val="HStandard"/>
                              <w:spacing w:after="0"/>
                              <w:rPr>
                                <w:rFonts w:cs="Arial"/>
                                <w:color w:val="373737"/>
                                <w:sz w:val="18"/>
                                <w:szCs w:val="18"/>
                              </w:rPr>
                            </w:pPr>
                          </w:p>
                          <w:p w:rsidR="00B85F99" w:rsidRPr="007008C0" w:rsidRDefault="00B85F99" w:rsidP="005C7C25">
                            <w:pPr>
                              <w:pStyle w:val="HStandard"/>
                              <w:spacing w:after="0"/>
                              <w:rPr>
                                <w:rFonts w:cs="Arial"/>
                                <w:color w:val="373737"/>
                                <w:sz w:val="18"/>
                                <w:szCs w:val="18"/>
                              </w:rPr>
                            </w:pPr>
                            <w:r>
                              <w:rPr>
                                <w:color w:val="373737"/>
                                <w:sz w:val="18"/>
                              </w:rPr>
                              <w:t>Oblikovanje ustrezne kontrolne skupine poteka na naslednji način:</w:t>
                            </w:r>
                          </w:p>
                          <w:p w:rsidR="00B85F99" w:rsidRPr="007008C0" w:rsidRDefault="00B85F99" w:rsidP="005C7C25">
                            <w:pPr>
                              <w:pStyle w:val="Hlistbullet"/>
                              <w:spacing w:before="0" w:after="0" w:line="280" w:lineRule="atLeast"/>
                              <w:ind w:left="604" w:hanging="604"/>
                              <w:rPr>
                                <w:color w:val="373737"/>
                                <w:sz w:val="18"/>
                                <w:szCs w:val="18"/>
                              </w:rPr>
                            </w:pPr>
                            <w:r>
                              <w:rPr>
                                <w:b/>
                                <w:color w:val="F07E31" w:themeColor="accent1"/>
                                <w:sz w:val="18"/>
                              </w:rPr>
                              <w:t>Prvi korak:</w:t>
                            </w:r>
                            <w:r>
                              <w:rPr>
                                <w:color w:val="373737"/>
                                <w:sz w:val="18"/>
                              </w:rPr>
                              <w:t xml:space="preserve"> Poiščite vzorec upravičencev PRP (npr. kmetije/kmetje/podjetja, ki ne opravljajo kmetijske dejavnosti/skupnosti/področja/regije) v razpoložljivi podatkovni zbirki (npr. mreža FADN) in kot referenčno točko uporabite sistem spremljanja PRP (npr. podatkovno zbirko plačilne agencije). </w:t>
                            </w:r>
                          </w:p>
                          <w:p w:rsidR="00B85F99" w:rsidRPr="00AF5661" w:rsidRDefault="00B85F99" w:rsidP="005C7C25">
                            <w:pPr>
                              <w:pStyle w:val="Hlistbullet"/>
                              <w:spacing w:before="0" w:after="0" w:line="280" w:lineRule="atLeast"/>
                              <w:ind w:left="604" w:hanging="604"/>
                              <w:rPr>
                                <w:color w:val="373737"/>
                                <w:sz w:val="18"/>
                                <w:szCs w:val="18"/>
                              </w:rPr>
                            </w:pPr>
                            <w:r>
                              <w:rPr>
                                <w:b/>
                                <w:color w:val="F07E31" w:themeColor="accent1"/>
                                <w:sz w:val="18"/>
                              </w:rPr>
                              <w:t>Drugi korak:</w:t>
                            </w:r>
                            <w:r>
                              <w:rPr>
                                <w:color w:val="373737"/>
                                <w:sz w:val="18"/>
                              </w:rPr>
                              <w:t xml:space="preserve"> Izmed vseh ustreznih enot v podatkovni zbirki izberite tiste, ki v istem obdobju niso prejele podpore iz ukrepov v okviru PRP („neupravičenci“).</w:t>
                            </w:r>
                          </w:p>
                          <w:p w:rsidR="00B85F99" w:rsidRPr="00AF5661" w:rsidRDefault="00B85F99" w:rsidP="005C7C25">
                            <w:pPr>
                              <w:pStyle w:val="Hlistbullet"/>
                              <w:spacing w:before="0" w:after="0" w:line="280" w:lineRule="atLeast"/>
                              <w:ind w:left="604" w:hanging="604"/>
                              <w:rPr>
                                <w:color w:val="373737"/>
                                <w:sz w:val="18"/>
                                <w:szCs w:val="18"/>
                              </w:rPr>
                            </w:pPr>
                            <w:r>
                              <w:rPr>
                                <w:b/>
                                <w:color w:val="F07E31" w:themeColor="accent1"/>
                                <w:sz w:val="18"/>
                              </w:rPr>
                              <w:t>Tretji korak:</w:t>
                            </w:r>
                            <w:r>
                              <w:rPr>
                                <w:color w:val="373737"/>
                                <w:sz w:val="18"/>
                              </w:rPr>
                              <w:t xml:space="preserve"> Iz skupine neupravičencev predhodno izberite tiste enote, ki NISO izpolnile pogojev za upravičenost do programa (zaradi visokega dohodka, velikosti, lokacije itd.), in jih odstranite iz analize. </w:t>
                            </w:r>
                          </w:p>
                          <w:p w:rsidR="00B85F99" w:rsidRPr="007008C0" w:rsidRDefault="00B85F99" w:rsidP="005C7C25">
                            <w:pPr>
                              <w:pStyle w:val="Hlistbullet"/>
                              <w:spacing w:before="0" w:after="0" w:line="280" w:lineRule="atLeast"/>
                              <w:ind w:left="604" w:hanging="604"/>
                              <w:rPr>
                                <w:color w:val="373737"/>
                                <w:sz w:val="18"/>
                                <w:szCs w:val="18"/>
                              </w:rPr>
                            </w:pPr>
                            <w:r>
                              <w:rPr>
                                <w:b/>
                                <w:color w:val="F07E31" w:themeColor="accent1"/>
                                <w:sz w:val="18"/>
                              </w:rPr>
                              <w:t>Četrti korak:</w:t>
                            </w:r>
                            <w:r>
                              <w:rPr>
                                <w:color w:val="373737"/>
                                <w:sz w:val="18"/>
                              </w:rPr>
                              <w:t xml:space="preserve"> Zberite podatke za vse enote v obeh skupinah (upravičenci in neupravičenci) o njihovih pomembnih značilnostih (spremenljivkah) za leto 2013 (tj. pred programom). Upoštevajte, da morajo spremenljivke, vključene v analizo, vplivati na izbiro enote ter kazalnike, izračunane na mikro ravni (skupni in dodatni kazalniki vpliva). Ena od predlaganih spremenljivk (ki se uporabi kot pomembna kontrolna spremenljivka) je lahko: i) raven podpore, ki jo je dana enota („upravičenec“ in „neupravičenec“) prejela v prejšnjem programskem obdobju 2007–2013, in/ali ii) raven podpore, ki jo je dana enota („upravičenec“ in „neupravičenec“) prejela iz drugih javnih virov (npr. strukturnih skladov EU, prvega stebra) v analiziranem obdobju.</w:t>
                            </w:r>
                          </w:p>
                          <w:p w:rsidR="00B85F99" w:rsidRPr="00AF5661" w:rsidRDefault="00B85F99" w:rsidP="005C7C25">
                            <w:pPr>
                              <w:pStyle w:val="Hlistbullet"/>
                              <w:spacing w:before="0" w:after="0" w:line="280" w:lineRule="atLeast"/>
                              <w:ind w:left="604" w:hanging="604"/>
                              <w:rPr>
                                <w:color w:val="373737"/>
                                <w:sz w:val="18"/>
                                <w:szCs w:val="18"/>
                              </w:rPr>
                            </w:pPr>
                            <w:r>
                              <w:rPr>
                                <w:b/>
                                <w:color w:val="F07E31" w:themeColor="accent1"/>
                                <w:sz w:val="18"/>
                              </w:rPr>
                              <w:t>Peti korak:</w:t>
                            </w:r>
                            <w:r>
                              <w:rPr>
                                <w:color w:val="373737"/>
                                <w:sz w:val="18"/>
                              </w:rPr>
                              <w:t xml:space="preserve"> Uporabite ustrezne tehnike (npr. parjenje), s katerimi lahko v vzorcu „neupravičencev“ (glej: drugi in tretji korak) opredelite ustrezne „kontrolne skupine“ (nekateri „neupravičenci“ in/ali „upravičenci“ bodo izpadli iz analize zaradi pomanjkanja ustreznih kontrolnih enot).</w:t>
                            </w:r>
                          </w:p>
                          <w:p w:rsidR="00B85F99" w:rsidRPr="0025164E" w:rsidRDefault="00B85F99" w:rsidP="005C7C25">
                            <w:pPr>
                              <w:pStyle w:val="Hlistbullet"/>
                              <w:spacing w:before="0" w:after="0" w:line="280" w:lineRule="atLeast"/>
                              <w:ind w:left="604" w:hanging="604"/>
                            </w:pPr>
                            <w:r>
                              <w:rPr>
                                <w:b/>
                                <w:color w:val="F07E31" w:themeColor="accent1"/>
                                <w:sz w:val="18"/>
                              </w:rPr>
                              <w:t>Šesti korak:</w:t>
                            </w:r>
                            <w:r>
                              <w:rPr>
                                <w:color w:val="373737"/>
                                <w:sz w:val="18"/>
                              </w:rPr>
                              <w:t xml:space="preserve"> Statistično preverite „podobnost“ obeh skupin pred prejemom podpore iz programa (npr. z izvedbo statističnih testov kovariat, vključenih v analizo). Povprečna vrednost enote v skupini „upravičencev“ se ne bi smela znatno razlikovati od ustrezne enote v „kontrolni skupini“.</w:t>
                            </w:r>
                          </w:p>
                          <w:p w:rsidR="00B85F99" w:rsidRPr="0025164E" w:rsidRDefault="00B85F99" w:rsidP="00735F08">
                            <w:pPr>
                              <w:pStyle w:val="Hlistbullet"/>
                              <w:numPr>
                                <w:ilvl w:val="0"/>
                                <w:numId w:val="0"/>
                              </w:numPr>
                              <w:jc w:val="center"/>
                              <w:rPr>
                                <w:i/>
                                <w:color w:val="F07E31" w:themeColor="accent1"/>
                                <w:sz w:val="18"/>
                                <w:szCs w:val="18"/>
                              </w:rPr>
                            </w:pPr>
                            <w:r>
                              <w:rPr>
                                <w:i/>
                                <w:color w:val="F07E31" w:themeColor="accent1"/>
                                <w:sz w:val="18"/>
                              </w:rPr>
                              <w:t xml:space="preserve">Več informacij o oblikovanju kontrolnih skupin, parjenju itd. je na voljo v 4. poglavju dokumenta  </w:t>
                            </w:r>
                            <w:r>
                              <w:rPr>
                                <w:color w:val="F07E31" w:themeColor="accent1"/>
                                <w:sz w:val="18"/>
                                <w:szCs w:val="18"/>
                              </w:rPr>
                              <w:br/>
                            </w:r>
                            <w:r>
                              <w:rPr>
                                <w:i/>
                                <w:color w:val="F07E31" w:themeColor="accent1"/>
                                <w:sz w:val="18"/>
                              </w:rPr>
                              <w:t xml:space="preserve"> </w:t>
                            </w:r>
                            <w:hyperlink r:id="rId42" w:history="1">
                              <w:r>
                                <w:rPr>
                                  <w:rStyle w:val="Hyperlink"/>
                                  <w:i/>
                                  <w:color w:val="F07E31" w:themeColor="accent1"/>
                                  <w:sz w:val="18"/>
                                </w:rPr>
                                <w:t>Guidelines for ex post evaluation of 2007-2013 RDPs (Smernice za naknadno vrednotenje programov razvoja podeželja za obdobje 2007–2013</w:t>
                              </w:r>
                            </w:hyperlink>
                            <w:r>
                              <w:rPr>
                                <w:rStyle w:val="Hyperlink"/>
                                <w:i/>
                                <w:color w:val="F07E31" w:themeColor="accent1"/>
                                <w:sz w:val="18"/>
                              </w:rPr>
                              <w:t>).</w:t>
                            </w:r>
                          </w:p>
                        </w:txbxContent>
                      </v:textbox>
                      <w10:anchorlock/>
                    </v:shape>
                  </w:pict>
                </mc:Fallback>
              </mc:AlternateContent>
            </w:r>
          </w:p>
        </w:tc>
      </w:tr>
    </w:tbl>
    <w:p w:rsidR="00560A1E" w:rsidRPr="00571D58" w:rsidRDefault="000B213F" w:rsidP="00560A1E">
      <w:pPr>
        <w:pStyle w:val="HStandard"/>
      </w:pPr>
      <w:r>
        <w:rPr>
          <w:b/>
          <w:i/>
          <w:noProof/>
          <w:color w:val="F07E31" w:themeColor="accent1"/>
          <w:lang w:bidi="ar-SA"/>
        </w:rPr>
        <w:lastRenderedPageBreak/>
        <mc:AlternateContent>
          <mc:Choice Requires="wps">
            <w:drawing>
              <wp:inline distT="0" distB="0" distL="0" distR="0" wp14:anchorId="275CFA58" wp14:editId="34FCCF25">
                <wp:extent cx="5731510" cy="8582025"/>
                <wp:effectExtent l="0" t="0" r="21590" b="28575"/>
                <wp:docPr id="90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8582025"/>
                        </a:xfrm>
                        <a:custGeom>
                          <a:avLst/>
                          <a:gdLst>
                            <a:gd name="T0" fmla="*/ 290989 w 5731510"/>
                            <a:gd name="T1" fmla="*/ 0 h 8451850"/>
                            <a:gd name="T2" fmla="*/ 5731510 w 5731510"/>
                            <a:gd name="T3" fmla="*/ 0 h 8451850"/>
                            <a:gd name="T4" fmla="*/ 5731510 w 5731510"/>
                            <a:gd name="T5" fmla="*/ 0 h 8451850"/>
                            <a:gd name="T6" fmla="*/ 5731510 w 5731510"/>
                            <a:gd name="T7" fmla="*/ 8160861 h 8451850"/>
                            <a:gd name="T8" fmla="*/ 5440521 w 5731510"/>
                            <a:gd name="T9" fmla="*/ 8451850 h 8451850"/>
                            <a:gd name="T10" fmla="*/ 0 w 5731510"/>
                            <a:gd name="T11" fmla="*/ 8451850 h 8451850"/>
                            <a:gd name="T12" fmla="*/ 0 w 5731510"/>
                            <a:gd name="T13" fmla="*/ 8451850 h 8451850"/>
                            <a:gd name="T14" fmla="*/ 0 w 5731510"/>
                            <a:gd name="T15" fmla="*/ 290989 h 8451850"/>
                            <a:gd name="T16" fmla="*/ 290989 w 5731510"/>
                            <a:gd name="T17" fmla="*/ 0 h 8451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8451850"/>
                            <a:gd name="T29" fmla="*/ 5731510 w 5731510"/>
                            <a:gd name="T30" fmla="*/ 8451850 h 8451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8451850">
                              <a:moveTo>
                                <a:pt x="290989" y="0"/>
                              </a:moveTo>
                              <a:lnTo>
                                <a:pt x="5731510" y="0"/>
                              </a:lnTo>
                              <a:lnTo>
                                <a:pt x="5731510" y="8160861"/>
                              </a:lnTo>
                              <a:cubicBezTo>
                                <a:pt x="5731510" y="8321570"/>
                                <a:pt x="5601230" y="8451850"/>
                                <a:pt x="5440521" y="8451850"/>
                              </a:cubicBezTo>
                              <a:lnTo>
                                <a:pt x="0" y="8451850"/>
                              </a:lnTo>
                              <a:lnTo>
                                <a:pt x="0" y="290989"/>
                              </a:lnTo>
                              <a:cubicBezTo>
                                <a:pt x="0" y="130280"/>
                                <a:pt x="130280" y="0"/>
                                <a:pt x="290989"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B85F99" w:rsidRPr="00DD36A9" w:rsidRDefault="00B85F99" w:rsidP="006D4194">
                            <w:pPr>
                              <w:pStyle w:val="HHeading4"/>
                            </w:pPr>
                            <w:r>
                              <w:rPr>
                                <w:noProof/>
                                <w:lang w:bidi="ar-SA"/>
                              </w:rPr>
                              <w:drawing>
                                <wp:inline distT="0" distB="0" distL="0" distR="0" wp14:anchorId="0BCCA784" wp14:editId="454336EA">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KRATKA NAVODILA št. 3: Kompromisi pri izbiri metod vrednotenja</w:t>
                            </w:r>
                          </w:p>
                          <w:p w:rsidR="00B85F99" w:rsidRDefault="00B85F99" w:rsidP="006D4194">
                            <w:pPr>
                              <w:pStyle w:val="HStandard"/>
                              <w:spacing w:after="0"/>
                              <w:rPr>
                                <w:rFonts w:cs="Arial"/>
                                <w:color w:val="373737"/>
                                <w:sz w:val="18"/>
                                <w:szCs w:val="18"/>
                              </w:rPr>
                            </w:pPr>
                            <w:r>
                              <w:rPr>
                                <w:color w:val="373737"/>
                                <w:sz w:val="18"/>
                              </w:rPr>
                              <w:t xml:space="preserve">Največja ovira pri vrednotenjih, ki omejuje izbiro </w:t>
                            </w:r>
                            <w:r>
                              <w:rPr>
                                <w:color w:val="373737"/>
                                <w:sz w:val="18"/>
                              </w:rPr>
                              <w:t>metod vrednotenja, je nerazpoložljivost podatkov. Če se uporabljajo „enostavne“ tehnike vrednotenja (brez hipotetičnega scenarija), pa se v takih primerih precej poslabšajo metodološka natančnost, verodostojnost, zanesljivost in veljavnost. Zato se deležniki spodbujajo, naj razmislijo o kompromisih med potrebo po podatkih in morebitno pristranskostjo v rezultatih, pridobljenih s šibkejšimi metodami. Načeloma so metode vrednotenja, ki zagotavljajo boljšo kakovost rezultatov, z vidika podatkov zahtevnejše.</w:t>
                            </w:r>
                          </w:p>
                          <w:p w:rsidR="00B85F99" w:rsidRPr="006D4194" w:rsidRDefault="00B85F99" w:rsidP="006D4194">
                            <w:pPr>
                              <w:pStyle w:val="HStandard"/>
                              <w:spacing w:after="0"/>
                              <w:rPr>
                                <w:rFonts w:cs="Arial"/>
                                <w:color w:val="373737"/>
                                <w:sz w:val="18"/>
                                <w:szCs w:val="18"/>
                              </w:rPr>
                            </w:pPr>
                          </w:p>
                          <w:p w:rsidR="00B85F99" w:rsidRPr="009866F7" w:rsidRDefault="00B85F99" w:rsidP="006D4194">
                            <w:pPr>
                              <w:spacing w:before="0" w:after="0" w:line="240" w:lineRule="auto"/>
                              <w:rPr>
                                <w:rFonts w:cs="Arial"/>
                                <w:color w:val="373737"/>
                                <w:szCs w:val="18"/>
                                <w:highlight w:val="yellow"/>
                              </w:rPr>
                            </w:pPr>
                            <w:r>
                              <w:rPr>
                                <w:b/>
                              </w:rPr>
                              <w:t>P</w:t>
                            </w:r>
                            <w:r>
                              <w:rPr>
                                <w:b/>
                                <w:color w:val="373737" w:themeColor="text1"/>
                              </w:rPr>
                              <w:t>rimerjava metod</w:t>
                            </w:r>
                            <w:r>
                              <w:rPr>
                                <w:color w:val="373737" w:themeColor="text1"/>
                              </w:rPr>
                              <w:t xml:space="preserve"> (legenda: +++++ = najvišji rezultat; + = najnižji rezultat):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B85F99" w:rsidTr="00417754">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B85F99" w:rsidRPr="0025164E" w:rsidRDefault="00B85F99" w:rsidP="009811C2">
                                  <w:pPr>
                                    <w:jc w:val="center"/>
                                    <w:rPr>
                                      <w:rFonts w:cs="Arial"/>
                                      <w:szCs w:val="18"/>
                                    </w:rPr>
                                  </w:pPr>
                                  <w:r>
                                    <w:t>Metoda</w:t>
                                  </w:r>
                                </w:p>
                              </w:tc>
                              <w:tc>
                                <w:tcPr>
                                  <w:tcW w:w="1701" w:type="dxa"/>
                                </w:tcPr>
                                <w:p w:rsidR="00B85F99" w:rsidRPr="0025164E" w:rsidRDefault="00B85F99"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Verodostojnost/natančnost, zanesljivost itd.</w:t>
                                  </w:r>
                                </w:p>
                              </w:tc>
                              <w:tc>
                                <w:tcPr>
                                  <w:tcW w:w="1701" w:type="dxa"/>
                                </w:tcPr>
                                <w:p w:rsidR="00B85F99" w:rsidRPr="0025164E" w:rsidRDefault="00B85F99"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Zmožnost zmanjševanja pristranskosti pri izbiri in drugih pristranskosti</w:t>
                                  </w:r>
                                </w:p>
                              </w:tc>
                              <w:tc>
                                <w:tcPr>
                                  <w:tcW w:w="1417" w:type="dxa"/>
                                </w:tcPr>
                                <w:p w:rsidR="00B85F99" w:rsidRPr="0025164E" w:rsidRDefault="00B85F99"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Kakovost vrednotenja</w:t>
                                  </w:r>
                                </w:p>
                              </w:tc>
                              <w:tc>
                                <w:tcPr>
                                  <w:tcW w:w="1418" w:type="dxa"/>
                                </w:tcPr>
                                <w:p w:rsidR="00B85F99" w:rsidRPr="0025164E" w:rsidRDefault="00B85F99"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Potreba po podatkih</w:t>
                                  </w:r>
                                </w:p>
                              </w:tc>
                            </w:tr>
                            <w:tr w:rsidR="00B85F99" w:rsidTr="00417754">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B85F99" w:rsidRPr="009811C2" w:rsidRDefault="00B85F99" w:rsidP="00365997">
                                  <w:pPr>
                                    <w:jc w:val="left"/>
                                    <w:rPr>
                                      <w:rFonts w:cs="Arial"/>
                                      <w:szCs w:val="18"/>
                                    </w:rPr>
                                  </w:pPr>
                                  <w:r>
                                    <w:t>Eksperimentalni pristop</w:t>
                                  </w:r>
                                </w:p>
                              </w:tc>
                              <w:tc>
                                <w:tcPr>
                                  <w:tcW w:w="1701"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B85F99" w:rsidTr="00417754">
                              <w:tc>
                                <w:tcPr>
                                  <w:cnfStyle w:val="001000000000" w:firstRow="0" w:lastRow="0" w:firstColumn="1" w:lastColumn="0" w:oddVBand="0" w:evenVBand="0" w:oddHBand="0" w:evenHBand="0" w:firstRowFirstColumn="0" w:firstRowLastColumn="0" w:lastRowFirstColumn="0" w:lastRowLastColumn="0"/>
                                  <w:tcW w:w="2093" w:type="dxa"/>
                                </w:tcPr>
                                <w:p w:rsidR="00B85F99" w:rsidRPr="009811C2" w:rsidRDefault="00B85F99" w:rsidP="00365997">
                                  <w:pPr>
                                    <w:jc w:val="left"/>
                                    <w:rPr>
                                      <w:rFonts w:cs="Arial"/>
                                      <w:szCs w:val="18"/>
                                    </w:rPr>
                                  </w:pPr>
                                  <w:r>
                                    <w:t>Kvazieksperimentalni pristop</w:t>
                                  </w:r>
                                </w:p>
                              </w:tc>
                              <w:tc>
                                <w:tcPr>
                                  <w:tcW w:w="1701" w:type="dxa"/>
                                </w:tcPr>
                                <w:p w:rsidR="00B85F99" w:rsidRPr="00B9614C" w:rsidRDefault="00B85F9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B85F99" w:rsidRPr="00B9614C" w:rsidRDefault="00B85F9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B85F99" w:rsidRPr="00B9614C" w:rsidRDefault="00B85F9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B85F99" w:rsidRPr="00B9614C" w:rsidRDefault="00B85F9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B85F99" w:rsidTr="00417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85F99" w:rsidRPr="009811C2" w:rsidRDefault="00B85F99" w:rsidP="00365997">
                                  <w:pPr>
                                    <w:jc w:val="left"/>
                                    <w:rPr>
                                      <w:rFonts w:cs="Arial"/>
                                      <w:szCs w:val="18"/>
                                    </w:rPr>
                                  </w:pPr>
                                  <w:r>
                                    <w:t>Pristopi parjenja (skupaj z DiD)</w:t>
                                  </w:r>
                                </w:p>
                              </w:tc>
                              <w:tc>
                                <w:tcPr>
                                  <w:tcW w:w="1701"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B85F99" w:rsidTr="00417754">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B85F99" w:rsidRPr="009811C2" w:rsidRDefault="00B85F99" w:rsidP="00365997">
                                  <w:pPr>
                                    <w:jc w:val="left"/>
                                    <w:rPr>
                                      <w:rFonts w:cs="Arial"/>
                                      <w:szCs w:val="18"/>
                                    </w:rPr>
                                  </w:pPr>
                                  <w:r>
                                    <w:t>RDD</w:t>
                                  </w:r>
                                </w:p>
                              </w:tc>
                              <w:tc>
                                <w:tcPr>
                                  <w:tcW w:w="1701" w:type="dxa"/>
                                </w:tcPr>
                                <w:p w:rsidR="00B85F99" w:rsidRPr="00B9614C" w:rsidRDefault="00B85F9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B85F99" w:rsidRPr="00B9614C" w:rsidRDefault="00B85F9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B85F99" w:rsidRPr="00B9614C" w:rsidRDefault="00B85F9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B85F99" w:rsidRPr="00B9614C" w:rsidRDefault="00B85F9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B85F99" w:rsidTr="00417754">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B85F99" w:rsidRPr="009811C2" w:rsidRDefault="00B85F99" w:rsidP="00365997">
                                  <w:pPr>
                                    <w:jc w:val="left"/>
                                    <w:rPr>
                                      <w:rFonts w:cs="Arial"/>
                                      <w:szCs w:val="18"/>
                                    </w:rPr>
                                  </w:pPr>
                                  <w:r>
                                    <w:t>Metode instrumentalnih spremenljivk</w:t>
                                  </w:r>
                                </w:p>
                              </w:tc>
                              <w:tc>
                                <w:tcPr>
                                  <w:tcW w:w="1701"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B85F99" w:rsidTr="00417754">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B85F99" w:rsidRPr="009811C2" w:rsidRDefault="00B85F99" w:rsidP="00365997">
                                  <w:pPr>
                                    <w:jc w:val="left"/>
                                    <w:rPr>
                                      <w:rFonts w:cs="Arial"/>
                                      <w:szCs w:val="18"/>
                                    </w:rPr>
                                  </w:pPr>
                                  <w:r>
                                    <w:t>Metoda DiD</w:t>
                                  </w:r>
                                </w:p>
                              </w:tc>
                              <w:tc>
                                <w:tcPr>
                                  <w:tcW w:w="1701" w:type="dxa"/>
                                </w:tcPr>
                                <w:p w:rsidR="00B85F99" w:rsidRPr="00B9614C" w:rsidRDefault="00B85F9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B85F99" w:rsidRPr="00B9614C" w:rsidRDefault="00B85F9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B85F99" w:rsidRPr="00B9614C" w:rsidRDefault="00B85F9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B85F99" w:rsidRPr="00B9614C" w:rsidRDefault="00B85F9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B85F99" w:rsidTr="00417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85F99" w:rsidRPr="009811C2" w:rsidRDefault="00B85F99" w:rsidP="00365997">
                                  <w:pPr>
                                    <w:jc w:val="left"/>
                                    <w:rPr>
                                      <w:rFonts w:cs="Arial"/>
                                      <w:szCs w:val="18"/>
                                    </w:rPr>
                                  </w:pPr>
                                  <w:r>
                                    <w:t>Primerjave z neupravičenci v danem obdobju (enostavni pristop)</w:t>
                                  </w:r>
                                </w:p>
                              </w:tc>
                              <w:tc>
                                <w:tcPr>
                                  <w:tcW w:w="1701"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B85F99" w:rsidTr="00417754">
                              <w:tc>
                                <w:tcPr>
                                  <w:cnfStyle w:val="001000000000" w:firstRow="0" w:lastRow="0" w:firstColumn="1" w:lastColumn="0" w:oddVBand="0" w:evenVBand="0" w:oddHBand="0" w:evenHBand="0" w:firstRowFirstColumn="0" w:firstRowLastColumn="0" w:lastRowFirstColumn="0" w:lastRowLastColumn="0"/>
                                  <w:tcW w:w="2093" w:type="dxa"/>
                                </w:tcPr>
                                <w:p w:rsidR="00B85F99" w:rsidRPr="009811C2" w:rsidRDefault="00B85F99" w:rsidP="00365997">
                                  <w:pPr>
                                    <w:jc w:val="left"/>
                                    <w:rPr>
                                      <w:rFonts w:cs="Arial"/>
                                      <w:szCs w:val="18"/>
                                    </w:rPr>
                                  </w:pPr>
                                  <w:r>
                                    <w:t>Primerjava upravičencev programa prej in potem (enostavni pristop)</w:t>
                                  </w:r>
                                </w:p>
                              </w:tc>
                              <w:tc>
                                <w:tcPr>
                                  <w:tcW w:w="1701" w:type="dxa"/>
                                </w:tcPr>
                                <w:p w:rsidR="00B85F99" w:rsidRPr="00B9614C" w:rsidRDefault="00B85F9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B85F99" w:rsidRPr="00B9614C" w:rsidRDefault="00B85F9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B85F99" w:rsidRPr="00B9614C" w:rsidRDefault="00B85F9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B85F99" w:rsidRPr="00B9614C" w:rsidRDefault="00B85F9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B85F99" w:rsidTr="00417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85F99" w:rsidRPr="009811C2" w:rsidRDefault="00B85F99" w:rsidP="00365997">
                                  <w:pPr>
                                    <w:jc w:val="left"/>
                                    <w:rPr>
                                      <w:rFonts w:cs="Arial"/>
                                      <w:szCs w:val="18"/>
                                    </w:rPr>
                                  </w:pPr>
                                  <w:r>
                                    <w:t>Kvalitativni pristopi, uporabljeni za oceno rezultatov/vplivov programa</w:t>
                                  </w:r>
                                </w:p>
                              </w:tc>
                              <w:tc>
                                <w:tcPr>
                                  <w:tcW w:w="1701"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B85F99" w:rsidRPr="00742E07" w:rsidRDefault="00B85F99" w:rsidP="00735F08">
                            <w:pPr>
                              <w:pStyle w:val="HStandard"/>
                              <w:jc w:val="center"/>
                              <w:rPr>
                                <w:i/>
                                <w:color w:val="F07E31" w:themeColor="accent1"/>
                              </w:rPr>
                            </w:pPr>
                            <w:r>
                              <w:rPr>
                                <w:i/>
                                <w:color w:val="F07E31" w:themeColor="accent1"/>
                                <w:sz w:val="18"/>
                              </w:rPr>
                              <w:t xml:space="preserve">Več informacij o merilih za izbiro pristopov k vrednotenju je na voljo  </w:t>
                            </w:r>
                            <w:r>
                              <w:rPr>
                                <w:color w:val="F07E31" w:themeColor="accent1"/>
                                <w:sz w:val="18"/>
                                <w:szCs w:val="18"/>
                              </w:rPr>
                              <w:br/>
                            </w:r>
                            <w:r>
                              <w:rPr>
                                <w:i/>
                                <w:color w:val="F07E31" w:themeColor="accent1"/>
                                <w:sz w:val="18"/>
                              </w:rPr>
                              <w:t xml:space="preserve">v poglavju 4.3.4.2 dokumenta </w:t>
                            </w:r>
                            <w:hyperlink r:id="rId43">
                              <w:r>
                                <w:rPr>
                                  <w:rStyle w:val="Hyperlink"/>
                                  <w:i/>
                                  <w:color w:val="F07E31" w:themeColor="accent1"/>
                                  <w:sz w:val="18"/>
                                </w:rPr>
                                <w:t>Guidelines for Ex-post evaluation of 2007-2013 RDPs</w:t>
                              </w:r>
                            </w:hyperlink>
                            <w:r>
                              <w:rPr>
                                <w:rStyle w:val="Hyperlink"/>
                                <w:i/>
                                <w:color w:val="F07E31" w:themeColor="accent1"/>
                                <w:sz w:val="18"/>
                              </w:rPr>
                              <w:t xml:space="preserve"> (Smernice za naknadno vrednotenje programov razvoja podeželja za obdobje 2007–2013)</w:t>
                            </w:r>
                          </w:p>
                        </w:txbxContent>
                      </wps:txbx>
                      <wps:bodyPr rot="0" vert="horz" wrap="square" lIns="91440" tIns="45720" rIns="91440" bIns="45720" anchor="ctr" anchorCtr="0" upright="1">
                        <a:noAutofit/>
                      </wps:bodyPr>
                    </wps:wsp>
                  </a:graphicData>
                </a:graphic>
              </wp:inline>
            </w:drawing>
          </mc:Choice>
          <mc:Fallback>
            <w:pict>
              <v:shape w14:anchorId="275CFA58" id="AutoShape 66" o:spid="_x0000_s1036" style="width:451.3pt;height:675.75pt;visibility:visible;mso-wrap-style:square;mso-left-percent:-10001;mso-top-percent:-10001;mso-position-horizontal:absolute;mso-position-horizontal-relative:char;mso-position-vertical:absolute;mso-position-vertical-relative:line;mso-left-percent:-10001;mso-top-percent:-10001;v-text-anchor:middle" coordsize="5731510,8451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Vi8iQQAACoOAAAOAAAAZHJzL2Uyb0RvYy54bWysV1GPozYQfq/U/2DxWGkXTICQaLOnvc1u&#10;VenannTpD3DABFTA1Cab3J363ztjTNa+PUhVNQ8E48+fPfONx+O7d+emJi9cqkq0G4/eBh7hbSby&#10;qj1svD92zzepR1TP2pzVouUb7zNX3rv7H3+4O3VrHopS1DmXBEhatT51G6/s+27t+yorecPUreh4&#10;C52FkA3roSkPfi7ZCdib2g+DIPFPQuadFBlXCr5uh07vXvMXBc/634tC8Z7UGw/W1uun1M89Pv37&#10;O7Y+SNaVVWaWwf7DKhpWtTDphWrLekaOsnpD1VSZFEoU/W0mGl8URZVxbQNYQ4NvrPlUso5rW8A5&#10;qru4Sf1/tNlvLx8lqfKNtwqWHmlZAyI9HHuh5yZJgh46dWoNwE/dR4k2qu6DyP5U0OE7PdhQgCH7&#10;068iBx4GPNor50I2OBLsJWft/M8X5/NzTzL4GC8XNKagUQZ9aZyGQRjj5D5bj8Ozo+p/5kJTsZcP&#10;qh/Uy+FN+z43698BS9HUIORPPglXwSpdkRMZJzCDRiy1sAEpSRrFNI3HyLhQhhbMME1zLizwDGdk&#10;wa5yxhZ4hjOxYFc5QfGLn1KaBGlCpz0AO/kCjqMoiEM67YGVBTYenWZG1S/UwTQptbW6zmpLNsdq&#10;q3Wd1RZtjtXWy8TgZHBRW7WrAWurNhMJ1BYsIEkAP5LE8ULvaUhVl9imtlqzyNBVaoYztLWa53R1&#10;muO0lZrndFWa47R1mue0RZpHugpNpp7QVWgyPEJbn6ubemFr9N14hpR6GJMmK8c8mp1bk0jhjTA8&#10;wHcQQ5hZO6Ewb2NeheS8oyYvAw57LfjKgYOwCF9MwSGabHbQDOFj1n/DDiFlw0EOhC8n2UMHDr5G&#10;+GoSvnDgmJMQDzlnOITeLidyBxhr6bS5sTvA2EunDU7cAcZi6pgMYsLSjHISCh4sdXYhhCAUOzsM&#10;MSh3dhhCUPDsIDj0+dexHoXX/oRXcrIO4BLOX3MIYn8jXvhOaGSPUTDkJ+0dTQYLeIXUrQ01sepg&#10;R8T432lSG2lOIuP3EZcd91X2nn+Z4k8XIY2Xo3kDaRLQELcDCDlaNFg/dA+H2Lfd6FBnrnEFw0rf&#10;0AF+RIz/NtK4awiiEeBOYMPpIghTxwrzBY1wvn9HB5c2q4Xiw7woty6lLrprK1/LqVY8V3WtnVO3&#10;GA1hHAXD9lSirnLsxRBQ8rB/rCV5YRBl75+ih8UYvQ6sqXoo6+uqAcfjuWMWXnKWP7W5nqZnVT28&#10;awciOZSCJiaxKNTl81eo3p7SpzS6icLk6SYKttubh+fH6CZ5pst4u9g+Pm7p37hNaLQuqzznLS51&#10;LOVp9O9KZXOpGIrwSzHvmORY/qx/JkItmO8uQ7scbBn/tXW6aMY6eSis+/P+rAtwyDjgGCyi9yL/&#10;DGW0FMN1Ba5X8FIK+cUjJ7iqbDz115FJ7pH6lxbuAisKgQzbXTeieImHtLR79nYPazOg2nhZLz3I&#10;8th47KENg46drA4lzDUk2lbgRaCosMzWix7WZRpwIdFmmcsT3njstka9XvHu/wEAAP//AwBQSwME&#10;FAAGAAgAAAAhALB7wU3cAAAABgEAAA8AAABkcnMvZG93bnJldi54bWxMj8FOwzAQRO9I/IO1SNyo&#10;05REaRqnQkgIjqVw4OjE2zgiXofYbdO/Z+ECl5FWM5p5W21nN4gTTqH3pGC5SEAgtd701Cl4f3u6&#10;K0CEqMnowRMquGCAbX19VenS+DO94mkfO8ElFEqtwMY4llKG1qLTYeFHJPYOfnI68jl10kz6zOVu&#10;kGmS5NLpnnjB6hEfLbaf+6NT8HXJ7eqQjk328rxLcFd8yLS4V+r2Zn7YgIg4x78w/OAzOtTM1Pgj&#10;mSAGBfxI/FX21kmag2g4tMqWGci6kv/x628AAAD//wMAUEsBAi0AFAAGAAgAAAAhALaDOJL+AAAA&#10;4QEAABMAAAAAAAAAAAAAAAAAAAAAAFtDb250ZW50X1R5cGVzXS54bWxQSwECLQAUAAYACAAAACEA&#10;OP0h/9YAAACUAQAACwAAAAAAAAAAAAAAAAAvAQAAX3JlbHMvLnJlbHNQSwECLQAUAAYACAAAACEA&#10;5NFYvIkEAAAqDgAADgAAAAAAAAAAAAAAAAAuAgAAZHJzL2Uyb0RvYy54bWxQSwECLQAUAAYACAAA&#10;ACEAsHvBTdwAAAAGAQAADwAAAAAAAAAAAAAAAADjBgAAZHJzL2Rvd25yZXYueG1sUEsFBgAAAAAE&#10;AAQA8wAAAOwHAAAAAA==&#10;" adj="-11796480,,5400" path="m290989,l5731510,r,8160861c5731510,8321570,5601230,8451850,5440521,8451850l,8451850,,290989c,130280,130280,,290989,xe" filled="f" strokecolor="#be4a35" strokeweight="2pt">
                <v:stroke joinstyle="miter"/>
                <v:formulas/>
                <v:path arrowok="t" o:connecttype="custom" o:connectlocs="290989,0;5731510,0;5731510,0;5731510,8286554;5440521,8582025;0,8582025;0,8582025;0,295471;290989,0" o:connectangles="0,0,0,0,0,0,0,0,0" textboxrect="0,0,5731510,8451850"/>
                <v:textbox>
                  <w:txbxContent>
                    <w:p w:rsidR="00B85F99" w:rsidRPr="00DD36A9" w:rsidRDefault="00B85F99" w:rsidP="006D4194">
                      <w:pPr>
                        <w:pStyle w:val="HHeading4"/>
                      </w:pPr>
                      <w:r>
                        <w:rPr>
                          <w:noProof/>
                          <w:lang w:bidi="ar-SA"/>
                        </w:rPr>
                        <w:drawing>
                          <wp:inline distT="0" distB="0" distL="0" distR="0" wp14:anchorId="0BCCA784" wp14:editId="454336EA">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KRATKA NAVODILA št. 3: Kompromisi pri izbiri metod vrednotenja</w:t>
                      </w:r>
                    </w:p>
                    <w:p w:rsidR="00B85F99" w:rsidRDefault="00B85F99" w:rsidP="006D4194">
                      <w:pPr>
                        <w:pStyle w:val="HStandard"/>
                        <w:spacing w:after="0"/>
                        <w:rPr>
                          <w:rFonts w:cs="Arial"/>
                          <w:color w:val="373737"/>
                          <w:sz w:val="18"/>
                          <w:szCs w:val="18"/>
                        </w:rPr>
                      </w:pPr>
                      <w:r>
                        <w:rPr>
                          <w:color w:val="373737"/>
                          <w:sz w:val="18"/>
                        </w:rPr>
                        <w:t xml:space="preserve">Največja ovira pri vrednotenjih, ki omejuje izbiro </w:t>
                      </w:r>
                      <w:r>
                        <w:rPr>
                          <w:color w:val="373737"/>
                          <w:sz w:val="18"/>
                        </w:rPr>
                        <w:t>metod vrednotenja, je nerazpoložljivost podatkov. Če se uporabljajo „enostavne“ tehnike vrednotenja (brez hipotetičnega scenarija), pa se v takih primerih precej poslabšajo metodološka natančnost, verodostojnost, zanesljivost in veljavnost. Zato se deležniki spodbujajo, naj razmislijo o kompromisih med potrebo po podatkih in morebitno pristranskostjo v rezultatih, pridobljenih s šibkejšimi metodami. Načeloma so metode vrednotenja, ki zagotavljajo boljšo kakovost rezultatov, z vidika podatkov zahtevnejše.</w:t>
                      </w:r>
                    </w:p>
                    <w:p w:rsidR="00B85F99" w:rsidRPr="006D4194" w:rsidRDefault="00B85F99" w:rsidP="006D4194">
                      <w:pPr>
                        <w:pStyle w:val="HStandard"/>
                        <w:spacing w:after="0"/>
                        <w:rPr>
                          <w:rFonts w:cs="Arial"/>
                          <w:color w:val="373737"/>
                          <w:sz w:val="18"/>
                          <w:szCs w:val="18"/>
                        </w:rPr>
                      </w:pPr>
                    </w:p>
                    <w:p w:rsidR="00B85F99" w:rsidRPr="009866F7" w:rsidRDefault="00B85F99" w:rsidP="006D4194">
                      <w:pPr>
                        <w:spacing w:before="0" w:after="0" w:line="240" w:lineRule="auto"/>
                        <w:rPr>
                          <w:rFonts w:cs="Arial"/>
                          <w:color w:val="373737"/>
                          <w:szCs w:val="18"/>
                          <w:highlight w:val="yellow"/>
                        </w:rPr>
                      </w:pPr>
                      <w:r>
                        <w:rPr>
                          <w:b/>
                        </w:rPr>
                        <w:t>P</w:t>
                      </w:r>
                      <w:r>
                        <w:rPr>
                          <w:b/>
                          <w:color w:val="373737" w:themeColor="text1"/>
                        </w:rPr>
                        <w:t>rimerjava metod</w:t>
                      </w:r>
                      <w:r>
                        <w:rPr>
                          <w:color w:val="373737" w:themeColor="text1"/>
                        </w:rPr>
                        <w:t xml:space="preserve"> (legenda: +++++ = najvišji rezultat; + = najnižji rezultat):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B85F99" w:rsidTr="00417754">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B85F99" w:rsidRPr="0025164E" w:rsidRDefault="00B85F99" w:rsidP="009811C2">
                            <w:pPr>
                              <w:jc w:val="center"/>
                              <w:rPr>
                                <w:rFonts w:cs="Arial"/>
                                <w:szCs w:val="18"/>
                              </w:rPr>
                            </w:pPr>
                            <w:r>
                              <w:t>Metoda</w:t>
                            </w:r>
                          </w:p>
                        </w:tc>
                        <w:tc>
                          <w:tcPr>
                            <w:tcW w:w="1701" w:type="dxa"/>
                          </w:tcPr>
                          <w:p w:rsidR="00B85F99" w:rsidRPr="0025164E" w:rsidRDefault="00B85F99"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Verodostojnost/natančnost, zanesljivost itd.</w:t>
                            </w:r>
                          </w:p>
                        </w:tc>
                        <w:tc>
                          <w:tcPr>
                            <w:tcW w:w="1701" w:type="dxa"/>
                          </w:tcPr>
                          <w:p w:rsidR="00B85F99" w:rsidRPr="0025164E" w:rsidRDefault="00B85F99"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Zmožnost zmanjševanja pristranskosti pri izbiri in drugih pristranskosti</w:t>
                            </w:r>
                          </w:p>
                        </w:tc>
                        <w:tc>
                          <w:tcPr>
                            <w:tcW w:w="1417" w:type="dxa"/>
                          </w:tcPr>
                          <w:p w:rsidR="00B85F99" w:rsidRPr="0025164E" w:rsidRDefault="00B85F99"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Kakovost vrednotenja</w:t>
                            </w:r>
                          </w:p>
                        </w:tc>
                        <w:tc>
                          <w:tcPr>
                            <w:tcW w:w="1418" w:type="dxa"/>
                          </w:tcPr>
                          <w:p w:rsidR="00B85F99" w:rsidRPr="0025164E" w:rsidRDefault="00B85F99"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Potreba po podatkih</w:t>
                            </w:r>
                          </w:p>
                        </w:tc>
                      </w:tr>
                      <w:tr w:rsidR="00B85F99" w:rsidTr="00417754">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B85F99" w:rsidRPr="009811C2" w:rsidRDefault="00B85F99" w:rsidP="00365997">
                            <w:pPr>
                              <w:jc w:val="left"/>
                              <w:rPr>
                                <w:rFonts w:cs="Arial"/>
                                <w:szCs w:val="18"/>
                              </w:rPr>
                            </w:pPr>
                            <w:r>
                              <w:t>Eksperimentalni pristop</w:t>
                            </w:r>
                          </w:p>
                        </w:tc>
                        <w:tc>
                          <w:tcPr>
                            <w:tcW w:w="1701"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B85F99" w:rsidTr="00417754">
                        <w:tc>
                          <w:tcPr>
                            <w:cnfStyle w:val="001000000000" w:firstRow="0" w:lastRow="0" w:firstColumn="1" w:lastColumn="0" w:oddVBand="0" w:evenVBand="0" w:oddHBand="0" w:evenHBand="0" w:firstRowFirstColumn="0" w:firstRowLastColumn="0" w:lastRowFirstColumn="0" w:lastRowLastColumn="0"/>
                            <w:tcW w:w="2093" w:type="dxa"/>
                          </w:tcPr>
                          <w:p w:rsidR="00B85F99" w:rsidRPr="009811C2" w:rsidRDefault="00B85F99" w:rsidP="00365997">
                            <w:pPr>
                              <w:jc w:val="left"/>
                              <w:rPr>
                                <w:rFonts w:cs="Arial"/>
                                <w:szCs w:val="18"/>
                              </w:rPr>
                            </w:pPr>
                            <w:r>
                              <w:t>Kvazieksperimentalni pristop</w:t>
                            </w:r>
                          </w:p>
                        </w:tc>
                        <w:tc>
                          <w:tcPr>
                            <w:tcW w:w="1701" w:type="dxa"/>
                          </w:tcPr>
                          <w:p w:rsidR="00B85F99" w:rsidRPr="00B9614C" w:rsidRDefault="00B85F9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B85F99" w:rsidRPr="00B9614C" w:rsidRDefault="00B85F9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B85F99" w:rsidRPr="00B9614C" w:rsidRDefault="00B85F9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B85F99" w:rsidRPr="00B9614C" w:rsidRDefault="00B85F9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B85F99" w:rsidTr="00417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85F99" w:rsidRPr="009811C2" w:rsidRDefault="00B85F99" w:rsidP="00365997">
                            <w:pPr>
                              <w:jc w:val="left"/>
                              <w:rPr>
                                <w:rFonts w:cs="Arial"/>
                                <w:szCs w:val="18"/>
                              </w:rPr>
                            </w:pPr>
                            <w:r>
                              <w:t>Pristopi parjenja (skupaj z DiD)</w:t>
                            </w:r>
                          </w:p>
                        </w:tc>
                        <w:tc>
                          <w:tcPr>
                            <w:tcW w:w="1701"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B85F99" w:rsidTr="00417754">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B85F99" w:rsidRPr="009811C2" w:rsidRDefault="00B85F99" w:rsidP="00365997">
                            <w:pPr>
                              <w:jc w:val="left"/>
                              <w:rPr>
                                <w:rFonts w:cs="Arial"/>
                                <w:szCs w:val="18"/>
                              </w:rPr>
                            </w:pPr>
                            <w:r>
                              <w:t>RDD</w:t>
                            </w:r>
                          </w:p>
                        </w:tc>
                        <w:tc>
                          <w:tcPr>
                            <w:tcW w:w="1701" w:type="dxa"/>
                          </w:tcPr>
                          <w:p w:rsidR="00B85F99" w:rsidRPr="00B9614C" w:rsidRDefault="00B85F9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B85F99" w:rsidRPr="00B9614C" w:rsidRDefault="00B85F9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B85F99" w:rsidRPr="00B9614C" w:rsidRDefault="00B85F9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B85F99" w:rsidRPr="00B9614C" w:rsidRDefault="00B85F9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B85F99" w:rsidTr="00417754">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B85F99" w:rsidRPr="009811C2" w:rsidRDefault="00B85F99" w:rsidP="00365997">
                            <w:pPr>
                              <w:jc w:val="left"/>
                              <w:rPr>
                                <w:rFonts w:cs="Arial"/>
                                <w:szCs w:val="18"/>
                              </w:rPr>
                            </w:pPr>
                            <w:r>
                              <w:t>Metode instrumentalnih spremenljivk</w:t>
                            </w:r>
                          </w:p>
                        </w:tc>
                        <w:tc>
                          <w:tcPr>
                            <w:tcW w:w="1701"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B85F99" w:rsidTr="00417754">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B85F99" w:rsidRPr="009811C2" w:rsidRDefault="00B85F99" w:rsidP="00365997">
                            <w:pPr>
                              <w:jc w:val="left"/>
                              <w:rPr>
                                <w:rFonts w:cs="Arial"/>
                                <w:szCs w:val="18"/>
                              </w:rPr>
                            </w:pPr>
                            <w:r>
                              <w:t>Metoda DiD</w:t>
                            </w:r>
                          </w:p>
                        </w:tc>
                        <w:tc>
                          <w:tcPr>
                            <w:tcW w:w="1701" w:type="dxa"/>
                          </w:tcPr>
                          <w:p w:rsidR="00B85F99" w:rsidRPr="00B9614C" w:rsidRDefault="00B85F9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B85F99" w:rsidRPr="00B9614C" w:rsidRDefault="00B85F9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B85F99" w:rsidRPr="00B9614C" w:rsidRDefault="00B85F9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B85F99" w:rsidRPr="00B9614C" w:rsidRDefault="00B85F9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B85F99" w:rsidTr="00417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85F99" w:rsidRPr="009811C2" w:rsidRDefault="00B85F99" w:rsidP="00365997">
                            <w:pPr>
                              <w:jc w:val="left"/>
                              <w:rPr>
                                <w:rFonts w:cs="Arial"/>
                                <w:szCs w:val="18"/>
                              </w:rPr>
                            </w:pPr>
                            <w:r>
                              <w:t>Primerjave z neupravičenci v danem obdobju (enostavni pristop)</w:t>
                            </w:r>
                          </w:p>
                        </w:tc>
                        <w:tc>
                          <w:tcPr>
                            <w:tcW w:w="1701"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B85F99" w:rsidTr="00417754">
                        <w:tc>
                          <w:tcPr>
                            <w:cnfStyle w:val="001000000000" w:firstRow="0" w:lastRow="0" w:firstColumn="1" w:lastColumn="0" w:oddVBand="0" w:evenVBand="0" w:oddHBand="0" w:evenHBand="0" w:firstRowFirstColumn="0" w:firstRowLastColumn="0" w:lastRowFirstColumn="0" w:lastRowLastColumn="0"/>
                            <w:tcW w:w="2093" w:type="dxa"/>
                          </w:tcPr>
                          <w:p w:rsidR="00B85F99" w:rsidRPr="009811C2" w:rsidRDefault="00B85F99" w:rsidP="00365997">
                            <w:pPr>
                              <w:jc w:val="left"/>
                              <w:rPr>
                                <w:rFonts w:cs="Arial"/>
                                <w:szCs w:val="18"/>
                              </w:rPr>
                            </w:pPr>
                            <w:r>
                              <w:t>Primerjava upravičencev programa prej in potem (enostavni pristop)</w:t>
                            </w:r>
                          </w:p>
                        </w:tc>
                        <w:tc>
                          <w:tcPr>
                            <w:tcW w:w="1701" w:type="dxa"/>
                          </w:tcPr>
                          <w:p w:rsidR="00B85F99" w:rsidRPr="00B9614C" w:rsidRDefault="00B85F9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B85F99" w:rsidRPr="00B9614C" w:rsidRDefault="00B85F9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B85F99" w:rsidRPr="00B9614C" w:rsidRDefault="00B85F9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B85F99" w:rsidRPr="00B9614C" w:rsidRDefault="00B85F9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B85F99" w:rsidTr="00417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85F99" w:rsidRPr="009811C2" w:rsidRDefault="00B85F99" w:rsidP="00365997">
                            <w:pPr>
                              <w:jc w:val="left"/>
                              <w:rPr>
                                <w:rFonts w:cs="Arial"/>
                                <w:szCs w:val="18"/>
                              </w:rPr>
                            </w:pPr>
                            <w:r>
                              <w:t>Kvalitativni pristopi, uporabljeni za oceno rezultatov/vplivov programa</w:t>
                            </w:r>
                          </w:p>
                        </w:tc>
                        <w:tc>
                          <w:tcPr>
                            <w:tcW w:w="1701"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B85F99" w:rsidRPr="00B9614C" w:rsidRDefault="00B85F9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B85F99" w:rsidRPr="00742E07" w:rsidRDefault="00B85F99" w:rsidP="00735F08">
                      <w:pPr>
                        <w:pStyle w:val="HStandard"/>
                        <w:jc w:val="center"/>
                        <w:rPr>
                          <w:i/>
                          <w:color w:val="F07E31" w:themeColor="accent1"/>
                        </w:rPr>
                      </w:pPr>
                      <w:r>
                        <w:rPr>
                          <w:i/>
                          <w:color w:val="F07E31" w:themeColor="accent1"/>
                          <w:sz w:val="18"/>
                        </w:rPr>
                        <w:t xml:space="preserve">Več informacij o merilih za izbiro pristopov k vrednotenju je na voljo  </w:t>
                      </w:r>
                      <w:r>
                        <w:rPr>
                          <w:color w:val="F07E31" w:themeColor="accent1"/>
                          <w:sz w:val="18"/>
                          <w:szCs w:val="18"/>
                        </w:rPr>
                        <w:br/>
                      </w:r>
                      <w:r>
                        <w:rPr>
                          <w:i/>
                          <w:color w:val="F07E31" w:themeColor="accent1"/>
                          <w:sz w:val="18"/>
                        </w:rPr>
                        <w:t xml:space="preserve">v poglavju 4.3.4.2 dokumenta </w:t>
                      </w:r>
                      <w:hyperlink r:id="rId44">
                        <w:r>
                          <w:rPr>
                            <w:rStyle w:val="Hyperlink"/>
                            <w:i/>
                            <w:color w:val="F07E31" w:themeColor="accent1"/>
                            <w:sz w:val="18"/>
                          </w:rPr>
                          <w:t>Guidelines for Ex-post evaluation of 2007-2013 RDPs</w:t>
                        </w:r>
                      </w:hyperlink>
                      <w:r>
                        <w:rPr>
                          <w:rStyle w:val="Hyperlink"/>
                          <w:i/>
                          <w:color w:val="F07E31" w:themeColor="accent1"/>
                          <w:sz w:val="18"/>
                        </w:rPr>
                        <w:t xml:space="preserve"> (Smernice za naknadno vrednotenje programov razvoja podeželja za obdobje 2007–2013)</w:t>
                      </w:r>
                    </w:p>
                  </w:txbxContent>
                </v:textbox>
                <w10:anchorlock/>
              </v:shape>
            </w:pict>
          </mc:Fallback>
        </mc:AlternateContent>
      </w:r>
    </w:p>
    <w:p w:rsidR="00820050" w:rsidRPr="001C6ACF" w:rsidRDefault="004A3547" w:rsidP="00820050">
      <w:pPr>
        <w:pStyle w:val="HHeading4"/>
      </w:pPr>
      <w:r>
        <w:br w:type="column"/>
      </w:r>
      <w:r>
        <w:lastRenderedPageBreak/>
        <w:t>Ocena na mikro in makro ravni in neto izravnava vplivov (tretja plast)</w:t>
      </w:r>
    </w:p>
    <w:p w:rsidR="00820050" w:rsidRPr="00863E73" w:rsidRDefault="00820050" w:rsidP="00820050">
      <w:pPr>
        <w:pStyle w:val="HStandard"/>
        <w:rPr>
          <w:rFonts w:cs="Arial"/>
        </w:rPr>
      </w:pPr>
      <w:r>
        <w:t xml:space="preserve">V logičnem modelu se nato spremlja </w:t>
      </w:r>
      <w:r>
        <w:rPr>
          <w:b/>
        </w:rPr>
        <w:t>mikro ali makro plast</w:t>
      </w:r>
      <w:r>
        <w:t xml:space="preserve">, da se podrobneje opredelijo možnosti vrednotenja. Potek dela za mikro in makro plasti izvajalca vrednotenja vodi do metod, ki prispevajo k usklajeni oceni </w:t>
      </w:r>
      <w:r>
        <w:rPr>
          <w:b/>
        </w:rPr>
        <w:t>neto vplivov na mikro in makro ravneh</w:t>
      </w:r>
      <w:r>
        <w:rPr>
          <w:rStyle w:val="FootnoteReference"/>
          <w:b/>
        </w:rPr>
        <w:footnoteReference w:id="28"/>
      </w:r>
      <w:r>
        <w:t xml:space="preserve">. Za vsako od morebitnih zasnov hipotetičnega scenarija se ustvari posamezni logični model na mikro ravni. V nekaterih zasnovah vrednotenja je prenos ugotovitev z mikro ravni osnova za oceno na makro ravni. Ocene na mikro in makro ravni se v drugih zasnovah vrednotenja medsebojno dopolnjujejo, zaradi česar je potrebno preverjanje skladnosti. </w:t>
      </w:r>
    </w:p>
    <w:p w:rsidR="00C545E7" w:rsidRPr="00571D58" w:rsidRDefault="000B213F" w:rsidP="00820050">
      <w:pPr>
        <w:pStyle w:val="HStandard"/>
        <w:spacing w:after="0"/>
        <w:rPr>
          <w:rFonts w:cs="Arial"/>
        </w:rPr>
      </w:pPr>
      <w:r>
        <w:rPr>
          <w:b/>
          <w:i/>
          <w:noProof/>
          <w:color w:val="F07E31" w:themeColor="accent1"/>
          <w:lang w:bidi="ar-SA"/>
        </w:rPr>
        <mc:AlternateContent>
          <mc:Choice Requires="wps">
            <w:drawing>
              <wp:inline distT="0" distB="0" distL="0" distR="0" wp14:anchorId="61A39BBA" wp14:editId="5C9A0DE1">
                <wp:extent cx="5731510" cy="1533525"/>
                <wp:effectExtent l="0" t="0" r="21590" b="28575"/>
                <wp:docPr id="90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533525"/>
                        </a:xfrm>
                        <a:custGeom>
                          <a:avLst/>
                          <a:gdLst>
                            <a:gd name="T0" fmla="*/ 126364 w 5731510"/>
                            <a:gd name="T1" fmla="*/ 0 h 1446971"/>
                            <a:gd name="T2" fmla="*/ 5731510 w 5731510"/>
                            <a:gd name="T3" fmla="*/ 0 h 1446971"/>
                            <a:gd name="T4" fmla="*/ 5731510 w 5731510"/>
                            <a:gd name="T5" fmla="*/ 0 h 1446971"/>
                            <a:gd name="T6" fmla="*/ 5731510 w 5731510"/>
                            <a:gd name="T7" fmla="*/ 1320607 h 1446971"/>
                            <a:gd name="T8" fmla="*/ 5605146 w 5731510"/>
                            <a:gd name="T9" fmla="*/ 1446971 h 1446971"/>
                            <a:gd name="T10" fmla="*/ 0 w 5731510"/>
                            <a:gd name="T11" fmla="*/ 1446971 h 1446971"/>
                            <a:gd name="T12" fmla="*/ 0 w 5731510"/>
                            <a:gd name="T13" fmla="*/ 1446971 h 1446971"/>
                            <a:gd name="T14" fmla="*/ 0 w 5731510"/>
                            <a:gd name="T15" fmla="*/ 126364 h 1446971"/>
                            <a:gd name="T16" fmla="*/ 126364 w 5731510"/>
                            <a:gd name="T17" fmla="*/ 0 h 14469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446971"/>
                            <a:gd name="T29" fmla="*/ 5731510 w 5731510"/>
                            <a:gd name="T30" fmla="*/ 1446971 h 144697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446971">
                              <a:moveTo>
                                <a:pt x="126364" y="0"/>
                              </a:moveTo>
                              <a:lnTo>
                                <a:pt x="5731510" y="0"/>
                              </a:lnTo>
                              <a:lnTo>
                                <a:pt x="5731510" y="1320607"/>
                              </a:lnTo>
                              <a:cubicBezTo>
                                <a:pt x="5731510" y="1390396"/>
                                <a:pt x="5674935" y="1446971"/>
                                <a:pt x="5605146" y="1446971"/>
                              </a:cubicBezTo>
                              <a:lnTo>
                                <a:pt x="0" y="1446971"/>
                              </a:lnTo>
                              <a:lnTo>
                                <a:pt x="0" y="126364"/>
                              </a:lnTo>
                              <a:cubicBezTo>
                                <a:pt x="0" y="56575"/>
                                <a:pt x="56575" y="0"/>
                                <a:pt x="126364"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B85F99" w:rsidRPr="00044269" w:rsidRDefault="00B85F99" w:rsidP="00EC01C3">
                            <w:pPr>
                              <w:pStyle w:val="HHeading4"/>
                              <w:spacing w:before="0"/>
                              <w:jc w:val="both"/>
                              <w:rPr>
                                <w:b w:val="0"/>
                                <w:i/>
                                <w:color w:val="373737" w:themeColor="text1"/>
                                <w:sz w:val="18"/>
                              </w:rPr>
                            </w:pPr>
                            <w:r>
                              <w:rPr>
                                <w:noProof/>
                                <w:color w:val="373737" w:themeColor="text1"/>
                                <w:lang w:bidi="ar-SA"/>
                              </w:rPr>
                              <w:drawing>
                                <wp:inline distT="0" distB="0" distL="0" distR="0" wp14:anchorId="3E9E7F2E" wp14:editId="6181EF2F">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Kvantitativne dokaze je treba kritično razlagati</w:t>
                            </w:r>
                            <w:r>
                              <w:rPr>
                                <w:rStyle w:val="CommentReference"/>
                                <w:color w:val="373737" w:themeColor="text1"/>
                              </w:rPr>
                              <w:t xml:space="preserve"> </w:t>
                            </w:r>
                            <w:r>
                              <w:rPr>
                                <w:color w:val="373737" w:themeColor="text1"/>
                              </w:rPr>
                              <w:t>s kvalitativno oceno.</w:t>
                            </w:r>
                            <w:r>
                              <w:rPr>
                                <w:b w:val="0"/>
                                <w:color w:val="373737" w:themeColor="text1"/>
                              </w:rPr>
                              <w:t xml:space="preserve"> Poleg tega se lahko s kvalitativno oceno tudi dopolni kvantitativna ocena, da bi se: a) ocenila reprezentativnost razpoložljivih podatkov, b) navzkrižno potrdile ugotovitve, c) zajele različne razsežnosti istega pojava.</w:t>
                            </w:r>
                          </w:p>
                        </w:txbxContent>
                      </wps:txbx>
                      <wps:bodyPr rot="0" vert="horz" wrap="square" lIns="91440" tIns="45720" rIns="91440" bIns="45720" anchor="ctr" anchorCtr="0" upright="1">
                        <a:noAutofit/>
                      </wps:bodyPr>
                    </wps:wsp>
                  </a:graphicData>
                </a:graphic>
              </wp:inline>
            </w:drawing>
          </mc:Choice>
          <mc:Fallback>
            <w:pict>
              <v:shape w14:anchorId="61A39BBA" id="AutoShape 65" o:spid="_x0000_s1037" style="width:451.3pt;height:120.75pt;visibility:visible;mso-wrap-style:square;mso-left-percent:-10001;mso-top-percent:-10001;mso-position-horizontal:absolute;mso-position-horizontal-relative:char;mso-position-vertical:absolute;mso-position-vertical-relative:line;mso-left-percent:-10001;mso-top-percent:-10001;v-text-anchor:middle" coordsize="5731510,14469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zwhwQAACgOAAAOAAAAZHJzL2Uyb0RvYy54bWysV9tu4zYQfS/QfyD0WCCRqJsjI84iG9tF&#10;gW27wLofQEuUJVQSVVKOnS36752hKIdKVvKiqB9syTw8nJkzHA7vP5zrijxzqUrRrBx66zmEN6nI&#10;yuawcv7YbW/uHKI61mSsEg1fOS9cOR8efvzh/tQuuS8KUWVcEiBp1PLUrpyi69ql66q04DVTt6Ll&#10;DQzmQtasg1d5cDPJTsBeV67vebF7EjJrpUi5UvDvuh90HjR/nvO0+z3PFe9ItXLAtk5/S/29x2/3&#10;4Z4tD5K1RZkaM9h/sKJmZQOLXqjWrGPkKMt3VHWZSqFE3t2monZFnpcp1z6AN9R7482XgrVc+wLB&#10;Ue0lTOr/o01/e/4sSZmtnMTzHdKwGkR6PHZCr03iCCN0atUSgF/azxJ9VO0nkf6pYMAdjeCLAgzZ&#10;n34VGfAw4NFROeeyxpngLznr4L9cgs/PHUnhz2gR0IiCRimM0SgIIl8v7rLlMD09qu5nLjQVe/6k&#10;ul69DJ507DNj/w5Y8roCIX9yCfXjIA7JiQwLmEkDllpYjxSEhmGcLKjJjAslBOdCaZimOQMLPMMZ&#10;WrCrnJEFnuGMLdhVzoUFpoHvxd5iOgKwk18jEHsRDePpCCQW2ER0mhlVv1B706TU1uo6qy3ZHKut&#10;1nVWW7Q5Vlsvk4OTyUVt1a4mrK3aTCZQWzCPxB58YENHQfw2t6mt1izSHys1w+nbWs1zjnWa47SV&#10;muccqzTHaes0z2mLNI8cKzRZevyxQpPp4dv6XN3Uga3RN/MZSuphKJqsGOpoem5MIYUnwvAA30EO&#10;YWVthcK6jXUVivNOF0cgARyOWvBkBAdhER5gvn0LDtlks4NmCB+q/jt2SCkbDnIgfDHJ7o/gEGuE&#10;J5PwYATHmoR4qDlT1ofjCcZbOu1uNJ5g/KXTDsfjCcZjOnK5D6xRTkLDg63OzocUhGZnhykG7c4O&#10;Uwganh0khz7/Wtah8Dqe8EhO1gFcwPlrDkEcr8Uz3wmN7DAL+vqko6PJwIBXSNXYUJOrI+yAGH5b&#10;TWojzUlk4j7g0uO+TD/yr1P8NEi8IDG1zZDGizAJYIODkINHvff9mv0h9nYYAzpaa7CgJ+3zwqID&#10;/IAYfkdI3X98hzM9cRRHC50QsOuMlfgHujBIN6XC2Oq0Eor3qYti6x14UV37+NpMNWJbVpUOTdVg&#10;LvhR6PWbU4mqzHAUE0DJw/6pkuSZQY593ISPENx+iRGsLjto6quyXjl3eOoYwwvOsk2T6WU6Vlb9&#10;sw4fkkMjaDISW0LdPP+deMnmbnMX3oR+vLkJvfX65nH7FN7EW7qI1sH66WlN/8FNQsNlUWYZb9DU&#10;oZGn4fc1yuZK0bfgl1Z+5NLI863+vPfcHZuhQw6+DL/aO90yY5fct9XdeX/W7XdfZ7CF3ovsBZpo&#10;KfrLClyu4KEQ8qtDTnBRWTnqryOT3CHVLw3cBBJIRUidTr+E0QKPaGmP7O0R1qRAtXLSTjpQ4/Hl&#10;qYN3mHRsZXkoYK2+zDYCrwF5iU22Nrq3y7zAdUS7Za5OeN+x3zXq9YL38C8AAAD//wMAUEsDBBQA&#10;BgAIAAAAIQDknIYH3AAAAAUBAAAPAAAAZHJzL2Rvd25yZXYueG1sTI9BS8NAEIXvgv9hGcGb3TTY&#10;0sZMiqgFT0Ji8LzNjtlgdjbsbtvor3f1opeBx3u89025m+0oTuTD4BhhuchAEHdOD9wjtK/7mw2I&#10;EBVrNTomhE8KsKsuL0pVaHfmmk5N7EUq4VAoBBPjVEgZOkNWhYWbiJP37rxVMUnfS+3VOZXbUeZZ&#10;tpZWDZwWjJrowVD30RwtwtM+t4/t15trnrer+qX1db8xBvH6ar6/AxFpjn9h+MFP6FAlpoM7sg5i&#10;REiPxN+bvG2Wr0EcEPLb5QpkVcr/9NU3AAAA//8DAFBLAQItABQABgAIAAAAIQC2gziS/gAAAOEB&#10;AAATAAAAAAAAAAAAAAAAAAAAAABbQ29udGVudF9UeXBlc10ueG1sUEsBAi0AFAAGAAgAAAAhADj9&#10;If/WAAAAlAEAAAsAAAAAAAAAAAAAAAAALwEAAF9yZWxzLy5yZWxzUEsBAi0AFAAGAAgAAAAhAKO2&#10;PPCHBAAAKA4AAA4AAAAAAAAAAAAAAAAALgIAAGRycy9lMm9Eb2MueG1sUEsBAi0AFAAGAAgAAAAh&#10;AOSchgfcAAAABQEAAA8AAAAAAAAAAAAAAAAA4QYAAGRycy9kb3ducmV2LnhtbFBLBQYAAAAABAAE&#10;APMAAADqBwAAAAA=&#10;" adj="-11796480,,5400" path="m126364,l5731510,r,1320607c5731510,1390396,5674935,1446971,5605146,1446971l,1446971,,126364c,56575,56575,,126364,xe" filled="f" strokecolor="#be4a35" strokeweight="2pt">
                <v:stroke joinstyle="miter"/>
                <v:formulas/>
                <v:path arrowok="t" o:connecttype="custom" o:connectlocs="126364,0;5731510,0;5731510,0;5731510,1399602;5605146,1533525;0,1533525;0,1533525;0,133923;126364,0" o:connectangles="0,0,0,0,0,0,0,0,0" textboxrect="0,0,5731510,1446971"/>
                <v:textbox>
                  <w:txbxContent>
                    <w:p w:rsidR="00B85F99" w:rsidRPr="00044269" w:rsidRDefault="00B85F99" w:rsidP="00EC01C3">
                      <w:pPr>
                        <w:pStyle w:val="HHeading4"/>
                        <w:spacing w:before="0"/>
                        <w:jc w:val="both"/>
                        <w:rPr>
                          <w:b w:val="0"/>
                          <w:i/>
                          <w:color w:val="373737" w:themeColor="text1"/>
                          <w:sz w:val="18"/>
                        </w:rPr>
                      </w:pPr>
                      <w:r>
                        <w:rPr>
                          <w:noProof/>
                          <w:color w:val="373737" w:themeColor="text1"/>
                          <w:lang w:bidi="ar-SA"/>
                        </w:rPr>
                        <w:drawing>
                          <wp:inline distT="0" distB="0" distL="0" distR="0" wp14:anchorId="3E9E7F2E" wp14:editId="6181EF2F">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Kvantitativne dokaze je treba kritično razlagati</w:t>
                      </w:r>
                      <w:r>
                        <w:rPr>
                          <w:rStyle w:val="CommentReference"/>
                          <w:color w:val="373737" w:themeColor="text1"/>
                        </w:rPr>
                        <w:t xml:space="preserve"> </w:t>
                      </w:r>
                      <w:r>
                        <w:rPr>
                          <w:color w:val="373737" w:themeColor="text1"/>
                        </w:rPr>
                        <w:t>s kvalitativno oceno.</w:t>
                      </w:r>
                      <w:r>
                        <w:rPr>
                          <w:b w:val="0"/>
                          <w:color w:val="373737" w:themeColor="text1"/>
                        </w:rPr>
                        <w:t xml:space="preserve"> Poleg tega se lahko s kvalitativno oceno tudi dopolni kvantitativna ocena, da bi se: a) ocenila reprezentativnost razpoložljivih podatkov, b) navzkrižno potrdile ugotovitve, c) zajele različne razsežnosti istega pojava.</w:t>
                      </w:r>
                    </w:p>
                  </w:txbxContent>
                </v:textbox>
                <w10:anchorlock/>
              </v:shape>
            </w:pict>
          </mc:Fallback>
        </mc:AlternateContent>
      </w:r>
    </w:p>
    <w:p w:rsidR="00820050" w:rsidRPr="007645B4" w:rsidRDefault="00820050" w:rsidP="00820050">
      <w:pPr>
        <w:pStyle w:val="HStandard"/>
        <w:spacing w:after="0"/>
        <w:rPr>
          <w:rFonts w:cs="Arial"/>
        </w:rPr>
      </w:pPr>
      <w:r>
        <w:t>Z uporabo korakov v odločitvenem drevesu v mikro in makro plasteh lažje odgovorite na naslednja vprašanja pri oblikovanju pristopa k vrednotenju:</w:t>
      </w:r>
    </w:p>
    <w:p w:rsidR="00820050" w:rsidRPr="001C6ACF" w:rsidRDefault="00820050" w:rsidP="00C42303">
      <w:pPr>
        <w:pStyle w:val="Hlistbullet"/>
      </w:pPr>
      <w:r>
        <w:t>Ali moram uporabiti posebno okoljsko, sektorsko (kmetijsko-gospodarsko) ali socialno-ekonomsko metodo za količinsko opredelitev sprememb v vrednostih kazalnika ali lahko med uporabo metode hipotetičnega scenarija neposredno uporabim vrednosti kazalnika?</w:t>
      </w:r>
    </w:p>
    <w:p w:rsidR="00820050" w:rsidRPr="001C6ACF" w:rsidRDefault="00820050" w:rsidP="00C42303">
      <w:pPr>
        <w:pStyle w:val="Hlistbullet"/>
      </w:pPr>
      <w:r>
        <w:t>Ali so, če je treba uporabiti posebno metodo, podatki primerni za izvedbo ene od metod, ki so na voljo za vrednotenje vplivov na okolje ter sektorskih in socialno-ekonomskih vplivov?</w:t>
      </w:r>
    </w:p>
    <w:p w:rsidR="00820050" w:rsidRPr="001C6ACF" w:rsidRDefault="00820050" w:rsidP="00C42303">
      <w:pPr>
        <w:pStyle w:val="Hlistbullet"/>
      </w:pPr>
      <w:r>
        <w:t>Ali moram s statističnim vzorčenjem zbirati nove osnovne podatke in kako drag je ta postopek?</w:t>
      </w:r>
    </w:p>
    <w:p w:rsidR="00820050" w:rsidRPr="001C6ACF" w:rsidRDefault="00820050" w:rsidP="00C42303">
      <w:pPr>
        <w:pStyle w:val="Hlistbullet"/>
      </w:pPr>
      <w:r>
        <w:t>Ali obstaja potreba po obdelavi posebnih nalog za izboljšanje kakovosti podatkov iz raziskovanja/spremljanja?</w:t>
      </w:r>
    </w:p>
    <w:p w:rsidR="00820050" w:rsidRPr="001C6ACF" w:rsidRDefault="00820050" w:rsidP="00C42303">
      <w:pPr>
        <w:pStyle w:val="Hlistbullet"/>
      </w:pPr>
      <w:r>
        <w:t>Če ne morem količinsko opredeliti sprememb v vrednostih kazalnika ali če so stroški tega zelo visoki, katere druge (kvalitativne) metode obstajajo za oceno sprememb v vrednostih kazalnika?</w:t>
      </w:r>
    </w:p>
    <w:p w:rsidR="00B00451" w:rsidRPr="001C6ACF" w:rsidRDefault="00B00451" w:rsidP="003708EA">
      <w:pPr>
        <w:pStyle w:val="Hlistbullet"/>
        <w:numPr>
          <w:ilvl w:val="0"/>
          <w:numId w:val="0"/>
        </w:numPr>
      </w:pPr>
    </w:p>
    <w:p w:rsidR="006D6205" w:rsidRPr="001C6ACF" w:rsidRDefault="006D6205" w:rsidP="003708EA">
      <w:pPr>
        <w:pStyle w:val="Hlistbullet"/>
        <w:numPr>
          <w:ilvl w:val="0"/>
          <w:numId w:val="0"/>
        </w:numPr>
      </w:pPr>
    </w:p>
    <w:p w:rsidR="006D6205" w:rsidRPr="00571D58" w:rsidRDefault="006D6205" w:rsidP="003708EA">
      <w:pPr>
        <w:pStyle w:val="Hlistbullet"/>
        <w:numPr>
          <w:ilvl w:val="0"/>
          <w:numId w:val="0"/>
        </w:numPr>
      </w:pPr>
      <w:r>
        <w:br w:type="column"/>
      </w:r>
      <w:r>
        <w:rPr>
          <w:b/>
          <w:i/>
          <w:noProof/>
          <w:color w:val="F07E31" w:themeColor="accent1"/>
          <w:lang w:bidi="ar-SA"/>
        </w:rPr>
        <w:lastRenderedPageBreak/>
        <mc:AlternateContent>
          <mc:Choice Requires="wps">
            <w:drawing>
              <wp:inline distT="0" distB="0" distL="0" distR="0" wp14:anchorId="1D134C61" wp14:editId="03650808">
                <wp:extent cx="5931535" cy="8696325"/>
                <wp:effectExtent l="0" t="0" r="12065" b="28575"/>
                <wp:docPr id="90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1535" cy="8696325"/>
                        </a:xfrm>
                        <a:custGeom>
                          <a:avLst/>
                          <a:gdLst>
                            <a:gd name="T0" fmla="*/ 518013 w 5931673"/>
                            <a:gd name="T1" fmla="*/ 0 h 8670814"/>
                            <a:gd name="T2" fmla="*/ 5931673 w 5931673"/>
                            <a:gd name="T3" fmla="*/ 0 h 8670814"/>
                            <a:gd name="T4" fmla="*/ 5931673 w 5931673"/>
                            <a:gd name="T5" fmla="*/ 0 h 8670814"/>
                            <a:gd name="T6" fmla="*/ 5931673 w 5931673"/>
                            <a:gd name="T7" fmla="*/ 8152801 h 8670814"/>
                            <a:gd name="T8" fmla="*/ 5413660 w 5931673"/>
                            <a:gd name="T9" fmla="*/ 8670814 h 8670814"/>
                            <a:gd name="T10" fmla="*/ 0 w 5931673"/>
                            <a:gd name="T11" fmla="*/ 8670814 h 8670814"/>
                            <a:gd name="T12" fmla="*/ 0 w 5931673"/>
                            <a:gd name="T13" fmla="*/ 8670814 h 8670814"/>
                            <a:gd name="T14" fmla="*/ 0 w 5931673"/>
                            <a:gd name="T15" fmla="*/ 518013 h 8670814"/>
                            <a:gd name="T16" fmla="*/ 518013 w 5931673"/>
                            <a:gd name="T17" fmla="*/ 0 h 86708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931673"/>
                            <a:gd name="T28" fmla="*/ 0 h 8670814"/>
                            <a:gd name="T29" fmla="*/ 5931673 w 5931673"/>
                            <a:gd name="T30" fmla="*/ 8670814 h 867081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931673" h="8670814">
                              <a:moveTo>
                                <a:pt x="518013" y="0"/>
                              </a:moveTo>
                              <a:lnTo>
                                <a:pt x="5931673" y="0"/>
                              </a:lnTo>
                              <a:lnTo>
                                <a:pt x="5931673" y="8152801"/>
                              </a:lnTo>
                              <a:cubicBezTo>
                                <a:pt x="5931673" y="8438892"/>
                                <a:pt x="5699751" y="8670814"/>
                                <a:pt x="5413660" y="8670814"/>
                              </a:cubicBezTo>
                              <a:lnTo>
                                <a:pt x="0" y="8670814"/>
                              </a:lnTo>
                              <a:lnTo>
                                <a:pt x="0" y="518013"/>
                              </a:lnTo>
                              <a:cubicBezTo>
                                <a:pt x="0" y="231922"/>
                                <a:pt x="231922" y="0"/>
                                <a:pt x="518013"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B85F99" w:rsidRPr="00DD36A9" w:rsidRDefault="00B85F99" w:rsidP="006D6205">
                            <w:pPr>
                              <w:pStyle w:val="HHeading4"/>
                            </w:pPr>
                            <w:r>
                              <w:rPr>
                                <w:noProof/>
                                <w:lang w:bidi="ar-SA"/>
                              </w:rPr>
                              <w:drawing>
                                <wp:inline distT="0" distB="0" distL="0" distR="0" wp14:anchorId="50C1D85B" wp14:editId="379605AF">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KRATKA NAVODILA št. 4: Kako presoditi neto učinke PRP? (povezano s tretjo plastjo)</w:t>
                            </w:r>
                          </w:p>
                          <w:p w:rsidR="00B85F99" w:rsidRPr="00553149" w:rsidRDefault="00B85F99" w:rsidP="00AC0E3D">
                            <w:pPr>
                              <w:pStyle w:val="HStandard"/>
                              <w:spacing w:after="0"/>
                              <w:rPr>
                                <w:rFonts w:cs="Arial"/>
                                <w:szCs w:val="16"/>
                              </w:rPr>
                            </w:pPr>
                            <w:r>
                              <w:t xml:space="preserve">Neto učinke programa na </w:t>
                            </w:r>
                            <w:r>
                              <w:rPr>
                                <w:b/>
                              </w:rPr>
                              <w:t>makro ravni ali ravni programskega območja</w:t>
                            </w:r>
                            <w:r>
                              <w:t xml:space="preserve"> med uporabo hipotetičnega scenarija je mogoče presoditi z dvema glavnima pristopoma: </w:t>
                            </w:r>
                            <w:r>
                              <w:rPr>
                                <w:b/>
                              </w:rPr>
                              <w:t>Prvi pristop</w:t>
                            </w:r>
                            <w:r>
                              <w:t xml:space="preserve"> temelji </w:t>
                            </w:r>
                            <w:r>
                              <w:t>na analizi na mikro ravni in ekstrapolaciji njenih rezultatov na makro raven (prenos). Pri</w:t>
                            </w:r>
                            <w:r>
                              <w:rPr>
                                <w:b/>
                              </w:rPr>
                              <w:t xml:space="preserve"> drugem pristopu</w:t>
                            </w:r>
                            <w:r>
                              <w:t xml:space="preserve"> se uporabljajo analitični instrumenti, kot so </w:t>
                            </w:r>
                            <w:hyperlink r:id="rId45">
                              <w:r>
                                <w:rPr>
                                  <w:rStyle w:val="Hyperlink"/>
                                </w:rPr>
                                <w:t>izračunljivi model splošnega ravnovesja</w:t>
                              </w:r>
                            </w:hyperlink>
                            <w:r>
                              <w:t xml:space="preserve">, model delnega ravnovesja in prostorski ekonometrični modeli ali druge tehnike modeliranja – kjer so ustrezni parametri modela (npr. koeficienti produktivnosti ali emisij) ekonometrično ocenjeni na način, ki </w:t>
                            </w:r>
                            <w:r>
                              <w:rPr>
                                <w:b/>
                              </w:rPr>
                              <w:t>upošteva</w:t>
                            </w:r>
                            <w:r>
                              <w:t xml:space="preserve"> močne vzorčne povezave, morebitno pristranskost pri izbiri, endogenost in prostorske odvisnosti. Ta pristop vključuje tudi kombinacijo pristopa na makro ravni „od zgoraj navzdol“ (npr. modeli z nacionalno ali regionalno pokritostjo) za vrednotenje vplivov programa s pristopom na mikro ravni „od spodaj navzgor“, ki presoja neto učinke različnih ukrepov ali kombinacij ukrepov.</w:t>
                            </w:r>
                          </w:p>
                          <w:p w:rsidR="00B85F99" w:rsidRPr="00553149" w:rsidRDefault="00B85F99" w:rsidP="00AC0E3D">
                            <w:pPr>
                              <w:pStyle w:val="HStandard"/>
                              <w:spacing w:after="0"/>
                              <w:rPr>
                                <w:rFonts w:cs="Arial"/>
                                <w:szCs w:val="16"/>
                              </w:rPr>
                            </w:pPr>
                          </w:p>
                          <w:p w:rsidR="00B85F99" w:rsidRPr="00553149" w:rsidRDefault="00B85F99" w:rsidP="00AC0E3D">
                            <w:pPr>
                              <w:pStyle w:val="HStandard"/>
                              <w:spacing w:after="0"/>
                              <w:rPr>
                                <w:rFonts w:cs="Arial"/>
                                <w:szCs w:val="16"/>
                              </w:rPr>
                            </w:pPr>
                            <w:r>
                              <w:t xml:space="preserve">Poudariti je treba, da je ne glede na izbrani pristop analiza neto učinkov PRP možna le, če je na voljo dovolj kvantitativnih podatkov in se uporabijo napredne metodološke tehnike. Morebitna uporaba možnosti enostavnega kvantitativnega vrednotenja (npr. prej-potem, uporaba neprimernih kontrol itd.) lahko pomembno vpliva na pridobljene rezultate „neto učinkov“ v obe smeri (pozitivno ali negativno). </w:t>
                            </w:r>
                          </w:p>
                          <w:p w:rsidR="00B85F99" w:rsidRPr="00553149" w:rsidRDefault="00B85F99" w:rsidP="00AC0E3D">
                            <w:pPr>
                              <w:pStyle w:val="HStandard"/>
                              <w:spacing w:after="0"/>
                              <w:rPr>
                                <w:rFonts w:cs="Arial"/>
                                <w:szCs w:val="16"/>
                              </w:rPr>
                            </w:pPr>
                          </w:p>
                          <w:p w:rsidR="00B85F99" w:rsidRPr="00502017" w:rsidRDefault="00B85F99" w:rsidP="00AC0E3D">
                            <w:pPr>
                              <w:pStyle w:val="HStandard"/>
                              <w:spacing w:after="0"/>
                              <w:rPr>
                                <w:rFonts w:cs="Arial"/>
                                <w:szCs w:val="16"/>
                              </w:rPr>
                            </w:pPr>
                            <w:r>
                              <w:t xml:space="preserve">Ker je </w:t>
                            </w:r>
                            <w:r>
                              <w:rPr>
                                <w:b/>
                              </w:rPr>
                              <w:t>prvi pristop</w:t>
                            </w:r>
                            <w:r>
                              <w:t xml:space="preserve"> (ekstrapolacija mikro analize na makro raven programskega območja) najlažja in najobetavnejša, so najpomembnejši koraki opisani v nadaljevanju. Pristop je sestavljen iz petih glavnih korakov, ki se uporabljajo za kazalnike sektorskih vplivov, kazalnike vplivov na okolje in kazalnike socialno-ekonomskih vplivov. Osnovna razlika med analizo neto vplivov PRP, izvedeno na navedenih treh področjih, je opredelitev enot, na katerih temelji analiza: npr. kmetije (podjetja) ali upravne regije (npr. NUTS 4, NUTS 5 itd.) za sektorske kazalnike; deli zemljišča ali manjše geografske regije (regionalni prostorski podatki) za okoljske kazalnike in upravne regije (npr. NUTS 3, NUTS 4 ali NUTS 5) za socialno-ekonomske kazalnike. Koraki so naslednji:</w:t>
                            </w:r>
                          </w:p>
                          <w:p w:rsidR="00B85F99" w:rsidRPr="00502017" w:rsidRDefault="00B85F99" w:rsidP="00AC0E3D">
                            <w:pPr>
                              <w:pStyle w:val="HStandard"/>
                              <w:spacing w:after="0"/>
                              <w:rPr>
                                <w:rFonts w:cs="Arial"/>
                                <w:szCs w:val="16"/>
                              </w:rPr>
                            </w:pPr>
                          </w:p>
                          <w:p w:rsidR="00B85F99" w:rsidRPr="00735F08" w:rsidRDefault="00B85F99" w:rsidP="00AC0E3D">
                            <w:pPr>
                              <w:pStyle w:val="Hlistbullet"/>
                              <w:numPr>
                                <w:ilvl w:val="0"/>
                                <w:numId w:val="0"/>
                              </w:numPr>
                              <w:jc w:val="left"/>
                              <w:rPr>
                                <w:szCs w:val="16"/>
                              </w:rPr>
                            </w:pPr>
                            <w:r>
                              <w:rPr>
                                <w:b/>
                                <w:color w:val="F07E31" w:themeColor="accent1"/>
                              </w:rPr>
                              <w:t>Prvi korak:</w:t>
                            </w:r>
                            <w:r>
                              <w:t xml:space="preserve">Ocenite </w:t>
                            </w:r>
                            <w:r>
                              <w:rPr>
                                <w:b/>
                              </w:rPr>
                              <w:t xml:space="preserve">neposredne učinke </w:t>
                            </w:r>
                            <w:r>
                              <w:t>PRP</w:t>
                            </w:r>
                            <w:r>
                              <w:rPr>
                                <w:b/>
                              </w:rPr>
                              <w:t xml:space="preserve"> na upravičence na mikro ravni</w:t>
                            </w:r>
                            <w:r>
                              <w:t>:</w:t>
                            </w:r>
                          </w:p>
                          <w:p w:rsidR="00B85F99" w:rsidRPr="00553149" w:rsidRDefault="00B85F99" w:rsidP="00EC01C3">
                            <w:pPr>
                              <w:pStyle w:val="HStandard"/>
                              <w:numPr>
                                <w:ilvl w:val="1"/>
                                <w:numId w:val="13"/>
                              </w:numPr>
                              <w:spacing w:after="0"/>
                              <w:ind w:left="924" w:hanging="357"/>
                              <w:rPr>
                                <w:rFonts w:cs="Arial"/>
                                <w:szCs w:val="16"/>
                              </w:rPr>
                            </w:pPr>
                            <w:r>
                              <w:t>Na mikro ravni za skupino upravičencev in kontrolno skupino izračunajte povprečno vrednost skupnih ali dodatnih kazalnikov vpliva pred podporo (npr. leta 2013) in po podpori (npr. leta 2018 ali 2019).</w:t>
                            </w:r>
                          </w:p>
                          <w:p w:rsidR="00B85F99" w:rsidRPr="00553149" w:rsidRDefault="00B85F99" w:rsidP="00EC01C3">
                            <w:pPr>
                              <w:pStyle w:val="HStandard"/>
                              <w:numPr>
                                <w:ilvl w:val="1"/>
                                <w:numId w:val="13"/>
                              </w:numPr>
                              <w:spacing w:after="0"/>
                              <w:ind w:left="924" w:hanging="357"/>
                              <w:rPr>
                                <w:rFonts w:cs="Arial"/>
                                <w:szCs w:val="16"/>
                              </w:rPr>
                            </w:pPr>
                            <w:r>
                              <w:t xml:space="preserve">Izračunajte posebne kazalnike politike (npr. povprečni učinki obravnave na obravnavane (ATT)), pri čemer kot rezultat uporabite ustrezne skupne ali dodatne kazalnike vpliva. Izračunajte </w:t>
                            </w:r>
                            <w:r>
                              <w:rPr>
                                <w:b/>
                              </w:rPr>
                              <w:t xml:space="preserve">neto neposredne učinke </w:t>
                            </w:r>
                            <w:r>
                              <w:t xml:space="preserve">PRP </w:t>
                            </w:r>
                            <w:r>
                              <w:rPr>
                                <w:b/>
                              </w:rPr>
                              <w:t>na zgoraj navedene kazalnike</w:t>
                            </w:r>
                            <w:r>
                              <w:t>, tako da izračunane ATT združite z metodo razlika v razlikah.</w:t>
                            </w:r>
                          </w:p>
                          <w:p w:rsidR="00B85F99" w:rsidRPr="00553149" w:rsidRDefault="00B85F99" w:rsidP="00EC01C3">
                            <w:pPr>
                              <w:pStyle w:val="HStandard"/>
                              <w:numPr>
                                <w:ilvl w:val="1"/>
                                <w:numId w:val="13"/>
                              </w:numPr>
                              <w:spacing w:after="0"/>
                              <w:ind w:left="924" w:hanging="357"/>
                              <w:rPr>
                                <w:rFonts w:cs="Arial"/>
                                <w:szCs w:val="16"/>
                              </w:rPr>
                            </w:pPr>
                            <w:r>
                              <w:t>Izvedite analizo občutljivosti pridobljenih rezultatov.</w:t>
                            </w:r>
                          </w:p>
                          <w:p w:rsidR="00B85F99" w:rsidRDefault="00B85F99" w:rsidP="00AC0E3D">
                            <w:pPr>
                              <w:pStyle w:val="Hlistbullet"/>
                              <w:numPr>
                                <w:ilvl w:val="0"/>
                                <w:numId w:val="0"/>
                              </w:numPr>
                              <w:spacing w:before="0" w:after="120" w:line="280" w:lineRule="atLeast"/>
                              <w:rPr>
                                <w:rFonts w:cs="Arial"/>
                                <w:szCs w:val="16"/>
                              </w:rPr>
                            </w:pPr>
                            <w:r>
                              <w:rPr>
                                <w:b/>
                                <w:color w:val="F07E31" w:themeColor="accent1"/>
                              </w:rPr>
                              <w:t>Drugi korak:</w:t>
                            </w:r>
                            <w:r>
                              <w:t xml:space="preserve">Ocenite </w:t>
                            </w:r>
                            <w:r>
                              <w:rPr>
                                <w:b/>
                              </w:rPr>
                              <w:t xml:space="preserve">posredne učinke </w:t>
                            </w:r>
                            <w:r>
                              <w:t xml:space="preserve">PRP </w:t>
                            </w:r>
                            <w:r>
                              <w:rPr>
                                <w:b/>
                              </w:rPr>
                              <w:t>na upravičence na mikro ravni.</w:t>
                            </w:r>
                            <w:r>
                              <w:t xml:space="preserve"> Tudi tukaj je treba opaženo spremembo v vrednosti kazalnikov razdeliti na spremembe zaradi programa (skupni učinek primarnih in sekundarnih prispevkov) in spremembe, ki so jih povzročili drugi dejavniki.</w:t>
                            </w:r>
                            <w:r>
                              <w:rPr>
                                <w:color w:val="auto"/>
                              </w:rPr>
                              <w:t xml:space="preserve"> </w:t>
                            </w:r>
                            <w:r>
                              <w:t xml:space="preserve">Posredne učinke programa (npr. zamenjava, selitev, množitelj) PRP je treba izračunati in prikazati ločeno. </w:t>
                            </w:r>
                          </w:p>
                          <w:p w:rsidR="00B85F99" w:rsidRPr="00027601" w:rsidRDefault="00B85F99" w:rsidP="00027601">
                            <w:pPr>
                              <w:pStyle w:val="Hlistbullet"/>
                              <w:numPr>
                                <w:ilvl w:val="0"/>
                                <w:numId w:val="0"/>
                              </w:numPr>
                              <w:spacing w:before="0" w:after="120" w:line="280" w:lineRule="atLeast"/>
                              <w:rPr>
                                <w:i/>
                                <w:color w:val="F07E31" w:themeColor="accent1"/>
                                <w:sz w:val="16"/>
                                <w:szCs w:val="16"/>
                              </w:rPr>
                            </w:pPr>
                          </w:p>
                        </w:txbxContent>
                      </wps:txbx>
                      <wps:bodyPr rot="0" vert="horz" wrap="square" lIns="91440" tIns="45720" rIns="91440" bIns="45720" anchor="ctr" anchorCtr="0" upright="1">
                        <a:noAutofit/>
                      </wps:bodyPr>
                    </wps:wsp>
                  </a:graphicData>
                </a:graphic>
              </wp:inline>
            </w:drawing>
          </mc:Choice>
          <mc:Fallback>
            <w:pict>
              <v:shape w14:anchorId="1D134C61" id="AutoShape 64" o:spid="_x0000_s1038" style="width:467.05pt;height:684.75pt;visibility:visible;mso-wrap-style:square;mso-left-percent:-10001;mso-top-percent:-10001;mso-position-horizontal:absolute;mso-position-horizontal-relative:char;mso-position-vertical:absolute;mso-position-vertical-relative:line;mso-left-percent:-10001;mso-top-percent:-10001;v-text-anchor:middle" coordsize="5931673,8670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eZkgQAACoOAAAOAAAAZHJzL2Uyb0RvYy54bWysV21v2zYQ/j5g/4HQxwGJRb3ZMuIUaZwM&#10;A7q1QN0fQEuyJUwSNVKOnRb777sjKYesJ7kY5g+yKD56eHfP6Xi8e3dqavJSCFnxduXRW98jRZvx&#10;vGr3K+/L5vlm4RHZszZnNW+LlfdaSO/d/c8/3R27ZRHwktd5IQiQtHJ57FZe2ffdcjaTWVk0TN7y&#10;rmhhcsdFw3oYiv0sF+wI7E09C3w/mR25yDvBs0JKeLrWk9694t/tiqz/uNvJoif1ygPbenUV6rrF&#10;6+z+ji33gnVllRkz2H+womFVC4ueqdasZ+QgqguqpsoEl3zX32a8mfHdrsoK5QN4Q/3vvPlcsq5Q&#10;vkBwZHcOk/z/aLM/Xj4JUuUrL/WpR1rWgEgPh56rtUkSYYSOnVwC8HP3SaCPsvvAsz8lTMycGRxI&#10;wJDt8XeeAw8DHhWV0040+Cb4S04q+K/n4BennmTwME5DGoexRzKYWyRpEgYxLj5jy+H17CD7Xwuu&#10;qNjLB9lr9XK4U7HPjf0bUHrX1CDkLzMS04VPQ3IkuEAyD43kZyx4fcb6pCSLZO4vqPIb5DzDAgtm&#10;mMY5Qws8wRlZsKucEJkfsTOxYFc55xZ4QeMAIjUeAfiSzwbEEQ2TxB+PQGqBTUTHmamt1wQptbW6&#10;zmpLNsVqq3Wd1RZtitXWy+TgaHJRR7VrCWurNpFd1BbMJ4kPP5LEcZhcfAK2WpPIwFVqgjOwtZrm&#10;dHWa4rSVmuZ0VZritHWa5rRFmka6Co2WnsBVaDQ9Alufqx91aGv0r/kMJXU/FE1WDnU0O7WmkMId&#10;YbiBbyCHsLJ2XGLdxroKxXlDTV0GHM5a8NSBg7AIVyUX1ryAQzbZ7KAZwoeqfwmnDhzkQPh8zJgg&#10;cOAQa4Sno/DQgWNNQjzUHL0JXZoTuS8Yb+m4u7H7gvGXjjucuC8Yj6njsg6sUU5Aw4OtziaAFIRm&#10;Z4MpBu3OBlMIGp4NJIfaNDvWo/Aq/HBLjnoDxv2RlLj/6k0Q5xv+Umy4QvaYBbqYqegoMjDgDVK3&#10;DtRsuRjJATsghv9Ok1pIsxOZuA+47LCtsvfF1zH+RRQuFmlg3NOkSZrOYyhEsPzgkfZeT+tN7Ptp&#10;DKiz1mCBtlTnhUUH+AEx/NtIEy6dRAPAXcCGByFNIXMtM82TcwzhcxzTwaXNai4LvS7KrVqps+7K&#10;y7d2quXPVV2rVesWsyGII19/npLXVY6zmAJS7LePtSAvDLLs/VP0AB2bXsKBNVUPbX1dNRB43HdM&#10;1pUFy5/aXC3Ts6rW9yqASA6toMlJbApV+/wt9dOnxdMiuomC5Okm8tfrm4fnx+gmeabzeB2uHx/X&#10;9G/8TGi0LKs8L1o0dWjlafRjrbI5VOgm/NzMOy45nj+r36XnM9cMFXLwZfhX3qmmGftk3Vj3p+1J&#10;NeBUqY5N9Jbnr9BGC66PK3C8gpuSi68eOcJRZeXJvw5MFB6pf2vhLJDSKIKs7NUgiue4SQt7ZmvP&#10;sDYDqpWX9cKDKo+Dxx7G8NKhE9W+hLV0oW05HgR2FbbZymhtlxnAgUS5ZQ5PeOKxxwr1dsS7/wcA&#10;AP//AwBQSwMEFAAGAAgAAAAhANjgA9fcAAAABgEAAA8AAABkcnMvZG93bnJldi54bWxMj0FLw0AQ&#10;he+C/2EZwZvdxGowaTalCEHwlmjpdZudJmmzsyG7beO/d/SilwfDe7z3Tb6e7SAuOPnekYJ4EYFA&#10;apzpqVXw+VE+vIDwQZPRgyNU8IUe1sXtTa4z465U4aUOreAS8plW0IUwZlL6pkOr/cKNSOwd3GR1&#10;4HNqpZn0lcvtIB+jKJFW98QLnR7xtcPmVJ+tAkfJ0VSljMv33alK3+rt7rjZKnV/N29WIALO4S8M&#10;P/iMDgUz7d2ZjBeDAn4k/Cp76fIpBrHn0DJJn0EWufyPX3wDAAD//wMAUEsBAi0AFAAGAAgAAAAh&#10;ALaDOJL+AAAA4QEAABMAAAAAAAAAAAAAAAAAAAAAAFtDb250ZW50X1R5cGVzXS54bWxQSwECLQAU&#10;AAYACAAAACEAOP0h/9YAAACUAQAACwAAAAAAAAAAAAAAAAAvAQAAX3JlbHMvLnJlbHNQSwECLQAU&#10;AAYACAAAACEAqZTXmZIEAAAqDgAADgAAAAAAAAAAAAAAAAAuAgAAZHJzL2Uyb0RvYy54bWxQSwEC&#10;LQAUAAYACAAAACEA2OAD19wAAAAGAQAADwAAAAAAAAAAAAAAAADsBgAAZHJzL2Rvd25yZXYueG1s&#10;UEsFBgAAAAAEAAQA8wAAAPUHAAAAAA==&#10;" adj="-11796480,,5400" path="m518013,l5931673,r,8152801c5931673,8438892,5699751,8670814,5413660,8670814l,8670814,,518013c,231922,231922,,518013,xe" filled="f" strokecolor="#be4a35" strokeweight="2pt">
                <v:stroke joinstyle="miter"/>
                <v:formulas/>
                <v:path arrowok="t" o:connecttype="custom" o:connectlocs="518001,0;5931535,0;5931535,0;5931535,8176788;5413534,8696325;0,8696325;0,8696325;0,519537;518001,0" o:connectangles="0,0,0,0,0,0,0,0,0" textboxrect="0,0,5931673,8670814"/>
                <v:textbox>
                  <w:txbxContent>
                    <w:p w:rsidR="00B85F99" w:rsidRPr="00DD36A9" w:rsidRDefault="00B85F99" w:rsidP="006D6205">
                      <w:pPr>
                        <w:pStyle w:val="HHeading4"/>
                      </w:pPr>
                      <w:r>
                        <w:rPr>
                          <w:noProof/>
                          <w:lang w:bidi="ar-SA"/>
                        </w:rPr>
                        <w:drawing>
                          <wp:inline distT="0" distB="0" distL="0" distR="0" wp14:anchorId="50C1D85B" wp14:editId="379605AF">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KRATKA NAVODILA št. 4: Kako presoditi neto učinke PRP? (povezano s tretjo plastjo)</w:t>
                      </w:r>
                    </w:p>
                    <w:p w:rsidR="00B85F99" w:rsidRPr="00553149" w:rsidRDefault="00B85F99" w:rsidP="00AC0E3D">
                      <w:pPr>
                        <w:pStyle w:val="HStandard"/>
                        <w:spacing w:after="0"/>
                        <w:rPr>
                          <w:rFonts w:cs="Arial"/>
                          <w:szCs w:val="16"/>
                        </w:rPr>
                      </w:pPr>
                      <w:r>
                        <w:t xml:space="preserve">Neto učinke programa na </w:t>
                      </w:r>
                      <w:r>
                        <w:rPr>
                          <w:b/>
                        </w:rPr>
                        <w:t>makro ravni ali ravni programskega območja</w:t>
                      </w:r>
                      <w:r>
                        <w:t xml:space="preserve"> med uporabo hipotetičnega scenarija je mogoče presoditi z dvema glavnima pristopoma: </w:t>
                      </w:r>
                      <w:r>
                        <w:rPr>
                          <w:b/>
                        </w:rPr>
                        <w:t>Prvi pristop</w:t>
                      </w:r>
                      <w:r>
                        <w:t xml:space="preserve"> temelji </w:t>
                      </w:r>
                      <w:r>
                        <w:t>na analizi na mikro ravni in ekstrapolaciji njenih rezultatov na makro raven (prenos). Pri</w:t>
                      </w:r>
                      <w:r>
                        <w:rPr>
                          <w:b/>
                        </w:rPr>
                        <w:t xml:space="preserve"> drugem pristopu</w:t>
                      </w:r>
                      <w:r>
                        <w:t xml:space="preserve"> se uporabljajo analitični instrumenti, kot so </w:t>
                      </w:r>
                      <w:hyperlink r:id="rId46">
                        <w:r>
                          <w:rPr>
                            <w:rStyle w:val="Hyperlink"/>
                          </w:rPr>
                          <w:t>izračunljivi model splošnega ravnovesja</w:t>
                        </w:r>
                      </w:hyperlink>
                      <w:r>
                        <w:t xml:space="preserve">, model delnega ravnovesja in prostorski ekonometrični modeli ali druge tehnike modeliranja – kjer so ustrezni parametri modela (npr. koeficienti produktivnosti ali emisij) ekonometrično ocenjeni na način, ki </w:t>
                      </w:r>
                      <w:r>
                        <w:rPr>
                          <w:b/>
                        </w:rPr>
                        <w:t>upošteva</w:t>
                      </w:r>
                      <w:r>
                        <w:t xml:space="preserve"> močne vzorčne povezave, morebitno pristranskost pri izbiri, endogenost in prostorske odvisnosti. Ta pristop vključuje tudi kombinacijo pristopa na makro ravni „od zgoraj navzdol“ (npr. modeli z nacionalno ali regionalno pokritostjo) za vrednotenje vplivov programa s pristopom na mikro ravni „od spodaj navzgor“, ki presoja neto učinke različnih ukrepov ali kombinacij ukrepov.</w:t>
                      </w:r>
                    </w:p>
                    <w:p w:rsidR="00B85F99" w:rsidRPr="00553149" w:rsidRDefault="00B85F99" w:rsidP="00AC0E3D">
                      <w:pPr>
                        <w:pStyle w:val="HStandard"/>
                        <w:spacing w:after="0"/>
                        <w:rPr>
                          <w:rFonts w:cs="Arial"/>
                          <w:szCs w:val="16"/>
                        </w:rPr>
                      </w:pPr>
                    </w:p>
                    <w:p w:rsidR="00B85F99" w:rsidRPr="00553149" w:rsidRDefault="00B85F99" w:rsidP="00AC0E3D">
                      <w:pPr>
                        <w:pStyle w:val="HStandard"/>
                        <w:spacing w:after="0"/>
                        <w:rPr>
                          <w:rFonts w:cs="Arial"/>
                          <w:szCs w:val="16"/>
                        </w:rPr>
                      </w:pPr>
                      <w:r>
                        <w:t xml:space="preserve">Poudariti je treba, da je ne glede na izbrani pristop analiza neto učinkov PRP možna le, če je na voljo dovolj kvantitativnih podatkov in se uporabijo napredne metodološke tehnike. Morebitna uporaba možnosti enostavnega kvantitativnega vrednotenja (npr. prej-potem, uporaba neprimernih kontrol itd.) lahko pomembno vpliva na pridobljene rezultate „neto učinkov“ v obe smeri (pozitivno ali negativno). </w:t>
                      </w:r>
                    </w:p>
                    <w:p w:rsidR="00B85F99" w:rsidRPr="00553149" w:rsidRDefault="00B85F99" w:rsidP="00AC0E3D">
                      <w:pPr>
                        <w:pStyle w:val="HStandard"/>
                        <w:spacing w:after="0"/>
                        <w:rPr>
                          <w:rFonts w:cs="Arial"/>
                          <w:szCs w:val="16"/>
                        </w:rPr>
                      </w:pPr>
                    </w:p>
                    <w:p w:rsidR="00B85F99" w:rsidRPr="00502017" w:rsidRDefault="00B85F99" w:rsidP="00AC0E3D">
                      <w:pPr>
                        <w:pStyle w:val="HStandard"/>
                        <w:spacing w:after="0"/>
                        <w:rPr>
                          <w:rFonts w:cs="Arial"/>
                          <w:szCs w:val="16"/>
                        </w:rPr>
                      </w:pPr>
                      <w:r>
                        <w:t xml:space="preserve">Ker je </w:t>
                      </w:r>
                      <w:r>
                        <w:rPr>
                          <w:b/>
                        </w:rPr>
                        <w:t>prvi pristop</w:t>
                      </w:r>
                      <w:r>
                        <w:t xml:space="preserve"> (ekstrapolacija mikro analize na makro raven programskega območja) najlažja in najobetavnejša, so najpomembnejši koraki opisani v nadaljevanju. Pristop je sestavljen iz petih glavnih korakov, ki se uporabljajo za kazalnike sektorskih vplivov, kazalnike vplivov na okolje in kazalnike socialno-ekonomskih vplivov. Osnovna razlika med analizo neto vplivov PRP, izvedeno na navedenih treh področjih, je opredelitev enot, na katerih temelji analiza: npr. kmetije (podjetja) ali upravne regije (npr. NUTS 4, NUTS 5 itd.) za sektorske kazalnike; deli zemljišča ali manjše geografske regije (regionalni prostorski podatki) za okoljske kazalnike in upravne regije (npr. NUTS 3, NUTS 4 ali NUTS 5) za socialno-ekonomske kazalnike. Koraki so naslednji:</w:t>
                      </w:r>
                    </w:p>
                    <w:p w:rsidR="00B85F99" w:rsidRPr="00502017" w:rsidRDefault="00B85F99" w:rsidP="00AC0E3D">
                      <w:pPr>
                        <w:pStyle w:val="HStandard"/>
                        <w:spacing w:after="0"/>
                        <w:rPr>
                          <w:rFonts w:cs="Arial"/>
                          <w:szCs w:val="16"/>
                        </w:rPr>
                      </w:pPr>
                    </w:p>
                    <w:p w:rsidR="00B85F99" w:rsidRPr="00735F08" w:rsidRDefault="00B85F99" w:rsidP="00AC0E3D">
                      <w:pPr>
                        <w:pStyle w:val="Hlistbullet"/>
                        <w:numPr>
                          <w:ilvl w:val="0"/>
                          <w:numId w:val="0"/>
                        </w:numPr>
                        <w:jc w:val="left"/>
                        <w:rPr>
                          <w:szCs w:val="16"/>
                        </w:rPr>
                      </w:pPr>
                      <w:r>
                        <w:rPr>
                          <w:b/>
                          <w:color w:val="F07E31" w:themeColor="accent1"/>
                        </w:rPr>
                        <w:t>Prvi korak:</w:t>
                      </w:r>
                      <w:r>
                        <w:t xml:space="preserve">Ocenite </w:t>
                      </w:r>
                      <w:r>
                        <w:rPr>
                          <w:b/>
                        </w:rPr>
                        <w:t xml:space="preserve">neposredne učinke </w:t>
                      </w:r>
                      <w:r>
                        <w:t>PRP</w:t>
                      </w:r>
                      <w:r>
                        <w:rPr>
                          <w:b/>
                        </w:rPr>
                        <w:t xml:space="preserve"> na upravičence na mikro ravni</w:t>
                      </w:r>
                      <w:r>
                        <w:t>:</w:t>
                      </w:r>
                    </w:p>
                    <w:p w:rsidR="00B85F99" w:rsidRPr="00553149" w:rsidRDefault="00B85F99" w:rsidP="00EC01C3">
                      <w:pPr>
                        <w:pStyle w:val="HStandard"/>
                        <w:numPr>
                          <w:ilvl w:val="1"/>
                          <w:numId w:val="13"/>
                        </w:numPr>
                        <w:spacing w:after="0"/>
                        <w:ind w:left="924" w:hanging="357"/>
                        <w:rPr>
                          <w:rFonts w:cs="Arial"/>
                          <w:szCs w:val="16"/>
                        </w:rPr>
                      </w:pPr>
                      <w:r>
                        <w:t>Na mikro ravni za skupino upravičencev in kontrolno skupino izračunajte povprečno vrednost skupnih ali dodatnih kazalnikov vpliva pred podporo (npr. leta 2013) in po podpori (npr. leta 2018 ali 2019).</w:t>
                      </w:r>
                    </w:p>
                    <w:p w:rsidR="00B85F99" w:rsidRPr="00553149" w:rsidRDefault="00B85F99" w:rsidP="00EC01C3">
                      <w:pPr>
                        <w:pStyle w:val="HStandard"/>
                        <w:numPr>
                          <w:ilvl w:val="1"/>
                          <w:numId w:val="13"/>
                        </w:numPr>
                        <w:spacing w:after="0"/>
                        <w:ind w:left="924" w:hanging="357"/>
                        <w:rPr>
                          <w:rFonts w:cs="Arial"/>
                          <w:szCs w:val="16"/>
                        </w:rPr>
                      </w:pPr>
                      <w:r>
                        <w:t xml:space="preserve">Izračunajte posebne kazalnike politike (npr. povprečni učinki obravnave na obravnavane (ATT)), pri čemer kot rezultat uporabite ustrezne skupne ali dodatne kazalnike vpliva. Izračunajte </w:t>
                      </w:r>
                      <w:r>
                        <w:rPr>
                          <w:b/>
                        </w:rPr>
                        <w:t xml:space="preserve">neto neposredne učinke </w:t>
                      </w:r>
                      <w:r>
                        <w:t xml:space="preserve">PRP </w:t>
                      </w:r>
                      <w:r>
                        <w:rPr>
                          <w:b/>
                        </w:rPr>
                        <w:t>na zgoraj navedene kazalnike</w:t>
                      </w:r>
                      <w:r>
                        <w:t>, tako da izračunane ATT združite z metodo razlika v razlikah.</w:t>
                      </w:r>
                    </w:p>
                    <w:p w:rsidR="00B85F99" w:rsidRPr="00553149" w:rsidRDefault="00B85F99" w:rsidP="00EC01C3">
                      <w:pPr>
                        <w:pStyle w:val="HStandard"/>
                        <w:numPr>
                          <w:ilvl w:val="1"/>
                          <w:numId w:val="13"/>
                        </w:numPr>
                        <w:spacing w:after="0"/>
                        <w:ind w:left="924" w:hanging="357"/>
                        <w:rPr>
                          <w:rFonts w:cs="Arial"/>
                          <w:szCs w:val="16"/>
                        </w:rPr>
                      </w:pPr>
                      <w:r>
                        <w:t>Izvedite analizo občutljivosti pridobljenih rezultatov.</w:t>
                      </w:r>
                    </w:p>
                    <w:p w:rsidR="00B85F99" w:rsidRDefault="00B85F99" w:rsidP="00AC0E3D">
                      <w:pPr>
                        <w:pStyle w:val="Hlistbullet"/>
                        <w:numPr>
                          <w:ilvl w:val="0"/>
                          <w:numId w:val="0"/>
                        </w:numPr>
                        <w:spacing w:before="0" w:after="120" w:line="280" w:lineRule="atLeast"/>
                        <w:rPr>
                          <w:rFonts w:cs="Arial"/>
                          <w:szCs w:val="16"/>
                        </w:rPr>
                      </w:pPr>
                      <w:r>
                        <w:rPr>
                          <w:b/>
                          <w:color w:val="F07E31" w:themeColor="accent1"/>
                        </w:rPr>
                        <w:t>Drugi korak:</w:t>
                      </w:r>
                      <w:r>
                        <w:t xml:space="preserve">Ocenite </w:t>
                      </w:r>
                      <w:r>
                        <w:rPr>
                          <w:b/>
                        </w:rPr>
                        <w:t xml:space="preserve">posredne učinke </w:t>
                      </w:r>
                      <w:r>
                        <w:t xml:space="preserve">PRP </w:t>
                      </w:r>
                      <w:r>
                        <w:rPr>
                          <w:b/>
                        </w:rPr>
                        <w:t>na upravičence na mikro ravni.</w:t>
                      </w:r>
                      <w:r>
                        <w:t xml:space="preserve"> Tudi tukaj je treba opaženo spremembo v vrednosti kazalnikov razdeliti na spremembe zaradi programa (skupni učinek primarnih in sekundarnih prispevkov) in spremembe, ki so jih povzročili drugi dejavniki.</w:t>
                      </w:r>
                      <w:r>
                        <w:rPr>
                          <w:color w:val="auto"/>
                        </w:rPr>
                        <w:t xml:space="preserve"> </w:t>
                      </w:r>
                      <w:r>
                        <w:t xml:space="preserve">Posredne učinke programa (npr. zamenjava, selitev, množitelj) PRP je treba izračunati in prikazati ločeno. </w:t>
                      </w:r>
                    </w:p>
                    <w:p w:rsidR="00B85F99" w:rsidRPr="00027601" w:rsidRDefault="00B85F99" w:rsidP="00027601">
                      <w:pPr>
                        <w:pStyle w:val="Hlistbullet"/>
                        <w:numPr>
                          <w:ilvl w:val="0"/>
                          <w:numId w:val="0"/>
                        </w:numPr>
                        <w:spacing w:before="0" w:after="120" w:line="280" w:lineRule="atLeast"/>
                        <w:rPr>
                          <w:i/>
                          <w:color w:val="F07E31" w:themeColor="accent1"/>
                          <w:sz w:val="16"/>
                          <w:szCs w:val="16"/>
                        </w:rPr>
                      </w:pPr>
                    </w:p>
                  </w:txbxContent>
                </v:textbox>
                <w10:anchorlock/>
              </v:shape>
            </w:pict>
          </mc:Fallback>
        </mc:AlternateContent>
      </w:r>
    </w:p>
    <w:p w:rsidR="00AC0E3D" w:rsidRPr="00571D58" w:rsidRDefault="00AC0E3D" w:rsidP="000B6372">
      <w:pPr>
        <w:pStyle w:val="HStandard"/>
      </w:pPr>
    </w:p>
    <w:p w:rsidR="00FC012D" w:rsidRPr="00336531" w:rsidRDefault="000B213F" w:rsidP="00FC012D">
      <w:pPr>
        <w:pStyle w:val="HHeading4"/>
      </w:pPr>
      <w:r>
        <w:rPr>
          <w:b w:val="0"/>
          <w:i/>
          <w:noProof/>
          <w:color w:val="F07E31" w:themeColor="accent1"/>
          <w:lang w:bidi="ar-SA"/>
        </w:rPr>
        <mc:AlternateContent>
          <mc:Choice Requires="wps">
            <w:drawing>
              <wp:inline distT="0" distB="0" distL="0" distR="0" wp14:anchorId="470F4C74" wp14:editId="52AF0EB5">
                <wp:extent cx="5731510" cy="4886325"/>
                <wp:effectExtent l="0" t="0" r="21590" b="28575"/>
                <wp:docPr id="90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4886325"/>
                        </a:xfrm>
                        <a:custGeom>
                          <a:avLst/>
                          <a:gdLst>
                            <a:gd name="T0" fmla="*/ 335330 w 5731510"/>
                            <a:gd name="T1" fmla="*/ 0 h 4712335"/>
                            <a:gd name="T2" fmla="*/ 5731510 w 5731510"/>
                            <a:gd name="T3" fmla="*/ 0 h 4712335"/>
                            <a:gd name="T4" fmla="*/ 5731510 w 5731510"/>
                            <a:gd name="T5" fmla="*/ 0 h 4712335"/>
                            <a:gd name="T6" fmla="*/ 5731510 w 5731510"/>
                            <a:gd name="T7" fmla="*/ 4377005 h 4712335"/>
                            <a:gd name="T8" fmla="*/ 5396180 w 5731510"/>
                            <a:gd name="T9" fmla="*/ 4712335 h 4712335"/>
                            <a:gd name="T10" fmla="*/ 0 w 5731510"/>
                            <a:gd name="T11" fmla="*/ 4712335 h 4712335"/>
                            <a:gd name="T12" fmla="*/ 0 w 5731510"/>
                            <a:gd name="T13" fmla="*/ 4712335 h 4712335"/>
                            <a:gd name="T14" fmla="*/ 0 w 5731510"/>
                            <a:gd name="T15" fmla="*/ 335330 h 4712335"/>
                            <a:gd name="T16" fmla="*/ 335330 w 5731510"/>
                            <a:gd name="T17" fmla="*/ 0 h 47123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4712335"/>
                            <a:gd name="T29" fmla="*/ 5731510 w 5731510"/>
                            <a:gd name="T30" fmla="*/ 4712335 h 471233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4712335">
                              <a:moveTo>
                                <a:pt x="335330" y="0"/>
                              </a:moveTo>
                              <a:lnTo>
                                <a:pt x="5731510" y="0"/>
                              </a:lnTo>
                              <a:lnTo>
                                <a:pt x="5731510" y="4377005"/>
                              </a:lnTo>
                              <a:cubicBezTo>
                                <a:pt x="5731510" y="4562203"/>
                                <a:pt x="5581378" y="4712335"/>
                                <a:pt x="5396180" y="4712335"/>
                              </a:cubicBezTo>
                              <a:lnTo>
                                <a:pt x="0" y="4712335"/>
                              </a:lnTo>
                              <a:lnTo>
                                <a:pt x="0" y="335330"/>
                              </a:lnTo>
                              <a:cubicBezTo>
                                <a:pt x="0" y="150132"/>
                                <a:pt x="150132" y="0"/>
                                <a:pt x="335330"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B85F99" w:rsidRPr="005945BB" w:rsidRDefault="00B85F99" w:rsidP="00AC0E3D">
                            <w:pPr>
                              <w:pStyle w:val="Hlistbullet"/>
                              <w:numPr>
                                <w:ilvl w:val="0"/>
                                <w:numId w:val="0"/>
                              </w:numPr>
                              <w:spacing w:before="0" w:after="120" w:line="280" w:lineRule="atLeast"/>
                              <w:rPr>
                                <w:rFonts w:cs="Arial"/>
                                <w:szCs w:val="16"/>
                              </w:rPr>
                            </w:pPr>
                            <w:r>
                              <w:rPr>
                                <w:b/>
                                <w:color w:val="F07E31" w:themeColor="accent1"/>
                              </w:rPr>
                              <w:t xml:space="preserve">Tretji korak: </w:t>
                            </w:r>
                            <w:r>
                              <w:t xml:space="preserve">Izračunajte </w:t>
                            </w:r>
                            <w:r>
                              <w:rPr>
                                <w:b/>
                              </w:rPr>
                              <w:t>posredne učinke na neupravičence na mikro ravni.</w:t>
                            </w:r>
                            <w:r>
                              <w:t xml:space="preserve"> Tudi tukaj je treba opaženo spremembo v vrednosti kazalnikov razdeliti na dve komponenti: spremembe zaradi programa (skupni učinek primarnih in sekundarnih prispevkov) in spremembe, ki so jih povzročili drugi dejavniki.</w:t>
                            </w:r>
                            <w:r w:rsidR="00937D25">
                              <w:t xml:space="preserve"> </w:t>
                            </w:r>
                            <w:r>
                              <w:t xml:space="preserve">Ta faza se nanaša na pričakovanje, da ima lahko podpora, ki jo prejmejo upravičenci do ukrepov v okviru PRP, „pričakovane/nepričakovane“ učinke splošnega ravnovesja (npr. negativne učinke na neupravičence, ki se nahajajo v bližnji soseščini upravičencev programa). </w:t>
                            </w:r>
                          </w:p>
                          <w:p w:rsidR="00B85F99" w:rsidRPr="005945BB" w:rsidRDefault="00B85F99" w:rsidP="00AC0E3D">
                            <w:pPr>
                              <w:pStyle w:val="HStandard"/>
                              <w:rPr>
                                <w:rFonts w:cs="Arial"/>
                                <w:szCs w:val="16"/>
                              </w:rPr>
                            </w:pPr>
                            <w:r>
                              <w:t>V tej fazi vrednotenja je bistvena predhodna kvalitativna ocena, saj lahko zagotovi dragocena stališča vključenih in vodi do oblikovanja pomembnih vprašanj za vrednotenje posameznega programa, osredotočenih na uspešnost programa, zlasti glede njegovih pozitivnih, negativnih, predvidenih in nepredvidenih učinkov. Uporaba vprašanj za vrednotenje posameznega programa je prostovoljna, a če je bilo tako vprašanje oblikovano, je nanj treba odgovoriti. Izvajalci vrednotenja lahko za predhodno analizo sinergij ali morebitnih negativnih prečnih učinkov uporabijo tudi kvalitativna orodja za presojo.</w:t>
                            </w:r>
                          </w:p>
                          <w:p w:rsidR="00B85F99" w:rsidRPr="005945BB" w:rsidRDefault="00B85F99" w:rsidP="00AC0E3D">
                            <w:pPr>
                              <w:pStyle w:val="Hlistbullet"/>
                              <w:numPr>
                                <w:ilvl w:val="0"/>
                                <w:numId w:val="0"/>
                              </w:numPr>
                              <w:spacing w:before="0" w:after="120" w:line="280" w:lineRule="atLeast"/>
                              <w:rPr>
                                <w:rFonts w:cs="Arial"/>
                                <w:szCs w:val="16"/>
                              </w:rPr>
                            </w:pPr>
                            <w:r>
                              <w:rPr>
                                <w:b/>
                                <w:color w:val="F07E31" w:themeColor="accent1"/>
                              </w:rPr>
                              <w:t xml:space="preserve">Četrti korak: </w:t>
                            </w:r>
                            <w:r>
                              <w:rPr>
                                <w:b/>
                              </w:rPr>
                              <w:t>Združite ugotovitve in izračunajte učinke PRP na analizirane kazalnike vpliva na makro ravni in ravni programskega območja.</w:t>
                            </w:r>
                            <w:r w:rsidR="00FB030D">
                              <w:rPr>
                                <w:b/>
                              </w:rPr>
                              <w:t xml:space="preserve"> </w:t>
                            </w:r>
                            <w:r>
                              <w:t>V tem koraku mora izvajalec vrednotenja izračunati neto neposredne učinke PRP na kazalnike vpliva na ravni programskega območja, in sicer z uporabo tehnik ekstrapolacije (tj. tako, da povprečne mikro rezultate, izračunane na mikro ravni, pomnoži s številom upravičencev/neupravičencev).</w:t>
                            </w:r>
                          </w:p>
                          <w:p w:rsidR="00B85F99" w:rsidRPr="005945BB" w:rsidRDefault="00B85F99" w:rsidP="00AC0E3D">
                            <w:pPr>
                              <w:pStyle w:val="HStandard"/>
                              <w:rPr>
                                <w:color w:val="auto"/>
                                <w:szCs w:val="16"/>
                              </w:rPr>
                            </w:pPr>
                            <w:r>
                              <w:rPr>
                                <w:b/>
                                <w:color w:val="F07E31" w:themeColor="accent1"/>
                              </w:rPr>
                              <w:t xml:space="preserve">Peti korak: </w:t>
                            </w:r>
                            <w:r>
                              <w:rPr>
                                <w:b/>
                              </w:rPr>
                              <w:t xml:space="preserve">Uporabite kvalitativne metode </w:t>
                            </w:r>
                            <w:r>
                              <w:t>za pregled in preverjanje pridobljenih rezultatov (triangulacija).</w:t>
                            </w:r>
                          </w:p>
                          <w:p w:rsidR="00B85F99" w:rsidRPr="005945BB" w:rsidRDefault="00B85F99" w:rsidP="00735F08">
                            <w:pPr>
                              <w:pStyle w:val="Hlistbullet"/>
                              <w:numPr>
                                <w:ilvl w:val="0"/>
                                <w:numId w:val="0"/>
                              </w:numPr>
                              <w:jc w:val="center"/>
                              <w:rPr>
                                <w:i/>
                                <w:color w:val="F07E31" w:themeColor="accent1"/>
                                <w:szCs w:val="18"/>
                              </w:rPr>
                            </w:pPr>
                            <w:r>
                              <w:rPr>
                                <w:i/>
                                <w:color w:val="F07E31" w:themeColor="accent1"/>
                              </w:rPr>
                              <w:t xml:space="preserve">Več informacij o neto izravnavi učinkov programa  </w:t>
                            </w:r>
                            <w:r>
                              <w:rPr>
                                <w:color w:val="F07E31" w:themeColor="accent1"/>
                              </w:rPr>
                              <w:br/>
                            </w:r>
                            <w:r>
                              <w:rPr>
                                <w:i/>
                                <w:color w:val="F07E31" w:themeColor="accent1"/>
                              </w:rPr>
                              <w:t xml:space="preserve"> je na voljo v </w:t>
                            </w:r>
                            <w:r>
                              <w:rPr>
                                <w:i/>
                                <w:color w:val="F07E31" w:themeColor="accent1"/>
                                <w:u w:val="single"/>
                              </w:rPr>
                              <w:t xml:space="preserve">poglavju 4.2, o CGE pa v poglavju 4.3.3 dokumenta </w:t>
                            </w:r>
                            <w:hyperlink r:id="rId47" w:history="1">
                              <w:r>
                                <w:rPr>
                                  <w:rStyle w:val="Hyperlink"/>
                                  <w:i/>
                                  <w:color w:val="F07E31" w:themeColor="accent1"/>
                                </w:rPr>
                                <w:t>Guidelines for ex post evaluation of 2007-2013 RDPs (Smernice za naknadno vrednotenje programov razvoja podeželja za obdobje 2007–2013)</w:t>
                              </w:r>
                            </w:hyperlink>
                            <w:r>
                              <w:rPr>
                                <w:rStyle w:val="Hyperlink"/>
                                <w:i/>
                                <w:color w:val="F07E31" w:themeColor="accent1"/>
                              </w:rPr>
                              <w:t xml:space="preserve"> </w:t>
                            </w:r>
                          </w:p>
                        </w:txbxContent>
                      </wps:txbx>
                      <wps:bodyPr rot="0" vert="horz" wrap="square" lIns="91440" tIns="45720" rIns="91440" bIns="45720" anchor="t" anchorCtr="0" upright="1">
                        <a:noAutofit/>
                      </wps:bodyPr>
                    </wps:wsp>
                  </a:graphicData>
                </a:graphic>
              </wp:inline>
            </w:drawing>
          </mc:Choice>
          <mc:Fallback>
            <w:pict>
              <v:shape w14:anchorId="470F4C74" id="AutoShape 63" o:spid="_x0000_s1039" style="width:451.3pt;height:384.75pt;visibility:visible;mso-wrap-style:square;mso-left-percent:-10001;mso-top-percent:-10001;mso-position-horizontal:absolute;mso-position-horizontal-relative:char;mso-position-vertical:absolute;mso-position-vertical-relative:line;mso-left-percent:-10001;mso-top-percent:-10001;v-text-anchor:top" coordsize="5731510,4712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pPiwQAACgOAAAOAAAAZHJzL2Uyb0RvYy54bWysV9tu4zYQfS/QfyD0WCCRqJsviLPIxklR&#10;YNsusO4H0BJlCZVElaRj7y767x1e5JCblVwU9YMtioeHM3PGw+Hdu3PXohfKRcP6TYBvowDRvmBl&#10;0x82wR+755tlgIQkfUla1tNN8JmK4N39jz/cnYY1jVnN2pJyBCS9WJ+GTVBLOazDUBQ17Yi4ZQPt&#10;YbJivCMShvwQlpycgL1rwziK8vDEeDlwVlAh4O3WTAb3mr+qaCF/rypBJWo3Adgm9TfX33v1Hd7f&#10;kfWBk6FuCmsG+Q9WdKTpYdML1ZZIgo68eUPVNQVnglXytmBdyKqqKaj2AbzB0TfefKrJQLUvEBwx&#10;XMIk/j/a4reXjxw15SZYRRCfnnQg0sNRMr03yhMVodMg1gD8NHzkykcxfGDFnwImQm9GDQRg0P70&#10;KyuBhwCPjsq54p1aCf6isw7+50vw6VmiAl5miwRnGGwoYC5dLvMkztTmIVmPy4ujkD9TpqnIywch&#10;jXolPOnYl9b+HbBUXQtC/hSiJMmSJEInNG5gF41Y7GAjVKN0gWNYYzPjQhk7MMs0zZk44BnO1IFd&#10;5cwc8Axn7sCuci4ccJosFlGUTUcA/smXoGbJKsfLmaiuHLCN6DSzUv1CPUOKXa2us7qSzbG6al1n&#10;dUWbY3X1sjk4mVzYVe1qwrqqzWQCdgWLUB7BB+VZluTf5jZ21ZpFxr5SM5yxq9U8p6/THKer1Dyn&#10;r9Icp6vTPKcr0jzSV2iy9MS+QpPpEbv6XP1TJ65G381nKKmHsWiSeqyjxbm3hRSeEFEH+A5ySFXW&#10;gQlVt1VdheK8w7YuA07NOvCVBwdhFVyfIbDnGzhkk8sOmin4WPXfwrEHBzkUfDFlTBx7cIi1gq8m&#10;4YkHVzVJ4aHmmEPorTmpv8B6i6fdzfwF1l887XDuL7AeY89lE1irHIeGR7U6uxhSEJqdnUoxaHd2&#10;KoWg4dlBcujzbyBSCa/DD4/o5BzANZy/9hBU8x17oTumkVJlgalPOjqaDAx4hbS9C7W56mFHxPg7&#10;aFIXaU8iG/cRVxz3TfGefpniT7M8jiMdfEhYQ5otcbIwwo8eGe/NtDnEtHXOtAqot9dogSE1eeHj&#10;R8T46yJtuEwSjQB/AxeOswgnsRVJm2nfqGwcxdPvv6ODT1u0TFCzr5Jbt1IX3bWXr+1Uz56bttXB&#10;aXuVDXGWQkOoVBesbUo1qwf8sH9sOXohkGXvn9IH0ykBmwfrGgltfdt0m2Cpzh1reE1J+dSXehtJ&#10;mtY8w+JWFxJoBW1OqqZQt89fV9Hqafm0TG/SOH+6SaPt9ubh+TG9yZ/xItsm28fHLf5b2YnTdd2U&#10;Je2VqWMrj9N/1yrbS4Vpwi/NvOeScD1/1h+boQ4s9M3QIQdfxl/tnW6aVZ9sGmt53p91A24Kh2qi&#10;96z8DG00Z+a6AtcreKgZ/xKgE1xVNoH460g4DVD7Sw93gRVOU8hKqQdptlCHNHdn9u4M6Qug2gQy&#10;gBqvHh8ljGDJceDNoYadTJntmboGVI1qsrXJxio7gOuIdspendR9xx1r1OsF7/4fAAAA//8DAFBL&#10;AwQUAAYACAAAACEA3k22k94AAAAFAQAADwAAAGRycy9kb3ducmV2LnhtbEyPT0/CQBDF7yZ8h82Y&#10;eJOtqEVKt4QYTYSLEUjkuO0ObUN3tuwfqN/e1YteJnl5L+/9Jl8MumNntK41JOBunABDqoxqqRaw&#10;277ePgFzXpKSnSEU8IUOFsXoKpeZMhf6wPPG1yyWkMukgMb7PuPcVQ1q6camR4rewVgtfZS25srK&#10;SyzXHZ8kScq1bCkuNLLH5war4yZoAZ/H8HYKq/fU7sIeV/cPp8NLuRbi5npYzoF5HPxfGH7wIzoU&#10;kak0gZRjnYD4iP+90ZslkxRYKWCazh6BFzn/T198AwAA//8DAFBLAQItABQABgAIAAAAIQC2gziS&#10;/gAAAOEBAAATAAAAAAAAAAAAAAAAAAAAAABbQ29udGVudF9UeXBlc10ueG1sUEsBAi0AFAAGAAgA&#10;AAAhADj9If/WAAAAlAEAAAsAAAAAAAAAAAAAAAAALwEAAF9yZWxzLy5yZWxzUEsBAi0AFAAGAAgA&#10;AAAhAAiUak+LBAAAKA4AAA4AAAAAAAAAAAAAAAAALgIAAGRycy9lMm9Eb2MueG1sUEsBAi0AFAAG&#10;AAgAAAAhAN5NtpPeAAAABQEAAA8AAAAAAAAAAAAAAAAA5QYAAGRycy9kb3ducmV2LnhtbFBLBQYA&#10;AAAABAAEAPMAAADwBwAAAAA=&#10;" adj="-11796480,,5400" path="m335330,l5731510,r,4377005c5731510,4562203,5581378,4712335,5396180,4712335l,4712335,,335330c,150132,150132,,335330,xe" filled="f" strokecolor="#be4a35" strokeweight="2pt">
                <v:stroke joinstyle="miter"/>
                <v:formulas/>
                <v:path arrowok="t" o:connecttype="custom" o:connectlocs="335330,0;5731510,0;5731510,0;5731510,4538614;5396180,4886325;0,4886325;0,4886325;0,347711;335330,0" o:connectangles="0,0,0,0,0,0,0,0,0" textboxrect="0,0,5731510,4712335"/>
                <v:textbox>
                  <w:txbxContent>
                    <w:p w:rsidR="00B85F99" w:rsidRPr="005945BB" w:rsidRDefault="00B85F99" w:rsidP="00AC0E3D">
                      <w:pPr>
                        <w:pStyle w:val="Hlistbullet"/>
                        <w:numPr>
                          <w:ilvl w:val="0"/>
                          <w:numId w:val="0"/>
                        </w:numPr>
                        <w:spacing w:before="0" w:after="120" w:line="280" w:lineRule="atLeast"/>
                        <w:rPr>
                          <w:rFonts w:cs="Arial"/>
                          <w:szCs w:val="16"/>
                        </w:rPr>
                      </w:pPr>
                      <w:r>
                        <w:rPr>
                          <w:b/>
                          <w:color w:val="F07E31" w:themeColor="accent1"/>
                        </w:rPr>
                        <w:t xml:space="preserve">Tretji korak: </w:t>
                      </w:r>
                      <w:r>
                        <w:t xml:space="preserve">Izračunajte </w:t>
                      </w:r>
                      <w:r>
                        <w:rPr>
                          <w:b/>
                        </w:rPr>
                        <w:t>posredne učinke na neupravičence na mikro ravni.</w:t>
                      </w:r>
                      <w:r>
                        <w:t xml:space="preserve"> Tudi tukaj je treba opaženo spremembo v vrednosti kazalnikov razdeliti na dve komponenti: spremembe zaradi programa (skupni učinek primarnih in sekundarnih prispevkov) in spremembe, ki so jih povzročili drugi dejavniki.</w:t>
                      </w:r>
                      <w:r w:rsidR="00937D25">
                        <w:t xml:space="preserve"> </w:t>
                      </w:r>
                      <w:r>
                        <w:t xml:space="preserve">Ta faza se nanaša na pričakovanje, da ima lahko podpora, ki jo prejmejo upravičenci do ukrepov v okviru PRP, „pričakovane/nepričakovane“ učinke splošnega ravnovesja (npr. negativne učinke na neupravičence, ki se nahajajo v bližnji soseščini upravičencev programa). </w:t>
                      </w:r>
                    </w:p>
                    <w:p w:rsidR="00B85F99" w:rsidRPr="005945BB" w:rsidRDefault="00B85F99" w:rsidP="00AC0E3D">
                      <w:pPr>
                        <w:pStyle w:val="HStandard"/>
                        <w:rPr>
                          <w:rFonts w:cs="Arial"/>
                          <w:szCs w:val="16"/>
                        </w:rPr>
                      </w:pPr>
                      <w:r>
                        <w:t>V tej fazi vrednotenja je bistvena predhodna kvalitativna ocena, saj lahko zagotovi dragocena stališča vključenih in vodi do oblikovanja pomembnih vprašanj za vrednotenje posameznega programa, osredotočenih na uspešnost programa, zlasti glede njegovih pozitivnih, negativnih, predvidenih in nepredvidenih učinkov. Uporaba vprašanj za vrednotenje posameznega programa je prostovoljna, a če je bilo tako vprašanje oblikovano, je nanj treba odgovoriti. Izvajalci vrednotenja lahko za predhodno analizo sinergij ali morebitnih negativnih prečnih učinkov uporabijo tudi kvalitativna orodja za presojo.</w:t>
                      </w:r>
                    </w:p>
                    <w:p w:rsidR="00B85F99" w:rsidRPr="005945BB" w:rsidRDefault="00B85F99" w:rsidP="00AC0E3D">
                      <w:pPr>
                        <w:pStyle w:val="Hlistbullet"/>
                        <w:numPr>
                          <w:ilvl w:val="0"/>
                          <w:numId w:val="0"/>
                        </w:numPr>
                        <w:spacing w:before="0" w:after="120" w:line="280" w:lineRule="atLeast"/>
                        <w:rPr>
                          <w:rFonts w:cs="Arial"/>
                          <w:szCs w:val="16"/>
                        </w:rPr>
                      </w:pPr>
                      <w:r>
                        <w:rPr>
                          <w:b/>
                          <w:color w:val="F07E31" w:themeColor="accent1"/>
                        </w:rPr>
                        <w:t xml:space="preserve">Četrti korak: </w:t>
                      </w:r>
                      <w:r>
                        <w:rPr>
                          <w:b/>
                        </w:rPr>
                        <w:t>Združite ugotovitve in izračunajte učinke PRP na analizirane kazalnike vpliva na makro ravni in ravni programskega območja.</w:t>
                      </w:r>
                      <w:r w:rsidR="00FB030D">
                        <w:rPr>
                          <w:b/>
                        </w:rPr>
                        <w:t xml:space="preserve"> </w:t>
                      </w:r>
                      <w:r>
                        <w:t>V tem koraku mora izvajalec vrednotenja izračunati neto neposredne učinke PRP na kazalnike vpliva na ravni programskega območja, in sicer z uporabo tehnik ekstrapolacije (tj. tako, da povprečne mikro rezultate, izračunane na mikro ravni, pomnoži s številom upravičencev/neupravičencev).</w:t>
                      </w:r>
                    </w:p>
                    <w:p w:rsidR="00B85F99" w:rsidRPr="005945BB" w:rsidRDefault="00B85F99" w:rsidP="00AC0E3D">
                      <w:pPr>
                        <w:pStyle w:val="HStandard"/>
                        <w:rPr>
                          <w:color w:val="auto"/>
                          <w:szCs w:val="16"/>
                        </w:rPr>
                      </w:pPr>
                      <w:r>
                        <w:rPr>
                          <w:b/>
                          <w:color w:val="F07E31" w:themeColor="accent1"/>
                        </w:rPr>
                        <w:t xml:space="preserve">Peti korak: </w:t>
                      </w:r>
                      <w:r>
                        <w:rPr>
                          <w:b/>
                        </w:rPr>
                        <w:t xml:space="preserve">Uporabite kvalitativne metode </w:t>
                      </w:r>
                      <w:r>
                        <w:t>za pregled in preverjanje pridobljenih rezultatov (triangulacija).</w:t>
                      </w:r>
                    </w:p>
                    <w:p w:rsidR="00B85F99" w:rsidRPr="005945BB" w:rsidRDefault="00B85F99" w:rsidP="00735F08">
                      <w:pPr>
                        <w:pStyle w:val="Hlistbullet"/>
                        <w:numPr>
                          <w:ilvl w:val="0"/>
                          <w:numId w:val="0"/>
                        </w:numPr>
                        <w:jc w:val="center"/>
                        <w:rPr>
                          <w:i/>
                          <w:color w:val="F07E31" w:themeColor="accent1"/>
                          <w:szCs w:val="18"/>
                        </w:rPr>
                      </w:pPr>
                      <w:r>
                        <w:rPr>
                          <w:i/>
                          <w:color w:val="F07E31" w:themeColor="accent1"/>
                        </w:rPr>
                        <w:t xml:space="preserve">Več informacij o neto izravnavi učinkov programa  </w:t>
                      </w:r>
                      <w:r>
                        <w:rPr>
                          <w:color w:val="F07E31" w:themeColor="accent1"/>
                        </w:rPr>
                        <w:br/>
                      </w:r>
                      <w:r>
                        <w:rPr>
                          <w:i/>
                          <w:color w:val="F07E31" w:themeColor="accent1"/>
                        </w:rPr>
                        <w:t xml:space="preserve"> je na voljo v </w:t>
                      </w:r>
                      <w:r>
                        <w:rPr>
                          <w:i/>
                          <w:color w:val="F07E31" w:themeColor="accent1"/>
                          <w:u w:val="single"/>
                        </w:rPr>
                        <w:t xml:space="preserve">poglavju 4.2, o CGE pa v poglavju 4.3.3 dokumenta </w:t>
                      </w:r>
                      <w:hyperlink r:id="rId48" w:history="1">
                        <w:r>
                          <w:rPr>
                            <w:rStyle w:val="Hyperlink"/>
                            <w:i/>
                            <w:color w:val="F07E31" w:themeColor="accent1"/>
                          </w:rPr>
                          <w:t>Guidelines for ex post evaluation of 2007-2013 RDPs (Smernice za naknadno vrednotenje programov razvoja podeželja za obdobje 2007–2013)</w:t>
                        </w:r>
                      </w:hyperlink>
                      <w:r>
                        <w:rPr>
                          <w:rStyle w:val="Hyperlink"/>
                          <w:i/>
                          <w:color w:val="F07E31" w:themeColor="accent1"/>
                        </w:rPr>
                        <w:t xml:space="preserve"> </w:t>
                      </w:r>
                    </w:p>
                  </w:txbxContent>
                </v:textbox>
                <w10:anchorlock/>
              </v:shape>
            </w:pict>
          </mc:Fallback>
        </mc:AlternateContent>
      </w:r>
      <w:r>
        <w:br w:type="column"/>
      </w:r>
      <w:r>
        <w:lastRenderedPageBreak/>
        <w:t>Preverjanje skladnosti na mikro in makro ravni ter potrjevanje (četrta plast)</w:t>
      </w:r>
    </w:p>
    <w:p w:rsidR="00FC012D" w:rsidRPr="00336531" w:rsidRDefault="000B213F" w:rsidP="00FC012D">
      <w:pPr>
        <w:pStyle w:val="HStandard"/>
        <w:rPr>
          <w:rFonts w:cs="Arial"/>
        </w:rPr>
      </w:pPr>
      <w:r>
        <w:rPr>
          <w:b/>
          <w:i/>
          <w:noProof/>
          <w:color w:val="F07E31" w:themeColor="accent1"/>
          <w:lang w:bidi="ar-SA"/>
        </w:rPr>
        <mc:AlternateContent>
          <mc:Choice Requires="wps">
            <w:drawing>
              <wp:inline distT="0" distB="0" distL="0" distR="0" wp14:anchorId="3BA9EE62" wp14:editId="012AF5C7">
                <wp:extent cx="5731510" cy="1343025"/>
                <wp:effectExtent l="0" t="0" r="21590" b="28575"/>
                <wp:docPr id="89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343025"/>
                        </a:xfrm>
                        <a:custGeom>
                          <a:avLst/>
                          <a:gdLst>
                            <a:gd name="T0" fmla="*/ 106671 w 5731510"/>
                            <a:gd name="T1" fmla="*/ 0 h 1221469"/>
                            <a:gd name="T2" fmla="*/ 5731510 w 5731510"/>
                            <a:gd name="T3" fmla="*/ 0 h 1221469"/>
                            <a:gd name="T4" fmla="*/ 5731510 w 5731510"/>
                            <a:gd name="T5" fmla="*/ 0 h 1221469"/>
                            <a:gd name="T6" fmla="*/ 5731510 w 5731510"/>
                            <a:gd name="T7" fmla="*/ 1114798 h 1221469"/>
                            <a:gd name="T8" fmla="*/ 5624839 w 5731510"/>
                            <a:gd name="T9" fmla="*/ 1221469 h 1221469"/>
                            <a:gd name="T10" fmla="*/ 0 w 5731510"/>
                            <a:gd name="T11" fmla="*/ 1221469 h 1221469"/>
                            <a:gd name="T12" fmla="*/ 0 w 5731510"/>
                            <a:gd name="T13" fmla="*/ 1221469 h 1221469"/>
                            <a:gd name="T14" fmla="*/ 0 w 5731510"/>
                            <a:gd name="T15" fmla="*/ 106671 h 1221469"/>
                            <a:gd name="T16" fmla="*/ 106671 w 5731510"/>
                            <a:gd name="T17" fmla="*/ 0 h 122146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221469"/>
                            <a:gd name="T29" fmla="*/ 5731510 w 5731510"/>
                            <a:gd name="T30" fmla="*/ 1221469 h 122146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221469">
                              <a:moveTo>
                                <a:pt x="106671" y="0"/>
                              </a:moveTo>
                              <a:lnTo>
                                <a:pt x="5731510" y="0"/>
                              </a:lnTo>
                              <a:lnTo>
                                <a:pt x="5731510" y="1114798"/>
                              </a:lnTo>
                              <a:cubicBezTo>
                                <a:pt x="5731510" y="1173711"/>
                                <a:pt x="5683752" y="1221469"/>
                                <a:pt x="5624839" y="1221469"/>
                              </a:cubicBezTo>
                              <a:lnTo>
                                <a:pt x="0" y="1221469"/>
                              </a:lnTo>
                              <a:lnTo>
                                <a:pt x="0" y="106671"/>
                              </a:lnTo>
                              <a:cubicBezTo>
                                <a:pt x="0" y="47758"/>
                                <a:pt x="47758" y="0"/>
                                <a:pt x="106671"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B85F99" w:rsidRPr="00044269" w:rsidRDefault="00B85F99" w:rsidP="00EC01C3">
                            <w:pPr>
                              <w:pStyle w:val="HHeading4"/>
                              <w:spacing w:before="0"/>
                              <w:jc w:val="both"/>
                              <w:rPr>
                                <w:b w:val="0"/>
                                <w:i/>
                                <w:color w:val="373737" w:themeColor="text1"/>
                                <w:sz w:val="18"/>
                              </w:rPr>
                            </w:pPr>
                            <w:r>
                              <w:rPr>
                                <w:noProof/>
                                <w:color w:val="373737" w:themeColor="text1"/>
                                <w:lang w:bidi="ar-SA"/>
                              </w:rPr>
                              <w:drawing>
                                <wp:inline distT="0" distB="0" distL="0" distR="0" wp14:anchorId="1164D043" wp14:editId="63964AF7">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Pri neto oceni vpliva</w:t>
                            </w:r>
                            <w:r>
                              <w:rPr>
                                <w:b w:val="0"/>
                                <w:color w:val="373737" w:themeColor="text1"/>
                              </w:rPr>
                              <w:t xml:space="preserve"> je treba preveriti skladnost </w:t>
                            </w:r>
                            <w:r>
                              <w:rPr>
                                <w:b w:val="0"/>
                                <w:color w:val="373737" w:themeColor="text1"/>
                              </w:rPr>
                              <w:t>rezultatov ocene na mikro in makro ravni, da jih je mogoče potrditi. Skladnost je ugotovljena, če si ugotovitve na obeh ravneh ne nasprotujejo.</w:t>
                            </w:r>
                          </w:p>
                        </w:txbxContent>
                      </wps:txbx>
                      <wps:bodyPr rot="0" vert="horz" wrap="square" lIns="91440" tIns="45720" rIns="91440" bIns="45720" anchor="ctr" anchorCtr="0" upright="1">
                        <a:noAutofit/>
                      </wps:bodyPr>
                    </wps:wsp>
                  </a:graphicData>
                </a:graphic>
              </wp:inline>
            </w:drawing>
          </mc:Choice>
          <mc:Fallback>
            <w:pict>
              <v:shape w14:anchorId="3BA9EE62" id="AutoShape 62" o:spid="_x0000_s1040" style="width:451.3pt;height:105.75pt;visibility:visible;mso-wrap-style:square;mso-left-percent:-10001;mso-top-percent:-10001;mso-position-horizontal:absolute;mso-position-horizontal-relative:char;mso-position-vertical:absolute;mso-position-vertical-relative:line;mso-left-percent:-10001;mso-top-percent:-10001;v-text-anchor:middle" coordsize="5731510,12214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4gCjAQAACgOAAAOAAAAZHJzL2Uyb0RvYy54bWysV9uO2zYQfS/QfyD0WGBXoq62sd5gY+8W&#10;BdIkQNwPoHWxhEqiStJrb4r+e4cXeclsJAdF/SBL4uHhzJzRcHj37ty16LlkvKH92sO3gYfKPqdF&#10;0x/W3h+7p5uFh7ggfUFa2pdr76Xk3rv7n3+6Ow2rMqQ1bYuSISDp+eo0rL1aiGHl+zyvy47wWzqU&#10;PQxWlHVEwCM7+AUjJ2DvWj8MgtQ/UVYMjOYl5/B2qwe9e8VfVWUuPlUVLwVq1x7YJtSVqeteXv37&#10;O7I6MDLUTW7MIP/Bio40PSx6odoSQdCRNW+ouiZnlNNK3Oa082lVNXmpfABvcPCNN19qMpTKFwgO&#10;Hy5h4v8fbf7x+TNDTbH2Fsulh3rSgUgPR0HV2igNZYROA18B8MvwmUkf+fCB5n9yGPCdEfnAAYP2&#10;p99pATwEeFRUzhXr5EzwF51V8F8uwS/PAuXwMskinGDQKIcxHMVRECZycZ+sxun5kYtfS6qoyPMH&#10;LrR6Bdyp2BfG/h2wVF0LQv7iIxykaYbRCY0LmEkjFlvYANUIhyGO06XJjAtlaMEM0zRnZIFnOGML&#10;dpUzscAznKkFu8qZWWCMcZwtF9MRgC/5EtQkDeNFtJyOAOTSBWwiOs0sVb+gg2lSbGt1ndWWbI7V&#10;Vus6qy3aHKutl8nByeTCtmpXE9ZWbSYTsC1YgNIAfihNkij9NrexrdYsMnSVmuEMba3mOV2d5jht&#10;peY5XZXmOG2d5jltkeaRrkKTpSd0FZpMj9DW5+pHHdkafTefoaQexqJJ6rGO5ufeFFK4Q0Ru4DvI&#10;IVlZB8pl3ZZ1FYrzDpu6DDg5asGXDhyElfBoCg7ZZLODZhI+Vv037JBSNhzkkPBskj104BBrCVeF&#10;HQLwlj1y4LImSTzUHL0JvZ0QuxOMt3ja3cSdYPzF0w6n7gTjMXZc1r4Y5Rg0PLLV2YWQgtDs7GSK&#10;QbuzkykEDc8OkkPtfwMRUngVT7hFJ2sDrmH/NZugHO/oc7mjCilkFuj6pKKjyMCAV0jb21CTqw52&#10;RIz/gyK1kWYnMnEfcflx3+Tvy69T/BhnUabVgoTVpOkiyhKty+iR9t4Mq01MWWcNy4A6a40WaFKd&#10;Fy5+RIz/DlL1Hz/gjCaOsyxZGI2UlfqFzMVROvX6Oyq4Vuct5aVOXSm2aqQuqisfX5upnj41batC&#10;0/YyF8IkDvTHyWnbFHJUJgBnh/2mZeiZQI69f4wfojF3HVjXCGjq26aDrlLuOsbwuiTFY1+oZQRp&#10;Wn0PprSqjEAjaDJStoSqef57GSwfF4+L+CYO08ebONhubx6eNvFN+oSzZBttN5st/kd+JDhe1U1R&#10;lL00dWzkcfxjjbI5UugW/NLKOy45nj+pn5HUgvmuGSrk4Mv4r7xTLbPsknVbLc77s2q/cSz5ZAu9&#10;p8ULNNGM6sMKHK7gpqbsq4dOcFBZe/yvI2Glh9rfejgJLHEcQ+oI9RAnmdyimT2yt0dInwPV2ssF&#10;86DGy4eNgGeYdBxYc6hhLV1meyqPAVUjm2xltLbLPMBxRLlljk7yvGM/K9TrAe/+XwAAAP//AwBQ&#10;SwMEFAAGAAgAAAAhAH08vXzcAAAABQEAAA8AAABkcnMvZG93bnJldi54bWxMj0FLw0AQhe+C/2EZ&#10;wZvdJGCNMZsiVhG9tUqht0l2mgSzsyG73ab/3tWLXgYe7/HeN+VqNoMINLnesoJ0kYAgbqzuuVXw&#10;+fFyk4NwHlnjYJkUnMnBqrq8KLHQ9sQbClvfiljCrkAFnfdjIaVrOjLoFnYkjt7BTgZ9lFMr9YSn&#10;WG4GmSXJUhrsOS50ONJTR83X9mgU1Ph8l4f39fn1bZ23e+SQ78JBqeur+fEBhKfZ/4XhBz+iQxWZ&#10;antk7cSgID7if2/07pNsCaJWkKXpLciqlP/pq28AAAD//wMAUEsBAi0AFAAGAAgAAAAhALaDOJL+&#10;AAAA4QEAABMAAAAAAAAAAAAAAAAAAAAAAFtDb250ZW50X1R5cGVzXS54bWxQSwECLQAUAAYACAAA&#10;ACEAOP0h/9YAAACUAQAACwAAAAAAAAAAAAAAAAAvAQAAX3JlbHMvLnJlbHNQSwECLQAUAAYACAAA&#10;ACEAyVOIAowEAAAoDgAADgAAAAAAAAAAAAAAAAAuAgAAZHJzL2Uyb0RvYy54bWxQSwECLQAUAAYA&#10;CAAAACEAfTy9fNwAAAAFAQAADwAAAAAAAAAAAAAAAADmBgAAZHJzL2Rvd25yZXYueG1sUEsFBgAA&#10;AAAEAAQA8wAAAO8HAAAAAA==&#10;" adj="-11796480,,5400" path="m106671,l5731510,r,1114798c5731510,1173711,5683752,1221469,5624839,1221469l,1221469,,106671c,47758,47758,,106671,xe" filled="f" strokecolor="#be4a35" strokeweight="2pt">
                <v:stroke joinstyle="miter"/>
                <v:formulas/>
                <v:path arrowok="t" o:connecttype="custom" o:connectlocs="106671,0;5731510,0;5731510,0;5731510,1225739;5624839,1343025;0,1343025;0,1343025;0,117286;106671,0" o:connectangles="0,0,0,0,0,0,0,0,0" textboxrect="0,0,5731510,1221469"/>
                <v:textbox>
                  <w:txbxContent>
                    <w:p w:rsidR="00B85F99" w:rsidRPr="00044269" w:rsidRDefault="00B85F99" w:rsidP="00EC01C3">
                      <w:pPr>
                        <w:pStyle w:val="HHeading4"/>
                        <w:spacing w:before="0"/>
                        <w:jc w:val="both"/>
                        <w:rPr>
                          <w:b w:val="0"/>
                          <w:i/>
                          <w:color w:val="373737" w:themeColor="text1"/>
                          <w:sz w:val="18"/>
                        </w:rPr>
                      </w:pPr>
                      <w:r>
                        <w:rPr>
                          <w:noProof/>
                          <w:color w:val="373737" w:themeColor="text1"/>
                          <w:lang w:bidi="ar-SA"/>
                        </w:rPr>
                        <w:drawing>
                          <wp:inline distT="0" distB="0" distL="0" distR="0" wp14:anchorId="1164D043" wp14:editId="63964AF7">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Pri neto oceni vpliva</w:t>
                      </w:r>
                      <w:r>
                        <w:rPr>
                          <w:b w:val="0"/>
                          <w:color w:val="373737" w:themeColor="text1"/>
                        </w:rPr>
                        <w:t xml:space="preserve"> je treba preveriti skladnost </w:t>
                      </w:r>
                      <w:r>
                        <w:rPr>
                          <w:b w:val="0"/>
                          <w:color w:val="373737" w:themeColor="text1"/>
                        </w:rPr>
                        <w:t>rezultatov ocene na mikro in makro ravni, da jih je mogoče potrditi. Skladnost je ugotovljena, če si ugotovitve na obeh ravneh ne nasprotujejo.</w:t>
                      </w:r>
                    </w:p>
                  </w:txbxContent>
                </v:textbox>
                <w10:anchorlock/>
              </v:shape>
            </w:pict>
          </mc:Fallback>
        </mc:AlternateContent>
      </w:r>
      <w:r>
        <w:t xml:space="preserve">V primeru kvantitativnega vrednotenja od spodaj navzgor se skladnost zagotavlja z nadgrajevanjem podatkov z mikro na makro raven. </w:t>
      </w:r>
    </w:p>
    <w:p w:rsidR="00FC012D" w:rsidRPr="001C6ACF" w:rsidRDefault="00FC012D" w:rsidP="001E5FC4">
      <w:pPr>
        <w:spacing w:after="120" w:line="280" w:lineRule="atLeast"/>
        <w:rPr>
          <w:rFonts w:cs="Arial"/>
          <w:color w:val="373737"/>
          <w:sz w:val="20"/>
          <w:szCs w:val="20"/>
        </w:rPr>
      </w:pPr>
      <w:r>
        <w:rPr>
          <w:color w:val="373737" w:themeColor="text1"/>
          <w:sz w:val="20"/>
        </w:rPr>
        <w:t xml:space="preserve">Za </w:t>
      </w:r>
      <w:r>
        <w:rPr>
          <w:i/>
          <w:color w:val="373737" w:themeColor="text1"/>
          <w:sz w:val="20"/>
        </w:rPr>
        <w:t>neposredne</w:t>
      </w:r>
      <w:r>
        <w:rPr>
          <w:color w:val="373737" w:themeColor="text1"/>
          <w:sz w:val="20"/>
        </w:rPr>
        <w:t xml:space="preserve"> učinke programa na podprte enote bi morali biti neto neposredni učinki programa, izračunani s pomočjo </w:t>
      </w:r>
      <w:r>
        <w:rPr>
          <w:b/>
          <w:color w:val="373737" w:themeColor="text1"/>
          <w:sz w:val="20"/>
        </w:rPr>
        <w:t>kazalnikov rezultatov</w:t>
      </w:r>
      <w:r>
        <w:rPr>
          <w:color w:val="373737" w:themeColor="text1"/>
          <w:sz w:val="20"/>
        </w:rPr>
        <w:t xml:space="preserve">, načeloma skladni in prikazovati isti trend z neto učinki programa, izračunanimi s pomočjo kazalnikov </w:t>
      </w:r>
      <w:r>
        <w:rPr>
          <w:b/>
          <w:color w:val="373737" w:themeColor="text1"/>
          <w:sz w:val="20"/>
        </w:rPr>
        <w:t>vpliva</w:t>
      </w:r>
      <w:r>
        <w:rPr>
          <w:color w:val="373737" w:themeColor="text1"/>
          <w:sz w:val="20"/>
        </w:rPr>
        <w:t>. Glede na velikost in smer posrednih učinkov pa lahko rezultati na makro ravni načeloma izkazujejo tudi nasprotno smer vpliva kot učinki na mikro ravni. V takih primerih je treba nasprotne smeri učinkov pojasniti z vzročnimi in/ali količinsko opredeljenimi dokazi o posrednih učinkih. Za preverjanje skladnosti rezultatov na mikro in makro ravni je treba dobro razumeti ključne dejavnike, ki vplivajo na vsak kazalnik.</w:t>
      </w:r>
    </w:p>
    <w:p w:rsidR="00FC012D" w:rsidRPr="001C6ACF" w:rsidRDefault="00FC012D" w:rsidP="00FC012D">
      <w:pPr>
        <w:pStyle w:val="HStandard"/>
        <w:rPr>
          <w:rFonts w:cs="Arial"/>
        </w:rPr>
      </w:pPr>
      <w:r>
        <w:t xml:space="preserve">Po združevanju mikroekonomskih ugotovitev se lahko z njimi za </w:t>
      </w:r>
      <w:r>
        <w:rPr>
          <w:i/>
        </w:rPr>
        <w:t xml:space="preserve">posredne </w:t>
      </w:r>
      <w:r>
        <w:t xml:space="preserve">učinke programa na podprte in nepodprte kmetije le grobo oceni obseg vseh možnih posrednih učinkov PRP (vključno s tistimi, izračunanimi s sektorskimi modeli). Glavni razlog za to grobo oceno je, da je težko modelirati </w:t>
      </w:r>
      <w:r>
        <w:rPr>
          <w:b/>
        </w:rPr>
        <w:t xml:space="preserve">vse </w:t>
      </w:r>
      <w:r>
        <w:t xml:space="preserve">morebitne posredne učinke, s katerimi se lahko „vsaj teoretično“ soočijo podprte in nepodprte enote. </w:t>
      </w:r>
    </w:p>
    <w:p w:rsidR="00FC012D" w:rsidRPr="00571D58" w:rsidRDefault="00FC012D" w:rsidP="00FC012D">
      <w:pPr>
        <w:pStyle w:val="HStandard"/>
        <w:rPr>
          <w:rFonts w:cs="Arial"/>
        </w:rPr>
      </w:pPr>
      <w:r>
        <w:t>Vrednotenje od spodaj navzgor, ki temelji na združevanju različnih virov podatkov z različnimi metrikami in terminologijo, lahko povzroči nejasnost. Eden od glavnih izzivov preverjanja skladnosti na makro in mikro ravni je določitev vzročnosti med spremembami in vplivi, izmerjenimi na ravni kmetije ali parcele, in spremembami in vplivi, ki presegajo spremembo meje kmetije (npr. na ravni NUTS 3 in ravni programa). V zvezi s tem je treba pri uporabljenih enotah analize in razponih upoštevati, v kakšnem obsegu in na kateri ravni se bodo učinki po vsej verjetnosti pokazali.  Če se uporabljajo fiksne meje, lahko to izkrivi rezultate. Prizadevati si je treba za uporabo metod vzorčenja na ravni polja, kmetije in krajine, da se upoštevajo različne vrste proučene taksonomije in medsebojni vplivi med spremenljivkami, ki opisujejo podnebje, topografijo, rabo tal, socialno-ekonomske razmere in stanje tal</w:t>
      </w:r>
      <w:r>
        <w:rPr>
          <w:rStyle w:val="FootnoteReference"/>
        </w:rPr>
        <w:footnoteReference w:id="29"/>
      </w:r>
      <w:r>
        <w:t>.Če je področje proučevanja na ravni dela parcele ali polja, se lahko s „pristopom od spodaj navzgor“ pridobijo rezultati z zbiranjem podatkov iz raziskav, ki se nanašajo na posamezno območje, pri čemer se uporabijo eksperimentalni protokoli ter njihova ekstrapolacija z mikro ravni na makro raven s pomočjo geografskih informacijskih sistemov (GIS), satelitskih posnetkov ali prostorske analize</w:t>
      </w:r>
      <w:r>
        <w:rPr>
          <w:rStyle w:val="FootnoteReference"/>
        </w:rPr>
        <w:footnoteReference w:id="30"/>
      </w:r>
      <w:r>
        <w:t>.</w:t>
      </w:r>
    </w:p>
    <w:p w:rsidR="00FC012D" w:rsidRPr="00571D58" w:rsidRDefault="00535279" w:rsidP="00FC012D">
      <w:pPr>
        <w:pStyle w:val="HStandard"/>
        <w:rPr>
          <w:rFonts w:cs="Arial"/>
        </w:rPr>
      </w:pPr>
      <w:r>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C012D" w:rsidRPr="001C6ACF" w:rsidTr="00FC012D">
        <w:tc>
          <w:tcPr>
            <w:tcW w:w="9016" w:type="dxa"/>
          </w:tcPr>
          <w:p w:rsidR="00FC012D" w:rsidRPr="00336531" w:rsidRDefault="00BD6E56" w:rsidP="00EC01C3">
            <w:pPr>
              <w:pStyle w:val="HHeading4"/>
              <w:jc w:val="both"/>
              <w:rPr>
                <w:rFonts w:cs="Arial"/>
              </w:rPr>
            </w:pPr>
            <w:r>
              <w:rPr>
                <w:noProof/>
                <w:lang w:bidi="ar-SA"/>
              </w:rPr>
              <mc:AlternateContent>
                <mc:Choice Requires="wps">
                  <w:drawing>
                    <wp:anchor distT="0" distB="0" distL="114300" distR="114300" simplePos="0" relativeHeight="251673088" behindDoc="0" locked="0" layoutInCell="1" allowOverlap="1" wp14:anchorId="4A3761D0" wp14:editId="49B04D57">
                      <wp:simplePos x="0" y="0"/>
                      <wp:positionH relativeFrom="column">
                        <wp:posOffset>-125730</wp:posOffset>
                      </wp:positionH>
                      <wp:positionV relativeFrom="paragraph">
                        <wp:posOffset>-63501</wp:posOffset>
                      </wp:positionV>
                      <wp:extent cx="6038850" cy="4886325"/>
                      <wp:effectExtent l="0" t="0" r="19050" b="28575"/>
                      <wp:wrapNone/>
                      <wp:docPr id="898" name="Rectangle: Diagonal Corners Rounded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4886325"/>
                              </a:xfrm>
                              <a:prstGeom prst="round2DiagRect">
                                <a:avLst>
                                  <a:gd name="adj1" fmla="val 8203"/>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E985D" id="Rectangle: Diagonal Corners Rounded 15" o:spid="_x0000_s1026" style="position:absolute;margin-left:-9.9pt;margin-top:-5pt;width:475.5pt;height:384.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488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dV1gIAABUGAAAOAAAAZHJzL2Uyb0RvYy54bWysVEtv2zAMvg/YfxB0X/1o0rlGnSJI0WFA&#10;0BVth55VWUq8yaImKa/9+lHyI1lX7DDMB0MUqY/kx8fV9b5VZCusa0BXNDtLKRGaQ93oVUW/Pt1+&#10;KChxnumaKdCiogfh6PXs/burnSlFDmtQtbAEQbQrd6aia+9NmSSOr0XL3BkYoVEpwbbMo2hXSW3Z&#10;DtFbleRpepHswNbGAhfO4e1Np6SziC+l4P6LlE54oiqKsfn4t/H/Ev7J7IqVK8vMuuF9GOwfomhZ&#10;o9HpCHXDPCMb2/wB1TbcggPpzzi0CUjZcBFzwGyy9FU2j2tmRMwFyXFmpMn9P1h+t723pKkrWlxi&#10;qTRrsUgPSBvTKyVKctOwFWimyAKsxjKTB9joWtQkmwbudsaVCPFo7m3I3pkl8O8OFclvmiC43mYv&#10;bRtsMXeyj4U4jIUQe084Xl6k50UxxXpx1E2K4uI8j+4SVg7PjXX+k4CWhENFbQgrD9GG4GMp2Hbp&#10;fKxJ3efF6m8ZJbJVWOIt5lTk6XnfAScm+alJ7BB024PhaXAckDXcNkrFHlI6EgCqqcNdFEITi4Wy&#10;BJ1VlHEutM+DQ4RxR0uUwutIWcdS5MsflAgwSj8IiSVCXvKYWByO17hZp1qzWnTupil+g7Mhkug6&#10;AgZkiYGO2D3AYHkac9bD9PbhqYizNT5O/xZYl/D4InoG7cfHbaPBvgWg/Oi5sx9I6qgJLL1AfcAG&#10;ttBNtjP8tsGGWDLn75nFOmMT4XryX/AnFewqCv2JkjXYn2/dB3ucMNRSssPVUFH3Y8OsoER91jh7&#10;l9lkEnZJFCbTjzkK9lTzcqrRm3YBWH7sPIwuHoO9V8NRWmifcYvNg1dUMc3Rd0W5t4Ow8N3Kwj3I&#10;xXwezXB/GOaX+tHwAB5YDa35tH9m1vRT4XGg7mBYI30Xd+U42oaXGuYbD7LxQXnktRdw98TG6fdk&#10;WG6ncrQ6bvPZLwAAAP//AwBQSwMEFAAGAAgAAAAhADeqc9vfAAAACwEAAA8AAABkcnMvZG93bnJl&#10;di54bWxMj8FOwzAQRO9I/IO1SNxaO4VCE+JUCIrECURb7k68JIF4HWKnDX/P9gS3Wc1o9k2+nlwn&#10;DjiE1pOGZK5AIFXetlRr2O+eZisQIRqypvOEGn4wwLo4P8tNZv2R3vCwjbXgEgqZ0dDE2GdShqpB&#10;Z8Lc90jsffjBmcjnUEs7mCOXu04ulLqRzrTEHxrT40OD1dd2dBrey7LDxH6iHavnx5fN635z/a20&#10;vryY7u9ARJziXxhO+IwOBTOVfiQbRKdhlqSMHk9C8ShOpFfJAkSp4XaZLkEWufy/ofgFAAD//wMA&#10;UEsBAi0AFAAGAAgAAAAhALaDOJL+AAAA4QEAABMAAAAAAAAAAAAAAAAAAAAAAFtDb250ZW50X1R5&#10;cGVzXS54bWxQSwECLQAUAAYACAAAACEAOP0h/9YAAACUAQAACwAAAAAAAAAAAAAAAAAvAQAAX3Jl&#10;bHMvLnJlbHNQSwECLQAUAAYACAAAACEAWjWnVdYCAAAVBgAADgAAAAAAAAAAAAAAAAAuAgAAZHJz&#10;L2Uyb0RvYy54bWxQSwECLQAUAAYACAAAACEAN6pz298AAAALAQAADwAAAAAAAAAAAAAAAAAwBQAA&#10;ZHJzL2Rvd25yZXYueG1sUEsFBgAAAAAEAAQA8wAAADwGAAAAAA==&#10;" path="m400825,l6038850,r,l6038850,4485500v,221370,-179455,400825,-400825,400825l,4886325r,l,400825c,179455,179455,,400825,xe" filled="f" strokecolor="#be4a35 [3205]" strokeweight="2pt">
                      <v:path arrowok="t" o:connecttype="custom" o:connectlocs="400825,0;6038850,0;6038850,0;6038850,4485500;5638025,4886325;0,4886325;0,4886325;0,400825;400825,0" o:connectangles="0,0,0,0,0,0,0,0,0"/>
                    </v:shape>
                  </w:pict>
                </mc:Fallback>
              </mc:AlternateContent>
            </w:r>
            <w:r w:rsidR="00FC012D">
              <w:rPr>
                <w:noProof/>
                <w:color w:val="373737"/>
                <w:lang w:bidi="ar-SA"/>
              </w:rPr>
              <w:drawing>
                <wp:inline distT="0" distB="0" distL="0" distR="0" wp14:anchorId="2043221E" wp14:editId="4A809690">
                  <wp:extent cx="664845" cy="487680"/>
                  <wp:effectExtent l="0" t="0" r="0" b="7620"/>
                  <wp:docPr id="1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00FC012D">
              <w:t xml:space="preserve"> KRATKA NAVODILA št. 5: Kako  čim bolje uporabiti kvalitativne pristope?</w:t>
            </w:r>
          </w:p>
        </w:tc>
      </w:tr>
    </w:tbl>
    <w:p w:rsidR="00696B10" w:rsidRDefault="00696B10" w:rsidP="00EC01C3">
      <w:pPr>
        <w:pStyle w:val="HStandard"/>
        <w:spacing w:after="0"/>
        <w:ind w:left="709" w:hanging="709"/>
        <w:rPr>
          <w:rFonts w:cs="Arial"/>
          <w:sz w:val="18"/>
          <w:szCs w:val="18"/>
        </w:rPr>
      </w:pPr>
      <w:r>
        <w:rPr>
          <w:b/>
          <w:sz w:val="18"/>
        </w:rPr>
        <w:t>Kvalitativne pristope</w:t>
      </w:r>
      <w:r>
        <w:rPr>
          <w:sz w:val="18"/>
        </w:rPr>
        <w:t xml:space="preserve"> je mogoče uporabiti s trojnim ciljem:</w:t>
      </w:r>
    </w:p>
    <w:p w:rsidR="00310B39" w:rsidRPr="001C6ACF" w:rsidRDefault="00310B39" w:rsidP="00EC01C3">
      <w:pPr>
        <w:pStyle w:val="HStandard"/>
        <w:spacing w:after="0"/>
        <w:ind w:left="709" w:hanging="709"/>
        <w:rPr>
          <w:rFonts w:cs="Arial"/>
          <w:sz w:val="18"/>
          <w:szCs w:val="18"/>
        </w:rPr>
      </w:pPr>
    </w:p>
    <w:p w:rsidR="00696B10"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b/>
        </w:rPr>
        <w:t>Kot alternativo kvantitativnim metodam,</w:t>
      </w:r>
      <w:r>
        <w:t xml:space="preserve"> ko manjkajo podatki.</w:t>
      </w:r>
      <w:r w:rsidR="00FB030D">
        <w:t xml:space="preserve"> </w:t>
      </w:r>
      <w:r>
        <w:t xml:space="preserve">S kvalitativnim vrednotenjem, ki temelji na teoriji (TBE), je na primer mogoče prikazati, kako in zakaj bo program deloval ter zakaj naj bi po pričakovanjih vodil do pričakovanih rezultatov. TBE sledi vsakemu koraku intervencijske logike programa, opredeli vzročne povezave in mehanizme spremembe ter privede do rezultatov in vplivov. Različne povezave v intervencijski logiki je mogoče analizirati z različnimi metodami. V teh smernicah predlagamo ciljne skupine (predvsem metodo MAPP) ali razgovore z deležniki/ali strokovnjaki. </w:t>
      </w:r>
    </w:p>
    <w:p w:rsidR="00310B39" w:rsidRPr="00FB6C06" w:rsidRDefault="00310B39" w:rsidP="00EC01C3">
      <w:pPr>
        <w:pStyle w:val="ListParagraph"/>
        <w:autoSpaceDE w:val="0"/>
        <w:autoSpaceDN w:val="0"/>
        <w:adjustRightInd w:val="0"/>
        <w:spacing w:after="0" w:line="280" w:lineRule="atLeast"/>
        <w:ind w:left="426"/>
        <w:jc w:val="both"/>
        <w:rPr>
          <w:rFonts w:ascii="Arial" w:hAnsi="Arial" w:cs="Arial"/>
          <w:color w:val="373737" w:themeColor="text1"/>
          <w:sz w:val="18"/>
          <w:szCs w:val="18"/>
        </w:rPr>
      </w:pPr>
    </w:p>
    <w:p w:rsidR="00310B39"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b/>
        </w:rPr>
        <w:t>Kot dopolnilo kvantitativnemu hipotetičnemu vrednotenju</w:t>
      </w:r>
      <w:r>
        <w:t>, da se bolje opredeli, kako in zakaj so vplivi nastali. Opozoriti je treba, da TBE ne more niti preveriti „neto vpliva“ (tj. v kolikšni meri je spremembo, opaženo v programskem območju, mogoče pripisati programu) niti razmejiti učinkov programa od prispevka drugih dejavnikov.</w:t>
      </w:r>
    </w:p>
    <w:p w:rsidR="00310B39" w:rsidRPr="00310B39" w:rsidRDefault="00310B39" w:rsidP="00EC01C3">
      <w:pPr>
        <w:pStyle w:val="ListParagraph"/>
        <w:jc w:val="both"/>
        <w:rPr>
          <w:rFonts w:ascii="Arial" w:hAnsi="Arial" w:cs="Arial"/>
          <w:color w:val="373737" w:themeColor="text1"/>
          <w:sz w:val="18"/>
          <w:szCs w:val="18"/>
        </w:rPr>
      </w:pPr>
    </w:p>
    <w:p w:rsidR="00696B10" w:rsidRPr="00310B39"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b/>
        </w:rPr>
        <w:t>Kot del triangulacije</w:t>
      </w:r>
      <w:r>
        <w:t xml:space="preserve"> za potrjevanje ugotovitev kvantitativnih metod.</w:t>
      </w:r>
    </w:p>
    <w:p w:rsidR="00310B39" w:rsidRPr="001C6ACF" w:rsidRDefault="00310B39" w:rsidP="00310B39">
      <w:pPr>
        <w:pStyle w:val="ListParagraph"/>
        <w:autoSpaceDE w:val="0"/>
        <w:autoSpaceDN w:val="0"/>
        <w:adjustRightInd w:val="0"/>
        <w:spacing w:after="0" w:line="280" w:lineRule="atLeast"/>
        <w:ind w:left="426"/>
        <w:rPr>
          <w:rFonts w:ascii="Arial" w:hAnsi="Arial" w:cs="Arial"/>
          <w:color w:val="373737" w:themeColor="text1"/>
          <w:sz w:val="18"/>
          <w:szCs w:val="18"/>
        </w:rPr>
      </w:pPr>
    </w:p>
    <w:p w:rsidR="0050142E" w:rsidRPr="001C6ACF" w:rsidRDefault="0050142E" w:rsidP="006A6A61">
      <w:pPr>
        <w:pStyle w:val="HStandard"/>
        <w:jc w:val="center"/>
        <w:rPr>
          <w:i/>
          <w:color w:val="F07E31" w:themeColor="accent1"/>
          <w:sz w:val="18"/>
        </w:rPr>
      </w:pPr>
      <w:r>
        <w:rPr>
          <w:i/>
          <w:color w:val="F07E31" w:themeColor="accent1"/>
          <w:sz w:val="18"/>
        </w:rPr>
        <w:t xml:space="preserve">Več informacij o vrednotenju, ki temelji na teoriji, je na voljo v poglavju 3.3.4 dokumenta </w:t>
      </w:r>
      <w:hyperlink r:id="rId49">
        <w:r>
          <w:rPr>
            <w:rStyle w:val="Hyperlink"/>
            <w:i/>
            <w:sz w:val="18"/>
          </w:rPr>
          <w:t>Investment Support under Rural Development Policy (Investicijska podpora v okviru politike razvoja podeželja)</w:t>
        </w:r>
      </w:hyperlink>
      <w:r>
        <w:rPr>
          <w:i/>
          <w:color w:val="F07E31" w:themeColor="accent1"/>
          <w:sz w:val="18"/>
        </w:rPr>
        <w:t xml:space="preserve"> (EK, 2014), o načinu uporabe kvalitativnih metod za zbiranje kvantitativnih podatkov pa v dokumentu </w:t>
      </w:r>
      <w:hyperlink r:id="rId50" w:anchor="v=onepage&amp;amp;q=distinguishing%20between%20types%20of%20data%20and%20methods%20of%20collecting%20them%2C&amp;amp;f=false">
        <w:r>
          <w:rPr>
            <w:rStyle w:val="Hyperlink"/>
            <w:i/>
            <w:sz w:val="18"/>
          </w:rPr>
          <w:t>Distinguishing Between Types of Data and Methods of Collecting Them</w:t>
        </w:r>
      </w:hyperlink>
      <w:r>
        <w:rPr>
          <w:i/>
          <w:color w:val="F07E31" w:themeColor="accent1"/>
          <w:sz w:val="18"/>
        </w:rPr>
        <w:t xml:space="preserve"> (Hentschel, 1998). </w:t>
      </w:r>
    </w:p>
    <w:p w:rsidR="006D4194" w:rsidRPr="001C6ACF" w:rsidRDefault="006D4194" w:rsidP="006D4194">
      <w:pPr>
        <w:pStyle w:val="HStandard"/>
        <w:rPr>
          <w:sz w:val="22"/>
        </w:rPr>
      </w:pPr>
    </w:p>
    <w:p w:rsidR="00A24D39" w:rsidRPr="001C6ACF" w:rsidRDefault="0095652F" w:rsidP="00B63445">
      <w:pPr>
        <w:pStyle w:val="HHeading3"/>
      </w:pPr>
      <w:r>
        <w:t>Pregled priporočenih pristopov k vrednotenju za presojo kazalnikov vpliva SKP</w:t>
      </w:r>
    </w:p>
    <w:p w:rsidR="00186FCF" w:rsidRPr="00336531" w:rsidRDefault="00186FCF" w:rsidP="00186FCF">
      <w:pPr>
        <w:pStyle w:val="HStandard"/>
        <w:rPr>
          <w:rFonts w:cs="Arial"/>
        </w:rPr>
      </w:pPr>
      <w:r>
        <w:t>V programskem obdobju 2014–2020 se bo presoja vplivov PRP prvič izvedla leta 2019, v času, ko bodo podatkovne vrzeli morda za različne PRP še vedno predstavljale težavo, in sicer zaradi nizke stopnje izvedbe ali pozne izvedbe določenih ukrepov ali zaradi pomanjkanja statističnih podatkov za vrednotenje. Ker je zaradi podatkovnih vrzeli opazovanje vplivov PRP zelo oteženo, sta v teh smernicah predlagana najmanj dva različna pristopa k izračunu vsakega od skupnih kazalnikov vpliva v okviru drugega stebra SKP:</w:t>
      </w:r>
    </w:p>
    <w:p w:rsidR="00186FCF" w:rsidRPr="00FB6C06" w:rsidRDefault="00186FCF" w:rsidP="00C42303">
      <w:pPr>
        <w:pStyle w:val="Hlistbullet"/>
      </w:pPr>
      <w:r>
        <w:rPr>
          <w:b/>
        </w:rPr>
        <w:t>Pristop A</w:t>
      </w:r>
      <w:r>
        <w:t xml:space="preserve"> je primer</w:t>
      </w:r>
      <w:r>
        <w:rPr>
          <w:b/>
        </w:rPr>
        <w:t xml:space="preserve"> pristopa k vrednotenju v primeru, ko je na voljo dovolj podatkov. </w:t>
      </w:r>
      <w:r>
        <w:t xml:space="preserve">Uporabiti ga je mogoče leta 2019 in/ali nameniti za naknadno vrednotenje. Pristop A je naprednejši in tudi natančnejši od pristopa B. </w:t>
      </w:r>
    </w:p>
    <w:p w:rsidR="00186FCF" w:rsidRPr="001C6ACF" w:rsidRDefault="00186FCF" w:rsidP="00C42303">
      <w:pPr>
        <w:pStyle w:val="Hlistbullet"/>
      </w:pPr>
      <w:r>
        <w:rPr>
          <w:b/>
        </w:rPr>
        <w:t xml:space="preserve">Pristop B </w:t>
      </w:r>
      <w:r>
        <w:t xml:space="preserve">je primer </w:t>
      </w:r>
      <w:r>
        <w:rPr>
          <w:b/>
        </w:rPr>
        <w:t xml:space="preserve">alternativnega pristopa k vrednotenju v primeru podatkovnih vrzeli </w:t>
      </w:r>
      <w:r>
        <w:t xml:space="preserve">(npr. zaradi počasnega izvajanja programa, zaradi česar ni mogoče opazovati vplivov PRP) ali če je uporaba naprednejšega pristopa ovirana zaradi drugih dejavnikov (viri, čas, veščine). Pristop B v več primerih vsebuje kvalitativno komponento. </w:t>
      </w:r>
    </w:p>
    <w:p w:rsidR="00186FCF" w:rsidRPr="00336531" w:rsidRDefault="00CB3881" w:rsidP="00186FCF">
      <w:pPr>
        <w:pStyle w:val="HStandard"/>
        <w:rPr>
          <w:rFonts w:cs="Arial"/>
        </w:rPr>
      </w:pPr>
      <w:r>
        <w:rPr>
          <w:b/>
        </w:rPr>
        <w:t>Oba pristopa sta skladna s standardi vrednotenja</w:t>
      </w:r>
      <w:r>
        <w:t xml:space="preserve">. Pristop A je opredeljen kot pristop, ki zagotavlja najzanesljivejše rezultate vrednotenja v primeru, ko so na voljo popolni podatki. Glede na razpoložljivost podatkov leta 2019 se priznava, da za veliko PRP pristop A morda še ne bo najbolj praktičen (glej: preglednice o primernosti predlaganih pristopov k vrednotenju v poglavjih od 4.1 do 4.7 v Tehnični prilogi). Nadaljnji primeri metod vrednotenja so navedeni v zadevnih slikah logičnega modela za vsak kazalnik vpliva. </w:t>
      </w:r>
    </w:p>
    <w:p w:rsidR="0095652F" w:rsidRPr="001C6ACF" w:rsidRDefault="008F39E9" w:rsidP="00E35440">
      <w:pPr>
        <w:pStyle w:val="HHeadingtables"/>
      </w:pPr>
      <w:r>
        <w:br w:type="column"/>
      </w:r>
      <w:r>
        <w:lastRenderedPageBreak/>
        <w:t xml:space="preserve">Primeri priporočenih pristopov k vrednotenju za presojo kazalnikov vpliva SKP </w:t>
      </w: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417"/>
        <w:gridCol w:w="1701"/>
        <w:gridCol w:w="1701"/>
        <w:gridCol w:w="1701"/>
        <w:gridCol w:w="1701"/>
      </w:tblGrid>
      <w:tr w:rsidR="00515FD4" w:rsidRPr="001C6ACF" w:rsidTr="005F69E8">
        <w:trPr>
          <w:trHeight w:val="289"/>
          <w:tblHeader/>
        </w:trPr>
        <w:tc>
          <w:tcPr>
            <w:tcW w:w="98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647A13" w:rsidP="00C202D0">
            <w:pPr>
              <w:pStyle w:val="HStandard"/>
              <w:jc w:val="center"/>
              <w:rPr>
                <w:b/>
                <w:bCs/>
                <w:color w:val="FFFFFF" w:themeColor="background1"/>
              </w:rPr>
            </w:pPr>
            <w:r>
              <w:rPr>
                <w:b/>
                <w:color w:val="FFFFFF" w:themeColor="background1"/>
                <w:sz w:val="16"/>
              </w:rPr>
              <w:t>Koda</w:t>
            </w:r>
          </w:p>
        </w:tc>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647A13" w:rsidP="00C202D0">
            <w:pPr>
              <w:pStyle w:val="HStandard"/>
              <w:jc w:val="center"/>
              <w:rPr>
                <w:b/>
                <w:bCs/>
                <w:color w:val="FFFFFF" w:themeColor="background1"/>
                <w:sz w:val="16"/>
              </w:rPr>
            </w:pPr>
            <w:r>
              <w:rPr>
                <w:b/>
                <w:color w:val="FFFFFF" w:themeColor="background1"/>
                <w:sz w:val="16"/>
              </w:rPr>
              <w:t>Kazalnik</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2D74F7" w:rsidP="008D4934">
            <w:pPr>
              <w:pStyle w:val="HStandard"/>
              <w:spacing w:line="240" w:lineRule="atLeast"/>
              <w:jc w:val="center"/>
              <w:rPr>
                <w:color w:val="FFFFFF" w:themeColor="background1"/>
                <w:sz w:val="16"/>
              </w:rPr>
            </w:pPr>
            <w:r>
              <w:rPr>
                <w:b/>
                <w:color w:val="FFFFFF" w:themeColor="background1"/>
              </w:rPr>
              <w:t>Pristop A</w:t>
            </w:r>
            <w:r>
              <w:rPr>
                <w:color w:val="FFFFFF" w:themeColor="background1"/>
              </w:rPr>
              <w:t xml:space="preserve"> </w:t>
            </w:r>
            <w:r>
              <w:rPr>
                <w:sz w:val="16"/>
              </w:rPr>
              <w:t xml:space="preserve"> </w:t>
            </w:r>
            <w:r>
              <w:rPr>
                <w:rFonts w:cs="Arial"/>
                <w:sz w:val="16"/>
                <w:szCs w:val="16"/>
              </w:rPr>
              <w:br/>
            </w:r>
            <w:r>
              <w:rPr>
                <w:sz w:val="16"/>
              </w:rPr>
              <w:t>Primer pristopa v primeru, ko je na voljo dovolj podatkov</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2D74F7" w:rsidP="0089010B">
            <w:pPr>
              <w:pStyle w:val="HStandard"/>
              <w:spacing w:line="240" w:lineRule="atLeast"/>
              <w:jc w:val="center"/>
              <w:rPr>
                <w:color w:val="FFFFFF" w:themeColor="background1"/>
                <w:sz w:val="16"/>
              </w:rPr>
            </w:pPr>
            <w:r>
              <w:rPr>
                <w:b/>
                <w:color w:val="FFFFFF" w:themeColor="background1"/>
              </w:rPr>
              <w:t>Pristop B</w:t>
            </w:r>
            <w:r>
              <w:rPr>
                <w:color w:val="FFFFFF" w:themeColor="background1"/>
              </w:rPr>
              <w:t xml:space="preserve">  </w:t>
            </w:r>
            <w:r>
              <w:rPr>
                <w:color w:val="FFFFFF" w:themeColor="background1"/>
              </w:rPr>
              <w:br/>
            </w:r>
            <w:r>
              <w:rPr>
                <w:sz w:val="16"/>
              </w:rPr>
              <w:t>Primer alternativnega pristopa v primeru podatkovnih vrzeli</w:t>
            </w:r>
          </w:p>
        </w:tc>
      </w:tr>
      <w:tr w:rsidR="00515FD4" w:rsidRPr="001C6ACF" w:rsidTr="005F69E8">
        <w:trPr>
          <w:trHeight w:val="289"/>
          <w:tblHeader/>
        </w:trPr>
        <w:tc>
          <w:tcPr>
            <w:tcW w:w="9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515FD4" w:rsidP="00C202D0">
            <w:pPr>
              <w:pStyle w:val="HStandard"/>
              <w:jc w:val="center"/>
              <w:rPr>
                <w:b/>
                <w:bCs/>
                <w:color w:val="FFFFFF" w:themeColor="background1"/>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515FD4" w:rsidP="00C202D0">
            <w:pPr>
              <w:pStyle w:val="HStandard"/>
              <w:jc w:val="center"/>
              <w:rPr>
                <w:b/>
                <w:bCs/>
                <w:color w:val="FFFFFF" w:themeColor="background1"/>
                <w:sz w:val="16"/>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Mikro raven</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Makro raven</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Mikro raven</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Makro raven</w:t>
            </w:r>
          </w:p>
        </w:tc>
      </w:tr>
      <w:tr w:rsidR="00515FD4" w:rsidRPr="001C6ACF" w:rsidTr="00670F92">
        <w:trPr>
          <w:trHeight w:val="255"/>
        </w:trPr>
        <w:tc>
          <w:tcPr>
            <w:tcW w:w="9209" w:type="dxa"/>
            <w:gridSpan w:val="6"/>
            <w:tcBorders>
              <w:top w:val="single" w:sz="4" w:space="0" w:color="FFFFFF" w:themeColor="background1"/>
            </w:tcBorders>
            <w:shd w:val="clear" w:color="auto" w:fill="BE4A35" w:themeFill="accent2"/>
            <w:hideMark/>
          </w:tcPr>
          <w:p w:rsidR="00515FD4" w:rsidRPr="001C6ACF" w:rsidRDefault="00515FD4" w:rsidP="008D4934">
            <w:pPr>
              <w:pStyle w:val="HStandard"/>
              <w:spacing w:line="240" w:lineRule="atLeast"/>
              <w:rPr>
                <w:b/>
                <w:bCs/>
                <w:color w:val="FFFFFF" w:themeColor="background1"/>
                <w:sz w:val="16"/>
              </w:rPr>
            </w:pPr>
            <w:r>
              <w:rPr>
                <w:b/>
                <w:color w:val="FFFFFF" w:themeColor="background1"/>
                <w:sz w:val="16"/>
              </w:rPr>
              <w:t>Vplivi, povezani s sektorjem</w:t>
            </w:r>
          </w:p>
        </w:tc>
      </w:tr>
      <w:tr w:rsidR="00515FD4" w:rsidRPr="001C6ACF" w:rsidTr="005F69E8">
        <w:trPr>
          <w:trHeight w:val="1193"/>
        </w:trPr>
        <w:tc>
          <w:tcPr>
            <w:tcW w:w="988" w:type="dxa"/>
            <w:tcBorders>
              <w:bottom w:val="single" w:sz="4" w:space="0" w:color="808080" w:themeColor="background1" w:themeShade="80"/>
              <w:right w:val="nil"/>
            </w:tcBorders>
            <w:hideMark/>
          </w:tcPr>
          <w:p w:rsidR="00515FD4" w:rsidRPr="00571D58" w:rsidRDefault="00515FD4" w:rsidP="00887886">
            <w:pPr>
              <w:pStyle w:val="HStandard"/>
              <w:jc w:val="center"/>
              <w:rPr>
                <w:b/>
                <w:bCs/>
                <w:color w:val="BE4A35" w:themeColor="accent2"/>
              </w:rPr>
            </w:pPr>
            <w:r>
              <w:rPr>
                <w:b/>
                <w:bCs/>
                <w:noProof/>
                <w:color w:val="BE4A35" w:themeColor="accent2"/>
                <w:lang w:bidi="ar-SA"/>
              </w:rPr>
              <w:drawing>
                <wp:anchor distT="0" distB="0" distL="114300" distR="114300" simplePos="0" relativeHeight="251713024" behindDoc="1" locked="0" layoutInCell="1" allowOverlap="1" wp14:anchorId="421CFEF5" wp14:editId="6D6DE560">
                  <wp:simplePos x="0" y="0"/>
                  <wp:positionH relativeFrom="column">
                    <wp:posOffset>-233</wp:posOffset>
                  </wp:positionH>
                  <wp:positionV relativeFrom="paragraph">
                    <wp:posOffset>185115</wp:posOffset>
                  </wp:positionV>
                  <wp:extent cx="489585" cy="489585"/>
                  <wp:effectExtent l="0" t="0" r="0" b="5715"/>
                  <wp:wrapTight wrapText="bothSides">
                    <wp:wrapPolygon edited="0">
                      <wp:start x="5043" y="0"/>
                      <wp:lineTo x="2521" y="2521"/>
                      <wp:lineTo x="840" y="8405"/>
                      <wp:lineTo x="1681" y="15969"/>
                      <wp:lineTo x="5883" y="21012"/>
                      <wp:lineTo x="8405" y="21012"/>
                      <wp:lineTo x="14288" y="21012"/>
                      <wp:lineTo x="15128" y="21012"/>
                      <wp:lineTo x="18490" y="13447"/>
                      <wp:lineTo x="19331" y="10926"/>
                      <wp:lineTo x="17650" y="3362"/>
                      <wp:lineTo x="14288" y="0"/>
                      <wp:lineTo x="5043"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0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BE4A35" w:themeColor="accent2"/>
              </w:rPr>
              <w:t>I.01</w:t>
            </w:r>
          </w:p>
        </w:tc>
        <w:tc>
          <w:tcPr>
            <w:tcW w:w="1417" w:type="dxa"/>
            <w:tcBorders>
              <w:left w:val="nil"/>
              <w:bottom w:val="single" w:sz="4" w:space="0" w:color="808080" w:themeColor="background1" w:themeShade="80"/>
            </w:tcBorders>
            <w:vAlign w:val="center"/>
            <w:hideMark/>
          </w:tcPr>
          <w:p w:rsidR="00515FD4" w:rsidRPr="00FB6C06" w:rsidRDefault="00515FD4" w:rsidP="007B323D">
            <w:pPr>
              <w:pStyle w:val="HStandard"/>
              <w:spacing w:after="0"/>
              <w:jc w:val="left"/>
              <w:rPr>
                <w:b/>
                <w:color w:val="BE4A35" w:themeColor="accent2"/>
                <w:sz w:val="16"/>
                <w:szCs w:val="18"/>
              </w:rPr>
            </w:pPr>
            <w:r>
              <w:rPr>
                <w:b/>
                <w:color w:val="BE4A35" w:themeColor="accent2"/>
                <w:sz w:val="16"/>
              </w:rPr>
              <w:t>Podjetniški dohodek kmetijstva</w:t>
            </w:r>
          </w:p>
        </w:tc>
        <w:tc>
          <w:tcPr>
            <w:tcW w:w="1701" w:type="dxa"/>
            <w:vMerge w:val="restart"/>
            <w:vAlign w:val="center"/>
            <w:hideMark/>
          </w:tcPr>
          <w:p w:rsidR="00515FD4" w:rsidRPr="001C6ACF" w:rsidRDefault="00515FD4" w:rsidP="00B007B8">
            <w:pPr>
              <w:pStyle w:val="HStandard"/>
              <w:spacing w:after="0" w:line="240" w:lineRule="auto"/>
              <w:jc w:val="center"/>
              <w:rPr>
                <w:sz w:val="16"/>
                <w:szCs w:val="18"/>
              </w:rPr>
            </w:pPr>
            <w:r>
              <w:rPr>
                <w:sz w:val="16"/>
              </w:rPr>
              <w:t xml:space="preserve">Kombinacija </w:t>
            </w:r>
            <w:r w:rsidR="00B007B8">
              <w:rPr>
                <w:sz w:val="16"/>
              </w:rPr>
              <w:t>parjenja</w:t>
            </w:r>
            <w:r w:rsidR="00B85F99">
              <w:rPr>
                <w:sz w:val="16"/>
              </w:rPr>
              <w:t xml:space="preserve"> izidov nagnjenja</w:t>
            </w:r>
            <w:r>
              <w:rPr>
                <w:sz w:val="16"/>
              </w:rPr>
              <w:t xml:space="preserve"> z metodo razlika v razlikah (PSM-DiD)</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 xml:space="preserve">Pristopi od spodaj navzgor s prenosom ugotovitev z mikro ravni  </w:t>
            </w:r>
            <w:r>
              <w:rPr>
                <w:sz w:val="16"/>
                <w:szCs w:val="18"/>
              </w:rPr>
              <w:br/>
            </w:r>
            <w:r>
              <w:rPr>
                <w:sz w:val="16"/>
              </w:rPr>
              <w:t xml:space="preserve"> </w:t>
            </w:r>
            <w:r>
              <w:rPr>
                <w:sz w:val="16"/>
                <w:szCs w:val="18"/>
              </w:rPr>
              <w:br/>
            </w:r>
            <w:r>
              <w:rPr>
                <w:sz w:val="16"/>
              </w:rPr>
              <w:t>Uporaba sektorskega modela</w:t>
            </w:r>
          </w:p>
        </w:tc>
        <w:tc>
          <w:tcPr>
            <w:tcW w:w="1701" w:type="dxa"/>
            <w:vMerge w:val="restart"/>
            <w:vAlign w:val="center"/>
            <w:hideMark/>
          </w:tcPr>
          <w:p w:rsidR="00515FD4" w:rsidRPr="001C6ACF" w:rsidRDefault="00B85F99" w:rsidP="007008C0">
            <w:pPr>
              <w:pStyle w:val="HStandard"/>
              <w:spacing w:after="0" w:line="240" w:lineRule="auto"/>
              <w:jc w:val="center"/>
              <w:rPr>
                <w:sz w:val="16"/>
                <w:szCs w:val="18"/>
              </w:rPr>
            </w:pPr>
            <w:r>
              <w:rPr>
                <w:sz w:val="16"/>
              </w:rPr>
              <w:t>Zasnova regresijske nezveznosti</w:t>
            </w:r>
            <w:r w:rsidR="00515FD4">
              <w:rPr>
                <w:sz w:val="16"/>
              </w:rPr>
              <w:t xml:space="preserve"> (RDD)</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Pristopi od spodaj navzgor s prenosom ugotovitev z mikro ravni</w:t>
            </w:r>
          </w:p>
        </w:tc>
      </w:tr>
      <w:tr w:rsidR="00515FD4" w:rsidRPr="001C6ACF" w:rsidTr="005F69E8">
        <w:trPr>
          <w:trHeight w:val="1167"/>
        </w:trPr>
        <w:tc>
          <w:tcPr>
            <w:tcW w:w="988" w:type="dxa"/>
            <w:tcBorders>
              <w:right w:val="nil"/>
            </w:tcBorders>
            <w:hideMark/>
          </w:tcPr>
          <w:p w:rsidR="00515FD4" w:rsidRPr="00336531" w:rsidRDefault="008D4934" w:rsidP="008D4934">
            <w:pPr>
              <w:pStyle w:val="HStandard"/>
              <w:jc w:val="center"/>
              <w:rPr>
                <w:b/>
                <w:bCs/>
                <w:color w:val="BE4A35" w:themeColor="accent2"/>
              </w:rPr>
            </w:pPr>
            <w:r>
              <w:rPr>
                <w:b/>
                <w:bCs/>
                <w:noProof/>
                <w:color w:val="BE4A35" w:themeColor="accent2"/>
                <w:lang w:bidi="ar-SA"/>
              </w:rPr>
              <w:drawing>
                <wp:anchor distT="0" distB="0" distL="114300" distR="114300" simplePos="0" relativeHeight="251727360" behindDoc="0" locked="0" layoutInCell="1" allowOverlap="1" wp14:anchorId="2C05950E" wp14:editId="6D33F341">
                  <wp:simplePos x="0" y="0"/>
                  <wp:positionH relativeFrom="column">
                    <wp:posOffset>31750</wp:posOffset>
                  </wp:positionH>
                  <wp:positionV relativeFrom="paragraph">
                    <wp:posOffset>215394</wp:posOffset>
                  </wp:positionV>
                  <wp:extent cx="489600" cy="489600"/>
                  <wp:effectExtent l="0" t="0" r="5715"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02.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Pr>
                <w:b/>
                <w:color w:val="BE4A35" w:themeColor="accent2"/>
              </w:rPr>
              <w:t>I.02</w:t>
            </w:r>
          </w:p>
        </w:tc>
        <w:tc>
          <w:tcPr>
            <w:tcW w:w="1417" w:type="dxa"/>
            <w:tcBorders>
              <w:left w:val="nil"/>
            </w:tcBorders>
            <w:vAlign w:val="center"/>
            <w:hideMark/>
          </w:tcPr>
          <w:p w:rsidR="00515FD4" w:rsidRPr="00336531" w:rsidRDefault="00515FD4" w:rsidP="00670F92">
            <w:pPr>
              <w:pStyle w:val="HStandard"/>
              <w:spacing w:after="0"/>
              <w:jc w:val="left"/>
              <w:rPr>
                <w:b/>
                <w:color w:val="BE4A35" w:themeColor="accent2"/>
                <w:sz w:val="16"/>
                <w:szCs w:val="18"/>
              </w:rPr>
            </w:pPr>
            <w:r>
              <w:rPr>
                <w:b/>
                <w:color w:val="BE4A35" w:themeColor="accent2"/>
                <w:sz w:val="16"/>
              </w:rPr>
              <w:t>Faktorski dohodek kmetijstva</w:t>
            </w: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r>
      <w:tr w:rsidR="00515FD4" w:rsidRPr="001C6ACF" w:rsidTr="005F69E8">
        <w:trPr>
          <w:trHeight w:val="1163"/>
        </w:trPr>
        <w:tc>
          <w:tcPr>
            <w:tcW w:w="988" w:type="dxa"/>
            <w:tcBorders>
              <w:right w:val="nil"/>
            </w:tcBorders>
            <w:hideMark/>
          </w:tcPr>
          <w:p w:rsidR="00515FD4" w:rsidRPr="00571D58" w:rsidRDefault="00515FD4" w:rsidP="004A2D39">
            <w:pPr>
              <w:pStyle w:val="HStandard"/>
              <w:jc w:val="center"/>
              <w:rPr>
                <w:b/>
                <w:bCs/>
                <w:color w:val="BE4A35" w:themeColor="accent2"/>
              </w:rPr>
            </w:pPr>
            <w:r>
              <w:rPr>
                <w:b/>
                <w:bCs/>
                <w:noProof/>
                <w:color w:val="BE4A35" w:themeColor="accent2"/>
                <w:lang w:bidi="ar-SA"/>
              </w:rPr>
              <w:drawing>
                <wp:anchor distT="0" distB="0" distL="114300" distR="114300" simplePos="0" relativeHeight="251712000" behindDoc="1" locked="0" layoutInCell="1" allowOverlap="1" wp14:anchorId="7D07F527" wp14:editId="3554D2C7">
                  <wp:simplePos x="0" y="0"/>
                  <wp:positionH relativeFrom="column">
                    <wp:posOffset>63428</wp:posOffset>
                  </wp:positionH>
                  <wp:positionV relativeFrom="paragraph">
                    <wp:posOffset>215900</wp:posOffset>
                  </wp:positionV>
                  <wp:extent cx="489585" cy="489585"/>
                  <wp:effectExtent l="0" t="0" r="0" b="5715"/>
                  <wp:wrapTight wrapText="bothSides">
                    <wp:wrapPolygon edited="0">
                      <wp:start x="6724" y="0"/>
                      <wp:lineTo x="5043" y="2521"/>
                      <wp:lineTo x="2521" y="14288"/>
                      <wp:lineTo x="5883" y="21012"/>
                      <wp:lineTo x="15128" y="21012"/>
                      <wp:lineTo x="18490" y="12607"/>
                      <wp:lineTo x="15969" y="2521"/>
                      <wp:lineTo x="14288" y="0"/>
                      <wp:lineTo x="672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03.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BE4A35" w:themeColor="accent2"/>
              </w:rPr>
              <w:t>I.03</w:t>
            </w:r>
          </w:p>
        </w:tc>
        <w:tc>
          <w:tcPr>
            <w:tcW w:w="1417" w:type="dxa"/>
            <w:tcBorders>
              <w:left w:val="nil"/>
            </w:tcBorders>
            <w:vAlign w:val="center"/>
            <w:hideMark/>
          </w:tcPr>
          <w:p w:rsidR="00515FD4" w:rsidRPr="00336531" w:rsidRDefault="00515FD4" w:rsidP="00670F92">
            <w:pPr>
              <w:pStyle w:val="HStandard"/>
              <w:spacing w:after="0"/>
              <w:jc w:val="left"/>
              <w:rPr>
                <w:b/>
                <w:color w:val="BE4A35" w:themeColor="accent2"/>
                <w:sz w:val="16"/>
                <w:szCs w:val="18"/>
              </w:rPr>
            </w:pPr>
            <w:r>
              <w:rPr>
                <w:b/>
                <w:color w:val="BE4A35" w:themeColor="accent2"/>
                <w:sz w:val="16"/>
              </w:rPr>
              <w:t>Skupna faktorska produktivnost v kmetijstvu</w:t>
            </w: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r>
      <w:tr w:rsidR="00515FD4" w:rsidRPr="001C6ACF" w:rsidTr="00670F92">
        <w:trPr>
          <w:trHeight w:val="255"/>
        </w:trPr>
        <w:tc>
          <w:tcPr>
            <w:tcW w:w="9209" w:type="dxa"/>
            <w:gridSpan w:val="6"/>
            <w:shd w:val="clear" w:color="auto" w:fill="57825E" w:themeFill="accent4"/>
            <w:hideMark/>
          </w:tcPr>
          <w:p w:rsidR="00515FD4" w:rsidRPr="001C6ACF" w:rsidRDefault="00515FD4" w:rsidP="007008C0">
            <w:pPr>
              <w:pStyle w:val="HStandard"/>
              <w:spacing w:line="240" w:lineRule="auto"/>
              <w:rPr>
                <w:bCs/>
                <w:color w:val="FFFFFF" w:themeColor="background1"/>
                <w:sz w:val="16"/>
              </w:rPr>
            </w:pPr>
            <w:r>
              <w:rPr>
                <w:color w:val="FFFFFF" w:themeColor="background1"/>
                <w:sz w:val="16"/>
              </w:rPr>
              <w:t>Vplivi na okolje</w:t>
            </w:r>
          </w:p>
        </w:tc>
      </w:tr>
      <w:tr w:rsidR="00515FD4" w:rsidRPr="001C6ACF" w:rsidTr="005F69E8">
        <w:trPr>
          <w:trHeight w:val="1068"/>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bidi="ar-SA"/>
              </w:rPr>
              <w:drawing>
                <wp:anchor distT="0" distB="0" distL="114300" distR="114300" simplePos="0" relativeHeight="251714048" behindDoc="1" locked="0" layoutInCell="1" allowOverlap="1" wp14:anchorId="1226EEA4" wp14:editId="7A9DD4F4">
                  <wp:simplePos x="0" y="0"/>
                  <wp:positionH relativeFrom="column">
                    <wp:posOffset>63572</wp:posOffset>
                  </wp:positionH>
                  <wp:positionV relativeFrom="paragraph">
                    <wp:posOffset>202983</wp:posOffset>
                  </wp:positionV>
                  <wp:extent cx="489585" cy="489585"/>
                  <wp:effectExtent l="0" t="0" r="5715" b="0"/>
                  <wp:wrapTight wrapText="bothSides">
                    <wp:wrapPolygon edited="0">
                      <wp:start x="10086" y="1681"/>
                      <wp:lineTo x="0" y="10926"/>
                      <wp:lineTo x="0" y="19331"/>
                      <wp:lineTo x="21012" y="19331"/>
                      <wp:lineTo x="21012" y="9245"/>
                      <wp:lineTo x="17650" y="1681"/>
                      <wp:lineTo x="10086" y="168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07.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I.07</w:t>
            </w:r>
          </w:p>
        </w:tc>
        <w:tc>
          <w:tcPr>
            <w:tcW w:w="1417" w:type="dxa"/>
            <w:tcBorders>
              <w:left w:val="nil"/>
            </w:tcBorders>
            <w:vAlign w:val="center"/>
            <w:hideMark/>
          </w:tcPr>
          <w:p w:rsidR="00515FD4" w:rsidRPr="00336531" w:rsidRDefault="00515FD4" w:rsidP="00670F92">
            <w:pPr>
              <w:pStyle w:val="HStandard"/>
              <w:jc w:val="left"/>
              <w:rPr>
                <w:rFonts w:cs="Arial"/>
                <w:b/>
                <w:color w:val="57825E" w:themeColor="accent4"/>
                <w:sz w:val="16"/>
                <w:szCs w:val="18"/>
              </w:rPr>
            </w:pPr>
            <w:r>
              <w:rPr>
                <w:b/>
                <w:color w:val="57825E" w:themeColor="accent4"/>
                <w:sz w:val="16"/>
              </w:rPr>
              <w:t xml:space="preserve">Emisije iz kmetijstva </w:t>
            </w:r>
          </w:p>
        </w:tc>
        <w:tc>
          <w:tcPr>
            <w:tcW w:w="1701" w:type="dxa"/>
            <w:vAlign w:val="center"/>
            <w:hideMark/>
          </w:tcPr>
          <w:p w:rsidR="00515FD4" w:rsidRPr="007645B4" w:rsidRDefault="00BB68D4" w:rsidP="00B85F99">
            <w:pPr>
              <w:pStyle w:val="HStandard"/>
              <w:spacing w:line="240" w:lineRule="auto"/>
              <w:jc w:val="center"/>
              <w:rPr>
                <w:rFonts w:cs="Arial"/>
                <w:sz w:val="16"/>
                <w:szCs w:val="18"/>
              </w:rPr>
            </w:pPr>
            <w:r>
              <w:rPr>
                <w:sz w:val="16"/>
              </w:rPr>
              <w:t xml:space="preserve">Tehnike regresije in </w:t>
            </w:r>
            <w:r w:rsidR="00B85F99">
              <w:rPr>
                <w:sz w:val="16"/>
              </w:rPr>
              <w:t>parjenja</w:t>
            </w:r>
          </w:p>
        </w:tc>
        <w:tc>
          <w:tcPr>
            <w:tcW w:w="1701" w:type="dxa"/>
            <w:vAlign w:val="center"/>
            <w:hideMark/>
          </w:tcPr>
          <w:p w:rsidR="00515FD4" w:rsidRPr="001C6ACF" w:rsidRDefault="00B85F99" w:rsidP="007008C0">
            <w:pPr>
              <w:pStyle w:val="HStandard"/>
              <w:spacing w:line="240" w:lineRule="auto"/>
              <w:jc w:val="center"/>
              <w:rPr>
                <w:rFonts w:cs="Arial"/>
                <w:sz w:val="16"/>
                <w:szCs w:val="18"/>
              </w:rPr>
            </w:pPr>
            <w:r>
              <w:rPr>
                <w:sz w:val="16"/>
              </w:rPr>
              <w:t>P</w:t>
            </w:r>
            <w:r w:rsidR="00B007B8">
              <w:rPr>
                <w:sz w:val="16"/>
              </w:rPr>
              <w:t>osplošeno parjenje izidov nagnje</w:t>
            </w:r>
            <w:r>
              <w:rPr>
                <w:sz w:val="16"/>
              </w:rPr>
              <w:t>nja</w:t>
            </w:r>
            <w:r w:rsidR="00515FD4">
              <w:rPr>
                <w:sz w:val="16"/>
              </w:rPr>
              <w:t xml:space="preserve"> (GPSM) z uporabo NUTS 3 ali drugih prostorskih podatkov</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Ga ni</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Enostavne primerjave izhodišč  </w:t>
            </w:r>
            <w:r>
              <w:rPr>
                <w:rFonts w:cs="Arial"/>
                <w:sz w:val="16"/>
                <w:szCs w:val="18"/>
              </w:rPr>
              <w:br/>
            </w:r>
            <w:r>
              <w:rPr>
                <w:sz w:val="16"/>
              </w:rPr>
              <w:t>(vključno s kvalitativnimi metodami)</w:t>
            </w:r>
          </w:p>
        </w:tc>
      </w:tr>
      <w:tr w:rsidR="00515FD4" w:rsidRPr="001C6ACF" w:rsidTr="005F69E8">
        <w:trPr>
          <w:trHeight w:val="630"/>
        </w:trPr>
        <w:tc>
          <w:tcPr>
            <w:tcW w:w="988" w:type="dxa"/>
            <w:tcBorders>
              <w:right w:val="nil"/>
            </w:tcBorders>
            <w:hideMark/>
          </w:tcPr>
          <w:p w:rsidR="00515FD4" w:rsidRPr="00571D58" w:rsidRDefault="008D4934" w:rsidP="000F570B">
            <w:pPr>
              <w:pStyle w:val="HStandard"/>
              <w:jc w:val="center"/>
              <w:rPr>
                <w:b/>
                <w:bCs/>
                <w:color w:val="57825E" w:themeColor="accent4"/>
              </w:rPr>
            </w:pPr>
            <w:r>
              <w:rPr>
                <w:b/>
                <w:bCs/>
                <w:noProof/>
                <w:color w:val="57825E" w:themeColor="accent4"/>
                <w:lang w:bidi="ar-SA"/>
              </w:rPr>
              <w:drawing>
                <wp:anchor distT="0" distB="0" distL="114300" distR="114300" simplePos="0" relativeHeight="251710976" behindDoc="1" locked="0" layoutInCell="1" allowOverlap="1" wp14:anchorId="13FF8A81" wp14:editId="4D714610">
                  <wp:simplePos x="0" y="0"/>
                  <wp:positionH relativeFrom="column">
                    <wp:posOffset>34290</wp:posOffset>
                  </wp:positionH>
                  <wp:positionV relativeFrom="paragraph">
                    <wp:posOffset>215136</wp:posOffset>
                  </wp:positionV>
                  <wp:extent cx="489585" cy="489585"/>
                  <wp:effectExtent l="0" t="0" r="5715" b="5715"/>
                  <wp:wrapTight wrapText="bothSides">
                    <wp:wrapPolygon edited="0">
                      <wp:start x="14288" y="0"/>
                      <wp:lineTo x="0" y="5883"/>
                      <wp:lineTo x="0" y="8405"/>
                      <wp:lineTo x="8405" y="13447"/>
                      <wp:lineTo x="13447" y="21012"/>
                      <wp:lineTo x="14288" y="21012"/>
                      <wp:lineTo x="18490" y="21012"/>
                      <wp:lineTo x="15969" y="13447"/>
                      <wp:lineTo x="21012" y="3362"/>
                      <wp:lineTo x="21012" y="0"/>
                      <wp:lineTo x="18490" y="0"/>
                      <wp:lineTo x="14288"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08.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I.08</w:t>
            </w:r>
          </w:p>
        </w:tc>
        <w:tc>
          <w:tcPr>
            <w:tcW w:w="1417" w:type="dxa"/>
            <w:tcBorders>
              <w:left w:val="nil"/>
            </w:tcBorders>
            <w:vAlign w:val="center"/>
            <w:hideMark/>
          </w:tcPr>
          <w:p w:rsidR="00515FD4" w:rsidRPr="00FB6C06" w:rsidRDefault="00515FD4" w:rsidP="00670F92">
            <w:pPr>
              <w:pStyle w:val="HStandard"/>
              <w:jc w:val="left"/>
              <w:rPr>
                <w:rFonts w:cs="Arial"/>
                <w:b/>
                <w:color w:val="57825E" w:themeColor="accent4"/>
                <w:sz w:val="16"/>
                <w:szCs w:val="18"/>
              </w:rPr>
            </w:pPr>
            <w:r>
              <w:rPr>
                <w:b/>
                <w:color w:val="57825E" w:themeColor="accent4"/>
                <w:sz w:val="16"/>
              </w:rPr>
              <w:t>Indeks ptic kmetijske krajine</w:t>
            </w:r>
          </w:p>
        </w:tc>
        <w:tc>
          <w:tcPr>
            <w:tcW w:w="1701" w:type="dxa"/>
            <w:vMerge w:val="restart"/>
            <w:vAlign w:val="center"/>
            <w:hideMark/>
          </w:tcPr>
          <w:p w:rsidR="00515FD4" w:rsidRPr="001C6ACF" w:rsidRDefault="00B007B8" w:rsidP="007008C0">
            <w:pPr>
              <w:pStyle w:val="HStandard"/>
              <w:spacing w:line="240" w:lineRule="auto"/>
              <w:jc w:val="center"/>
              <w:rPr>
                <w:rFonts w:cs="Arial"/>
                <w:sz w:val="16"/>
                <w:szCs w:val="18"/>
              </w:rPr>
            </w:pPr>
            <w:r>
              <w:rPr>
                <w:sz w:val="16"/>
              </w:rPr>
              <w:t>Parjenje izidov nagnje</w:t>
            </w:r>
            <w:r w:rsidR="00B85F99">
              <w:rPr>
                <w:sz w:val="16"/>
              </w:rPr>
              <w:t>nja</w:t>
            </w:r>
            <w:r w:rsidR="00515FD4">
              <w:rPr>
                <w:sz w:val="16"/>
              </w:rPr>
              <w:t xml:space="preserve"> (PSM) in metoda razlika v razlikah (DiD)</w:t>
            </w:r>
          </w:p>
        </w:tc>
        <w:tc>
          <w:tcPr>
            <w:tcW w:w="1701" w:type="dxa"/>
            <w:vMerge w:val="restart"/>
            <w:vAlign w:val="center"/>
            <w:hideMark/>
          </w:tcPr>
          <w:p w:rsidR="00515FD4" w:rsidRPr="001C6ACF" w:rsidRDefault="00B007B8" w:rsidP="007008C0">
            <w:pPr>
              <w:pStyle w:val="HStandard"/>
              <w:spacing w:line="240" w:lineRule="auto"/>
              <w:jc w:val="center"/>
              <w:rPr>
                <w:rFonts w:cs="Arial"/>
                <w:sz w:val="16"/>
                <w:szCs w:val="18"/>
              </w:rPr>
            </w:pPr>
            <w:r>
              <w:rPr>
                <w:sz w:val="16"/>
              </w:rPr>
              <w:t>Parjenje izidov nagnje</w:t>
            </w:r>
            <w:r w:rsidR="00B85F99">
              <w:rPr>
                <w:sz w:val="16"/>
              </w:rPr>
              <w:t>nja</w:t>
            </w:r>
            <w:r w:rsidR="00515FD4">
              <w:rPr>
                <w:sz w:val="16"/>
              </w:rPr>
              <w:t xml:space="preserve"> (PSM) in metoda razlika v razlikah (DiD)</w:t>
            </w:r>
          </w:p>
          <w:p w:rsidR="00515FD4" w:rsidRPr="001C6ACF" w:rsidRDefault="00515FD4" w:rsidP="007008C0">
            <w:pPr>
              <w:pStyle w:val="HStandard"/>
              <w:spacing w:line="240" w:lineRule="auto"/>
              <w:jc w:val="center"/>
              <w:rPr>
                <w:rFonts w:cs="Arial"/>
                <w:sz w:val="16"/>
                <w:szCs w:val="18"/>
              </w:rPr>
            </w:pPr>
            <w:r>
              <w:rPr>
                <w:sz w:val="16"/>
              </w:rPr>
              <w:t>Prostorski ekonometrični modeli na biogeografskih območjih</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Statistična analiza </w:t>
            </w:r>
            <w:r>
              <w:rPr>
                <w:i/>
                <w:sz w:val="16"/>
              </w:rPr>
              <w:t>ad hoc</w:t>
            </w:r>
            <w:r>
              <w:rPr>
                <w:sz w:val="16"/>
              </w:rPr>
              <w:t xml:space="preserve"> primerjav po parih ali več </w:t>
            </w:r>
            <w:r w:rsidRPr="00FB030D">
              <w:rPr>
                <w:sz w:val="16"/>
                <w:szCs w:val="16"/>
              </w:rPr>
              <w:t>primerjalnih skupin z uporabo DiD, ki jo spremljajo kvalitativne ocene</w:t>
            </w:r>
          </w:p>
        </w:tc>
        <w:tc>
          <w:tcPr>
            <w:tcW w:w="1701" w:type="dxa"/>
            <w:vMerge w:val="restart"/>
            <w:vAlign w:val="center"/>
            <w:hideMark/>
          </w:tcPr>
          <w:p w:rsidR="00515FD4" w:rsidRPr="00FB030D" w:rsidRDefault="00515FD4" w:rsidP="007008C0">
            <w:pPr>
              <w:pStyle w:val="HStandard"/>
              <w:spacing w:line="240" w:lineRule="auto"/>
              <w:jc w:val="center"/>
              <w:rPr>
                <w:rFonts w:cs="Arial"/>
                <w:sz w:val="16"/>
                <w:szCs w:val="16"/>
              </w:rPr>
            </w:pPr>
            <w:r w:rsidRPr="00FB030D">
              <w:rPr>
                <w:sz w:val="16"/>
                <w:szCs w:val="16"/>
              </w:rPr>
              <w:t>Pristopi od spodaj navzgor s prenosom ugotovitev z mikro ravni, ki jih spremljajo kvalitativne ocene</w:t>
            </w:r>
          </w:p>
        </w:tc>
      </w:tr>
      <w:tr w:rsidR="00515FD4" w:rsidRPr="001C6ACF" w:rsidTr="00A21866">
        <w:trPr>
          <w:trHeight w:val="1083"/>
        </w:trPr>
        <w:tc>
          <w:tcPr>
            <w:tcW w:w="988" w:type="dxa"/>
            <w:tcBorders>
              <w:right w:val="nil"/>
            </w:tcBorders>
            <w:hideMark/>
          </w:tcPr>
          <w:p w:rsidR="00515FD4" w:rsidRPr="00571D58" w:rsidRDefault="00515FD4" w:rsidP="004A2D39">
            <w:pPr>
              <w:pStyle w:val="HStandard"/>
              <w:jc w:val="center"/>
              <w:rPr>
                <w:b/>
                <w:bCs/>
                <w:color w:val="57825E" w:themeColor="accent4"/>
              </w:rPr>
            </w:pPr>
            <w:r>
              <w:rPr>
                <w:b/>
                <w:bCs/>
                <w:noProof/>
                <w:color w:val="57825E" w:themeColor="accent4"/>
                <w:lang w:bidi="ar-SA"/>
              </w:rPr>
              <w:drawing>
                <wp:anchor distT="0" distB="0" distL="114300" distR="114300" simplePos="0" relativeHeight="251709952" behindDoc="1" locked="0" layoutInCell="1" allowOverlap="1" wp14:anchorId="3CD2A7C8" wp14:editId="787B825D">
                  <wp:simplePos x="0" y="0"/>
                  <wp:positionH relativeFrom="column">
                    <wp:posOffset>63500</wp:posOffset>
                  </wp:positionH>
                  <wp:positionV relativeFrom="paragraph">
                    <wp:posOffset>183627</wp:posOffset>
                  </wp:positionV>
                  <wp:extent cx="489585" cy="489585"/>
                  <wp:effectExtent l="0" t="0" r="5715" b="5715"/>
                  <wp:wrapTight wrapText="bothSides">
                    <wp:wrapPolygon edited="0">
                      <wp:start x="840" y="0"/>
                      <wp:lineTo x="0" y="5043"/>
                      <wp:lineTo x="0" y="18490"/>
                      <wp:lineTo x="14288" y="21012"/>
                      <wp:lineTo x="17650" y="21012"/>
                      <wp:lineTo x="21012" y="15969"/>
                      <wp:lineTo x="21012" y="1681"/>
                      <wp:lineTo x="6724" y="0"/>
                      <wp:lineTo x="84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09.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I.09</w:t>
            </w:r>
          </w:p>
        </w:tc>
        <w:tc>
          <w:tcPr>
            <w:tcW w:w="1417" w:type="dxa"/>
            <w:tcBorders>
              <w:left w:val="nil"/>
            </w:tcBorders>
            <w:vAlign w:val="center"/>
            <w:hideMark/>
          </w:tcPr>
          <w:p w:rsidR="00515FD4" w:rsidRPr="00336531" w:rsidRDefault="00515FD4" w:rsidP="00670F92">
            <w:pPr>
              <w:pStyle w:val="HStandard"/>
              <w:jc w:val="left"/>
              <w:rPr>
                <w:rFonts w:cs="Arial"/>
                <w:b/>
                <w:color w:val="57825E" w:themeColor="accent4"/>
                <w:sz w:val="16"/>
                <w:szCs w:val="18"/>
              </w:rPr>
            </w:pPr>
            <w:r>
              <w:rPr>
                <w:b/>
                <w:color w:val="57825E" w:themeColor="accent4"/>
                <w:sz w:val="16"/>
              </w:rPr>
              <w:t>Kmetovanje z visoko naravno vrednostjo</w:t>
            </w: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r>
      <w:tr w:rsidR="00273775" w:rsidRPr="001C6ACF" w:rsidTr="00A21866">
        <w:trPr>
          <w:trHeight w:val="1082"/>
        </w:trPr>
        <w:tc>
          <w:tcPr>
            <w:tcW w:w="988" w:type="dxa"/>
            <w:tcBorders>
              <w:right w:val="nil"/>
            </w:tcBorders>
            <w:hideMark/>
          </w:tcPr>
          <w:p w:rsidR="00273775" w:rsidRPr="00571D58" w:rsidRDefault="00273775" w:rsidP="000F570B">
            <w:pPr>
              <w:pStyle w:val="HStandard"/>
              <w:jc w:val="center"/>
              <w:rPr>
                <w:b/>
                <w:bCs/>
                <w:color w:val="57825E" w:themeColor="accent4"/>
              </w:rPr>
            </w:pPr>
            <w:r>
              <w:rPr>
                <w:b/>
                <w:bCs/>
                <w:noProof/>
                <w:color w:val="57825E" w:themeColor="accent4"/>
                <w:lang w:bidi="ar-SA"/>
              </w:rPr>
              <w:drawing>
                <wp:anchor distT="0" distB="0" distL="114300" distR="114300" simplePos="0" relativeHeight="251722240" behindDoc="1" locked="0" layoutInCell="1" allowOverlap="1" wp14:anchorId="1269F250" wp14:editId="05819B84">
                  <wp:simplePos x="0" y="0"/>
                  <wp:positionH relativeFrom="column">
                    <wp:posOffset>63572</wp:posOffset>
                  </wp:positionH>
                  <wp:positionV relativeFrom="paragraph">
                    <wp:posOffset>208481</wp:posOffset>
                  </wp:positionV>
                  <wp:extent cx="489585" cy="489585"/>
                  <wp:effectExtent l="0" t="0" r="5715" b="5715"/>
                  <wp:wrapTight wrapText="bothSides">
                    <wp:wrapPolygon edited="0">
                      <wp:start x="6724" y="0"/>
                      <wp:lineTo x="0" y="3362"/>
                      <wp:lineTo x="0" y="14288"/>
                      <wp:lineTo x="13447" y="21012"/>
                      <wp:lineTo x="14288" y="21012"/>
                      <wp:lineTo x="21012" y="21012"/>
                      <wp:lineTo x="21012" y="13447"/>
                      <wp:lineTo x="20171" y="7564"/>
                      <wp:lineTo x="15128" y="0"/>
                      <wp:lineTo x="6724" y="0"/>
                    </wp:wrapPolygon>
                  </wp:wrapTight>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10.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I.10</w:t>
            </w:r>
          </w:p>
        </w:tc>
        <w:tc>
          <w:tcPr>
            <w:tcW w:w="1417" w:type="dxa"/>
            <w:tcBorders>
              <w:left w:val="nil"/>
            </w:tcBorders>
            <w:vAlign w:val="center"/>
            <w:hideMark/>
          </w:tcPr>
          <w:p w:rsidR="00273775" w:rsidRPr="00336531" w:rsidRDefault="00273775" w:rsidP="00670F92">
            <w:pPr>
              <w:pStyle w:val="HStandard"/>
              <w:jc w:val="left"/>
              <w:rPr>
                <w:rFonts w:cs="Arial"/>
                <w:b/>
                <w:color w:val="57825E" w:themeColor="accent4"/>
                <w:sz w:val="16"/>
                <w:szCs w:val="18"/>
              </w:rPr>
            </w:pPr>
            <w:r>
              <w:rPr>
                <w:b/>
                <w:color w:val="57825E" w:themeColor="accent4"/>
                <w:sz w:val="16"/>
              </w:rPr>
              <w:t xml:space="preserve">Odvzem vode v kmetijstvu </w:t>
            </w:r>
          </w:p>
        </w:tc>
        <w:tc>
          <w:tcPr>
            <w:tcW w:w="1701" w:type="dxa"/>
            <w:vMerge w:val="restart"/>
            <w:vAlign w:val="center"/>
            <w:hideMark/>
          </w:tcPr>
          <w:p w:rsidR="00273775" w:rsidRPr="001C6ACF" w:rsidRDefault="00273775" w:rsidP="007008C0">
            <w:pPr>
              <w:pStyle w:val="HStandard"/>
              <w:spacing w:line="240" w:lineRule="auto"/>
              <w:jc w:val="center"/>
              <w:rPr>
                <w:rFonts w:cs="Arial"/>
                <w:sz w:val="16"/>
                <w:szCs w:val="18"/>
              </w:rPr>
            </w:pPr>
            <w:r>
              <w:rPr>
                <w:sz w:val="16"/>
              </w:rPr>
              <w:t xml:space="preserve">Tehnike regresije in </w:t>
            </w:r>
            <w:r w:rsidR="00B85F99">
              <w:rPr>
                <w:sz w:val="16"/>
              </w:rPr>
              <w:t>parjenja</w:t>
            </w:r>
            <w:r>
              <w:rPr>
                <w:sz w:val="16"/>
              </w:rPr>
              <w:t xml:space="preserve"> za I.10, I.11-1 in, odvisno od razpoložljivosti podatkov, za I.11-2 </w:t>
            </w:r>
            <w:r>
              <w:rPr>
                <w:rFonts w:cs="Arial"/>
                <w:sz w:val="16"/>
                <w:szCs w:val="18"/>
              </w:rPr>
              <w:br/>
            </w:r>
            <w:r>
              <w:rPr>
                <w:sz w:val="16"/>
              </w:rPr>
              <w:t>Simulacija „študije primera“ za vodno območje ali njegovo podenoto le za I.11-2</w:t>
            </w:r>
          </w:p>
        </w:tc>
        <w:tc>
          <w:tcPr>
            <w:tcW w:w="1701" w:type="dxa"/>
            <w:vMerge w:val="restart"/>
            <w:vAlign w:val="center"/>
            <w:hideMark/>
          </w:tcPr>
          <w:p w:rsidR="00273775" w:rsidRPr="001C6ACF" w:rsidRDefault="00B85F99" w:rsidP="007008C0">
            <w:pPr>
              <w:pStyle w:val="HStandard"/>
              <w:spacing w:line="240" w:lineRule="auto"/>
              <w:jc w:val="center"/>
              <w:rPr>
                <w:rFonts w:cs="Arial"/>
                <w:sz w:val="16"/>
                <w:szCs w:val="18"/>
              </w:rPr>
            </w:pPr>
            <w:r>
              <w:rPr>
                <w:sz w:val="16"/>
              </w:rPr>
              <w:t>P</w:t>
            </w:r>
            <w:r w:rsidR="00B007B8">
              <w:rPr>
                <w:sz w:val="16"/>
              </w:rPr>
              <w:t>osplošeno parjenje izidov nagnje</w:t>
            </w:r>
            <w:r>
              <w:rPr>
                <w:sz w:val="16"/>
              </w:rPr>
              <w:t>nja</w:t>
            </w:r>
            <w:r w:rsidR="00273775">
              <w:rPr>
                <w:sz w:val="16"/>
              </w:rPr>
              <w:t xml:space="preserve"> (GPSM)  </w:t>
            </w:r>
            <w:r w:rsidR="00273775">
              <w:rPr>
                <w:rFonts w:cs="Arial"/>
                <w:sz w:val="16"/>
                <w:szCs w:val="18"/>
              </w:rPr>
              <w:br/>
            </w:r>
            <w:r w:rsidR="00273775">
              <w:rPr>
                <w:sz w:val="16"/>
              </w:rPr>
              <w:t xml:space="preserve"> </w:t>
            </w:r>
            <w:r w:rsidR="00273775">
              <w:rPr>
                <w:rFonts w:cs="Arial"/>
                <w:sz w:val="16"/>
                <w:szCs w:val="18"/>
              </w:rPr>
              <w:br/>
            </w:r>
            <w:r w:rsidR="00273775">
              <w:rPr>
                <w:sz w:val="16"/>
              </w:rPr>
              <w:t>Prostorske ekonometrične metode</w:t>
            </w:r>
          </w:p>
        </w:tc>
        <w:tc>
          <w:tcPr>
            <w:tcW w:w="1701" w:type="dxa"/>
            <w:vMerge w:val="restart"/>
            <w:vAlign w:val="center"/>
            <w:hideMark/>
          </w:tcPr>
          <w:p w:rsidR="00273775" w:rsidRPr="001C6ACF" w:rsidRDefault="00B9614C" w:rsidP="007008C0">
            <w:pPr>
              <w:pStyle w:val="HStandard"/>
              <w:spacing w:line="240" w:lineRule="auto"/>
              <w:jc w:val="center"/>
              <w:rPr>
                <w:rFonts w:cs="Arial"/>
                <w:sz w:val="16"/>
                <w:szCs w:val="18"/>
              </w:rPr>
            </w:pPr>
            <w:r>
              <w:rPr>
                <w:sz w:val="16"/>
              </w:rPr>
              <w:t>Kvalitativne metode</w:t>
            </w:r>
          </w:p>
        </w:tc>
        <w:tc>
          <w:tcPr>
            <w:tcW w:w="1701" w:type="dxa"/>
            <w:vMerge w:val="restart"/>
            <w:vAlign w:val="center"/>
          </w:tcPr>
          <w:p w:rsidR="00273775" w:rsidRPr="001C6ACF" w:rsidRDefault="001043CE" w:rsidP="007008C0">
            <w:pPr>
              <w:pStyle w:val="HStandard"/>
              <w:spacing w:line="240" w:lineRule="auto"/>
              <w:jc w:val="center"/>
              <w:rPr>
                <w:rFonts w:cs="Arial"/>
                <w:sz w:val="16"/>
                <w:szCs w:val="18"/>
              </w:rPr>
            </w:pPr>
            <w:r>
              <w:rPr>
                <w:sz w:val="16"/>
              </w:rPr>
              <w:t>Enostavne primerjave skupin, podprte s kvalitativnimi metodami</w:t>
            </w:r>
          </w:p>
        </w:tc>
      </w:tr>
      <w:tr w:rsidR="00273775" w:rsidRPr="001C6ACF" w:rsidTr="00A21866">
        <w:trPr>
          <w:trHeight w:val="984"/>
        </w:trPr>
        <w:tc>
          <w:tcPr>
            <w:tcW w:w="988" w:type="dxa"/>
            <w:tcBorders>
              <w:right w:val="nil"/>
            </w:tcBorders>
            <w:hideMark/>
          </w:tcPr>
          <w:p w:rsidR="00273775" w:rsidRPr="00571D58" w:rsidRDefault="00273775" w:rsidP="000F570B">
            <w:pPr>
              <w:pStyle w:val="HStandard"/>
              <w:jc w:val="center"/>
              <w:rPr>
                <w:b/>
                <w:bCs/>
                <w:color w:val="57825E" w:themeColor="accent4"/>
              </w:rPr>
            </w:pPr>
            <w:r>
              <w:rPr>
                <w:b/>
                <w:bCs/>
                <w:noProof/>
                <w:color w:val="57825E" w:themeColor="accent4"/>
                <w:lang w:bidi="ar-SA"/>
              </w:rPr>
              <w:drawing>
                <wp:anchor distT="0" distB="0" distL="114300" distR="114300" simplePos="0" relativeHeight="251721216" behindDoc="1" locked="0" layoutInCell="1" allowOverlap="1" wp14:anchorId="7243E7F4" wp14:editId="32265F39">
                  <wp:simplePos x="0" y="0"/>
                  <wp:positionH relativeFrom="column">
                    <wp:posOffset>60960</wp:posOffset>
                  </wp:positionH>
                  <wp:positionV relativeFrom="paragraph">
                    <wp:posOffset>213360</wp:posOffset>
                  </wp:positionV>
                  <wp:extent cx="489585" cy="489585"/>
                  <wp:effectExtent l="0" t="0" r="5715" b="5715"/>
                  <wp:wrapTight wrapText="bothSides">
                    <wp:wrapPolygon edited="0">
                      <wp:start x="5043" y="0"/>
                      <wp:lineTo x="0" y="3362"/>
                      <wp:lineTo x="0" y="17650"/>
                      <wp:lineTo x="5043" y="21012"/>
                      <wp:lineTo x="15969" y="21012"/>
                      <wp:lineTo x="21012" y="17650"/>
                      <wp:lineTo x="21012" y="3362"/>
                      <wp:lineTo x="15969" y="0"/>
                      <wp:lineTo x="5043" y="0"/>
                    </wp:wrapPolygon>
                  </wp:wrapTight>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I.1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I.11</w:t>
            </w:r>
          </w:p>
        </w:tc>
        <w:tc>
          <w:tcPr>
            <w:tcW w:w="1417" w:type="dxa"/>
            <w:tcBorders>
              <w:left w:val="nil"/>
            </w:tcBorders>
            <w:vAlign w:val="center"/>
            <w:hideMark/>
          </w:tcPr>
          <w:p w:rsidR="00273775" w:rsidRPr="00336531" w:rsidRDefault="00273775" w:rsidP="00670F92">
            <w:pPr>
              <w:pStyle w:val="HStandard"/>
              <w:jc w:val="left"/>
              <w:rPr>
                <w:rFonts w:cs="Arial"/>
                <w:b/>
                <w:color w:val="57825E" w:themeColor="accent4"/>
                <w:sz w:val="16"/>
                <w:szCs w:val="18"/>
              </w:rPr>
            </w:pPr>
            <w:r>
              <w:rPr>
                <w:b/>
                <w:color w:val="57825E" w:themeColor="accent4"/>
                <w:sz w:val="16"/>
              </w:rPr>
              <w:t xml:space="preserve">Kakovost vode </w:t>
            </w: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tcPr>
          <w:p w:rsidR="00273775" w:rsidRPr="001C6ACF" w:rsidRDefault="00273775" w:rsidP="007008C0">
            <w:pPr>
              <w:pStyle w:val="HStandard"/>
              <w:spacing w:line="240" w:lineRule="auto"/>
              <w:jc w:val="center"/>
              <w:rPr>
                <w:rFonts w:cs="Arial"/>
                <w:sz w:val="16"/>
                <w:szCs w:val="18"/>
              </w:rPr>
            </w:pPr>
          </w:p>
        </w:tc>
      </w:tr>
      <w:tr w:rsidR="00515FD4" w:rsidRPr="001C6ACF" w:rsidTr="005F69E8">
        <w:trPr>
          <w:trHeight w:val="1214"/>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bidi="ar-SA"/>
              </w:rPr>
              <w:drawing>
                <wp:anchor distT="0" distB="0" distL="114300" distR="114300" simplePos="0" relativeHeight="251715072" behindDoc="1" locked="0" layoutInCell="1" allowOverlap="1" wp14:anchorId="392AA93D" wp14:editId="34AB6C84">
                  <wp:simplePos x="0" y="0"/>
                  <wp:positionH relativeFrom="column">
                    <wp:posOffset>33944</wp:posOffset>
                  </wp:positionH>
                  <wp:positionV relativeFrom="paragraph">
                    <wp:posOffset>247650</wp:posOffset>
                  </wp:positionV>
                  <wp:extent cx="489585" cy="489585"/>
                  <wp:effectExtent l="0" t="0" r="5715" b="5715"/>
                  <wp:wrapTight wrapText="bothSides">
                    <wp:wrapPolygon edited="0">
                      <wp:start x="4202" y="0"/>
                      <wp:lineTo x="0" y="840"/>
                      <wp:lineTo x="0" y="21012"/>
                      <wp:lineTo x="21012" y="21012"/>
                      <wp:lineTo x="21012" y="840"/>
                      <wp:lineTo x="16809" y="0"/>
                      <wp:lineTo x="4202"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1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I.12</w:t>
            </w:r>
          </w:p>
        </w:tc>
        <w:tc>
          <w:tcPr>
            <w:tcW w:w="1417" w:type="dxa"/>
            <w:tcBorders>
              <w:left w:val="nil"/>
            </w:tcBorders>
            <w:vAlign w:val="center"/>
            <w:hideMark/>
          </w:tcPr>
          <w:p w:rsidR="00515FD4" w:rsidRPr="00336531" w:rsidRDefault="00515FD4" w:rsidP="001B04F9">
            <w:pPr>
              <w:pStyle w:val="HStandard"/>
              <w:jc w:val="left"/>
              <w:rPr>
                <w:rFonts w:cs="Arial"/>
                <w:b/>
                <w:color w:val="57825E" w:themeColor="accent4"/>
                <w:sz w:val="16"/>
                <w:szCs w:val="18"/>
              </w:rPr>
            </w:pPr>
            <w:r>
              <w:rPr>
                <w:b/>
                <w:color w:val="57825E" w:themeColor="accent4"/>
                <w:sz w:val="16"/>
              </w:rPr>
              <w:t xml:space="preserve">Organske snovi v tleh na ornih zemljiščih </w:t>
            </w:r>
          </w:p>
        </w:tc>
        <w:tc>
          <w:tcPr>
            <w:tcW w:w="1701" w:type="dxa"/>
            <w:vAlign w:val="center"/>
            <w:hideMark/>
          </w:tcPr>
          <w:p w:rsidR="00515FD4" w:rsidRPr="001C6ACF" w:rsidRDefault="00FF2060" w:rsidP="007008C0">
            <w:pPr>
              <w:pStyle w:val="HStandard"/>
              <w:spacing w:line="240" w:lineRule="auto"/>
              <w:jc w:val="center"/>
              <w:rPr>
                <w:rFonts w:cs="Arial"/>
                <w:sz w:val="16"/>
                <w:szCs w:val="18"/>
              </w:rPr>
            </w:pPr>
            <w:r>
              <w:rPr>
                <w:sz w:val="16"/>
              </w:rPr>
              <w:t>Ocena organskih snovi v tleh (OST) na globini 0–60 cm</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Ga ni</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Ocena OST  </w:t>
            </w:r>
            <w:r>
              <w:rPr>
                <w:rFonts w:cs="Arial"/>
                <w:sz w:val="16"/>
                <w:szCs w:val="18"/>
              </w:rPr>
              <w:br/>
            </w:r>
            <w:r>
              <w:rPr>
                <w:sz w:val="16"/>
              </w:rPr>
              <w:t>na podlagi poenostavljenih programov za spremljanje tal</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Ocena OST na podlagi  </w:t>
            </w:r>
            <w:r>
              <w:rPr>
                <w:rFonts w:cs="Arial"/>
                <w:sz w:val="16"/>
                <w:szCs w:val="18"/>
              </w:rPr>
              <w:br/>
            </w:r>
            <w:r>
              <w:rPr>
                <w:sz w:val="16"/>
              </w:rPr>
              <w:t>podatkovne zbirke LUCAS</w:t>
            </w:r>
          </w:p>
        </w:tc>
      </w:tr>
      <w:tr w:rsidR="00515FD4" w:rsidRPr="001C6ACF" w:rsidTr="006A4FC1">
        <w:trPr>
          <w:trHeight w:val="43"/>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bidi="ar-SA"/>
              </w:rPr>
              <w:drawing>
                <wp:anchor distT="0" distB="0" distL="114300" distR="114300" simplePos="0" relativeHeight="251716096" behindDoc="1" locked="0" layoutInCell="1" allowOverlap="1" wp14:anchorId="2F6ED840" wp14:editId="4A6ACFFD">
                  <wp:simplePos x="0" y="0"/>
                  <wp:positionH relativeFrom="column">
                    <wp:posOffset>62881</wp:posOffset>
                  </wp:positionH>
                  <wp:positionV relativeFrom="paragraph">
                    <wp:posOffset>198321</wp:posOffset>
                  </wp:positionV>
                  <wp:extent cx="489585" cy="489585"/>
                  <wp:effectExtent l="0" t="0" r="5715" b="5715"/>
                  <wp:wrapTight wrapText="bothSides">
                    <wp:wrapPolygon edited="0">
                      <wp:start x="4202" y="0"/>
                      <wp:lineTo x="0" y="0"/>
                      <wp:lineTo x="0" y="21012"/>
                      <wp:lineTo x="21012" y="21012"/>
                      <wp:lineTo x="21012" y="12607"/>
                      <wp:lineTo x="15969" y="0"/>
                      <wp:lineTo x="420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13.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I.13</w:t>
            </w:r>
          </w:p>
        </w:tc>
        <w:tc>
          <w:tcPr>
            <w:tcW w:w="1417" w:type="dxa"/>
            <w:tcBorders>
              <w:left w:val="nil"/>
            </w:tcBorders>
            <w:vAlign w:val="center"/>
            <w:hideMark/>
          </w:tcPr>
          <w:p w:rsidR="006E3A77" w:rsidRPr="00FB6C06" w:rsidRDefault="00515FD4" w:rsidP="001B04F9">
            <w:pPr>
              <w:pStyle w:val="HStandard"/>
              <w:jc w:val="left"/>
              <w:rPr>
                <w:rFonts w:cs="Arial"/>
                <w:b/>
                <w:color w:val="57825E" w:themeColor="accent4"/>
                <w:sz w:val="16"/>
                <w:szCs w:val="18"/>
              </w:rPr>
            </w:pPr>
            <w:r>
              <w:rPr>
                <w:b/>
                <w:color w:val="57825E" w:themeColor="accent4"/>
                <w:sz w:val="16"/>
              </w:rPr>
              <w:t>Erozija tal zaradi vode</w:t>
            </w:r>
          </w:p>
        </w:tc>
        <w:tc>
          <w:tcPr>
            <w:tcW w:w="1701" w:type="dxa"/>
            <w:vAlign w:val="center"/>
            <w:hideMark/>
          </w:tcPr>
          <w:p w:rsidR="00515FD4" w:rsidRPr="00863E73" w:rsidRDefault="00BB68D4" w:rsidP="007008C0">
            <w:pPr>
              <w:pStyle w:val="NormalWeb"/>
              <w:jc w:val="center"/>
              <w:rPr>
                <w:rFonts w:ascii="Arial" w:hAnsi="Arial" w:cs="Arial"/>
                <w:color w:val="373737" w:themeColor="text1"/>
                <w:sz w:val="16"/>
                <w:szCs w:val="18"/>
              </w:rPr>
            </w:pPr>
            <w:r>
              <w:rPr>
                <w:rFonts w:ascii="Arial" w:hAnsi="Arial"/>
                <w:color w:val="373737" w:themeColor="text1"/>
                <w:sz w:val="16"/>
              </w:rPr>
              <w:t>Tehnike vrednotenja na podlagi statističnih podatkov</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Prostorska ekonometrija GPSM, podprta z DiD</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Enostavne primerjave izhodišč ali primerjave dinamičnih skupin</w:t>
            </w:r>
          </w:p>
        </w:tc>
        <w:tc>
          <w:tcPr>
            <w:tcW w:w="1701" w:type="dxa"/>
            <w:vAlign w:val="center"/>
            <w:hideMark/>
          </w:tcPr>
          <w:p w:rsidR="00B52E11" w:rsidRPr="001C6ACF" w:rsidRDefault="00515FD4" w:rsidP="007008C0">
            <w:pPr>
              <w:pStyle w:val="HStandard"/>
              <w:spacing w:line="240" w:lineRule="auto"/>
              <w:jc w:val="center"/>
              <w:rPr>
                <w:rFonts w:cs="Arial"/>
                <w:sz w:val="16"/>
                <w:szCs w:val="18"/>
              </w:rPr>
            </w:pPr>
            <w:r>
              <w:rPr>
                <w:sz w:val="16"/>
              </w:rPr>
              <w:t>Kvantitativna enostavna ocena prostorskih enot in nacionalnega povprečja</w:t>
            </w:r>
          </w:p>
          <w:p w:rsidR="00735F08" w:rsidRPr="001C6ACF" w:rsidRDefault="00735F08" w:rsidP="007008C0">
            <w:pPr>
              <w:pStyle w:val="HStandard"/>
              <w:spacing w:line="240" w:lineRule="auto"/>
              <w:jc w:val="center"/>
              <w:rPr>
                <w:rFonts w:cs="Arial"/>
                <w:sz w:val="16"/>
                <w:szCs w:val="18"/>
              </w:rPr>
            </w:pPr>
          </w:p>
        </w:tc>
      </w:tr>
      <w:tr w:rsidR="00515FD4" w:rsidRPr="001C6ACF" w:rsidTr="00670F92">
        <w:trPr>
          <w:trHeight w:val="255"/>
        </w:trPr>
        <w:tc>
          <w:tcPr>
            <w:tcW w:w="9209" w:type="dxa"/>
            <w:gridSpan w:val="6"/>
            <w:tcBorders>
              <w:top w:val="single" w:sz="4" w:space="0" w:color="FFFFFF" w:themeColor="background1"/>
            </w:tcBorders>
            <w:shd w:val="clear" w:color="auto" w:fill="59638E" w:themeFill="accent3"/>
            <w:hideMark/>
          </w:tcPr>
          <w:p w:rsidR="00515FD4" w:rsidRPr="001C6ACF" w:rsidRDefault="00515FD4" w:rsidP="007008C0">
            <w:pPr>
              <w:pStyle w:val="HStandard"/>
              <w:spacing w:line="240" w:lineRule="auto"/>
              <w:rPr>
                <w:bCs/>
                <w:color w:val="FFFFFF" w:themeColor="background1"/>
                <w:sz w:val="16"/>
              </w:rPr>
            </w:pPr>
            <w:r>
              <w:rPr>
                <w:color w:val="FFFFFF" w:themeColor="background1"/>
                <w:sz w:val="16"/>
              </w:rPr>
              <w:lastRenderedPageBreak/>
              <w:t>Socialno-ekonomski vplivi</w:t>
            </w:r>
          </w:p>
        </w:tc>
      </w:tr>
      <w:tr w:rsidR="00515FD4" w:rsidRPr="001C6ACF" w:rsidTr="005F69E8">
        <w:trPr>
          <w:trHeight w:val="1189"/>
        </w:trPr>
        <w:tc>
          <w:tcPr>
            <w:tcW w:w="988" w:type="dxa"/>
            <w:tcBorders>
              <w:right w:val="nil"/>
            </w:tcBorders>
            <w:hideMark/>
          </w:tcPr>
          <w:p w:rsidR="00515FD4" w:rsidRPr="00571D58" w:rsidRDefault="00515FD4" w:rsidP="00B91C1E">
            <w:pPr>
              <w:pStyle w:val="HStandard"/>
              <w:jc w:val="center"/>
              <w:rPr>
                <w:b/>
                <w:bCs/>
                <w:color w:val="59638E" w:themeColor="accent3"/>
              </w:rPr>
            </w:pPr>
            <w:r>
              <w:rPr>
                <w:b/>
                <w:bCs/>
                <w:noProof/>
                <w:color w:val="59638E" w:themeColor="accent3"/>
                <w:lang w:bidi="ar-SA"/>
              </w:rPr>
              <w:drawing>
                <wp:anchor distT="0" distB="0" distL="114300" distR="114300" simplePos="0" relativeHeight="251717120" behindDoc="1" locked="0" layoutInCell="1" allowOverlap="1" wp14:anchorId="7EB9F459" wp14:editId="3EDFF990">
                  <wp:simplePos x="0" y="0"/>
                  <wp:positionH relativeFrom="column">
                    <wp:posOffset>11414</wp:posOffset>
                  </wp:positionH>
                  <wp:positionV relativeFrom="paragraph">
                    <wp:posOffset>184351</wp:posOffset>
                  </wp:positionV>
                  <wp:extent cx="489585" cy="489585"/>
                  <wp:effectExtent l="0" t="0" r="5715" b="5715"/>
                  <wp:wrapTight wrapText="bothSides">
                    <wp:wrapPolygon edited="0">
                      <wp:start x="2521" y="0"/>
                      <wp:lineTo x="0" y="7564"/>
                      <wp:lineTo x="0" y="21012"/>
                      <wp:lineTo x="20171" y="21012"/>
                      <wp:lineTo x="21012" y="15969"/>
                      <wp:lineTo x="21012" y="13447"/>
                      <wp:lineTo x="9245" y="0"/>
                      <wp:lineTo x="2521" y="0"/>
                    </wp:wrapPolygon>
                  </wp:wrapTight>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14.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9638E" w:themeColor="accent3"/>
              </w:rPr>
              <w:t>I.14</w:t>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 xml:space="preserve">Stopnja zaposlenosti na podeželju </w:t>
            </w:r>
          </w:p>
        </w:tc>
        <w:tc>
          <w:tcPr>
            <w:tcW w:w="1701" w:type="dxa"/>
            <w:vMerge w:val="restart"/>
            <w:vAlign w:val="center"/>
            <w:hideMark/>
          </w:tcPr>
          <w:p w:rsidR="00515FD4" w:rsidRPr="00FB6C06" w:rsidRDefault="00515FD4" w:rsidP="007008C0">
            <w:pPr>
              <w:pStyle w:val="HStandard"/>
              <w:spacing w:line="240" w:lineRule="auto"/>
              <w:jc w:val="center"/>
              <w:rPr>
                <w:sz w:val="16"/>
                <w:szCs w:val="18"/>
              </w:rPr>
            </w:pPr>
            <w:r>
              <w:rPr>
                <w:sz w:val="16"/>
              </w:rPr>
              <w:t>Ga ni</w:t>
            </w:r>
          </w:p>
        </w:tc>
        <w:tc>
          <w:tcPr>
            <w:tcW w:w="1701" w:type="dxa"/>
            <w:vMerge w:val="restart"/>
            <w:vAlign w:val="center"/>
            <w:hideMark/>
          </w:tcPr>
          <w:p w:rsidR="00515FD4" w:rsidRPr="001C6ACF" w:rsidRDefault="00515FD4" w:rsidP="007008C0">
            <w:pPr>
              <w:pStyle w:val="HStandard"/>
              <w:spacing w:line="240" w:lineRule="auto"/>
              <w:jc w:val="center"/>
              <w:rPr>
                <w:sz w:val="16"/>
                <w:szCs w:val="18"/>
              </w:rPr>
            </w:pPr>
            <w:r>
              <w:rPr>
                <w:sz w:val="16"/>
              </w:rPr>
              <w:t xml:space="preserve">Rekurzivni dinamični izračunljivi model splošnega ravnovesja (CGE)  </w:t>
            </w:r>
            <w:r>
              <w:rPr>
                <w:sz w:val="16"/>
                <w:szCs w:val="18"/>
              </w:rPr>
              <w:br/>
            </w:r>
            <w:r>
              <w:rPr>
                <w:sz w:val="16"/>
              </w:rPr>
              <w:t xml:space="preserve"> </w:t>
            </w:r>
            <w:r>
              <w:rPr>
                <w:sz w:val="16"/>
                <w:szCs w:val="18"/>
              </w:rPr>
              <w:br/>
            </w:r>
            <w:r w:rsidR="00B007B8">
              <w:rPr>
                <w:sz w:val="16"/>
              </w:rPr>
              <w:t>Parjenje izidov nagnje</w:t>
            </w:r>
            <w:r w:rsidR="00B85F99">
              <w:rPr>
                <w:sz w:val="16"/>
              </w:rPr>
              <w:t>nja</w:t>
            </w:r>
            <w:r>
              <w:rPr>
                <w:sz w:val="16"/>
              </w:rPr>
              <w:t xml:space="preserve"> (PSM) in </w:t>
            </w:r>
            <w:r w:rsidR="00B007B8">
              <w:rPr>
                <w:sz w:val="16"/>
              </w:rPr>
              <w:t>posplošeno parjenje izidov nagnje</w:t>
            </w:r>
            <w:r w:rsidR="00B85F99">
              <w:rPr>
                <w:sz w:val="16"/>
              </w:rPr>
              <w:t>nja</w:t>
            </w:r>
            <w:r>
              <w:rPr>
                <w:sz w:val="16"/>
              </w:rPr>
              <w:t xml:space="preserve"> (GPSM)</w:t>
            </w:r>
          </w:p>
        </w:tc>
        <w:tc>
          <w:tcPr>
            <w:tcW w:w="1701" w:type="dxa"/>
            <w:vMerge w:val="restart"/>
            <w:noWrap/>
            <w:vAlign w:val="center"/>
            <w:hideMark/>
          </w:tcPr>
          <w:p w:rsidR="00515FD4" w:rsidRPr="001C6ACF" w:rsidRDefault="00515FD4" w:rsidP="007008C0">
            <w:pPr>
              <w:pStyle w:val="HStandard"/>
              <w:spacing w:line="240" w:lineRule="auto"/>
              <w:jc w:val="center"/>
              <w:rPr>
                <w:sz w:val="16"/>
                <w:szCs w:val="18"/>
              </w:rPr>
            </w:pPr>
            <w:r>
              <w:rPr>
                <w:sz w:val="16"/>
              </w:rPr>
              <w:t>Ga ni</w:t>
            </w:r>
          </w:p>
        </w:tc>
        <w:tc>
          <w:tcPr>
            <w:tcW w:w="1701" w:type="dxa"/>
            <w:vMerge w:val="restart"/>
            <w:vAlign w:val="center"/>
            <w:hideMark/>
          </w:tcPr>
          <w:p w:rsidR="00515FD4" w:rsidRPr="001C6ACF" w:rsidRDefault="00515FD4" w:rsidP="007008C0">
            <w:pPr>
              <w:pStyle w:val="HStandard"/>
              <w:spacing w:line="240" w:lineRule="auto"/>
              <w:jc w:val="center"/>
              <w:rPr>
                <w:sz w:val="16"/>
                <w:szCs w:val="18"/>
              </w:rPr>
            </w:pPr>
            <w:r>
              <w:rPr>
                <w:sz w:val="16"/>
              </w:rPr>
              <w:t>Input-output analiza (IO)</w:t>
            </w:r>
          </w:p>
          <w:p w:rsidR="00186FCF" w:rsidRPr="001C6ACF" w:rsidRDefault="00186FCF" w:rsidP="007008C0">
            <w:pPr>
              <w:pStyle w:val="HStandard"/>
              <w:spacing w:line="240" w:lineRule="auto"/>
              <w:jc w:val="center"/>
              <w:rPr>
                <w:sz w:val="16"/>
                <w:szCs w:val="18"/>
              </w:rPr>
            </w:pPr>
            <w:r>
              <w:rPr>
                <w:sz w:val="16"/>
              </w:rPr>
              <w:t>(podprta s kvalitativno analizo)</w:t>
            </w:r>
          </w:p>
        </w:tc>
      </w:tr>
      <w:tr w:rsidR="00515FD4" w:rsidRPr="001C6ACF" w:rsidTr="005F69E8">
        <w:trPr>
          <w:trHeight w:val="1405"/>
        </w:trPr>
        <w:tc>
          <w:tcPr>
            <w:tcW w:w="988" w:type="dxa"/>
            <w:tcBorders>
              <w:right w:val="nil"/>
            </w:tcBorders>
            <w:hideMark/>
          </w:tcPr>
          <w:p w:rsidR="00515FD4" w:rsidRPr="00571D58" w:rsidRDefault="00515FD4" w:rsidP="00B91C1E">
            <w:pPr>
              <w:pStyle w:val="HStandard"/>
              <w:jc w:val="center"/>
              <w:rPr>
                <w:b/>
                <w:bCs/>
                <w:color w:val="59638E" w:themeColor="accent3"/>
              </w:rPr>
            </w:pPr>
            <w:r>
              <w:rPr>
                <w:b/>
                <w:color w:val="59638E" w:themeColor="accent3"/>
              </w:rPr>
              <w:t>I.15</w:t>
            </w:r>
            <w:r>
              <w:rPr>
                <w:b/>
                <w:bCs/>
                <w:noProof/>
                <w:color w:val="59638E" w:themeColor="accent3"/>
                <w:lang w:bidi="ar-SA"/>
              </w:rPr>
              <w:drawing>
                <wp:inline distT="0" distB="0" distL="0" distR="0" wp14:anchorId="3175CD46" wp14:editId="0F50C69B">
                  <wp:extent cx="490220" cy="490220"/>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1-feeding_Blue.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90220" cy="490220"/>
                          </a:xfrm>
                          <a:prstGeom prst="rect">
                            <a:avLst/>
                          </a:prstGeom>
                        </pic:spPr>
                      </pic:pic>
                    </a:graphicData>
                  </a:graphic>
                </wp:inline>
              </w:drawing>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Stopnja revščine na podeželju</w:t>
            </w: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r>
      <w:tr w:rsidR="00515FD4" w:rsidRPr="001C6ACF" w:rsidTr="005F69E8">
        <w:trPr>
          <w:trHeight w:val="1413"/>
        </w:trPr>
        <w:tc>
          <w:tcPr>
            <w:tcW w:w="988" w:type="dxa"/>
            <w:tcBorders>
              <w:right w:val="nil"/>
            </w:tcBorders>
            <w:hideMark/>
          </w:tcPr>
          <w:p w:rsidR="00515FD4" w:rsidRPr="00571D58" w:rsidRDefault="00515FD4" w:rsidP="00B91C1E">
            <w:pPr>
              <w:pStyle w:val="HStandard"/>
              <w:jc w:val="center"/>
              <w:rPr>
                <w:b/>
                <w:bCs/>
                <w:color w:val="59638E" w:themeColor="accent3"/>
              </w:rPr>
            </w:pPr>
            <w:r>
              <w:rPr>
                <w:b/>
                <w:bCs/>
                <w:noProof/>
                <w:color w:val="59638E" w:themeColor="accent3"/>
                <w:lang w:bidi="ar-SA"/>
              </w:rPr>
              <w:drawing>
                <wp:anchor distT="0" distB="0" distL="114300" distR="114300" simplePos="0" relativeHeight="251719168" behindDoc="1" locked="0" layoutInCell="1" allowOverlap="1" wp14:anchorId="28DFE96C" wp14:editId="310AA828">
                  <wp:simplePos x="0" y="0"/>
                  <wp:positionH relativeFrom="column">
                    <wp:posOffset>63500</wp:posOffset>
                  </wp:positionH>
                  <wp:positionV relativeFrom="paragraph">
                    <wp:posOffset>224139</wp:posOffset>
                  </wp:positionV>
                  <wp:extent cx="489600" cy="489600"/>
                  <wp:effectExtent l="0" t="0" r="5715" b="5715"/>
                  <wp:wrapTight wrapText="bothSides">
                    <wp:wrapPolygon edited="0">
                      <wp:start x="0" y="0"/>
                      <wp:lineTo x="0" y="21012"/>
                      <wp:lineTo x="21012" y="21012"/>
                      <wp:lineTo x="21012" y="0"/>
                      <wp:lineTo x="0" y="0"/>
                    </wp:wrapPolygon>
                  </wp:wrapTight>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007-nail.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Pr>
                <w:b/>
                <w:color w:val="59638E" w:themeColor="accent3"/>
              </w:rPr>
              <w:t>I.16</w:t>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 xml:space="preserve">BDP na prebivalca na podeželskih območjih </w:t>
            </w: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r>
    </w:tbl>
    <w:p w:rsidR="00186FCF" w:rsidRPr="001C6ACF" w:rsidRDefault="00186FCF" w:rsidP="00186FCF">
      <w:pPr>
        <w:pStyle w:val="HStandard"/>
        <w:rPr>
          <w:rFonts w:cs="Arial"/>
        </w:rPr>
      </w:pPr>
    </w:p>
    <w:p w:rsidR="00186FCF" w:rsidRPr="001C6ACF" w:rsidRDefault="00186FCF" w:rsidP="00186FCF">
      <w:pPr>
        <w:pStyle w:val="HStandard"/>
        <w:rPr>
          <w:rFonts w:cs="Arial"/>
        </w:rPr>
      </w:pPr>
      <w:r>
        <w:t xml:space="preserve">V zgornji preglednici je za vsak kazalnik vpliva v okviru drugega stebra SKP prikazan pregled priporočenih pristopov k vrednotenju za oceno na mikro in makro ravni, ki so podrobneje opisani v poglavjih od 2.2 do 2.9 Smernic ter v Tehnični prilogi. </w:t>
      </w:r>
    </w:p>
    <w:p w:rsidR="00186FCF" w:rsidRPr="001C6ACF" w:rsidRDefault="00186FCF"/>
    <w:p w:rsidR="008D4934" w:rsidRPr="00571D58" w:rsidRDefault="000B213F" w:rsidP="00B34DDC">
      <w:pPr>
        <w:pStyle w:val="HStandard"/>
        <w:jc w:val="center"/>
      </w:pPr>
      <w:r>
        <w:rPr>
          <w:b/>
          <w:i/>
          <w:noProof/>
          <w:color w:val="F07E31" w:themeColor="accent1"/>
          <w:lang w:bidi="ar-SA"/>
        </w:rPr>
        <mc:AlternateContent>
          <mc:Choice Requires="wps">
            <w:drawing>
              <wp:inline distT="0" distB="0" distL="0" distR="0" wp14:anchorId="00E1CACC" wp14:editId="17E0884F">
                <wp:extent cx="5819775" cy="2676525"/>
                <wp:effectExtent l="0" t="0" r="28575" b="28575"/>
                <wp:docPr id="89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9775" cy="2676525"/>
                        </a:xfrm>
                        <a:custGeom>
                          <a:avLst/>
                          <a:gdLst>
                            <a:gd name="T0" fmla="*/ 157545 w 5819775"/>
                            <a:gd name="T1" fmla="*/ 0 h 1804016"/>
                            <a:gd name="T2" fmla="*/ 5819775 w 5819775"/>
                            <a:gd name="T3" fmla="*/ 0 h 1804016"/>
                            <a:gd name="T4" fmla="*/ 5819775 w 5819775"/>
                            <a:gd name="T5" fmla="*/ 0 h 1804016"/>
                            <a:gd name="T6" fmla="*/ 5819775 w 5819775"/>
                            <a:gd name="T7" fmla="*/ 1646471 h 1804016"/>
                            <a:gd name="T8" fmla="*/ 5662230 w 5819775"/>
                            <a:gd name="T9" fmla="*/ 1804016 h 1804016"/>
                            <a:gd name="T10" fmla="*/ 0 w 5819775"/>
                            <a:gd name="T11" fmla="*/ 1804016 h 1804016"/>
                            <a:gd name="T12" fmla="*/ 0 w 5819775"/>
                            <a:gd name="T13" fmla="*/ 1804016 h 1804016"/>
                            <a:gd name="T14" fmla="*/ 0 w 5819775"/>
                            <a:gd name="T15" fmla="*/ 157545 h 1804016"/>
                            <a:gd name="T16" fmla="*/ 157545 w 5819775"/>
                            <a:gd name="T17" fmla="*/ 0 h 18040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819775"/>
                            <a:gd name="T28" fmla="*/ 0 h 1804016"/>
                            <a:gd name="T29" fmla="*/ 5819775 w 5819775"/>
                            <a:gd name="T30" fmla="*/ 1804016 h 180401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819775" h="1804016">
                              <a:moveTo>
                                <a:pt x="157545" y="0"/>
                              </a:moveTo>
                              <a:lnTo>
                                <a:pt x="5819775" y="0"/>
                              </a:lnTo>
                              <a:lnTo>
                                <a:pt x="5819775" y="1646471"/>
                              </a:lnTo>
                              <a:cubicBezTo>
                                <a:pt x="5819775" y="1733481"/>
                                <a:pt x="5749240" y="1804016"/>
                                <a:pt x="5662230" y="1804016"/>
                              </a:cubicBezTo>
                              <a:lnTo>
                                <a:pt x="0" y="1804016"/>
                              </a:lnTo>
                              <a:lnTo>
                                <a:pt x="0" y="157545"/>
                              </a:lnTo>
                              <a:cubicBezTo>
                                <a:pt x="0" y="70535"/>
                                <a:pt x="70535" y="0"/>
                                <a:pt x="157545"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B85F99" w:rsidRPr="00D43E45" w:rsidRDefault="00B85F99" w:rsidP="00EC01C3">
                            <w:pPr>
                              <w:pStyle w:val="HHeading4"/>
                              <w:spacing w:before="0"/>
                              <w:jc w:val="both"/>
                              <w:rPr>
                                <w:rFonts w:cs="Arial"/>
                                <w:b w:val="0"/>
                                <w:color w:val="373737" w:themeColor="text1"/>
                              </w:rPr>
                            </w:pPr>
                            <w:r>
                              <w:rPr>
                                <w:noProof/>
                                <w:color w:val="373737" w:themeColor="text1"/>
                                <w:lang w:bidi="ar-SA"/>
                              </w:rPr>
                              <w:drawing>
                                <wp:inline distT="0" distB="0" distL="0" distR="0" wp14:anchorId="17C6E184" wp14:editId="43C63B20">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Pristopi k vrednotenju</w:t>
                            </w:r>
                            <w:r>
                              <w:rPr>
                                <w:b w:val="0"/>
                                <w:color w:val="373737" w:themeColor="text1"/>
                              </w:rPr>
                              <w:t xml:space="preserve">, opisani v Smernicah, so primeri možnih načinov, obstajajo pa tudi drugi načini. Izvajalci vrednotenja lahko izberejo druge pristope k oceni vplivov PRP, pri čemer morajo upoštevati najboljši način zbiranja zanesljivih dokazov in tudi upoštevati </w:t>
                            </w:r>
                            <w:r>
                              <w:rPr>
                                <w:color w:val="373737" w:themeColor="text1"/>
                              </w:rPr>
                              <w:t>posebno okoliščino PRP</w:t>
                            </w:r>
                            <w:r>
                              <w:rPr>
                                <w:b w:val="0"/>
                                <w:color w:val="373737" w:themeColor="text1"/>
                              </w:rPr>
                              <w:t xml:space="preserve"> v zvezi z:</w:t>
                            </w:r>
                          </w:p>
                          <w:p w:rsidR="00B85F99" w:rsidRPr="00D43E45" w:rsidRDefault="00B85F99" w:rsidP="00EC01C3">
                            <w:pPr>
                              <w:pStyle w:val="Hlistbullet"/>
                              <w:rPr>
                                <w:i/>
                                <w:sz w:val="18"/>
                              </w:rPr>
                            </w:pPr>
                            <w:r>
                              <w:t xml:space="preserve">obsegom PRP; </w:t>
                            </w:r>
                          </w:p>
                          <w:p w:rsidR="00B85F99" w:rsidRPr="00D43E45" w:rsidRDefault="00B85F99" w:rsidP="00EC01C3">
                            <w:pPr>
                              <w:pStyle w:val="Hlistbullet"/>
                              <w:rPr>
                                <w:i/>
                                <w:sz w:val="18"/>
                              </w:rPr>
                            </w:pPr>
                            <w:r>
                              <w:t xml:space="preserve">uporabo PRP; </w:t>
                            </w:r>
                          </w:p>
                          <w:p w:rsidR="00B85F99" w:rsidRPr="00D43E45" w:rsidRDefault="00B85F99" w:rsidP="00EC01C3">
                            <w:pPr>
                              <w:pStyle w:val="Hlistbullet"/>
                              <w:rPr>
                                <w:i/>
                                <w:sz w:val="18"/>
                              </w:rPr>
                            </w:pPr>
                            <w:r>
                              <w:t>razpoložljivostjo in kakovostjo podatkov za vrednotenje.</w:t>
                            </w:r>
                          </w:p>
                          <w:p w:rsidR="00B85F99" w:rsidRPr="00E53246" w:rsidRDefault="00B85F99" w:rsidP="00EC01C3">
                            <w:pPr>
                              <w:pStyle w:val="HHeading4"/>
                              <w:spacing w:before="0"/>
                              <w:jc w:val="both"/>
                              <w:rPr>
                                <w:b w:val="0"/>
                                <w:color w:val="373737" w:themeColor="text1"/>
                              </w:rPr>
                            </w:pPr>
                            <w:r>
                              <w:rPr>
                                <w:b w:val="0"/>
                                <w:color w:val="373737" w:themeColor="text1"/>
                              </w:rPr>
                              <w:t>Izvajalcem vrednotenja bi morali logični modeli iz teh smernic zagotavljati koristno orodje za opredelitev možnih načinov vrednotenja v dejanskih okoliščinah.</w:t>
                            </w:r>
                          </w:p>
                        </w:txbxContent>
                      </wps:txbx>
                      <wps:bodyPr rot="0" vert="horz" wrap="square" lIns="91440" tIns="45720" rIns="91440" bIns="45720" anchor="ctr" anchorCtr="0" upright="1">
                        <a:noAutofit/>
                      </wps:bodyPr>
                    </wps:wsp>
                  </a:graphicData>
                </a:graphic>
              </wp:inline>
            </w:drawing>
          </mc:Choice>
          <mc:Fallback>
            <w:pict>
              <v:shape w14:anchorId="00E1CACC" id="AutoShape 61" o:spid="_x0000_s1041" style="width:458.25pt;height:210.75pt;visibility:visible;mso-wrap-style:square;mso-left-percent:-10001;mso-top-percent:-10001;mso-position-horizontal:absolute;mso-position-horizontal-relative:char;mso-position-vertical:absolute;mso-position-vertical-relative:line;mso-left-percent:-10001;mso-top-percent:-10001;v-text-anchor:middle" coordsize="5819775,18040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AOThwQAACgOAAAOAAAAZHJzL2Uyb0RvYy54bWysV9tu4zYQfS/QfyD0WCCRKOtiG3EWWTsu&#10;CmzbBdb9AFqiLKGSqJLyJVv03zu8yCHrSl4U9YMtmoeHM3NGw+HTh0tToxPlomLtysOPgYdom7G8&#10;ag8r77fd9mHuIdGTNic1a+nKe6PC+/D8/XdP525JQ1ayOqccAUkrludu5ZV93y19X2QlbYh4ZB1t&#10;YbJgvCE9DPnBzzk5A3tT+2EQJP6Z8bzjLKNCwL8bPek9K/6ioFn/a1EI2qN65YFtvfrm6nsvv/3n&#10;J7I8cNKVVWbMIP/BioZULWx6pdqQnqAjr26omirjTLCif8xY47OiqDKqfABvcPAPb76UpKPKFwiO&#10;6K5hEv8fbfbL6TNHVb7y5ovUQy1pQKSXY8/U3ijBMkLnTiwB+KX7zKWPovvEst8FTPjOjBwIwKD9&#10;+WeWAw8BHhWVS8EbuRL8RRcV/Ldr8OmlRxn8Gc/xIk1jD2UwFyZpEoex3Nwny2F5dhT9j5QpKnL6&#10;JHqtXg5PKva5sX8HShdNDUL+4CMcp3EUozMaNjCLBiy2sAEqEZ4HUYATkxlXytCCGaZxzpkFnuCM&#10;LNhdTojM1acJzsSC3eUExa+cOImSKMXjEYA3+QqOkyQMZ8F4BBYW2ER0nBnbek2QYlur+6y2ZFOs&#10;tlr3WW3RplhtvUwOjiYXpNt7bO8mrK3aRCZgW7AAJQF8UBLHs5vcxrZak8jQVWqCM7S1muZ0dZri&#10;tJWa5nRVmuK0dZrmtEWaRroKjZae0FVoND1CW5+7L/XM1uhf8xlK6mEomqQc6mh2aU0hhSdE5AG+&#10;gxySlbVjQtZtWVehOO/UoQAkgJOzFnzhwEFYCZ+ZMn4Dh2yy2UEzCR+q/i0cO3CQQ8LTUfbQgUOs&#10;JXwxCp85cFmTJB5qjj6Ebs2J3AXGWzzubuwuMP7icYcTd4HxGDsuax2MchwaHtnq7EJIQWh2djLF&#10;oN3ZyRSChmcHyaHOv470UngVfnhEZ+sALqGRM4egnG/Yie6YQvYyC3R9UtFRZGDAO6RubajJVQc7&#10;IIbfTpHaSHMSmbgPuOy4r7KP9OsYP05ns2iu1IKE1aRptAgjLeTgkfZeT+tDTFlnTcuAOnsNFmjS&#10;GzrAD4jh10Gq/uMbnNHEaRDPVEIMTug/ZC4O0o2p4Fqd1UxQnbpSbNVIXVVXPr43Uy3bVnWtQlO3&#10;MhfCOAr0yylYXeVyViaA4If9uuboRCDHPr5GL9pUYHNgTdVDU19XDXSV8tQxhpeU5K9trrbpSVXr&#10;ZxU+SQ6NoMlI2RKq5vnPRbB4nb/Oo4coTF4fomCzeXjZrqOHZIvTeDPbrNcb/Jd8SXC0LKs8p600&#10;dWjkcfRtjbK5UugW/NrKOy45nm/Vx0hqwXzXDBVy8GX4Vd6plll2ybqt7i/7i2q/dRWQLfSe5W/Q&#10;RHOmLytwuYKHkvGvHjrDRWXliT+OhFMP1T+1cBNY4EimeK8GUZzKI5rbM3t7hrQZUK28rOce1Hg5&#10;WPcwhkXHjleHEvbSZbZl8hpQVLLJVkZru8wAriPKLXN1kvcde6xQ7xe8578BAAD//wMAUEsDBBQA&#10;BgAIAAAAIQB0dZT63gAAAAUBAAAPAAAAZHJzL2Rvd25yZXYueG1sTI9Ba8JAEIXvhf6HZQq9lLqJ&#10;GKlpNiKihfak1oLHSXaaBLOzIbtq/Pfd9lIvA4/3eO+bbD6YVpypd41lBfEoAkFcWt1wpWD/uX5+&#10;AeE8ssbWMim4koN5fn+XYarthbd03vlKhBJ2KSqove9SKV1Zk0E3sh1x8L5tb9AH2VdS93gJ5aaV&#10;4yiaSoMNh4UaO1rWVB53J6Ng/c6H69fT4cNyMtm/zZbHYmNWSj0+DItXEJ4G/x+GX/yADnlgKuyJ&#10;tROtgvCI/7vBm8XTBEShYDKOE5B5Jm/p8x8AAAD//wMAUEsBAi0AFAAGAAgAAAAhALaDOJL+AAAA&#10;4QEAABMAAAAAAAAAAAAAAAAAAAAAAFtDb250ZW50X1R5cGVzXS54bWxQSwECLQAUAAYACAAAACEA&#10;OP0h/9YAAACUAQAACwAAAAAAAAAAAAAAAAAvAQAAX3JlbHMvLnJlbHNQSwECLQAUAAYACAAAACEA&#10;9GADk4cEAAAoDgAADgAAAAAAAAAAAAAAAAAuAgAAZHJzL2Uyb0RvYy54bWxQSwECLQAUAAYACAAA&#10;ACEAdHWU+t4AAAAFAQAADwAAAAAAAAAAAAAAAADhBgAAZHJzL2Rvd25yZXYueG1sUEsFBgAAAAAE&#10;AAQA8wAAAOwHAAAAAA==&#10;" adj="-11796480,,5400" path="m157545,l5819775,r,1646471c5819775,1733481,5749240,1804016,5662230,1804016l,1804016,,157545c,70535,70535,,157545,xe" filled="f" strokecolor="#be4a35" strokeweight="2pt">
                <v:stroke joinstyle="miter"/>
                <v:formulas/>
                <v:path arrowok="t" o:connecttype="custom" o:connectlocs="157545,0;5819775,0;5819775,0;5819775,2442784;5662230,2676525;0,2676525;0,2676525;0,233741;157545,0" o:connectangles="0,0,0,0,0,0,0,0,0" textboxrect="0,0,5819775,1804016"/>
                <v:textbox>
                  <w:txbxContent>
                    <w:p w:rsidR="00B85F99" w:rsidRPr="00D43E45" w:rsidRDefault="00B85F99" w:rsidP="00EC01C3">
                      <w:pPr>
                        <w:pStyle w:val="HHeading4"/>
                        <w:spacing w:before="0"/>
                        <w:jc w:val="both"/>
                        <w:rPr>
                          <w:rFonts w:cs="Arial"/>
                          <w:b w:val="0"/>
                          <w:color w:val="373737" w:themeColor="text1"/>
                        </w:rPr>
                      </w:pPr>
                      <w:r>
                        <w:rPr>
                          <w:noProof/>
                          <w:color w:val="373737" w:themeColor="text1"/>
                          <w:lang w:bidi="ar-SA"/>
                        </w:rPr>
                        <w:drawing>
                          <wp:inline distT="0" distB="0" distL="0" distR="0" wp14:anchorId="17C6E184" wp14:editId="43C63B20">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Pristopi k vrednotenju</w:t>
                      </w:r>
                      <w:r>
                        <w:rPr>
                          <w:b w:val="0"/>
                          <w:color w:val="373737" w:themeColor="text1"/>
                        </w:rPr>
                        <w:t xml:space="preserve">, opisani v Smernicah, so primeri možnih načinov, obstajajo pa tudi drugi načini. Izvajalci vrednotenja lahko izberejo druge pristope k oceni vplivov PRP, pri čemer morajo upoštevati najboljši način zbiranja zanesljivih dokazov in tudi upoštevati </w:t>
                      </w:r>
                      <w:r>
                        <w:rPr>
                          <w:color w:val="373737" w:themeColor="text1"/>
                        </w:rPr>
                        <w:t>posebno okoliščino PRP</w:t>
                      </w:r>
                      <w:r>
                        <w:rPr>
                          <w:b w:val="0"/>
                          <w:color w:val="373737" w:themeColor="text1"/>
                        </w:rPr>
                        <w:t xml:space="preserve"> v zvezi z:</w:t>
                      </w:r>
                    </w:p>
                    <w:p w:rsidR="00B85F99" w:rsidRPr="00D43E45" w:rsidRDefault="00B85F99" w:rsidP="00EC01C3">
                      <w:pPr>
                        <w:pStyle w:val="Hlistbullet"/>
                        <w:rPr>
                          <w:i/>
                          <w:sz w:val="18"/>
                        </w:rPr>
                      </w:pPr>
                      <w:r>
                        <w:t xml:space="preserve">obsegom PRP; </w:t>
                      </w:r>
                    </w:p>
                    <w:p w:rsidR="00B85F99" w:rsidRPr="00D43E45" w:rsidRDefault="00B85F99" w:rsidP="00EC01C3">
                      <w:pPr>
                        <w:pStyle w:val="Hlistbullet"/>
                        <w:rPr>
                          <w:i/>
                          <w:sz w:val="18"/>
                        </w:rPr>
                      </w:pPr>
                      <w:r>
                        <w:t xml:space="preserve">uporabo PRP; </w:t>
                      </w:r>
                    </w:p>
                    <w:p w:rsidR="00B85F99" w:rsidRPr="00D43E45" w:rsidRDefault="00B85F99" w:rsidP="00EC01C3">
                      <w:pPr>
                        <w:pStyle w:val="Hlistbullet"/>
                        <w:rPr>
                          <w:i/>
                          <w:sz w:val="18"/>
                        </w:rPr>
                      </w:pPr>
                      <w:r>
                        <w:t>razpoložljivostjo in kakovostjo podatkov za vrednotenje.</w:t>
                      </w:r>
                    </w:p>
                    <w:p w:rsidR="00B85F99" w:rsidRPr="00E53246" w:rsidRDefault="00B85F99" w:rsidP="00EC01C3">
                      <w:pPr>
                        <w:pStyle w:val="HHeading4"/>
                        <w:spacing w:before="0"/>
                        <w:jc w:val="both"/>
                        <w:rPr>
                          <w:b w:val="0"/>
                          <w:color w:val="373737" w:themeColor="text1"/>
                        </w:rPr>
                      </w:pPr>
                      <w:r>
                        <w:rPr>
                          <w:b w:val="0"/>
                          <w:color w:val="373737" w:themeColor="text1"/>
                        </w:rPr>
                        <w:t>Izvajalcem vrednotenja bi morali logični modeli iz teh smernic zagotavljati koristno orodje za opredelitev možnih načinov vrednotenja v dejanskih okoliščinah.</w:t>
                      </w:r>
                    </w:p>
                  </w:txbxContent>
                </v:textbox>
                <w10:anchorlock/>
              </v:shape>
            </w:pict>
          </mc:Fallback>
        </mc:AlternateContent>
      </w:r>
    </w:p>
    <w:p w:rsidR="003F30B5" w:rsidRDefault="003F30B5">
      <w:pPr>
        <w:spacing w:before="0" w:after="0" w:line="240" w:lineRule="auto"/>
        <w:jc w:val="left"/>
        <w:rPr>
          <w:color w:val="373737" w:themeColor="text1"/>
          <w:sz w:val="20"/>
          <w:szCs w:val="20"/>
        </w:rPr>
      </w:pPr>
    </w:p>
    <w:sectPr w:rsidR="003F30B5" w:rsidSect="005F79DE">
      <w:headerReference w:type="default" r:id="rId64"/>
      <w:pgSz w:w="11906" w:h="16838" w:code="9"/>
      <w:pgMar w:top="1440" w:right="1440" w:bottom="1134" w:left="1440" w:header="567"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533D" w:rsidRDefault="0014533D">
      <w:pPr>
        <w:spacing w:before="0" w:after="0" w:line="240" w:lineRule="auto"/>
      </w:pPr>
      <w:r>
        <w:separator/>
      </w:r>
    </w:p>
  </w:endnote>
  <w:endnote w:type="continuationSeparator" w:id="0">
    <w:p w:rsidR="0014533D" w:rsidRDefault="0014533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2427707"/>
      <w:docPartObj>
        <w:docPartGallery w:val="Page Numbers (Bottom of Page)"/>
        <w:docPartUnique/>
      </w:docPartObj>
    </w:sdtPr>
    <w:sdtEndPr>
      <w:rPr>
        <w:noProof/>
      </w:rPr>
    </w:sdtEndPr>
    <w:sdtContent>
      <w:p w:rsidR="00B85F99" w:rsidRDefault="00B85F99">
        <w:pPr>
          <w:pStyle w:val="Footer"/>
        </w:pPr>
        <w:r>
          <w:fldChar w:fldCharType="begin"/>
        </w:r>
        <w:r>
          <w:instrText xml:space="preserve"> PAGE   \* MERGEFORMAT </w:instrText>
        </w:r>
        <w:r>
          <w:fldChar w:fldCharType="separate"/>
        </w:r>
        <w:r w:rsidR="00BD6E56">
          <w:rPr>
            <w:noProof/>
          </w:rPr>
          <w:t>1</w:t>
        </w:r>
        <w:r>
          <w:rPr>
            <w:noProof/>
          </w:rPr>
          <w:fldChar w:fldCharType="end"/>
        </w:r>
      </w:p>
    </w:sdtContent>
  </w:sdt>
  <w:p w:rsidR="00B85F99" w:rsidRDefault="00B85F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5F99" w:rsidRDefault="00B85F99">
    <w:pPr>
      <w:pStyle w:val="Footer"/>
    </w:pPr>
  </w:p>
  <w:p w:rsidR="00B85F99" w:rsidRDefault="00B85F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635045"/>
      <w:docPartObj>
        <w:docPartGallery w:val="Page Numbers (Bottom of Page)"/>
        <w:docPartUnique/>
      </w:docPartObj>
    </w:sdtPr>
    <w:sdtEndPr>
      <w:rPr>
        <w:noProof/>
      </w:rPr>
    </w:sdtEndPr>
    <w:sdtContent>
      <w:p w:rsidR="00B85F99" w:rsidRDefault="00B85F99">
        <w:pPr>
          <w:pStyle w:val="Footer"/>
        </w:pPr>
        <w:r>
          <w:fldChar w:fldCharType="begin"/>
        </w:r>
        <w:r>
          <w:instrText xml:space="preserve"> PAGE   \* MERGEFORMAT </w:instrText>
        </w:r>
        <w:r>
          <w:fldChar w:fldCharType="separate"/>
        </w:r>
        <w:r w:rsidR="00296CDC">
          <w:rPr>
            <w:noProof/>
          </w:rPr>
          <w:t>24</w:t>
        </w:r>
        <w:r>
          <w:rPr>
            <w:noProof/>
          </w:rPr>
          <w:fldChar w:fldCharType="end"/>
        </w:r>
      </w:p>
    </w:sdtContent>
  </w:sdt>
  <w:p w:rsidR="00B85F99" w:rsidRDefault="00B85F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0787632"/>
      <w:docPartObj>
        <w:docPartGallery w:val="Page Numbers (Bottom of Page)"/>
        <w:docPartUnique/>
      </w:docPartObj>
    </w:sdtPr>
    <w:sdtEndPr>
      <w:rPr>
        <w:noProof/>
      </w:rPr>
    </w:sdtEndPr>
    <w:sdtContent>
      <w:p w:rsidR="00B85F99" w:rsidRDefault="00B85F99">
        <w:pPr>
          <w:pStyle w:val="Footer"/>
        </w:pPr>
        <w:r>
          <w:fldChar w:fldCharType="begin"/>
        </w:r>
        <w:r>
          <w:instrText xml:space="preserve"> PAGE   \* MERGEFORMAT </w:instrText>
        </w:r>
        <w:r>
          <w:fldChar w:fldCharType="separate"/>
        </w:r>
        <w:r w:rsidR="00BD6E56">
          <w:rPr>
            <w:noProof/>
          </w:rPr>
          <w:t>1</w:t>
        </w:r>
        <w:r>
          <w:rPr>
            <w:noProof/>
          </w:rPr>
          <w:fldChar w:fldCharType="end"/>
        </w:r>
      </w:p>
    </w:sdtContent>
  </w:sdt>
  <w:p w:rsidR="00B85F99" w:rsidRDefault="00B85F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533D" w:rsidRPr="005B2AAC" w:rsidRDefault="0014533D">
      <w:pPr>
        <w:spacing w:before="0" w:after="0" w:line="240" w:lineRule="auto"/>
        <w:rPr>
          <w:color w:val="F07E31" w:themeColor="accent1"/>
        </w:rPr>
      </w:pPr>
      <w:r>
        <w:rPr>
          <w:color w:val="F07E31" w:themeColor="accent1"/>
        </w:rPr>
        <w:separator/>
      </w:r>
    </w:p>
  </w:footnote>
  <w:footnote w:type="continuationSeparator" w:id="0">
    <w:p w:rsidR="0014533D" w:rsidRDefault="0014533D">
      <w:pPr>
        <w:spacing w:before="0" w:after="0" w:line="240" w:lineRule="auto"/>
      </w:pPr>
      <w:r>
        <w:continuationSeparator/>
      </w:r>
    </w:p>
  </w:footnote>
  <w:footnote w:id="1">
    <w:p w:rsidR="00B85F99" w:rsidRPr="003563F4" w:rsidRDefault="00B85F99">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Člen 54 in člen 56(3) Uredbe (EU) št. 1303/2013.</w:t>
      </w:r>
    </w:p>
  </w:footnote>
  <w:footnote w:id="2">
    <w:p w:rsidR="00B85F99" w:rsidRPr="00E53246" w:rsidRDefault="00B85F99" w:rsidP="00CD63F6">
      <w:pPr>
        <w:pStyle w:val="FootnoteText"/>
      </w:pPr>
      <w:r>
        <w:rPr>
          <w:rStyle w:val="FootnoteReference"/>
          <w:color w:val="878787" w:themeColor="text2" w:themeTint="99"/>
        </w:rPr>
        <w:footnoteRef/>
      </w:r>
      <w:r>
        <w:rPr>
          <w:color w:val="878787" w:themeColor="text2" w:themeTint="99"/>
        </w:rPr>
        <w:t xml:space="preserve"> Priloga VII k Uredbi (EU) št. 808/2014.</w:t>
      </w:r>
    </w:p>
  </w:footnote>
  <w:footnote w:id="3">
    <w:p w:rsidR="00B85F99" w:rsidRPr="003563F4" w:rsidRDefault="00B85F99" w:rsidP="001C2076">
      <w:pPr>
        <w:pStyle w:val="FootnoteText"/>
        <w:rPr>
          <w:color w:val="878787" w:themeColor="text2" w:themeTint="99"/>
        </w:rPr>
      </w:pPr>
      <w:r>
        <w:rPr>
          <w:color w:val="878787" w:themeColor="text2" w:themeTint="99"/>
          <w:vertAlign w:val="superscript"/>
        </w:rPr>
        <w:footnoteRef/>
      </w:r>
      <w:r>
        <w:rPr>
          <w:color w:val="878787" w:themeColor="text2" w:themeTint="99"/>
        </w:rPr>
        <w:t xml:space="preserve"> Člen 75 </w:t>
      </w:r>
      <w:hyperlink r:id="rId1">
        <w:r>
          <w:rPr>
            <w:color w:val="878787" w:themeColor="text2" w:themeTint="99"/>
          </w:rPr>
          <w:t>Uredbe (EU) št. 1305/2013</w:t>
        </w:r>
      </w:hyperlink>
      <w:r>
        <w:rPr>
          <w:color w:val="878787" w:themeColor="text2" w:themeTint="99"/>
        </w:rPr>
        <w:t>.</w:t>
      </w:r>
    </w:p>
  </w:footnote>
  <w:footnote w:id="4">
    <w:p w:rsidR="00B85F99" w:rsidRPr="003563F4" w:rsidRDefault="00B85F99" w:rsidP="00BA41C1">
      <w:pPr>
        <w:pStyle w:val="FootnoteText"/>
        <w:rPr>
          <w:color w:val="878787" w:themeColor="text2" w:themeTint="99"/>
        </w:rPr>
      </w:pPr>
      <w:r>
        <w:rPr>
          <w:color w:val="878787" w:themeColor="text2" w:themeTint="99"/>
          <w:vertAlign w:val="superscript"/>
        </w:rPr>
        <w:footnoteRef/>
      </w:r>
      <w:r>
        <w:rPr>
          <w:color w:val="878787" w:themeColor="text2" w:themeTint="99"/>
          <w:vertAlign w:val="superscript"/>
        </w:rPr>
        <w:t xml:space="preserve"> </w:t>
      </w:r>
      <w:hyperlink r:id="rId2">
        <w:r>
          <w:rPr>
            <w:rStyle w:val="Hyperlink"/>
            <w:color w:val="878787" w:themeColor="text2" w:themeTint="99"/>
            <w:sz w:val="16"/>
            <w:u w:val="none"/>
          </w:rPr>
          <w:t xml:space="preserve">Smernice </w:t>
        </w:r>
        <w:r>
          <w:rPr>
            <w:rStyle w:val="Hyperlink"/>
            <w:color w:val="878787" w:themeColor="text2" w:themeTint="99"/>
            <w:sz w:val="16"/>
            <w:u w:val="none"/>
          </w:rPr>
          <w:t xml:space="preserve">z naslovom „Establishing and implementing the Evaluation Plan of 2014- 2020 RDPs“ (Vzpostavitev in izvajanje načrta vrednotenja programov razvoja podeželja za obdobje 2014–2020). </w:t>
        </w:r>
      </w:hyperlink>
    </w:p>
  </w:footnote>
  <w:footnote w:id="5">
    <w:p w:rsidR="00B85F99" w:rsidRPr="003563F4" w:rsidRDefault="00B85F99" w:rsidP="00BA41C1">
      <w:pPr>
        <w:pStyle w:val="FootnoteText"/>
        <w:rPr>
          <w:color w:val="878787" w:themeColor="text2" w:themeTint="99"/>
        </w:rPr>
      </w:pPr>
      <w:r>
        <w:rPr>
          <w:color w:val="878787" w:themeColor="text2" w:themeTint="99"/>
          <w:vertAlign w:val="superscript"/>
        </w:rPr>
        <w:footnoteRef/>
      </w:r>
      <w:r>
        <w:rPr>
          <w:color w:val="878787" w:themeColor="text2" w:themeTint="99"/>
        </w:rPr>
        <w:t xml:space="preserve"> </w:t>
      </w:r>
      <w:hyperlink r:id="rId3">
        <w:r>
          <w:rPr>
            <w:rStyle w:val="Hyperlink"/>
            <w:color w:val="878787" w:themeColor="text2" w:themeTint="99"/>
            <w:sz w:val="16"/>
            <w:u w:val="none"/>
          </w:rPr>
          <w:t>Točka 9 Priloge I in točka 7 Priloge VII k Izvedbeni uredbi Komisije (EU) št. 808/2014</w:t>
        </w:r>
      </w:hyperlink>
      <w:r>
        <w:rPr>
          <w:rStyle w:val="Hyperlink"/>
          <w:color w:val="878787" w:themeColor="text2" w:themeTint="99"/>
          <w:sz w:val="16"/>
          <w:u w:val="none"/>
        </w:rPr>
        <w:t>.</w:t>
      </w:r>
    </w:p>
  </w:footnote>
  <w:footnote w:id="6">
    <w:p w:rsidR="00B85F99" w:rsidRPr="003563F4" w:rsidRDefault="00B85F99" w:rsidP="000D3DB8">
      <w:pPr>
        <w:pStyle w:val="FootnoteText"/>
        <w:ind w:left="142" w:hanging="142"/>
        <w:rPr>
          <w:color w:val="878787" w:themeColor="text2" w:themeTint="99"/>
        </w:rPr>
      </w:pPr>
      <w:r>
        <w:rPr>
          <w:i/>
          <w:color w:val="878787" w:themeColor="text2" w:themeTint="99"/>
          <w:vertAlign w:val="superscript"/>
        </w:rPr>
        <w:footnoteRef/>
      </w:r>
      <w:r>
        <w:rPr>
          <w:color w:val="878787" w:themeColor="text2" w:themeTint="99"/>
          <w:vertAlign w:val="superscript"/>
        </w:rPr>
        <w:t xml:space="preserve"> </w:t>
      </w:r>
      <w:r>
        <w:rPr>
          <w:color w:val="878787" w:themeColor="text2" w:themeTint="99"/>
        </w:rPr>
        <w:t xml:space="preserve">Služba za pomoč uporabnikom pri vrednotenju je povzela ugotovitve letnih poročil o izvajanju, predloženih leta 2017, </w:t>
      </w:r>
      <w:hyperlink r:id="rId4">
        <w:r>
          <w:rPr>
            <w:color w:val="878787" w:themeColor="text2" w:themeTint="99"/>
          </w:rPr>
          <w:t xml:space="preserve">v zbirnem poročilu </w:t>
        </w:r>
        <w:r>
          <w:rPr>
            <w:color w:val="878787" w:themeColor="text2" w:themeTint="99"/>
          </w:rPr>
          <w:t>z naslovom „Synthesis of the Evaluation Components of the 2017 Enhanced AIR: Chapter 7“</w:t>
        </w:r>
      </w:hyperlink>
      <w:r>
        <w:rPr>
          <w:color w:val="878787" w:themeColor="text2" w:themeTint="99"/>
        </w:rPr>
        <w:t xml:space="preserve"> (Povzetek delov razširjenega letnega poročila o izvajanju za leto 2017 o vrednotenju: poglavje 7).</w:t>
      </w:r>
    </w:p>
  </w:footnote>
  <w:footnote w:id="7">
    <w:p w:rsidR="00B85F99" w:rsidRPr="00E53246" w:rsidRDefault="00B85F99">
      <w:pPr>
        <w:pStyle w:val="FootnoteText"/>
      </w:pPr>
      <w:r>
        <w:rPr>
          <w:i/>
          <w:color w:val="878787" w:themeColor="text2" w:themeTint="99"/>
          <w:vertAlign w:val="superscript"/>
        </w:rPr>
        <w:footnoteRef/>
      </w:r>
      <w:r>
        <w:rPr>
          <w:color w:val="878787" w:themeColor="text2" w:themeTint="99"/>
          <w:vertAlign w:val="superscript"/>
        </w:rPr>
        <w:t xml:space="preserve"> </w:t>
      </w:r>
      <w:r>
        <w:rPr>
          <w:color w:val="878787" w:themeColor="text2" w:themeTint="99"/>
        </w:rPr>
        <w:t>Priloga VII k Uredbi (EU) št. 808/2014.</w:t>
      </w:r>
    </w:p>
  </w:footnote>
  <w:footnote w:id="8">
    <w:p w:rsidR="00B85F99" w:rsidRPr="003563F4" w:rsidRDefault="00B85F99" w:rsidP="00BA41C1">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hyperlink r:id="rId5">
        <w:r>
          <w:rPr>
            <w:color w:val="878787" w:themeColor="text2" w:themeTint="99"/>
          </w:rPr>
          <w:t>Členi od 67 do 79 Uredbe (EU) št. 1305/2013</w:t>
        </w:r>
      </w:hyperlink>
      <w:r>
        <w:rPr>
          <w:color w:val="878787" w:themeColor="text2" w:themeTint="99"/>
        </w:rPr>
        <w:t xml:space="preserve">, </w:t>
      </w:r>
      <w:hyperlink r:id="rId6">
        <w:r>
          <w:rPr>
            <w:color w:val="878787" w:themeColor="text2" w:themeTint="99"/>
          </w:rPr>
          <w:t>člen 110 Uredbe (EU) št. 1306/2013,</w:t>
        </w:r>
      </w:hyperlink>
      <w:r>
        <w:rPr>
          <w:color w:val="878787" w:themeColor="text2" w:themeTint="99"/>
        </w:rPr>
        <w:t xml:space="preserve"> </w:t>
      </w:r>
      <w:hyperlink r:id="rId7">
        <w:r>
          <w:rPr>
            <w:color w:val="878787" w:themeColor="text2" w:themeTint="99"/>
          </w:rPr>
          <w:t>člen 1(a) in Priloga I k Uredbi (EU) št. 834/2014</w:t>
        </w:r>
      </w:hyperlink>
      <w:r>
        <w:rPr>
          <w:color w:val="878787" w:themeColor="text2" w:themeTint="99"/>
        </w:rPr>
        <w:t xml:space="preserve"> , </w:t>
      </w:r>
      <w:hyperlink r:id="rId8">
        <w:r>
          <w:rPr>
            <w:color w:val="878787" w:themeColor="text2" w:themeTint="99"/>
          </w:rPr>
          <w:t>člen 14 in priloge IV, V, VI in VII k Uredbi (EU) št. 808/2014</w:t>
        </w:r>
      </w:hyperlink>
      <w:r>
        <w:rPr>
          <w:color w:val="878787" w:themeColor="text2" w:themeTint="99"/>
        </w:rPr>
        <w:t>.</w:t>
      </w:r>
    </w:p>
  </w:footnote>
  <w:footnote w:id="9">
    <w:p w:rsidR="00B85F99" w:rsidRPr="003563F4" w:rsidRDefault="00B85F99"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Člen 54 Uredbe (EU) št. 1303/2013.</w:t>
      </w:r>
    </w:p>
  </w:footnote>
  <w:footnote w:id="10">
    <w:p w:rsidR="00B85F99" w:rsidRPr="003563F4" w:rsidRDefault="00B85F99"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Člen 56 Uredbe (EU) št. 1303/2013.</w:t>
      </w:r>
    </w:p>
  </w:footnote>
  <w:footnote w:id="11">
    <w:p w:rsidR="00B85F99" w:rsidRPr="003563F4" w:rsidRDefault="00B85F99"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Člen 110 Uredbe (EU) št. 1306/2013.</w:t>
      </w:r>
    </w:p>
  </w:footnote>
  <w:footnote w:id="12">
    <w:p w:rsidR="00B85F99" w:rsidRPr="003563F4" w:rsidRDefault="00B85F99"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Člen 110(3) in (4) Uredbe (EU) št. 1306/2013.</w:t>
      </w:r>
    </w:p>
  </w:footnote>
  <w:footnote w:id="13">
    <w:p w:rsidR="00B85F99" w:rsidRPr="003563F4" w:rsidRDefault="00B85F99"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Člena 67 in 68 Uredbe (EU) št. 1305/2013.</w:t>
      </w:r>
    </w:p>
  </w:footnote>
  <w:footnote w:id="14">
    <w:p w:rsidR="00B85F99" w:rsidRPr="00E53246" w:rsidRDefault="00B85F99" w:rsidP="001C2076">
      <w:pPr>
        <w:pStyle w:val="FootnoteText"/>
      </w:pPr>
      <w:r>
        <w:rPr>
          <w:rStyle w:val="FootnoteReference"/>
          <w:color w:val="878787" w:themeColor="text2" w:themeTint="99"/>
        </w:rPr>
        <w:footnoteRef/>
      </w:r>
      <w:r>
        <w:rPr>
          <w:color w:val="878787" w:themeColor="text2" w:themeTint="99"/>
        </w:rPr>
        <w:t xml:space="preserve"> Člen 69 Uredbe (EU) št. 1305/2013.</w:t>
      </w:r>
    </w:p>
  </w:footnote>
  <w:footnote w:id="15">
    <w:p w:rsidR="00B85F99" w:rsidRPr="003563F4" w:rsidRDefault="00B85F99" w:rsidP="00693C0D">
      <w:pPr>
        <w:pStyle w:val="FootnoteText"/>
        <w:rPr>
          <w:color w:val="878787" w:themeColor="text2" w:themeTint="99"/>
        </w:rPr>
      </w:pPr>
      <w:r>
        <w:rPr>
          <w:rStyle w:val="FootnoteReference"/>
          <w:i w:val="0"/>
          <w:color w:val="878787" w:themeColor="text2" w:themeTint="99"/>
          <w:position w:val="0"/>
        </w:rPr>
        <w:footnoteRef/>
      </w:r>
      <w:r>
        <w:rPr>
          <w:color w:val="878787" w:themeColor="text2" w:themeTint="99"/>
        </w:rPr>
        <w:t xml:space="preserve"> </w:t>
      </w:r>
      <w:hyperlink r:id="rId9">
        <w:r>
          <w:rPr>
            <w:color w:val="878787" w:themeColor="text2" w:themeTint="99"/>
          </w:rPr>
          <w:t xml:space="preserve"> </w:t>
        </w:r>
        <w:r>
          <w:rPr>
            <w:color w:val="878787" w:themeColor="text2" w:themeTint="99"/>
          </w:rPr>
          <w:t>Technical Handbook on the Monitoring and Evaluation Framework of the Common Agriculture Policy 2014-2020 (Tehnični priročnik za okvir spremljanja in vrednotenja skupne kmetijske politike za obdobje 2014–2020), Evropska komisija junij 2017</w:t>
        </w:r>
      </w:hyperlink>
      <w:r>
        <w:rPr>
          <w:rStyle w:val="Hyperlink"/>
          <w:color w:val="878787" w:themeColor="text2" w:themeTint="99"/>
          <w:sz w:val="16"/>
          <w:u w:val="none"/>
        </w:rPr>
        <w:t>.</w:t>
      </w:r>
    </w:p>
  </w:footnote>
  <w:footnote w:id="16">
    <w:p w:rsidR="00B85F99" w:rsidRPr="003563F4" w:rsidRDefault="00B85F99"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Člen 14 Uredbe (EU) št. 808/2014.</w:t>
      </w:r>
    </w:p>
  </w:footnote>
  <w:footnote w:id="17">
    <w:p w:rsidR="00B85F99" w:rsidRPr="003563F4" w:rsidRDefault="00B85F99"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Priloga IV k Uredbi (EU) št. 808/2014.</w:t>
      </w:r>
    </w:p>
  </w:footnote>
  <w:footnote w:id="18">
    <w:p w:rsidR="00B85F99" w:rsidRPr="003563F4" w:rsidRDefault="00B85F99"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Priloga V k Uredbi (EU) št. 808/2014.</w:t>
      </w:r>
    </w:p>
  </w:footnote>
  <w:footnote w:id="19">
    <w:p w:rsidR="00B85F99" w:rsidRPr="003563F4" w:rsidRDefault="00B85F99"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Točka 2 Priloge VII k Uredbi (EU) št. 808/2014.</w:t>
      </w:r>
    </w:p>
  </w:footnote>
  <w:footnote w:id="20">
    <w:p w:rsidR="00B85F99" w:rsidRPr="003563F4" w:rsidRDefault="00B85F99"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Točka 9 dela I Priloge I k Uredbi (EU) št. 808/2014.</w:t>
      </w:r>
    </w:p>
  </w:footnote>
  <w:footnote w:id="21">
    <w:p w:rsidR="00B85F99" w:rsidRPr="003563F4" w:rsidRDefault="00B85F99"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Točka 7 Priloge VII k Uredbi (EU) št. 808/2014.</w:t>
      </w:r>
    </w:p>
  </w:footnote>
  <w:footnote w:id="22">
    <w:p w:rsidR="00B85F99" w:rsidRPr="00E53246" w:rsidRDefault="00B85F99" w:rsidP="00FC0340">
      <w:pPr>
        <w:pStyle w:val="FootnoteText"/>
      </w:pPr>
      <w:r>
        <w:rPr>
          <w:rStyle w:val="FootnoteReference"/>
          <w:color w:val="878787" w:themeColor="text2" w:themeTint="99"/>
        </w:rPr>
        <w:footnoteRef/>
      </w:r>
      <w:r>
        <w:rPr>
          <w:color w:val="878787" w:themeColor="text2" w:themeTint="99"/>
        </w:rPr>
        <w:t xml:space="preserve"> Priloga VI k Uredbi (EU) št. 808/2014.</w:t>
      </w:r>
    </w:p>
  </w:footnote>
  <w:footnote w:id="23">
    <w:p w:rsidR="00B85F99" w:rsidRPr="00E53246" w:rsidRDefault="00B85F99">
      <w:pPr>
        <w:pStyle w:val="FootnoteText"/>
      </w:pPr>
      <w:r>
        <w:rPr>
          <w:rStyle w:val="FootnoteReference"/>
          <w:color w:val="878787" w:themeColor="text2" w:themeTint="99"/>
        </w:rPr>
        <w:footnoteRef/>
      </w:r>
      <w:r>
        <w:rPr>
          <w:color w:val="878787" w:themeColor="text2" w:themeTint="99"/>
        </w:rPr>
        <w:t xml:space="preserve"> </w:t>
      </w:r>
      <w:hyperlink r:id="rId10">
        <w:r>
          <w:rPr>
            <w:color w:val="878787" w:themeColor="text2" w:themeTint="99"/>
          </w:rPr>
          <w:t xml:space="preserve"> </w:t>
        </w:r>
        <w:r>
          <w:rPr>
            <w:color w:val="878787" w:themeColor="text2" w:themeTint="99"/>
          </w:rPr>
          <w:t>Technical Handbook on the Monitoring and Evaluation Framework of the Common Agriculture Policy 2014-2020 (Tehnični priročnik za okvir spremljanja in vrednotenja skupne kmetijske politike za obdobje 2014–2020), Evropska komisija junij 2017</w:t>
        </w:r>
      </w:hyperlink>
      <w:r>
        <w:rPr>
          <w:rStyle w:val="Hyperlink"/>
          <w:color w:val="878787" w:themeColor="text2" w:themeTint="99"/>
          <w:sz w:val="16"/>
          <w:u w:val="none"/>
        </w:rPr>
        <w:t>.</w:t>
      </w:r>
    </w:p>
  </w:footnote>
  <w:footnote w:id="24">
    <w:p w:rsidR="00B85F99" w:rsidRPr="000D3DB8" w:rsidRDefault="00B85F99" w:rsidP="00176032">
      <w:pPr>
        <w:pStyle w:val="FootnoteText"/>
        <w:rPr>
          <w:rStyle w:val="Hyperlink"/>
          <w:sz w:val="16"/>
          <w:szCs w:val="16"/>
        </w:rPr>
      </w:pPr>
      <w:r>
        <w:rPr>
          <w:rStyle w:val="FootnoteReference"/>
          <w:color w:val="878787" w:themeColor="text2" w:themeTint="99"/>
        </w:rPr>
        <w:footnoteRef/>
      </w:r>
      <w:r>
        <w:rPr>
          <w:color w:val="878787" w:themeColor="text2" w:themeTint="99"/>
        </w:rPr>
        <w:t xml:space="preserve"> Več informacij o ciklu vrednotenja je na voljo v smernicah z naslovom </w:t>
      </w:r>
      <w:hyperlink r:id="rId11">
        <w:r>
          <w:rPr>
            <w:rStyle w:val="Hyperlink"/>
            <w:sz w:val="16"/>
          </w:rPr>
          <w:t>Presoja rezultatov PRP: kako se pripraviti na poročanje o vrednotenju v letu 2017</w:t>
        </w:r>
      </w:hyperlink>
      <w:r>
        <w:rPr>
          <w:rStyle w:val="Hyperlink"/>
          <w:sz w:val="16"/>
        </w:rPr>
        <w:t>.</w:t>
      </w:r>
    </w:p>
  </w:footnote>
  <w:footnote w:id="25">
    <w:p w:rsidR="00B85F99" w:rsidRPr="00E53246" w:rsidRDefault="00B85F99" w:rsidP="000D3DB8">
      <w:pPr>
        <w:pStyle w:val="FootnoteText"/>
      </w:pPr>
      <w:r>
        <w:rPr>
          <w:rStyle w:val="FootnoteReference"/>
          <w:color w:val="878787" w:themeColor="text2" w:themeTint="99"/>
        </w:rPr>
        <w:footnoteRef/>
      </w:r>
      <w:r>
        <w:t xml:space="preserve"> OU – organ upravljanja, NO – nadzorni odbor, PA </w:t>
      </w:r>
      <w:r>
        <w:t>– plačilna agencija, EzV – enota za vrednotenje, USV – usmerjevalna skupina za vrednotenje, IV – izvajalci vrednotenja, PP – ponudniki podatkov, D – drugi.</w:t>
      </w:r>
    </w:p>
  </w:footnote>
  <w:footnote w:id="26">
    <w:p w:rsidR="00B85F99" w:rsidRPr="00274AB7" w:rsidRDefault="00B85F99">
      <w:pPr>
        <w:pStyle w:val="FootnoteText"/>
      </w:pPr>
      <w:r>
        <w:rPr>
          <w:rStyle w:val="FootnoteReference"/>
          <w:color w:val="878787" w:themeColor="text2" w:themeTint="99"/>
        </w:rPr>
        <w:footnoteRef/>
      </w:r>
      <w:r>
        <w:rPr>
          <w:color w:val="878787" w:themeColor="text2" w:themeTint="99"/>
        </w:rPr>
        <w:t xml:space="preserve"> Projekt ENVIEVAL je bil skupni raziskovalni projekt EU (Sporazum o dodelitvi nepovratnih sredstev št. 312071), ki se je med januarjem 2013 in decembrom 2015 financiral v okviru sedmega okvirnega programa Evropske unije za raziskave, tehnološki razvoj in predstavitvene dejavnosti.</w:t>
      </w:r>
    </w:p>
  </w:footnote>
  <w:footnote w:id="27">
    <w:p w:rsidR="00B85F99" w:rsidRPr="00E53246" w:rsidRDefault="00B85F99">
      <w:pPr>
        <w:pStyle w:val="FootnoteText"/>
      </w:pPr>
      <w:r>
        <w:rPr>
          <w:rStyle w:val="FootnoteReference"/>
          <w:color w:val="878787" w:themeColor="text2" w:themeTint="99"/>
        </w:rPr>
        <w:footnoteRef/>
      </w:r>
      <w:r>
        <w:t xml:space="preserve"> </w:t>
      </w:r>
      <w:r>
        <w:t>Methodological Handbook for the evaluation of environmental impacts of RDPs: Report D9.5 (Metodološki priročnik za vrednotenje vplivov PRP na okolje, Poročilo št. D9.5, projekt ENVIEVAL (Sporazum o dodelitvi nepovratnih sredstev št. 312071)). Bruselj: Evropska komisija, Morkvenas, Z., Navickas, K., Gulbinas, J., Jefanovas, A., Schwarz, G., Wolff, A., Offermann, F., Osterburg, B., Aalders, I., Miller, D., Morrice, J., Vlahos, G., Smyrniotopoulou, A., Artell, J., Aakkula, J., Toikkanen, H., Povellato, A., Longhitano, D., Lasorella. V., Balazs. K. in drugi (2015), str. 152.</w:t>
      </w:r>
    </w:p>
  </w:footnote>
  <w:footnote w:id="28">
    <w:p w:rsidR="00B85F99" w:rsidRPr="00E53246" w:rsidRDefault="00B85F99" w:rsidP="00820050">
      <w:pPr>
        <w:pStyle w:val="FootnoteText"/>
      </w:pPr>
      <w:r>
        <w:rPr>
          <w:rStyle w:val="FootnoteReference"/>
          <w:color w:val="878787" w:themeColor="text2" w:themeTint="99"/>
        </w:rPr>
        <w:footnoteRef/>
      </w:r>
      <w:r>
        <w:rPr>
          <w:color w:val="878787" w:themeColor="text2" w:themeTint="99"/>
        </w:rPr>
        <w:t xml:space="preserve"> </w:t>
      </w:r>
      <w:r>
        <w:t xml:space="preserve">Koraki, ki jih je treba izvesti v neto presoji vplivov PRP, so podrobneje opisani v poglavjih 4.2.3 </w:t>
      </w:r>
      <w:r>
        <w:t>in 4.2.4 dokumenta</w:t>
      </w:r>
      <w:r>
        <w:rPr>
          <w:u w:val="single"/>
        </w:rPr>
        <w:t xml:space="preserve"> </w:t>
      </w:r>
      <w:hyperlink r:id="rId12">
        <w:r>
          <w:rPr>
            <w:rStyle w:val="Hyperlink"/>
            <w:sz w:val="16"/>
          </w:rPr>
          <w:t>Guidelines for the ex post evaluation of 2007-2013 RDPs (Smernice za naknadno vrednotenje programov razvoja podeželja za obdobje 2007–2013)</w:t>
        </w:r>
      </w:hyperlink>
      <w:r>
        <w:t>.</w:t>
      </w:r>
    </w:p>
  </w:footnote>
  <w:footnote w:id="29">
    <w:p w:rsidR="00B85F99" w:rsidRPr="003563F4" w:rsidRDefault="00B85F99" w:rsidP="00B9614C">
      <w:pPr>
        <w:pStyle w:val="FootnoteText"/>
      </w:pPr>
      <w:r>
        <w:rPr>
          <w:rStyle w:val="FootnoteReference"/>
          <w:color w:val="878787" w:themeColor="text2" w:themeTint="99"/>
        </w:rPr>
        <w:footnoteRef/>
      </w:r>
      <w:r>
        <w:t xml:space="preserve"> Za </w:t>
      </w:r>
      <w:r>
        <w:t xml:space="preserve">več informacij glej: Landscape-moderated biodiversity effects of agri-environmental management: a meta-analysis. Proceedings. Biological sciences / The Royal Society, 278 (1713): 1894–1902, Batáry, P., Báldi, A., Kleijn, D.in Tscharntke, T. (2011). </w:t>
      </w:r>
    </w:p>
  </w:footnote>
  <w:footnote w:id="30">
    <w:p w:rsidR="00B85F99" w:rsidRPr="00E53246" w:rsidRDefault="00B85F99" w:rsidP="00FC012D">
      <w:pPr>
        <w:pStyle w:val="FootnoteText"/>
      </w:pPr>
      <w:r>
        <w:rPr>
          <w:rStyle w:val="FootnoteReference"/>
          <w:color w:val="878787" w:themeColor="text2" w:themeTint="99"/>
        </w:rPr>
        <w:footnoteRef/>
      </w:r>
      <w:r>
        <w:rPr>
          <w:color w:val="878787" w:themeColor="text2" w:themeTint="99"/>
        </w:rPr>
        <w:t xml:space="preserve"> </w:t>
      </w:r>
      <w:r>
        <w:t xml:space="preserve">Za </w:t>
      </w:r>
      <w:r>
        <w:t xml:space="preserve">več informacij glej: Organic farming at local and landscape scales benefits plant diversity, Ecography 33(3): 514–522, Rundlöf, M., Edlund, M. in Smith, H. G. (2009).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5F99" w:rsidRPr="00E4509B" w:rsidRDefault="00B85F99" w:rsidP="008D52EA">
    <w:pPr>
      <w:pStyle w:val="Header"/>
    </w:pPr>
    <w:r>
      <w:tab/>
      <w:t>DEL I – Kaj mora vsebovati poročanje o vrednotenju v letnem poročilu o izvajanju, predloženem leta 2019?</w:t>
    </w:r>
  </w:p>
  <w:p w:rsidR="00B85F99" w:rsidRPr="002C3379" w:rsidRDefault="00B85F99" w:rsidP="00E450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5F99" w:rsidRDefault="00B85F99" w:rsidP="000412E5">
    <w:pPr>
      <w:pStyle w:val="Header"/>
      <w:tabs>
        <w:tab w:val="clear" w:pos="9072"/>
        <w:tab w:val="right" w:pos="14175"/>
      </w:tabs>
    </w:pPr>
    <w:r>
      <w:tab/>
      <w:t>DEL III – Tehnični listi za odgovarjanje na skupna vprašanja za vrednotenje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700E3"/>
    <w:multiLevelType w:val="hybridMultilevel"/>
    <w:tmpl w:val="4C805968"/>
    <w:lvl w:ilvl="0" w:tplc="12F6D094">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77E1094"/>
    <w:multiLevelType w:val="multilevel"/>
    <w:tmpl w:val="9552195C"/>
    <w:lvl w:ilvl="0">
      <w:start w:val="1"/>
      <w:numFmt w:val="decimal"/>
      <w:pStyle w:val="Subtitle"/>
      <w:lvlText w:val="Table %1"/>
      <w:lvlJc w:val="left"/>
      <w:pPr>
        <w:ind w:left="851" w:hanging="851"/>
      </w:pPr>
      <w:rPr>
        <w:rFonts w:ascii="Arial" w:hAnsi="Arial" w:cs="Times New Roman" w:hint="default"/>
        <w:b/>
        <w:bCs w:val="0"/>
        <w:i w:val="0"/>
        <w:iCs w:val="0"/>
        <w:caps w:val="0"/>
        <w:smallCaps w:val="0"/>
        <w:strike w:val="0"/>
        <w:dstrike w:val="0"/>
        <w:noProof w:val="0"/>
        <w:vanish w:val="0"/>
        <w:color w:val="000000"/>
        <w:spacing w:val="0"/>
        <w:kern w:val="0"/>
        <w:position w:val="0"/>
        <w:sz w:val="16"/>
        <w:szCs w:val="16"/>
        <w:u w:val="none"/>
        <w:effect w:val="none"/>
        <w:vertAlign w:val="baseline"/>
        <w:em w:val="none"/>
        <w:specVanish w:val="0"/>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3"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DF342A9"/>
    <w:multiLevelType w:val="hybridMultilevel"/>
    <w:tmpl w:val="F04C2544"/>
    <w:lvl w:ilvl="0" w:tplc="8C24ADFE">
      <w:start w:val="1"/>
      <w:numFmt w:val="decimal"/>
      <w:lvlText w:val="%1."/>
      <w:lvlJc w:val="left"/>
      <w:pPr>
        <w:ind w:left="720" w:hanging="360"/>
      </w:pPr>
      <w:rPr>
        <w:rFonts w:hint="default"/>
        <w:u w:val="single"/>
      </w:rPr>
    </w:lvl>
    <w:lvl w:ilvl="1" w:tplc="041B0019">
      <w:start w:val="1"/>
      <w:numFmt w:val="lowerLetter"/>
      <w:lvlText w:val="%2."/>
      <w:lvlJc w:val="left"/>
      <w:pPr>
        <w:ind w:left="1440" w:hanging="360"/>
      </w:pPr>
    </w:lvl>
    <w:lvl w:ilvl="2" w:tplc="F7D8BF0E">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2CB28B3"/>
    <w:multiLevelType w:val="hybridMultilevel"/>
    <w:tmpl w:val="4A3C5D26"/>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7"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57825E"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373737"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027FC8"/>
    <w:multiLevelType w:val="hybridMultilevel"/>
    <w:tmpl w:val="FA02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A4DA5"/>
    <w:multiLevelType w:val="multilevel"/>
    <w:tmpl w:val="0E4CF658"/>
    <w:styleLink w:val="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113FF8"/>
    <w:multiLevelType w:val="hybridMultilevel"/>
    <w:tmpl w:val="B9964EBC"/>
    <w:lvl w:ilvl="0" w:tplc="041B0001">
      <w:start w:val="1"/>
      <w:numFmt w:val="bullet"/>
      <w:lvlText w:val=""/>
      <w:lvlJc w:val="left"/>
      <w:pPr>
        <w:ind w:left="775" w:hanging="360"/>
      </w:pPr>
      <w:rPr>
        <w:rFonts w:ascii="Symbol" w:hAnsi="Symbol" w:hint="default"/>
      </w:rPr>
    </w:lvl>
    <w:lvl w:ilvl="1" w:tplc="041B0003" w:tentative="1">
      <w:start w:val="1"/>
      <w:numFmt w:val="bullet"/>
      <w:lvlText w:val="o"/>
      <w:lvlJc w:val="left"/>
      <w:pPr>
        <w:ind w:left="1495" w:hanging="360"/>
      </w:pPr>
      <w:rPr>
        <w:rFonts w:ascii="Courier New" w:hAnsi="Courier New" w:cs="Courier New" w:hint="default"/>
      </w:rPr>
    </w:lvl>
    <w:lvl w:ilvl="2" w:tplc="041B0005" w:tentative="1">
      <w:start w:val="1"/>
      <w:numFmt w:val="bullet"/>
      <w:lvlText w:val=""/>
      <w:lvlJc w:val="left"/>
      <w:pPr>
        <w:ind w:left="2215" w:hanging="360"/>
      </w:pPr>
      <w:rPr>
        <w:rFonts w:ascii="Wingdings" w:hAnsi="Wingdings" w:hint="default"/>
      </w:rPr>
    </w:lvl>
    <w:lvl w:ilvl="3" w:tplc="041B0001" w:tentative="1">
      <w:start w:val="1"/>
      <w:numFmt w:val="bullet"/>
      <w:lvlText w:val=""/>
      <w:lvlJc w:val="left"/>
      <w:pPr>
        <w:ind w:left="2935" w:hanging="360"/>
      </w:pPr>
      <w:rPr>
        <w:rFonts w:ascii="Symbol" w:hAnsi="Symbol" w:hint="default"/>
      </w:rPr>
    </w:lvl>
    <w:lvl w:ilvl="4" w:tplc="041B0003" w:tentative="1">
      <w:start w:val="1"/>
      <w:numFmt w:val="bullet"/>
      <w:lvlText w:val="o"/>
      <w:lvlJc w:val="left"/>
      <w:pPr>
        <w:ind w:left="3655" w:hanging="360"/>
      </w:pPr>
      <w:rPr>
        <w:rFonts w:ascii="Courier New" w:hAnsi="Courier New" w:cs="Courier New" w:hint="default"/>
      </w:rPr>
    </w:lvl>
    <w:lvl w:ilvl="5" w:tplc="041B0005" w:tentative="1">
      <w:start w:val="1"/>
      <w:numFmt w:val="bullet"/>
      <w:lvlText w:val=""/>
      <w:lvlJc w:val="left"/>
      <w:pPr>
        <w:ind w:left="4375" w:hanging="360"/>
      </w:pPr>
      <w:rPr>
        <w:rFonts w:ascii="Wingdings" w:hAnsi="Wingdings" w:hint="default"/>
      </w:rPr>
    </w:lvl>
    <w:lvl w:ilvl="6" w:tplc="041B0001" w:tentative="1">
      <w:start w:val="1"/>
      <w:numFmt w:val="bullet"/>
      <w:lvlText w:val=""/>
      <w:lvlJc w:val="left"/>
      <w:pPr>
        <w:ind w:left="5095" w:hanging="360"/>
      </w:pPr>
      <w:rPr>
        <w:rFonts w:ascii="Symbol" w:hAnsi="Symbol" w:hint="default"/>
      </w:rPr>
    </w:lvl>
    <w:lvl w:ilvl="7" w:tplc="041B0003" w:tentative="1">
      <w:start w:val="1"/>
      <w:numFmt w:val="bullet"/>
      <w:lvlText w:val="o"/>
      <w:lvlJc w:val="left"/>
      <w:pPr>
        <w:ind w:left="5815" w:hanging="360"/>
      </w:pPr>
      <w:rPr>
        <w:rFonts w:ascii="Courier New" w:hAnsi="Courier New" w:cs="Courier New" w:hint="default"/>
      </w:rPr>
    </w:lvl>
    <w:lvl w:ilvl="8" w:tplc="041B0005" w:tentative="1">
      <w:start w:val="1"/>
      <w:numFmt w:val="bullet"/>
      <w:lvlText w:val=""/>
      <w:lvlJc w:val="left"/>
      <w:pPr>
        <w:ind w:left="6535" w:hanging="360"/>
      </w:pPr>
      <w:rPr>
        <w:rFonts w:ascii="Wingdings" w:hAnsi="Wingdings" w:hint="default"/>
      </w:rPr>
    </w:lvl>
  </w:abstractNum>
  <w:abstractNum w:abstractNumId="12" w15:restartNumberingAfterBreak="0">
    <w:nsid w:val="310547BD"/>
    <w:multiLevelType w:val="hybridMultilevel"/>
    <w:tmpl w:val="552A8F90"/>
    <w:lvl w:ilvl="0" w:tplc="E152B4DE">
      <w:start w:val="1"/>
      <w:numFmt w:val="decimal"/>
      <w:pStyle w:val="HHeadingfigures"/>
      <w:lvlText w:val="Slika %1."/>
      <w:lvlJc w:val="left"/>
      <w:pPr>
        <w:tabs>
          <w:tab w:val="num" w:pos="964"/>
        </w:tabs>
        <w:ind w:left="964" w:hanging="964"/>
      </w:pPr>
      <w:rPr>
        <w:rFonts w:hint="default"/>
        <w:b/>
        <w:bCs w:val="0"/>
        <w:i w:val="0"/>
        <w:iCs w:val="0"/>
        <w:caps w:val="0"/>
        <w:smallCaps w:val="0"/>
        <w:strike w:val="0"/>
        <w:dstrike w:val="0"/>
        <w:noProof w:val="0"/>
        <w:vanish w:val="0"/>
        <w:color w:val="373737" w:themeColor="tex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BBC6932"/>
    <w:multiLevelType w:val="hybridMultilevel"/>
    <w:tmpl w:val="BBBE01C4"/>
    <w:lvl w:ilvl="0" w:tplc="91608FB0">
      <w:start w:val="1"/>
      <w:numFmt w:val="bullet"/>
      <w:pStyle w:val="Hlistbullet"/>
      <w:lvlText w:val=""/>
      <w:lvlJc w:val="left"/>
      <w:pPr>
        <w:ind w:left="928" w:hanging="360"/>
      </w:pPr>
      <w:rPr>
        <w:rFonts w:ascii="Symbol" w:hAnsi="Symbol"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677474"/>
    <w:multiLevelType w:val="hybridMultilevel"/>
    <w:tmpl w:val="9DC66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292260B8"/>
    <w:lvl w:ilvl="0" w:tplc="500EB6AA">
      <w:start w:val="1"/>
      <w:numFmt w:val="decimal"/>
      <w:pStyle w:val="HHeadingtables"/>
      <w:lvlText w:val="Preglednica %1."/>
      <w:lvlJc w:val="left"/>
      <w:pPr>
        <w:ind w:left="360" w:hanging="360"/>
      </w:pPr>
      <w:rPr>
        <w:rFonts w:hint="default"/>
        <w:specVanish w:val="0"/>
      </w:rPr>
    </w:lvl>
    <w:lvl w:ilvl="1" w:tplc="04070019" w:tentative="1">
      <w:start w:val="1"/>
      <w:numFmt w:val="lowerLetter"/>
      <w:lvlText w:val="%2."/>
      <w:lvlJc w:val="left"/>
      <w:pPr>
        <w:ind w:left="-829" w:hanging="360"/>
      </w:pPr>
    </w:lvl>
    <w:lvl w:ilvl="2" w:tplc="0407001B" w:tentative="1">
      <w:start w:val="1"/>
      <w:numFmt w:val="lowerRoman"/>
      <w:lvlText w:val="%3."/>
      <w:lvlJc w:val="right"/>
      <w:pPr>
        <w:ind w:left="-109" w:hanging="180"/>
      </w:pPr>
    </w:lvl>
    <w:lvl w:ilvl="3" w:tplc="0407000F" w:tentative="1">
      <w:start w:val="1"/>
      <w:numFmt w:val="decimal"/>
      <w:lvlText w:val="%4."/>
      <w:lvlJc w:val="left"/>
      <w:pPr>
        <w:ind w:left="611" w:hanging="360"/>
      </w:pPr>
    </w:lvl>
    <w:lvl w:ilvl="4" w:tplc="04070019" w:tentative="1">
      <w:start w:val="1"/>
      <w:numFmt w:val="lowerLetter"/>
      <w:lvlText w:val="%5."/>
      <w:lvlJc w:val="left"/>
      <w:pPr>
        <w:ind w:left="1331" w:hanging="360"/>
      </w:pPr>
    </w:lvl>
    <w:lvl w:ilvl="5" w:tplc="0407001B" w:tentative="1">
      <w:start w:val="1"/>
      <w:numFmt w:val="lowerRoman"/>
      <w:lvlText w:val="%6."/>
      <w:lvlJc w:val="right"/>
      <w:pPr>
        <w:ind w:left="2051" w:hanging="180"/>
      </w:pPr>
    </w:lvl>
    <w:lvl w:ilvl="6" w:tplc="0407000F" w:tentative="1">
      <w:start w:val="1"/>
      <w:numFmt w:val="decimal"/>
      <w:lvlText w:val="%7."/>
      <w:lvlJc w:val="left"/>
      <w:pPr>
        <w:ind w:left="2771" w:hanging="360"/>
      </w:pPr>
    </w:lvl>
    <w:lvl w:ilvl="7" w:tplc="04070019" w:tentative="1">
      <w:start w:val="1"/>
      <w:numFmt w:val="lowerLetter"/>
      <w:lvlText w:val="%8."/>
      <w:lvlJc w:val="left"/>
      <w:pPr>
        <w:ind w:left="3491" w:hanging="360"/>
      </w:pPr>
    </w:lvl>
    <w:lvl w:ilvl="8" w:tplc="0407001B" w:tentative="1">
      <w:start w:val="1"/>
      <w:numFmt w:val="lowerRoman"/>
      <w:lvlText w:val="%9."/>
      <w:lvlJc w:val="right"/>
      <w:pPr>
        <w:ind w:left="4211" w:hanging="180"/>
      </w:pPr>
    </w:lvl>
  </w:abstractNum>
  <w:abstractNum w:abstractNumId="16" w15:restartNumberingAfterBreak="0">
    <w:nsid w:val="446B7352"/>
    <w:multiLevelType w:val="hybridMultilevel"/>
    <w:tmpl w:val="E758C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F8294A"/>
    <w:multiLevelType w:val="hybridMultilevel"/>
    <w:tmpl w:val="A61044DA"/>
    <w:lvl w:ilvl="0" w:tplc="C1BE37B8">
      <w:start w:val="1"/>
      <w:numFmt w:val="lowerLetter"/>
      <w:pStyle w:val="Hlistabc"/>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C663347"/>
    <w:multiLevelType w:val="hybridMultilevel"/>
    <w:tmpl w:val="BEE86F04"/>
    <w:lvl w:ilvl="0" w:tplc="EAF66E3A">
      <w:start w:val="1"/>
      <w:numFmt w:val="bullet"/>
      <w:pStyle w:val="Hlistbullet2"/>
      <w:lvlText w:val="o"/>
      <w:lvlJc w:val="left"/>
      <w:pPr>
        <w:ind w:left="720" w:hanging="360"/>
      </w:pPr>
      <w:rPr>
        <w:rFonts w:ascii="Courier New" w:hAnsi="Courier New" w:hint="default"/>
        <w:color w:val="F07E31"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933F93"/>
    <w:multiLevelType w:val="hybridMultilevel"/>
    <w:tmpl w:val="3EFCB27A"/>
    <w:lvl w:ilvl="0" w:tplc="0809000F">
      <w:start w:val="1"/>
      <w:numFmt w:val="decimal"/>
      <w:lvlText w:val="%1."/>
      <w:lvlJc w:val="left"/>
      <w:pPr>
        <w:ind w:left="928" w:hanging="360"/>
      </w:pPr>
      <w:rPr>
        <w:rFonts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E973CF"/>
    <w:multiLevelType w:val="hybridMultilevel"/>
    <w:tmpl w:val="471E9ED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3FC3597"/>
    <w:multiLevelType w:val="hybridMultilevel"/>
    <w:tmpl w:val="33407086"/>
    <w:lvl w:ilvl="0" w:tplc="041B000F">
      <w:start w:val="1"/>
      <w:numFmt w:val="decimal"/>
      <w:lvlText w:val="%1."/>
      <w:lvlJc w:val="left"/>
      <w:pPr>
        <w:ind w:left="1571" w:hanging="360"/>
      </w:p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22" w15:restartNumberingAfterBreak="0">
    <w:nsid w:val="66691E4D"/>
    <w:multiLevelType w:val="hybridMultilevel"/>
    <w:tmpl w:val="4FC82400"/>
    <w:lvl w:ilvl="0" w:tplc="663C7372">
      <w:numFmt w:val="bullet"/>
      <w:lvlText w:val=""/>
      <w:lvlJc w:val="left"/>
      <w:pPr>
        <w:ind w:left="720" w:hanging="360"/>
      </w:pPr>
      <w:rPr>
        <w:rFonts w:ascii="Wingdings 3" w:eastAsia="Times New Roman" w:hAnsi="Wingdings 3" w:cs="Times New Roman" w:hint="default"/>
        <w:color w:val="F07E3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F14428"/>
    <w:multiLevelType w:val="hybridMultilevel"/>
    <w:tmpl w:val="ED04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C72A78"/>
    <w:multiLevelType w:val="hybridMultilevel"/>
    <w:tmpl w:val="0A804530"/>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5" w15:restartNumberingAfterBreak="0">
    <w:nsid w:val="6C4D270F"/>
    <w:multiLevelType w:val="hybridMultilevel"/>
    <w:tmpl w:val="5B761532"/>
    <w:lvl w:ilvl="0" w:tplc="C0A2A0CC">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8090001">
      <w:start w:val="1"/>
      <w:numFmt w:val="bullet"/>
      <w:lvlText w:val=""/>
      <w:lvlJc w:val="left"/>
      <w:pPr>
        <w:ind w:left="1457" w:hanging="180"/>
      </w:pPr>
      <w:rPr>
        <w:rFonts w:ascii="Symbol" w:hAnsi="Symbol" w:hint="default"/>
        <w:color w:val="F07E31" w:themeColor="accent1"/>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5B3440"/>
    <w:multiLevelType w:val="hybridMultilevel"/>
    <w:tmpl w:val="D624ACF8"/>
    <w:lvl w:ilvl="0" w:tplc="3BC8D07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0D15F02"/>
    <w:multiLevelType w:val="hybridMultilevel"/>
    <w:tmpl w:val="33743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916E6D"/>
    <w:multiLevelType w:val="hybridMultilevel"/>
    <w:tmpl w:val="19704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5D33D3"/>
    <w:multiLevelType w:val="multilevel"/>
    <w:tmpl w:val="EC66BD28"/>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146"/>
        </w:tabs>
        <w:ind w:left="426"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0" w15:restartNumberingAfterBreak="0">
    <w:nsid w:val="7E752836"/>
    <w:multiLevelType w:val="hybridMultilevel"/>
    <w:tmpl w:val="EA7050F0"/>
    <w:lvl w:ilvl="0" w:tplc="7A1AAC92">
      <w:start w:val="1"/>
      <w:numFmt w:val="bullet"/>
      <w:pStyle w:val="Htable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17"/>
  </w:num>
  <w:num w:numId="4">
    <w:abstractNumId w:val="8"/>
  </w:num>
  <w:num w:numId="5">
    <w:abstractNumId w:val="30"/>
  </w:num>
  <w:num w:numId="6">
    <w:abstractNumId w:val="29"/>
  </w:num>
  <w:num w:numId="7">
    <w:abstractNumId w:val="15"/>
  </w:num>
  <w:num w:numId="8">
    <w:abstractNumId w:val="12"/>
  </w:num>
  <w:num w:numId="9">
    <w:abstractNumId w:val="3"/>
  </w:num>
  <w:num w:numId="10">
    <w:abstractNumId w:val="0"/>
  </w:num>
  <w:num w:numId="11">
    <w:abstractNumId w:val="7"/>
  </w:num>
  <w:num w:numId="12">
    <w:abstractNumId w:val="18"/>
  </w:num>
  <w:num w:numId="13">
    <w:abstractNumId w:val="4"/>
  </w:num>
  <w:num w:numId="14">
    <w:abstractNumId w:val="17"/>
    <w:lvlOverride w:ilvl="0">
      <w:startOverride w:val="1"/>
    </w:lvlOverride>
  </w:num>
  <w:num w:numId="15">
    <w:abstractNumId w:val="10"/>
  </w:num>
  <w:num w:numId="16">
    <w:abstractNumId w:val="1"/>
  </w:num>
  <w:num w:numId="17">
    <w:abstractNumId w:val="26"/>
  </w:num>
  <w:num w:numId="18">
    <w:abstractNumId w:val="25"/>
  </w:num>
  <w:num w:numId="19">
    <w:abstractNumId w:val="2"/>
  </w:num>
  <w:num w:numId="20">
    <w:abstractNumId w:val="5"/>
  </w:num>
  <w:num w:numId="21">
    <w:abstractNumId w:val="20"/>
  </w:num>
  <w:num w:numId="22">
    <w:abstractNumId w:val="12"/>
  </w:num>
  <w:num w:numId="23">
    <w:abstractNumId w:val="22"/>
  </w:num>
  <w:num w:numId="24">
    <w:abstractNumId w:val="21"/>
  </w:num>
  <w:num w:numId="25">
    <w:abstractNumId w:val="19"/>
  </w:num>
  <w:num w:numId="26">
    <w:abstractNumId w:val="9"/>
  </w:num>
  <w:num w:numId="27">
    <w:abstractNumId w:val="28"/>
  </w:num>
  <w:num w:numId="28">
    <w:abstractNumId w:val="23"/>
  </w:num>
  <w:num w:numId="29">
    <w:abstractNumId w:val="24"/>
  </w:num>
  <w:num w:numId="30">
    <w:abstractNumId w:val="27"/>
  </w:num>
  <w:num w:numId="31">
    <w:abstractNumId w:val="16"/>
  </w:num>
  <w:num w:numId="32">
    <w:abstractNumId w:val="14"/>
  </w:num>
  <w:num w:numId="33">
    <w:abstractNumId w:val="13"/>
  </w:num>
  <w:num w:numId="34">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WTEMPLATE_ORANGE_2017"/>
  </w:docVars>
  <w:rsids>
    <w:rsidRoot w:val="00CD63F6"/>
    <w:rsid w:val="0000007B"/>
    <w:rsid w:val="000001D4"/>
    <w:rsid w:val="0000104B"/>
    <w:rsid w:val="00002482"/>
    <w:rsid w:val="000026A3"/>
    <w:rsid w:val="00002A15"/>
    <w:rsid w:val="00002FFD"/>
    <w:rsid w:val="00003C64"/>
    <w:rsid w:val="00004E4F"/>
    <w:rsid w:val="000068EF"/>
    <w:rsid w:val="00006B47"/>
    <w:rsid w:val="00010136"/>
    <w:rsid w:val="00010901"/>
    <w:rsid w:val="00010981"/>
    <w:rsid w:val="00010A66"/>
    <w:rsid w:val="00010B08"/>
    <w:rsid w:val="00011CD6"/>
    <w:rsid w:val="00011DC7"/>
    <w:rsid w:val="0001214D"/>
    <w:rsid w:val="000128D8"/>
    <w:rsid w:val="00012BA4"/>
    <w:rsid w:val="00012F22"/>
    <w:rsid w:val="00013C3D"/>
    <w:rsid w:val="0001428E"/>
    <w:rsid w:val="000142AB"/>
    <w:rsid w:val="00015D95"/>
    <w:rsid w:val="00016061"/>
    <w:rsid w:val="00016C49"/>
    <w:rsid w:val="00017C34"/>
    <w:rsid w:val="000200FC"/>
    <w:rsid w:val="0002085D"/>
    <w:rsid w:val="0002086B"/>
    <w:rsid w:val="00021325"/>
    <w:rsid w:val="0002177B"/>
    <w:rsid w:val="0002182E"/>
    <w:rsid w:val="0002341F"/>
    <w:rsid w:val="00023F16"/>
    <w:rsid w:val="0002477B"/>
    <w:rsid w:val="00025015"/>
    <w:rsid w:val="00025148"/>
    <w:rsid w:val="00025E70"/>
    <w:rsid w:val="000266E6"/>
    <w:rsid w:val="00026F9F"/>
    <w:rsid w:val="0002704D"/>
    <w:rsid w:val="0002732C"/>
    <w:rsid w:val="00027601"/>
    <w:rsid w:val="00031E67"/>
    <w:rsid w:val="0003232A"/>
    <w:rsid w:val="000325AF"/>
    <w:rsid w:val="00032732"/>
    <w:rsid w:val="000330AD"/>
    <w:rsid w:val="0003333B"/>
    <w:rsid w:val="00033ACC"/>
    <w:rsid w:val="00033B15"/>
    <w:rsid w:val="0003500B"/>
    <w:rsid w:val="0003605E"/>
    <w:rsid w:val="00041200"/>
    <w:rsid w:val="000412E5"/>
    <w:rsid w:val="00041A27"/>
    <w:rsid w:val="000420F9"/>
    <w:rsid w:val="0004231E"/>
    <w:rsid w:val="00043C2A"/>
    <w:rsid w:val="00044397"/>
    <w:rsid w:val="00044CBB"/>
    <w:rsid w:val="00044D33"/>
    <w:rsid w:val="00045382"/>
    <w:rsid w:val="000457A0"/>
    <w:rsid w:val="0004609A"/>
    <w:rsid w:val="00047532"/>
    <w:rsid w:val="00047872"/>
    <w:rsid w:val="000506E2"/>
    <w:rsid w:val="00050912"/>
    <w:rsid w:val="00050D72"/>
    <w:rsid w:val="00050EA9"/>
    <w:rsid w:val="00051E23"/>
    <w:rsid w:val="00051EEE"/>
    <w:rsid w:val="0005260E"/>
    <w:rsid w:val="00052870"/>
    <w:rsid w:val="0005382D"/>
    <w:rsid w:val="00054C75"/>
    <w:rsid w:val="00055507"/>
    <w:rsid w:val="000561D6"/>
    <w:rsid w:val="000574E7"/>
    <w:rsid w:val="00057D3C"/>
    <w:rsid w:val="000601FF"/>
    <w:rsid w:val="00060339"/>
    <w:rsid w:val="00060AFC"/>
    <w:rsid w:val="00061150"/>
    <w:rsid w:val="00061838"/>
    <w:rsid w:val="000624B0"/>
    <w:rsid w:val="00062CD2"/>
    <w:rsid w:val="00063251"/>
    <w:rsid w:val="00063276"/>
    <w:rsid w:val="00063B79"/>
    <w:rsid w:val="000650BF"/>
    <w:rsid w:val="000670A3"/>
    <w:rsid w:val="00067C10"/>
    <w:rsid w:val="00070475"/>
    <w:rsid w:val="0007095D"/>
    <w:rsid w:val="00072032"/>
    <w:rsid w:val="0007283B"/>
    <w:rsid w:val="00074916"/>
    <w:rsid w:val="00074F33"/>
    <w:rsid w:val="0007598A"/>
    <w:rsid w:val="00075CA3"/>
    <w:rsid w:val="00076652"/>
    <w:rsid w:val="00076C57"/>
    <w:rsid w:val="000771E1"/>
    <w:rsid w:val="0007726F"/>
    <w:rsid w:val="00077AF9"/>
    <w:rsid w:val="000804B0"/>
    <w:rsid w:val="00081280"/>
    <w:rsid w:val="00081736"/>
    <w:rsid w:val="000833CD"/>
    <w:rsid w:val="000836F2"/>
    <w:rsid w:val="00083705"/>
    <w:rsid w:val="0008418C"/>
    <w:rsid w:val="0008437E"/>
    <w:rsid w:val="00084915"/>
    <w:rsid w:val="00084CD6"/>
    <w:rsid w:val="00084EBA"/>
    <w:rsid w:val="000852E7"/>
    <w:rsid w:val="000856AA"/>
    <w:rsid w:val="00085EAA"/>
    <w:rsid w:val="00087412"/>
    <w:rsid w:val="00087931"/>
    <w:rsid w:val="00087ABB"/>
    <w:rsid w:val="00087F85"/>
    <w:rsid w:val="00090ACF"/>
    <w:rsid w:val="0009119D"/>
    <w:rsid w:val="00092C7D"/>
    <w:rsid w:val="000936B3"/>
    <w:rsid w:val="00093CBB"/>
    <w:rsid w:val="00096C99"/>
    <w:rsid w:val="00096E8E"/>
    <w:rsid w:val="0009736F"/>
    <w:rsid w:val="00097A53"/>
    <w:rsid w:val="000A1917"/>
    <w:rsid w:val="000A2A5A"/>
    <w:rsid w:val="000A3F19"/>
    <w:rsid w:val="000A428E"/>
    <w:rsid w:val="000A49DA"/>
    <w:rsid w:val="000A4B75"/>
    <w:rsid w:val="000A6EDF"/>
    <w:rsid w:val="000A72D0"/>
    <w:rsid w:val="000A7970"/>
    <w:rsid w:val="000A7E25"/>
    <w:rsid w:val="000B00DB"/>
    <w:rsid w:val="000B0B8B"/>
    <w:rsid w:val="000B1405"/>
    <w:rsid w:val="000B213F"/>
    <w:rsid w:val="000B2933"/>
    <w:rsid w:val="000B2A17"/>
    <w:rsid w:val="000B30FF"/>
    <w:rsid w:val="000B3BF2"/>
    <w:rsid w:val="000B3D31"/>
    <w:rsid w:val="000B434D"/>
    <w:rsid w:val="000B4920"/>
    <w:rsid w:val="000B4B84"/>
    <w:rsid w:val="000B567F"/>
    <w:rsid w:val="000B5726"/>
    <w:rsid w:val="000B5C67"/>
    <w:rsid w:val="000B5E5F"/>
    <w:rsid w:val="000B62C2"/>
    <w:rsid w:val="000B6372"/>
    <w:rsid w:val="000B7376"/>
    <w:rsid w:val="000C0BB1"/>
    <w:rsid w:val="000C2540"/>
    <w:rsid w:val="000C2567"/>
    <w:rsid w:val="000C3B60"/>
    <w:rsid w:val="000C3D9D"/>
    <w:rsid w:val="000C43F0"/>
    <w:rsid w:val="000C4695"/>
    <w:rsid w:val="000C499A"/>
    <w:rsid w:val="000C49F1"/>
    <w:rsid w:val="000C5796"/>
    <w:rsid w:val="000C5F42"/>
    <w:rsid w:val="000C65CB"/>
    <w:rsid w:val="000C6873"/>
    <w:rsid w:val="000C6FAB"/>
    <w:rsid w:val="000C7C56"/>
    <w:rsid w:val="000D01D5"/>
    <w:rsid w:val="000D07C2"/>
    <w:rsid w:val="000D1414"/>
    <w:rsid w:val="000D1B19"/>
    <w:rsid w:val="000D251E"/>
    <w:rsid w:val="000D3DB8"/>
    <w:rsid w:val="000D476B"/>
    <w:rsid w:val="000D57BD"/>
    <w:rsid w:val="000D5A8C"/>
    <w:rsid w:val="000D6488"/>
    <w:rsid w:val="000D6757"/>
    <w:rsid w:val="000D7A58"/>
    <w:rsid w:val="000D7AB8"/>
    <w:rsid w:val="000D7F4E"/>
    <w:rsid w:val="000E0A0A"/>
    <w:rsid w:val="000E223C"/>
    <w:rsid w:val="000E3057"/>
    <w:rsid w:val="000E31A7"/>
    <w:rsid w:val="000E375A"/>
    <w:rsid w:val="000E420E"/>
    <w:rsid w:val="000E436F"/>
    <w:rsid w:val="000E5513"/>
    <w:rsid w:val="000E6F6F"/>
    <w:rsid w:val="000E787D"/>
    <w:rsid w:val="000E7F1D"/>
    <w:rsid w:val="000F0463"/>
    <w:rsid w:val="000F07C1"/>
    <w:rsid w:val="000F086F"/>
    <w:rsid w:val="000F1DDC"/>
    <w:rsid w:val="000F3028"/>
    <w:rsid w:val="000F4BEA"/>
    <w:rsid w:val="000F4F4F"/>
    <w:rsid w:val="000F5315"/>
    <w:rsid w:val="000F570B"/>
    <w:rsid w:val="000F5CC2"/>
    <w:rsid w:val="000F5E15"/>
    <w:rsid w:val="000F77F0"/>
    <w:rsid w:val="000F7876"/>
    <w:rsid w:val="00100A1E"/>
    <w:rsid w:val="00100B02"/>
    <w:rsid w:val="0010132E"/>
    <w:rsid w:val="001018C4"/>
    <w:rsid w:val="001018DD"/>
    <w:rsid w:val="001028FE"/>
    <w:rsid w:val="00102C05"/>
    <w:rsid w:val="00102C6A"/>
    <w:rsid w:val="00103E79"/>
    <w:rsid w:val="001040A8"/>
    <w:rsid w:val="001040F8"/>
    <w:rsid w:val="001043CE"/>
    <w:rsid w:val="001061CD"/>
    <w:rsid w:val="00106C0A"/>
    <w:rsid w:val="00113A37"/>
    <w:rsid w:val="00113F8C"/>
    <w:rsid w:val="00115ED4"/>
    <w:rsid w:val="0011661B"/>
    <w:rsid w:val="00116912"/>
    <w:rsid w:val="00116A79"/>
    <w:rsid w:val="00116CCB"/>
    <w:rsid w:val="001170FF"/>
    <w:rsid w:val="001174CF"/>
    <w:rsid w:val="00117E78"/>
    <w:rsid w:val="00120BAA"/>
    <w:rsid w:val="00120EA9"/>
    <w:rsid w:val="00121696"/>
    <w:rsid w:val="00122285"/>
    <w:rsid w:val="00123367"/>
    <w:rsid w:val="001247FE"/>
    <w:rsid w:val="00125341"/>
    <w:rsid w:val="00126224"/>
    <w:rsid w:val="00131592"/>
    <w:rsid w:val="001315A5"/>
    <w:rsid w:val="001316FD"/>
    <w:rsid w:val="0013249F"/>
    <w:rsid w:val="00132E89"/>
    <w:rsid w:val="0013332D"/>
    <w:rsid w:val="00133C0C"/>
    <w:rsid w:val="00134E3F"/>
    <w:rsid w:val="00134F6F"/>
    <w:rsid w:val="001355C4"/>
    <w:rsid w:val="00135778"/>
    <w:rsid w:val="00135951"/>
    <w:rsid w:val="00135B4A"/>
    <w:rsid w:val="0013678F"/>
    <w:rsid w:val="001367B9"/>
    <w:rsid w:val="00136C15"/>
    <w:rsid w:val="00137201"/>
    <w:rsid w:val="00137828"/>
    <w:rsid w:val="00140380"/>
    <w:rsid w:val="0014085A"/>
    <w:rsid w:val="00140A22"/>
    <w:rsid w:val="00140F4E"/>
    <w:rsid w:val="00141199"/>
    <w:rsid w:val="0014235A"/>
    <w:rsid w:val="00143D51"/>
    <w:rsid w:val="00144841"/>
    <w:rsid w:val="0014533D"/>
    <w:rsid w:val="00146C75"/>
    <w:rsid w:val="00150D5B"/>
    <w:rsid w:val="00150E9E"/>
    <w:rsid w:val="00151F61"/>
    <w:rsid w:val="0015205D"/>
    <w:rsid w:val="001524F2"/>
    <w:rsid w:val="0015333B"/>
    <w:rsid w:val="00154C43"/>
    <w:rsid w:val="00156B10"/>
    <w:rsid w:val="0015708F"/>
    <w:rsid w:val="00157A50"/>
    <w:rsid w:val="00157DA4"/>
    <w:rsid w:val="00160E60"/>
    <w:rsid w:val="00161851"/>
    <w:rsid w:val="00162193"/>
    <w:rsid w:val="0016310E"/>
    <w:rsid w:val="001631F8"/>
    <w:rsid w:val="00164401"/>
    <w:rsid w:val="00164E60"/>
    <w:rsid w:val="00170920"/>
    <w:rsid w:val="00171AB2"/>
    <w:rsid w:val="00172554"/>
    <w:rsid w:val="00173923"/>
    <w:rsid w:val="00174DB8"/>
    <w:rsid w:val="00175DAE"/>
    <w:rsid w:val="00176032"/>
    <w:rsid w:val="0017622B"/>
    <w:rsid w:val="00176555"/>
    <w:rsid w:val="001773C8"/>
    <w:rsid w:val="00180B7A"/>
    <w:rsid w:val="001814C1"/>
    <w:rsid w:val="0018197E"/>
    <w:rsid w:val="00182991"/>
    <w:rsid w:val="00183503"/>
    <w:rsid w:val="00183988"/>
    <w:rsid w:val="00183DEC"/>
    <w:rsid w:val="00183FE7"/>
    <w:rsid w:val="001844B4"/>
    <w:rsid w:val="00184AD2"/>
    <w:rsid w:val="0018534D"/>
    <w:rsid w:val="001854A1"/>
    <w:rsid w:val="001856B4"/>
    <w:rsid w:val="00185910"/>
    <w:rsid w:val="00185B1D"/>
    <w:rsid w:val="001862E5"/>
    <w:rsid w:val="00186543"/>
    <w:rsid w:val="00186A1A"/>
    <w:rsid w:val="00186FCF"/>
    <w:rsid w:val="00187445"/>
    <w:rsid w:val="00187945"/>
    <w:rsid w:val="00187DD0"/>
    <w:rsid w:val="001900F6"/>
    <w:rsid w:val="00190D63"/>
    <w:rsid w:val="00190F9A"/>
    <w:rsid w:val="00191106"/>
    <w:rsid w:val="00191253"/>
    <w:rsid w:val="00192333"/>
    <w:rsid w:val="00194978"/>
    <w:rsid w:val="00194BE6"/>
    <w:rsid w:val="0019588B"/>
    <w:rsid w:val="0019599B"/>
    <w:rsid w:val="001962E1"/>
    <w:rsid w:val="00196C94"/>
    <w:rsid w:val="00196DF6"/>
    <w:rsid w:val="00197783"/>
    <w:rsid w:val="00197E1C"/>
    <w:rsid w:val="001A088C"/>
    <w:rsid w:val="001A12ED"/>
    <w:rsid w:val="001A1ABF"/>
    <w:rsid w:val="001A2395"/>
    <w:rsid w:val="001A2E63"/>
    <w:rsid w:val="001A2EC3"/>
    <w:rsid w:val="001A3195"/>
    <w:rsid w:val="001A36F4"/>
    <w:rsid w:val="001A3B8C"/>
    <w:rsid w:val="001A424D"/>
    <w:rsid w:val="001A4A92"/>
    <w:rsid w:val="001A51C8"/>
    <w:rsid w:val="001B04F9"/>
    <w:rsid w:val="001B0B03"/>
    <w:rsid w:val="001B0E2D"/>
    <w:rsid w:val="001B1731"/>
    <w:rsid w:val="001B1831"/>
    <w:rsid w:val="001B1DC6"/>
    <w:rsid w:val="001B2DB2"/>
    <w:rsid w:val="001B383F"/>
    <w:rsid w:val="001B42E2"/>
    <w:rsid w:val="001B53E3"/>
    <w:rsid w:val="001B5B15"/>
    <w:rsid w:val="001B5F5A"/>
    <w:rsid w:val="001B62AB"/>
    <w:rsid w:val="001B6888"/>
    <w:rsid w:val="001B6B1D"/>
    <w:rsid w:val="001B70AC"/>
    <w:rsid w:val="001B749E"/>
    <w:rsid w:val="001B782D"/>
    <w:rsid w:val="001C10A8"/>
    <w:rsid w:val="001C159A"/>
    <w:rsid w:val="001C2076"/>
    <w:rsid w:val="001C2A72"/>
    <w:rsid w:val="001C31EB"/>
    <w:rsid w:val="001C4CA3"/>
    <w:rsid w:val="001C4D03"/>
    <w:rsid w:val="001C4E09"/>
    <w:rsid w:val="001C4F2E"/>
    <w:rsid w:val="001C6679"/>
    <w:rsid w:val="001C6ACF"/>
    <w:rsid w:val="001C704F"/>
    <w:rsid w:val="001C71BC"/>
    <w:rsid w:val="001C763B"/>
    <w:rsid w:val="001C7730"/>
    <w:rsid w:val="001D0014"/>
    <w:rsid w:val="001D1659"/>
    <w:rsid w:val="001D32F7"/>
    <w:rsid w:val="001D4EDE"/>
    <w:rsid w:val="001D5984"/>
    <w:rsid w:val="001D5A8C"/>
    <w:rsid w:val="001D644A"/>
    <w:rsid w:val="001D6736"/>
    <w:rsid w:val="001D74AA"/>
    <w:rsid w:val="001E0DCE"/>
    <w:rsid w:val="001E17B2"/>
    <w:rsid w:val="001E1E51"/>
    <w:rsid w:val="001E24F4"/>
    <w:rsid w:val="001E36C8"/>
    <w:rsid w:val="001E51CE"/>
    <w:rsid w:val="001E5FC4"/>
    <w:rsid w:val="001F126C"/>
    <w:rsid w:val="001F1A2D"/>
    <w:rsid w:val="001F1DD1"/>
    <w:rsid w:val="001F25E0"/>
    <w:rsid w:val="001F485E"/>
    <w:rsid w:val="001F4DFD"/>
    <w:rsid w:val="001F52E4"/>
    <w:rsid w:val="001F5F53"/>
    <w:rsid w:val="001F6320"/>
    <w:rsid w:val="001F6572"/>
    <w:rsid w:val="001F7942"/>
    <w:rsid w:val="001F7B17"/>
    <w:rsid w:val="002000FD"/>
    <w:rsid w:val="00200679"/>
    <w:rsid w:val="0020196C"/>
    <w:rsid w:val="002047BF"/>
    <w:rsid w:val="0020488A"/>
    <w:rsid w:val="0020546C"/>
    <w:rsid w:val="00206921"/>
    <w:rsid w:val="00207FC1"/>
    <w:rsid w:val="00211573"/>
    <w:rsid w:val="002118E2"/>
    <w:rsid w:val="0021206F"/>
    <w:rsid w:val="00212EFF"/>
    <w:rsid w:val="002132F1"/>
    <w:rsid w:val="00213571"/>
    <w:rsid w:val="00213D26"/>
    <w:rsid w:val="00214324"/>
    <w:rsid w:val="00214FBE"/>
    <w:rsid w:val="00217482"/>
    <w:rsid w:val="0021750E"/>
    <w:rsid w:val="00217A65"/>
    <w:rsid w:val="00217C27"/>
    <w:rsid w:val="002208C7"/>
    <w:rsid w:val="00220B99"/>
    <w:rsid w:val="00220D70"/>
    <w:rsid w:val="00221159"/>
    <w:rsid w:val="002212DB"/>
    <w:rsid w:val="0022256C"/>
    <w:rsid w:val="002227D4"/>
    <w:rsid w:val="00223B64"/>
    <w:rsid w:val="00224BEB"/>
    <w:rsid w:val="0022630A"/>
    <w:rsid w:val="00226826"/>
    <w:rsid w:val="00227C57"/>
    <w:rsid w:val="00231360"/>
    <w:rsid w:val="00231C9C"/>
    <w:rsid w:val="002331B4"/>
    <w:rsid w:val="00233DA6"/>
    <w:rsid w:val="00235026"/>
    <w:rsid w:val="00235402"/>
    <w:rsid w:val="00235C84"/>
    <w:rsid w:val="002419CA"/>
    <w:rsid w:val="002426BA"/>
    <w:rsid w:val="00244620"/>
    <w:rsid w:val="0024762A"/>
    <w:rsid w:val="002479D6"/>
    <w:rsid w:val="00247F5A"/>
    <w:rsid w:val="002506A5"/>
    <w:rsid w:val="00250C24"/>
    <w:rsid w:val="0025123F"/>
    <w:rsid w:val="0025164E"/>
    <w:rsid w:val="002520A7"/>
    <w:rsid w:val="00252E56"/>
    <w:rsid w:val="002535D9"/>
    <w:rsid w:val="002553C6"/>
    <w:rsid w:val="00255E6A"/>
    <w:rsid w:val="00256636"/>
    <w:rsid w:val="002573E7"/>
    <w:rsid w:val="00260D48"/>
    <w:rsid w:val="00261A45"/>
    <w:rsid w:val="00263267"/>
    <w:rsid w:val="002643D5"/>
    <w:rsid w:val="00264C41"/>
    <w:rsid w:val="0026686F"/>
    <w:rsid w:val="0026726B"/>
    <w:rsid w:val="00267555"/>
    <w:rsid w:val="002709BC"/>
    <w:rsid w:val="0027196C"/>
    <w:rsid w:val="0027225E"/>
    <w:rsid w:val="00272AD5"/>
    <w:rsid w:val="00272E24"/>
    <w:rsid w:val="002730B0"/>
    <w:rsid w:val="00273775"/>
    <w:rsid w:val="0027414F"/>
    <w:rsid w:val="00274AB7"/>
    <w:rsid w:val="00274FF5"/>
    <w:rsid w:val="002751CF"/>
    <w:rsid w:val="00275616"/>
    <w:rsid w:val="00275838"/>
    <w:rsid w:val="002762F1"/>
    <w:rsid w:val="00276DE0"/>
    <w:rsid w:val="00276E62"/>
    <w:rsid w:val="00277A78"/>
    <w:rsid w:val="00280163"/>
    <w:rsid w:val="00280314"/>
    <w:rsid w:val="002807CD"/>
    <w:rsid w:val="002807DC"/>
    <w:rsid w:val="002808E9"/>
    <w:rsid w:val="00281058"/>
    <w:rsid w:val="00281530"/>
    <w:rsid w:val="002826E2"/>
    <w:rsid w:val="002829E5"/>
    <w:rsid w:val="00282BE1"/>
    <w:rsid w:val="00284356"/>
    <w:rsid w:val="00285170"/>
    <w:rsid w:val="0028553B"/>
    <w:rsid w:val="002865CA"/>
    <w:rsid w:val="00287179"/>
    <w:rsid w:val="002904B1"/>
    <w:rsid w:val="002909D3"/>
    <w:rsid w:val="00294410"/>
    <w:rsid w:val="0029590F"/>
    <w:rsid w:val="002963CB"/>
    <w:rsid w:val="00296609"/>
    <w:rsid w:val="00296CDC"/>
    <w:rsid w:val="002A0062"/>
    <w:rsid w:val="002A09A3"/>
    <w:rsid w:val="002A0D72"/>
    <w:rsid w:val="002A164E"/>
    <w:rsid w:val="002A16B7"/>
    <w:rsid w:val="002A2B60"/>
    <w:rsid w:val="002A2CB4"/>
    <w:rsid w:val="002A326C"/>
    <w:rsid w:val="002A37A1"/>
    <w:rsid w:val="002A42D8"/>
    <w:rsid w:val="002A48A4"/>
    <w:rsid w:val="002A4913"/>
    <w:rsid w:val="002A535A"/>
    <w:rsid w:val="002A6107"/>
    <w:rsid w:val="002A67B2"/>
    <w:rsid w:val="002A72C5"/>
    <w:rsid w:val="002B13CC"/>
    <w:rsid w:val="002B2700"/>
    <w:rsid w:val="002B2AAB"/>
    <w:rsid w:val="002B2E53"/>
    <w:rsid w:val="002B3E82"/>
    <w:rsid w:val="002B4474"/>
    <w:rsid w:val="002B6205"/>
    <w:rsid w:val="002B62FD"/>
    <w:rsid w:val="002B680E"/>
    <w:rsid w:val="002C0CD1"/>
    <w:rsid w:val="002C0D68"/>
    <w:rsid w:val="002C1A6B"/>
    <w:rsid w:val="002C1B75"/>
    <w:rsid w:val="002C1EAB"/>
    <w:rsid w:val="002C3379"/>
    <w:rsid w:val="002C3BA0"/>
    <w:rsid w:val="002C57D4"/>
    <w:rsid w:val="002C5A13"/>
    <w:rsid w:val="002C60AE"/>
    <w:rsid w:val="002C6565"/>
    <w:rsid w:val="002D2801"/>
    <w:rsid w:val="002D2EB0"/>
    <w:rsid w:val="002D4AB7"/>
    <w:rsid w:val="002D4C66"/>
    <w:rsid w:val="002D6124"/>
    <w:rsid w:val="002D6766"/>
    <w:rsid w:val="002D74F7"/>
    <w:rsid w:val="002D778C"/>
    <w:rsid w:val="002E08CE"/>
    <w:rsid w:val="002E0F7E"/>
    <w:rsid w:val="002E13D1"/>
    <w:rsid w:val="002E14FE"/>
    <w:rsid w:val="002E1759"/>
    <w:rsid w:val="002E1E69"/>
    <w:rsid w:val="002E20C6"/>
    <w:rsid w:val="002E27EE"/>
    <w:rsid w:val="002E3569"/>
    <w:rsid w:val="002E46A5"/>
    <w:rsid w:val="002E5877"/>
    <w:rsid w:val="002E5EA6"/>
    <w:rsid w:val="002E6C3C"/>
    <w:rsid w:val="002E709A"/>
    <w:rsid w:val="002E7109"/>
    <w:rsid w:val="002E7348"/>
    <w:rsid w:val="002F172A"/>
    <w:rsid w:val="002F3E31"/>
    <w:rsid w:val="002F4800"/>
    <w:rsid w:val="002F5537"/>
    <w:rsid w:val="002F6F83"/>
    <w:rsid w:val="002F7855"/>
    <w:rsid w:val="003005E4"/>
    <w:rsid w:val="00300A0C"/>
    <w:rsid w:val="00300C4A"/>
    <w:rsid w:val="00301751"/>
    <w:rsid w:val="00301CBD"/>
    <w:rsid w:val="003030C5"/>
    <w:rsid w:val="003039E0"/>
    <w:rsid w:val="00304630"/>
    <w:rsid w:val="003047C9"/>
    <w:rsid w:val="00304E6A"/>
    <w:rsid w:val="0030598E"/>
    <w:rsid w:val="00306F55"/>
    <w:rsid w:val="00307FDF"/>
    <w:rsid w:val="00310961"/>
    <w:rsid w:val="00310B39"/>
    <w:rsid w:val="00310EEB"/>
    <w:rsid w:val="00312415"/>
    <w:rsid w:val="0031268C"/>
    <w:rsid w:val="00313290"/>
    <w:rsid w:val="00313561"/>
    <w:rsid w:val="00314452"/>
    <w:rsid w:val="003146E6"/>
    <w:rsid w:val="0031628C"/>
    <w:rsid w:val="00317BC3"/>
    <w:rsid w:val="00320592"/>
    <w:rsid w:val="00320E03"/>
    <w:rsid w:val="0032154C"/>
    <w:rsid w:val="00321FB3"/>
    <w:rsid w:val="0032242C"/>
    <w:rsid w:val="0032258B"/>
    <w:rsid w:val="003234A8"/>
    <w:rsid w:val="0032386B"/>
    <w:rsid w:val="00325734"/>
    <w:rsid w:val="003262F1"/>
    <w:rsid w:val="00326630"/>
    <w:rsid w:val="003304E5"/>
    <w:rsid w:val="003304F7"/>
    <w:rsid w:val="003308AB"/>
    <w:rsid w:val="003322CE"/>
    <w:rsid w:val="0033248F"/>
    <w:rsid w:val="00332915"/>
    <w:rsid w:val="003334FB"/>
    <w:rsid w:val="00333D04"/>
    <w:rsid w:val="003342D8"/>
    <w:rsid w:val="003360F6"/>
    <w:rsid w:val="00336531"/>
    <w:rsid w:val="00336F23"/>
    <w:rsid w:val="0034132F"/>
    <w:rsid w:val="00341AC1"/>
    <w:rsid w:val="00342A8A"/>
    <w:rsid w:val="00342B5A"/>
    <w:rsid w:val="003433D2"/>
    <w:rsid w:val="003444BB"/>
    <w:rsid w:val="0034673C"/>
    <w:rsid w:val="00346A39"/>
    <w:rsid w:val="00350695"/>
    <w:rsid w:val="003506D4"/>
    <w:rsid w:val="00351B7E"/>
    <w:rsid w:val="003526FE"/>
    <w:rsid w:val="00352B28"/>
    <w:rsid w:val="00354817"/>
    <w:rsid w:val="003563F4"/>
    <w:rsid w:val="00357222"/>
    <w:rsid w:val="003604BB"/>
    <w:rsid w:val="00360775"/>
    <w:rsid w:val="00360800"/>
    <w:rsid w:val="003609A4"/>
    <w:rsid w:val="00362CC6"/>
    <w:rsid w:val="00362D7C"/>
    <w:rsid w:val="00362F04"/>
    <w:rsid w:val="0036326E"/>
    <w:rsid w:val="003646A8"/>
    <w:rsid w:val="0036483B"/>
    <w:rsid w:val="00364BFD"/>
    <w:rsid w:val="00364E0B"/>
    <w:rsid w:val="0036520B"/>
    <w:rsid w:val="00365997"/>
    <w:rsid w:val="003667BE"/>
    <w:rsid w:val="0036731C"/>
    <w:rsid w:val="003708EA"/>
    <w:rsid w:val="0037178D"/>
    <w:rsid w:val="003718F4"/>
    <w:rsid w:val="0037198A"/>
    <w:rsid w:val="00371D33"/>
    <w:rsid w:val="00372358"/>
    <w:rsid w:val="00372C7C"/>
    <w:rsid w:val="00372F8A"/>
    <w:rsid w:val="00373455"/>
    <w:rsid w:val="00373586"/>
    <w:rsid w:val="003742AF"/>
    <w:rsid w:val="003744E0"/>
    <w:rsid w:val="00374906"/>
    <w:rsid w:val="0037516F"/>
    <w:rsid w:val="0037519D"/>
    <w:rsid w:val="003754A1"/>
    <w:rsid w:val="00375DBD"/>
    <w:rsid w:val="00376861"/>
    <w:rsid w:val="003819D9"/>
    <w:rsid w:val="00383CF1"/>
    <w:rsid w:val="00386332"/>
    <w:rsid w:val="003865B0"/>
    <w:rsid w:val="00386750"/>
    <w:rsid w:val="00386E14"/>
    <w:rsid w:val="00386F36"/>
    <w:rsid w:val="0039118F"/>
    <w:rsid w:val="00391ECD"/>
    <w:rsid w:val="0039265F"/>
    <w:rsid w:val="003928D8"/>
    <w:rsid w:val="0039390F"/>
    <w:rsid w:val="00393D5C"/>
    <w:rsid w:val="00393ED7"/>
    <w:rsid w:val="0039432F"/>
    <w:rsid w:val="0039455E"/>
    <w:rsid w:val="00394B3E"/>
    <w:rsid w:val="00395B45"/>
    <w:rsid w:val="00397169"/>
    <w:rsid w:val="003A110E"/>
    <w:rsid w:val="003A1F60"/>
    <w:rsid w:val="003A2E83"/>
    <w:rsid w:val="003A2FDD"/>
    <w:rsid w:val="003A379A"/>
    <w:rsid w:val="003A3B66"/>
    <w:rsid w:val="003A3C55"/>
    <w:rsid w:val="003A49FD"/>
    <w:rsid w:val="003A4B15"/>
    <w:rsid w:val="003A5175"/>
    <w:rsid w:val="003A53D8"/>
    <w:rsid w:val="003A5C74"/>
    <w:rsid w:val="003A6298"/>
    <w:rsid w:val="003A6F22"/>
    <w:rsid w:val="003A6F67"/>
    <w:rsid w:val="003B2309"/>
    <w:rsid w:val="003B25C7"/>
    <w:rsid w:val="003B26C5"/>
    <w:rsid w:val="003B2A7B"/>
    <w:rsid w:val="003B2FA7"/>
    <w:rsid w:val="003B2FE5"/>
    <w:rsid w:val="003B357E"/>
    <w:rsid w:val="003B3CE9"/>
    <w:rsid w:val="003B3F22"/>
    <w:rsid w:val="003B4CB5"/>
    <w:rsid w:val="003B5787"/>
    <w:rsid w:val="003B6354"/>
    <w:rsid w:val="003B6B53"/>
    <w:rsid w:val="003B6E52"/>
    <w:rsid w:val="003B7B0F"/>
    <w:rsid w:val="003B7F5F"/>
    <w:rsid w:val="003C0D75"/>
    <w:rsid w:val="003C0F40"/>
    <w:rsid w:val="003C1C67"/>
    <w:rsid w:val="003C228A"/>
    <w:rsid w:val="003C2430"/>
    <w:rsid w:val="003C28C3"/>
    <w:rsid w:val="003C33F0"/>
    <w:rsid w:val="003C4B2B"/>
    <w:rsid w:val="003C4F13"/>
    <w:rsid w:val="003C5026"/>
    <w:rsid w:val="003C5FCE"/>
    <w:rsid w:val="003C6475"/>
    <w:rsid w:val="003D070A"/>
    <w:rsid w:val="003D1461"/>
    <w:rsid w:val="003D200A"/>
    <w:rsid w:val="003D3565"/>
    <w:rsid w:val="003D40C3"/>
    <w:rsid w:val="003D5AB8"/>
    <w:rsid w:val="003D6A06"/>
    <w:rsid w:val="003D7A70"/>
    <w:rsid w:val="003D7AFB"/>
    <w:rsid w:val="003E2691"/>
    <w:rsid w:val="003E5C3B"/>
    <w:rsid w:val="003F08B4"/>
    <w:rsid w:val="003F106A"/>
    <w:rsid w:val="003F117D"/>
    <w:rsid w:val="003F1454"/>
    <w:rsid w:val="003F1536"/>
    <w:rsid w:val="003F1EA5"/>
    <w:rsid w:val="003F30B5"/>
    <w:rsid w:val="003F3926"/>
    <w:rsid w:val="003F3E89"/>
    <w:rsid w:val="003F40E6"/>
    <w:rsid w:val="003F4AB9"/>
    <w:rsid w:val="003F4B4E"/>
    <w:rsid w:val="003F4E33"/>
    <w:rsid w:val="003F501D"/>
    <w:rsid w:val="003F5C2B"/>
    <w:rsid w:val="003F601B"/>
    <w:rsid w:val="003F61FF"/>
    <w:rsid w:val="003F6950"/>
    <w:rsid w:val="003F7DB2"/>
    <w:rsid w:val="00400A77"/>
    <w:rsid w:val="0040345E"/>
    <w:rsid w:val="00403E15"/>
    <w:rsid w:val="00404040"/>
    <w:rsid w:val="00404FC6"/>
    <w:rsid w:val="00406364"/>
    <w:rsid w:val="004067FF"/>
    <w:rsid w:val="00407ED8"/>
    <w:rsid w:val="0041033D"/>
    <w:rsid w:val="00410580"/>
    <w:rsid w:val="00411F48"/>
    <w:rsid w:val="00413AE5"/>
    <w:rsid w:val="00413BDA"/>
    <w:rsid w:val="00414AD9"/>
    <w:rsid w:val="0041616A"/>
    <w:rsid w:val="00416466"/>
    <w:rsid w:val="004173FB"/>
    <w:rsid w:val="00417754"/>
    <w:rsid w:val="0041795F"/>
    <w:rsid w:val="00421009"/>
    <w:rsid w:val="00421D80"/>
    <w:rsid w:val="00421DB0"/>
    <w:rsid w:val="00422EA8"/>
    <w:rsid w:val="00423424"/>
    <w:rsid w:val="00423A3A"/>
    <w:rsid w:val="00424BAF"/>
    <w:rsid w:val="00425D88"/>
    <w:rsid w:val="00426861"/>
    <w:rsid w:val="00426AED"/>
    <w:rsid w:val="00430AB4"/>
    <w:rsid w:val="00430DE3"/>
    <w:rsid w:val="004323A7"/>
    <w:rsid w:val="00432D50"/>
    <w:rsid w:val="00433112"/>
    <w:rsid w:val="004335B0"/>
    <w:rsid w:val="004345FA"/>
    <w:rsid w:val="00434BEF"/>
    <w:rsid w:val="0043501C"/>
    <w:rsid w:val="00435E8D"/>
    <w:rsid w:val="00435F02"/>
    <w:rsid w:val="00437273"/>
    <w:rsid w:val="00437B5C"/>
    <w:rsid w:val="0044050B"/>
    <w:rsid w:val="00441DEC"/>
    <w:rsid w:val="00443640"/>
    <w:rsid w:val="00443659"/>
    <w:rsid w:val="004439B8"/>
    <w:rsid w:val="004453B3"/>
    <w:rsid w:val="0044617D"/>
    <w:rsid w:val="004461C7"/>
    <w:rsid w:val="00446502"/>
    <w:rsid w:val="00446E89"/>
    <w:rsid w:val="0044721B"/>
    <w:rsid w:val="004473A6"/>
    <w:rsid w:val="004474CE"/>
    <w:rsid w:val="00447D01"/>
    <w:rsid w:val="00447E5C"/>
    <w:rsid w:val="00450EE6"/>
    <w:rsid w:val="00452515"/>
    <w:rsid w:val="004527EE"/>
    <w:rsid w:val="00452E3F"/>
    <w:rsid w:val="00454A07"/>
    <w:rsid w:val="00456C47"/>
    <w:rsid w:val="0046042F"/>
    <w:rsid w:val="00461FB0"/>
    <w:rsid w:val="00462B63"/>
    <w:rsid w:val="00463DC8"/>
    <w:rsid w:val="00463F10"/>
    <w:rsid w:val="0046410C"/>
    <w:rsid w:val="004649DE"/>
    <w:rsid w:val="00465025"/>
    <w:rsid w:val="00465153"/>
    <w:rsid w:val="004651E1"/>
    <w:rsid w:val="00465864"/>
    <w:rsid w:val="00466142"/>
    <w:rsid w:val="00466223"/>
    <w:rsid w:val="0046767D"/>
    <w:rsid w:val="00467BFC"/>
    <w:rsid w:val="004705CC"/>
    <w:rsid w:val="0047118A"/>
    <w:rsid w:val="00471DAE"/>
    <w:rsid w:val="00471F90"/>
    <w:rsid w:val="004755EF"/>
    <w:rsid w:val="00475EC5"/>
    <w:rsid w:val="00476117"/>
    <w:rsid w:val="004773BB"/>
    <w:rsid w:val="00477420"/>
    <w:rsid w:val="004777C4"/>
    <w:rsid w:val="00477FF9"/>
    <w:rsid w:val="004812F7"/>
    <w:rsid w:val="00481C2E"/>
    <w:rsid w:val="00482ABA"/>
    <w:rsid w:val="00483660"/>
    <w:rsid w:val="00483B02"/>
    <w:rsid w:val="00483FCD"/>
    <w:rsid w:val="00484705"/>
    <w:rsid w:val="00484D72"/>
    <w:rsid w:val="004865BD"/>
    <w:rsid w:val="0048695C"/>
    <w:rsid w:val="0048782B"/>
    <w:rsid w:val="00491794"/>
    <w:rsid w:val="00491B60"/>
    <w:rsid w:val="004925DA"/>
    <w:rsid w:val="00492C4D"/>
    <w:rsid w:val="00492FAE"/>
    <w:rsid w:val="004934E9"/>
    <w:rsid w:val="0049483C"/>
    <w:rsid w:val="00495BF0"/>
    <w:rsid w:val="004965AA"/>
    <w:rsid w:val="0049661F"/>
    <w:rsid w:val="00496FDC"/>
    <w:rsid w:val="00497784"/>
    <w:rsid w:val="00497CFD"/>
    <w:rsid w:val="004A0AB3"/>
    <w:rsid w:val="004A132E"/>
    <w:rsid w:val="004A16E0"/>
    <w:rsid w:val="004A24A5"/>
    <w:rsid w:val="004A2960"/>
    <w:rsid w:val="004A2D39"/>
    <w:rsid w:val="004A33E5"/>
    <w:rsid w:val="004A3547"/>
    <w:rsid w:val="004A3955"/>
    <w:rsid w:val="004A4352"/>
    <w:rsid w:val="004A43E8"/>
    <w:rsid w:val="004A5414"/>
    <w:rsid w:val="004A7896"/>
    <w:rsid w:val="004B10DA"/>
    <w:rsid w:val="004B1636"/>
    <w:rsid w:val="004B222D"/>
    <w:rsid w:val="004B2840"/>
    <w:rsid w:val="004B348E"/>
    <w:rsid w:val="004B4061"/>
    <w:rsid w:val="004B42AD"/>
    <w:rsid w:val="004B44AA"/>
    <w:rsid w:val="004B5DE7"/>
    <w:rsid w:val="004B6A60"/>
    <w:rsid w:val="004B77E4"/>
    <w:rsid w:val="004B7A61"/>
    <w:rsid w:val="004C06A1"/>
    <w:rsid w:val="004C08F8"/>
    <w:rsid w:val="004C1E98"/>
    <w:rsid w:val="004C3C30"/>
    <w:rsid w:val="004C44CE"/>
    <w:rsid w:val="004C4A52"/>
    <w:rsid w:val="004C4B4D"/>
    <w:rsid w:val="004C4F4C"/>
    <w:rsid w:val="004C59A4"/>
    <w:rsid w:val="004C5ACF"/>
    <w:rsid w:val="004C6EF8"/>
    <w:rsid w:val="004C6FF6"/>
    <w:rsid w:val="004C7653"/>
    <w:rsid w:val="004D0BAE"/>
    <w:rsid w:val="004D1723"/>
    <w:rsid w:val="004D2906"/>
    <w:rsid w:val="004D2B11"/>
    <w:rsid w:val="004D3447"/>
    <w:rsid w:val="004D4FF6"/>
    <w:rsid w:val="004D5689"/>
    <w:rsid w:val="004D5692"/>
    <w:rsid w:val="004D57FE"/>
    <w:rsid w:val="004D5C1F"/>
    <w:rsid w:val="004D6AC1"/>
    <w:rsid w:val="004D6E73"/>
    <w:rsid w:val="004D7345"/>
    <w:rsid w:val="004D79F3"/>
    <w:rsid w:val="004D7BB6"/>
    <w:rsid w:val="004E0319"/>
    <w:rsid w:val="004E0648"/>
    <w:rsid w:val="004E0724"/>
    <w:rsid w:val="004E091D"/>
    <w:rsid w:val="004E0985"/>
    <w:rsid w:val="004E19D7"/>
    <w:rsid w:val="004E29DD"/>
    <w:rsid w:val="004E3A6F"/>
    <w:rsid w:val="004E4636"/>
    <w:rsid w:val="004E527B"/>
    <w:rsid w:val="004E664A"/>
    <w:rsid w:val="004E7EDC"/>
    <w:rsid w:val="004F0150"/>
    <w:rsid w:val="004F0929"/>
    <w:rsid w:val="004F0BF4"/>
    <w:rsid w:val="004F10F5"/>
    <w:rsid w:val="004F1819"/>
    <w:rsid w:val="004F1D6E"/>
    <w:rsid w:val="004F2ED8"/>
    <w:rsid w:val="004F314E"/>
    <w:rsid w:val="004F322E"/>
    <w:rsid w:val="004F349E"/>
    <w:rsid w:val="004F365B"/>
    <w:rsid w:val="004F3B5C"/>
    <w:rsid w:val="004F4B67"/>
    <w:rsid w:val="004F4FDD"/>
    <w:rsid w:val="004F51AF"/>
    <w:rsid w:val="004F5BAA"/>
    <w:rsid w:val="004F6370"/>
    <w:rsid w:val="004F69B8"/>
    <w:rsid w:val="004F7020"/>
    <w:rsid w:val="004F7306"/>
    <w:rsid w:val="0050142E"/>
    <w:rsid w:val="0050158A"/>
    <w:rsid w:val="00501D64"/>
    <w:rsid w:val="00502017"/>
    <w:rsid w:val="00502B3F"/>
    <w:rsid w:val="00502C9E"/>
    <w:rsid w:val="00503332"/>
    <w:rsid w:val="00503F73"/>
    <w:rsid w:val="00503F99"/>
    <w:rsid w:val="005104CA"/>
    <w:rsid w:val="00510C28"/>
    <w:rsid w:val="005117EB"/>
    <w:rsid w:val="00512350"/>
    <w:rsid w:val="005138A3"/>
    <w:rsid w:val="00514A9F"/>
    <w:rsid w:val="00514AB5"/>
    <w:rsid w:val="00514D77"/>
    <w:rsid w:val="005158CE"/>
    <w:rsid w:val="00515ED6"/>
    <w:rsid w:val="00515FD4"/>
    <w:rsid w:val="00516483"/>
    <w:rsid w:val="005165F1"/>
    <w:rsid w:val="005166DD"/>
    <w:rsid w:val="005166F3"/>
    <w:rsid w:val="0051724E"/>
    <w:rsid w:val="005173D1"/>
    <w:rsid w:val="00517FEC"/>
    <w:rsid w:val="00520687"/>
    <w:rsid w:val="0052084B"/>
    <w:rsid w:val="00520B9D"/>
    <w:rsid w:val="00521895"/>
    <w:rsid w:val="005223AB"/>
    <w:rsid w:val="00522ECF"/>
    <w:rsid w:val="005239C9"/>
    <w:rsid w:val="005247AD"/>
    <w:rsid w:val="00524CF2"/>
    <w:rsid w:val="005255CD"/>
    <w:rsid w:val="00527888"/>
    <w:rsid w:val="00531500"/>
    <w:rsid w:val="00533757"/>
    <w:rsid w:val="00533777"/>
    <w:rsid w:val="00534340"/>
    <w:rsid w:val="00535279"/>
    <w:rsid w:val="00535481"/>
    <w:rsid w:val="005356E4"/>
    <w:rsid w:val="00536141"/>
    <w:rsid w:val="00536AFE"/>
    <w:rsid w:val="0053733F"/>
    <w:rsid w:val="00537B0D"/>
    <w:rsid w:val="00537EBC"/>
    <w:rsid w:val="00542440"/>
    <w:rsid w:val="00542EEC"/>
    <w:rsid w:val="00543013"/>
    <w:rsid w:val="0054567B"/>
    <w:rsid w:val="00545A56"/>
    <w:rsid w:val="00546E33"/>
    <w:rsid w:val="00547BB4"/>
    <w:rsid w:val="00550332"/>
    <w:rsid w:val="005507A6"/>
    <w:rsid w:val="0055345A"/>
    <w:rsid w:val="00553915"/>
    <w:rsid w:val="005546D1"/>
    <w:rsid w:val="00554A32"/>
    <w:rsid w:val="00555210"/>
    <w:rsid w:val="00555AA1"/>
    <w:rsid w:val="00555DA7"/>
    <w:rsid w:val="00556469"/>
    <w:rsid w:val="0055677E"/>
    <w:rsid w:val="00556A9A"/>
    <w:rsid w:val="00560A1E"/>
    <w:rsid w:val="00560DF5"/>
    <w:rsid w:val="00560ECF"/>
    <w:rsid w:val="0056161A"/>
    <w:rsid w:val="0056232B"/>
    <w:rsid w:val="0056274E"/>
    <w:rsid w:val="00562E1A"/>
    <w:rsid w:val="00562F2A"/>
    <w:rsid w:val="00563906"/>
    <w:rsid w:val="005641D5"/>
    <w:rsid w:val="005645FD"/>
    <w:rsid w:val="00564F7D"/>
    <w:rsid w:val="005650CE"/>
    <w:rsid w:val="00565101"/>
    <w:rsid w:val="005662B6"/>
    <w:rsid w:val="00571A15"/>
    <w:rsid w:val="00571D58"/>
    <w:rsid w:val="00571F7C"/>
    <w:rsid w:val="00572283"/>
    <w:rsid w:val="005733DB"/>
    <w:rsid w:val="00573780"/>
    <w:rsid w:val="00573DB8"/>
    <w:rsid w:val="00574AC5"/>
    <w:rsid w:val="00574BCD"/>
    <w:rsid w:val="00574CEA"/>
    <w:rsid w:val="005759B5"/>
    <w:rsid w:val="00576309"/>
    <w:rsid w:val="005766B3"/>
    <w:rsid w:val="00576C0B"/>
    <w:rsid w:val="00576CDF"/>
    <w:rsid w:val="0058036D"/>
    <w:rsid w:val="00581384"/>
    <w:rsid w:val="0058178E"/>
    <w:rsid w:val="00581970"/>
    <w:rsid w:val="00583DFB"/>
    <w:rsid w:val="00583F78"/>
    <w:rsid w:val="005840C7"/>
    <w:rsid w:val="00584712"/>
    <w:rsid w:val="00584CA5"/>
    <w:rsid w:val="005851EE"/>
    <w:rsid w:val="00585A51"/>
    <w:rsid w:val="00586808"/>
    <w:rsid w:val="00587E5C"/>
    <w:rsid w:val="0059176B"/>
    <w:rsid w:val="005931FB"/>
    <w:rsid w:val="005934AE"/>
    <w:rsid w:val="00593F3E"/>
    <w:rsid w:val="00594B8F"/>
    <w:rsid w:val="00595217"/>
    <w:rsid w:val="0059799F"/>
    <w:rsid w:val="005A048F"/>
    <w:rsid w:val="005A0806"/>
    <w:rsid w:val="005A0A03"/>
    <w:rsid w:val="005A0E07"/>
    <w:rsid w:val="005A1134"/>
    <w:rsid w:val="005A3078"/>
    <w:rsid w:val="005A45B5"/>
    <w:rsid w:val="005A56B7"/>
    <w:rsid w:val="005A71F2"/>
    <w:rsid w:val="005B08CA"/>
    <w:rsid w:val="005B1955"/>
    <w:rsid w:val="005B1DA4"/>
    <w:rsid w:val="005B24FC"/>
    <w:rsid w:val="005B2AAC"/>
    <w:rsid w:val="005B2BFA"/>
    <w:rsid w:val="005B2C04"/>
    <w:rsid w:val="005B3F06"/>
    <w:rsid w:val="005B450F"/>
    <w:rsid w:val="005B4B85"/>
    <w:rsid w:val="005B5382"/>
    <w:rsid w:val="005B59F7"/>
    <w:rsid w:val="005B6876"/>
    <w:rsid w:val="005B71CC"/>
    <w:rsid w:val="005B75BD"/>
    <w:rsid w:val="005C022E"/>
    <w:rsid w:val="005C053E"/>
    <w:rsid w:val="005C0884"/>
    <w:rsid w:val="005C0B4D"/>
    <w:rsid w:val="005C17CE"/>
    <w:rsid w:val="005C1A92"/>
    <w:rsid w:val="005C3975"/>
    <w:rsid w:val="005C3E53"/>
    <w:rsid w:val="005C69CB"/>
    <w:rsid w:val="005C7C25"/>
    <w:rsid w:val="005D10AC"/>
    <w:rsid w:val="005D1419"/>
    <w:rsid w:val="005D20AA"/>
    <w:rsid w:val="005D2B7D"/>
    <w:rsid w:val="005D2F03"/>
    <w:rsid w:val="005D4437"/>
    <w:rsid w:val="005D50B8"/>
    <w:rsid w:val="005D575A"/>
    <w:rsid w:val="005D6100"/>
    <w:rsid w:val="005D64BE"/>
    <w:rsid w:val="005D68DC"/>
    <w:rsid w:val="005D719C"/>
    <w:rsid w:val="005E020E"/>
    <w:rsid w:val="005E0C8C"/>
    <w:rsid w:val="005E2953"/>
    <w:rsid w:val="005E2E87"/>
    <w:rsid w:val="005E2F7E"/>
    <w:rsid w:val="005E5238"/>
    <w:rsid w:val="005E56B0"/>
    <w:rsid w:val="005E7C4C"/>
    <w:rsid w:val="005F08B4"/>
    <w:rsid w:val="005F0BBB"/>
    <w:rsid w:val="005F125E"/>
    <w:rsid w:val="005F2572"/>
    <w:rsid w:val="005F296B"/>
    <w:rsid w:val="005F2B24"/>
    <w:rsid w:val="005F3260"/>
    <w:rsid w:val="005F4D75"/>
    <w:rsid w:val="005F600D"/>
    <w:rsid w:val="005F69E8"/>
    <w:rsid w:val="005F79DE"/>
    <w:rsid w:val="005F7E77"/>
    <w:rsid w:val="006007AE"/>
    <w:rsid w:val="00601615"/>
    <w:rsid w:val="00602346"/>
    <w:rsid w:val="00604D86"/>
    <w:rsid w:val="00604FC3"/>
    <w:rsid w:val="00605FBB"/>
    <w:rsid w:val="00606451"/>
    <w:rsid w:val="00606A41"/>
    <w:rsid w:val="00606DCB"/>
    <w:rsid w:val="00610036"/>
    <w:rsid w:val="00610A53"/>
    <w:rsid w:val="00610B5D"/>
    <w:rsid w:val="006111A3"/>
    <w:rsid w:val="00611A8A"/>
    <w:rsid w:val="006121F1"/>
    <w:rsid w:val="006123FE"/>
    <w:rsid w:val="00613C42"/>
    <w:rsid w:val="0061464F"/>
    <w:rsid w:val="00615E37"/>
    <w:rsid w:val="00620EFB"/>
    <w:rsid w:val="006219F7"/>
    <w:rsid w:val="00623751"/>
    <w:rsid w:val="00623CD7"/>
    <w:rsid w:val="006242C0"/>
    <w:rsid w:val="006242EF"/>
    <w:rsid w:val="00624ACE"/>
    <w:rsid w:val="00625658"/>
    <w:rsid w:val="00627378"/>
    <w:rsid w:val="00627ED3"/>
    <w:rsid w:val="0063100F"/>
    <w:rsid w:val="0063147F"/>
    <w:rsid w:val="0063201E"/>
    <w:rsid w:val="006335B8"/>
    <w:rsid w:val="006338F0"/>
    <w:rsid w:val="00634E9E"/>
    <w:rsid w:val="006358AC"/>
    <w:rsid w:val="006367A0"/>
    <w:rsid w:val="006379C4"/>
    <w:rsid w:val="0064109D"/>
    <w:rsid w:val="006412F3"/>
    <w:rsid w:val="0064136A"/>
    <w:rsid w:val="006421D1"/>
    <w:rsid w:val="00643528"/>
    <w:rsid w:val="006435F1"/>
    <w:rsid w:val="00643DCA"/>
    <w:rsid w:val="0064454A"/>
    <w:rsid w:val="00644B98"/>
    <w:rsid w:val="00646138"/>
    <w:rsid w:val="00647342"/>
    <w:rsid w:val="00647794"/>
    <w:rsid w:val="00647A13"/>
    <w:rsid w:val="00647EBC"/>
    <w:rsid w:val="006506D3"/>
    <w:rsid w:val="00650B4A"/>
    <w:rsid w:val="0065163C"/>
    <w:rsid w:val="006517A3"/>
    <w:rsid w:val="0065190E"/>
    <w:rsid w:val="00651C71"/>
    <w:rsid w:val="00651F5D"/>
    <w:rsid w:val="006521A8"/>
    <w:rsid w:val="00652E3C"/>
    <w:rsid w:val="00653F28"/>
    <w:rsid w:val="00654012"/>
    <w:rsid w:val="0065437A"/>
    <w:rsid w:val="00654617"/>
    <w:rsid w:val="00654806"/>
    <w:rsid w:val="0065484D"/>
    <w:rsid w:val="00654C8B"/>
    <w:rsid w:val="0065552B"/>
    <w:rsid w:val="00655B49"/>
    <w:rsid w:val="00656704"/>
    <w:rsid w:val="0065744E"/>
    <w:rsid w:val="00657CF0"/>
    <w:rsid w:val="0066121C"/>
    <w:rsid w:val="00662213"/>
    <w:rsid w:val="00662F9C"/>
    <w:rsid w:val="006634F6"/>
    <w:rsid w:val="00664D61"/>
    <w:rsid w:val="00665257"/>
    <w:rsid w:val="0066538B"/>
    <w:rsid w:val="00665508"/>
    <w:rsid w:val="006661B0"/>
    <w:rsid w:val="0066699D"/>
    <w:rsid w:val="00667A91"/>
    <w:rsid w:val="0067064D"/>
    <w:rsid w:val="00670F92"/>
    <w:rsid w:val="00671656"/>
    <w:rsid w:val="00671C08"/>
    <w:rsid w:val="00671EFB"/>
    <w:rsid w:val="00672205"/>
    <w:rsid w:val="006737B0"/>
    <w:rsid w:val="00673B14"/>
    <w:rsid w:val="00673C4B"/>
    <w:rsid w:val="0067602C"/>
    <w:rsid w:val="00676768"/>
    <w:rsid w:val="006768AF"/>
    <w:rsid w:val="00676E1E"/>
    <w:rsid w:val="00676E2A"/>
    <w:rsid w:val="00676ED9"/>
    <w:rsid w:val="0068328E"/>
    <w:rsid w:val="00683ACB"/>
    <w:rsid w:val="00683B09"/>
    <w:rsid w:val="00684343"/>
    <w:rsid w:val="00684545"/>
    <w:rsid w:val="006846E4"/>
    <w:rsid w:val="00684AD4"/>
    <w:rsid w:val="00685C36"/>
    <w:rsid w:val="0068669F"/>
    <w:rsid w:val="00690954"/>
    <w:rsid w:val="00691113"/>
    <w:rsid w:val="006931AA"/>
    <w:rsid w:val="00693C0D"/>
    <w:rsid w:val="00695596"/>
    <w:rsid w:val="00695607"/>
    <w:rsid w:val="0069580E"/>
    <w:rsid w:val="00695BC6"/>
    <w:rsid w:val="00696B10"/>
    <w:rsid w:val="006A01AD"/>
    <w:rsid w:val="006A10A9"/>
    <w:rsid w:val="006A172F"/>
    <w:rsid w:val="006A32A7"/>
    <w:rsid w:val="006A3698"/>
    <w:rsid w:val="006A43C7"/>
    <w:rsid w:val="006A4EF3"/>
    <w:rsid w:val="006A4FC1"/>
    <w:rsid w:val="006A5898"/>
    <w:rsid w:val="006A5F8D"/>
    <w:rsid w:val="006A6A61"/>
    <w:rsid w:val="006A770C"/>
    <w:rsid w:val="006A7EA5"/>
    <w:rsid w:val="006B0613"/>
    <w:rsid w:val="006B1712"/>
    <w:rsid w:val="006B1C2A"/>
    <w:rsid w:val="006B1E90"/>
    <w:rsid w:val="006B2F4C"/>
    <w:rsid w:val="006B2FFD"/>
    <w:rsid w:val="006B34F5"/>
    <w:rsid w:val="006B3651"/>
    <w:rsid w:val="006B4096"/>
    <w:rsid w:val="006B44E5"/>
    <w:rsid w:val="006B57C4"/>
    <w:rsid w:val="006B580F"/>
    <w:rsid w:val="006B5811"/>
    <w:rsid w:val="006B5C40"/>
    <w:rsid w:val="006B5CA2"/>
    <w:rsid w:val="006B61A8"/>
    <w:rsid w:val="006B623D"/>
    <w:rsid w:val="006B670E"/>
    <w:rsid w:val="006C1066"/>
    <w:rsid w:val="006C2E4F"/>
    <w:rsid w:val="006C3DD0"/>
    <w:rsid w:val="006C4F64"/>
    <w:rsid w:val="006C5178"/>
    <w:rsid w:val="006C533E"/>
    <w:rsid w:val="006C55AE"/>
    <w:rsid w:val="006C61B5"/>
    <w:rsid w:val="006C6762"/>
    <w:rsid w:val="006C695D"/>
    <w:rsid w:val="006C6F6B"/>
    <w:rsid w:val="006C7541"/>
    <w:rsid w:val="006C76B1"/>
    <w:rsid w:val="006D095D"/>
    <w:rsid w:val="006D33F1"/>
    <w:rsid w:val="006D4194"/>
    <w:rsid w:val="006D432C"/>
    <w:rsid w:val="006D43D4"/>
    <w:rsid w:val="006D4D90"/>
    <w:rsid w:val="006D5994"/>
    <w:rsid w:val="006D5DBE"/>
    <w:rsid w:val="006D5F02"/>
    <w:rsid w:val="006D6205"/>
    <w:rsid w:val="006D68BE"/>
    <w:rsid w:val="006D69A0"/>
    <w:rsid w:val="006D7ED3"/>
    <w:rsid w:val="006E2C24"/>
    <w:rsid w:val="006E34B1"/>
    <w:rsid w:val="006E3A77"/>
    <w:rsid w:val="006E5419"/>
    <w:rsid w:val="006E58A5"/>
    <w:rsid w:val="006E632E"/>
    <w:rsid w:val="006E651D"/>
    <w:rsid w:val="006E6649"/>
    <w:rsid w:val="006E71C3"/>
    <w:rsid w:val="006F00ED"/>
    <w:rsid w:val="006F01A9"/>
    <w:rsid w:val="006F0275"/>
    <w:rsid w:val="006F2EA7"/>
    <w:rsid w:val="006F3265"/>
    <w:rsid w:val="006F3E0A"/>
    <w:rsid w:val="006F4379"/>
    <w:rsid w:val="006F4A44"/>
    <w:rsid w:val="006F4D07"/>
    <w:rsid w:val="006F53A6"/>
    <w:rsid w:val="006F5D7B"/>
    <w:rsid w:val="006F62E2"/>
    <w:rsid w:val="006F6C7B"/>
    <w:rsid w:val="006F6FED"/>
    <w:rsid w:val="006F725C"/>
    <w:rsid w:val="006F7B85"/>
    <w:rsid w:val="006F7D30"/>
    <w:rsid w:val="006F7D93"/>
    <w:rsid w:val="00700012"/>
    <w:rsid w:val="007008C0"/>
    <w:rsid w:val="007008F8"/>
    <w:rsid w:val="00702686"/>
    <w:rsid w:val="00702AF0"/>
    <w:rsid w:val="00702C11"/>
    <w:rsid w:val="00702CBD"/>
    <w:rsid w:val="0070379D"/>
    <w:rsid w:val="0070385E"/>
    <w:rsid w:val="007038B3"/>
    <w:rsid w:val="00703CC0"/>
    <w:rsid w:val="00703FB7"/>
    <w:rsid w:val="00704161"/>
    <w:rsid w:val="007050D6"/>
    <w:rsid w:val="00705460"/>
    <w:rsid w:val="0070605E"/>
    <w:rsid w:val="00706487"/>
    <w:rsid w:val="00707145"/>
    <w:rsid w:val="0070747B"/>
    <w:rsid w:val="0071094A"/>
    <w:rsid w:val="0071097D"/>
    <w:rsid w:val="00710BFC"/>
    <w:rsid w:val="007110D0"/>
    <w:rsid w:val="00711A15"/>
    <w:rsid w:val="00711CF4"/>
    <w:rsid w:val="00713381"/>
    <w:rsid w:val="0071392E"/>
    <w:rsid w:val="00713AC3"/>
    <w:rsid w:val="007151E9"/>
    <w:rsid w:val="00715344"/>
    <w:rsid w:val="007165A2"/>
    <w:rsid w:val="00721DFD"/>
    <w:rsid w:val="00722FAD"/>
    <w:rsid w:val="00724332"/>
    <w:rsid w:val="00724B11"/>
    <w:rsid w:val="00724F65"/>
    <w:rsid w:val="00726C16"/>
    <w:rsid w:val="00726D43"/>
    <w:rsid w:val="007279B5"/>
    <w:rsid w:val="00727DDF"/>
    <w:rsid w:val="00731055"/>
    <w:rsid w:val="007316DC"/>
    <w:rsid w:val="0073197F"/>
    <w:rsid w:val="007339D3"/>
    <w:rsid w:val="00735F08"/>
    <w:rsid w:val="00735F2E"/>
    <w:rsid w:val="00735FEC"/>
    <w:rsid w:val="00736592"/>
    <w:rsid w:val="007375DC"/>
    <w:rsid w:val="00740973"/>
    <w:rsid w:val="00740E6F"/>
    <w:rsid w:val="0074191D"/>
    <w:rsid w:val="00741BFB"/>
    <w:rsid w:val="007421C8"/>
    <w:rsid w:val="007429E1"/>
    <w:rsid w:val="00742A43"/>
    <w:rsid w:val="00742D7A"/>
    <w:rsid w:val="00742E07"/>
    <w:rsid w:val="00743486"/>
    <w:rsid w:val="007434AB"/>
    <w:rsid w:val="007436A3"/>
    <w:rsid w:val="0074378F"/>
    <w:rsid w:val="007447D6"/>
    <w:rsid w:val="00744BAA"/>
    <w:rsid w:val="007452B3"/>
    <w:rsid w:val="00745B35"/>
    <w:rsid w:val="00747422"/>
    <w:rsid w:val="007477FD"/>
    <w:rsid w:val="007500A0"/>
    <w:rsid w:val="007512DA"/>
    <w:rsid w:val="00751824"/>
    <w:rsid w:val="00752FC6"/>
    <w:rsid w:val="007533F4"/>
    <w:rsid w:val="00753F39"/>
    <w:rsid w:val="0075510D"/>
    <w:rsid w:val="00755399"/>
    <w:rsid w:val="0075632C"/>
    <w:rsid w:val="0075637A"/>
    <w:rsid w:val="00756CDE"/>
    <w:rsid w:val="00756E9C"/>
    <w:rsid w:val="007575BF"/>
    <w:rsid w:val="007622B7"/>
    <w:rsid w:val="007624DE"/>
    <w:rsid w:val="0076284B"/>
    <w:rsid w:val="00762EF8"/>
    <w:rsid w:val="007634F7"/>
    <w:rsid w:val="00763B96"/>
    <w:rsid w:val="007644D1"/>
    <w:rsid w:val="007645B4"/>
    <w:rsid w:val="0076495A"/>
    <w:rsid w:val="0076613C"/>
    <w:rsid w:val="00766FA7"/>
    <w:rsid w:val="00767AF2"/>
    <w:rsid w:val="00770C7B"/>
    <w:rsid w:val="007710CE"/>
    <w:rsid w:val="00771E72"/>
    <w:rsid w:val="007725AF"/>
    <w:rsid w:val="00773056"/>
    <w:rsid w:val="007733E2"/>
    <w:rsid w:val="00773686"/>
    <w:rsid w:val="00774C1B"/>
    <w:rsid w:val="00774D15"/>
    <w:rsid w:val="00775F22"/>
    <w:rsid w:val="00782F62"/>
    <w:rsid w:val="00783798"/>
    <w:rsid w:val="00783B41"/>
    <w:rsid w:val="0078536C"/>
    <w:rsid w:val="007877F9"/>
    <w:rsid w:val="00790D8A"/>
    <w:rsid w:val="0079257D"/>
    <w:rsid w:val="00792E92"/>
    <w:rsid w:val="007935BE"/>
    <w:rsid w:val="00795D6E"/>
    <w:rsid w:val="00796464"/>
    <w:rsid w:val="00796F84"/>
    <w:rsid w:val="00797264"/>
    <w:rsid w:val="007A0961"/>
    <w:rsid w:val="007A0D59"/>
    <w:rsid w:val="007A14E2"/>
    <w:rsid w:val="007A2D1B"/>
    <w:rsid w:val="007A3053"/>
    <w:rsid w:val="007A38DA"/>
    <w:rsid w:val="007A462B"/>
    <w:rsid w:val="007A476A"/>
    <w:rsid w:val="007A5B50"/>
    <w:rsid w:val="007A7B3D"/>
    <w:rsid w:val="007B0646"/>
    <w:rsid w:val="007B1063"/>
    <w:rsid w:val="007B16A0"/>
    <w:rsid w:val="007B3004"/>
    <w:rsid w:val="007B323D"/>
    <w:rsid w:val="007B324B"/>
    <w:rsid w:val="007B3459"/>
    <w:rsid w:val="007B3943"/>
    <w:rsid w:val="007B3A43"/>
    <w:rsid w:val="007B3F8A"/>
    <w:rsid w:val="007B4B9E"/>
    <w:rsid w:val="007B6219"/>
    <w:rsid w:val="007B649C"/>
    <w:rsid w:val="007B68EC"/>
    <w:rsid w:val="007B6CE0"/>
    <w:rsid w:val="007B6D28"/>
    <w:rsid w:val="007B7117"/>
    <w:rsid w:val="007B736C"/>
    <w:rsid w:val="007B7505"/>
    <w:rsid w:val="007B7C9D"/>
    <w:rsid w:val="007C05B3"/>
    <w:rsid w:val="007C05D7"/>
    <w:rsid w:val="007C078B"/>
    <w:rsid w:val="007C18CD"/>
    <w:rsid w:val="007C2102"/>
    <w:rsid w:val="007C2542"/>
    <w:rsid w:val="007C2B67"/>
    <w:rsid w:val="007C34CA"/>
    <w:rsid w:val="007C52B9"/>
    <w:rsid w:val="007C6797"/>
    <w:rsid w:val="007C6889"/>
    <w:rsid w:val="007C6D6B"/>
    <w:rsid w:val="007C720D"/>
    <w:rsid w:val="007D0989"/>
    <w:rsid w:val="007D1462"/>
    <w:rsid w:val="007D1C1A"/>
    <w:rsid w:val="007D2A5B"/>
    <w:rsid w:val="007D2D54"/>
    <w:rsid w:val="007D3D53"/>
    <w:rsid w:val="007D4483"/>
    <w:rsid w:val="007D4491"/>
    <w:rsid w:val="007D61F5"/>
    <w:rsid w:val="007D69F2"/>
    <w:rsid w:val="007E07DC"/>
    <w:rsid w:val="007E13DC"/>
    <w:rsid w:val="007E290F"/>
    <w:rsid w:val="007E3721"/>
    <w:rsid w:val="007E3872"/>
    <w:rsid w:val="007E3E26"/>
    <w:rsid w:val="007E43FA"/>
    <w:rsid w:val="007E4498"/>
    <w:rsid w:val="007E49CF"/>
    <w:rsid w:val="007E4B02"/>
    <w:rsid w:val="007E4F4D"/>
    <w:rsid w:val="007E5C04"/>
    <w:rsid w:val="007E6A14"/>
    <w:rsid w:val="007E7041"/>
    <w:rsid w:val="007E7777"/>
    <w:rsid w:val="007E7EF2"/>
    <w:rsid w:val="007F0985"/>
    <w:rsid w:val="007F12F3"/>
    <w:rsid w:val="007F1351"/>
    <w:rsid w:val="007F2C45"/>
    <w:rsid w:val="007F3054"/>
    <w:rsid w:val="007F39FE"/>
    <w:rsid w:val="007F3E39"/>
    <w:rsid w:val="007F4B2F"/>
    <w:rsid w:val="007F534C"/>
    <w:rsid w:val="007F581C"/>
    <w:rsid w:val="007F74D3"/>
    <w:rsid w:val="007F7915"/>
    <w:rsid w:val="00800238"/>
    <w:rsid w:val="00800928"/>
    <w:rsid w:val="00801FF1"/>
    <w:rsid w:val="00802368"/>
    <w:rsid w:val="008023B9"/>
    <w:rsid w:val="0080249A"/>
    <w:rsid w:val="00803687"/>
    <w:rsid w:val="00803D07"/>
    <w:rsid w:val="00803EED"/>
    <w:rsid w:val="00804913"/>
    <w:rsid w:val="00804EBE"/>
    <w:rsid w:val="00806A70"/>
    <w:rsid w:val="00806D92"/>
    <w:rsid w:val="00806E20"/>
    <w:rsid w:val="00806FAE"/>
    <w:rsid w:val="0080710F"/>
    <w:rsid w:val="00810B79"/>
    <w:rsid w:val="00810ED5"/>
    <w:rsid w:val="00810F54"/>
    <w:rsid w:val="00811E12"/>
    <w:rsid w:val="00811EF1"/>
    <w:rsid w:val="00812032"/>
    <w:rsid w:val="00812980"/>
    <w:rsid w:val="00812A5C"/>
    <w:rsid w:val="00813263"/>
    <w:rsid w:val="00814217"/>
    <w:rsid w:val="00814592"/>
    <w:rsid w:val="00814FCA"/>
    <w:rsid w:val="0081522B"/>
    <w:rsid w:val="00816043"/>
    <w:rsid w:val="008160E4"/>
    <w:rsid w:val="0081613A"/>
    <w:rsid w:val="008163CB"/>
    <w:rsid w:val="0081669B"/>
    <w:rsid w:val="00816EFC"/>
    <w:rsid w:val="008170B0"/>
    <w:rsid w:val="00817237"/>
    <w:rsid w:val="00820050"/>
    <w:rsid w:val="00820BFF"/>
    <w:rsid w:val="00821B60"/>
    <w:rsid w:val="00822DD4"/>
    <w:rsid w:val="00823352"/>
    <w:rsid w:val="00823607"/>
    <w:rsid w:val="0082371D"/>
    <w:rsid w:val="00823B14"/>
    <w:rsid w:val="00824489"/>
    <w:rsid w:val="00826293"/>
    <w:rsid w:val="0082797C"/>
    <w:rsid w:val="0083003D"/>
    <w:rsid w:val="00831B83"/>
    <w:rsid w:val="0083220B"/>
    <w:rsid w:val="00832880"/>
    <w:rsid w:val="00835497"/>
    <w:rsid w:val="008358D0"/>
    <w:rsid w:val="00836018"/>
    <w:rsid w:val="00840293"/>
    <w:rsid w:val="008403AC"/>
    <w:rsid w:val="00840478"/>
    <w:rsid w:val="00840779"/>
    <w:rsid w:val="00841958"/>
    <w:rsid w:val="00841F4D"/>
    <w:rsid w:val="0084215A"/>
    <w:rsid w:val="00843741"/>
    <w:rsid w:val="0084500E"/>
    <w:rsid w:val="0084519A"/>
    <w:rsid w:val="008454CC"/>
    <w:rsid w:val="00845742"/>
    <w:rsid w:val="00845BF4"/>
    <w:rsid w:val="00846A8C"/>
    <w:rsid w:val="00846D60"/>
    <w:rsid w:val="0084723F"/>
    <w:rsid w:val="008475AE"/>
    <w:rsid w:val="00847885"/>
    <w:rsid w:val="00850F78"/>
    <w:rsid w:val="00851B76"/>
    <w:rsid w:val="0085319F"/>
    <w:rsid w:val="008540CD"/>
    <w:rsid w:val="008547B5"/>
    <w:rsid w:val="008549B5"/>
    <w:rsid w:val="0085514C"/>
    <w:rsid w:val="008554F6"/>
    <w:rsid w:val="00855A8B"/>
    <w:rsid w:val="0085646F"/>
    <w:rsid w:val="00857789"/>
    <w:rsid w:val="00857AD5"/>
    <w:rsid w:val="0086075C"/>
    <w:rsid w:val="00860B72"/>
    <w:rsid w:val="00861000"/>
    <w:rsid w:val="0086165F"/>
    <w:rsid w:val="00861EDD"/>
    <w:rsid w:val="0086323E"/>
    <w:rsid w:val="00863E73"/>
    <w:rsid w:val="008645E4"/>
    <w:rsid w:val="00865CE8"/>
    <w:rsid w:val="008678CA"/>
    <w:rsid w:val="008700AC"/>
    <w:rsid w:val="00870C1B"/>
    <w:rsid w:val="00871756"/>
    <w:rsid w:val="008717E9"/>
    <w:rsid w:val="008725AE"/>
    <w:rsid w:val="0087374D"/>
    <w:rsid w:val="00873986"/>
    <w:rsid w:val="00874EF5"/>
    <w:rsid w:val="00875DF2"/>
    <w:rsid w:val="00876A9D"/>
    <w:rsid w:val="008773FA"/>
    <w:rsid w:val="00877BB8"/>
    <w:rsid w:val="00877EBC"/>
    <w:rsid w:val="00881422"/>
    <w:rsid w:val="0088157D"/>
    <w:rsid w:val="008816EC"/>
    <w:rsid w:val="00881C17"/>
    <w:rsid w:val="00882E85"/>
    <w:rsid w:val="00882F10"/>
    <w:rsid w:val="0088319B"/>
    <w:rsid w:val="00883275"/>
    <w:rsid w:val="00885AF0"/>
    <w:rsid w:val="008867A0"/>
    <w:rsid w:val="00887886"/>
    <w:rsid w:val="0089010B"/>
    <w:rsid w:val="00890A86"/>
    <w:rsid w:val="00891A93"/>
    <w:rsid w:val="00891C37"/>
    <w:rsid w:val="008926FB"/>
    <w:rsid w:val="00893C8A"/>
    <w:rsid w:val="00894165"/>
    <w:rsid w:val="008948E7"/>
    <w:rsid w:val="00894E4B"/>
    <w:rsid w:val="008967E1"/>
    <w:rsid w:val="0089697A"/>
    <w:rsid w:val="00897CED"/>
    <w:rsid w:val="00897ED5"/>
    <w:rsid w:val="00897F87"/>
    <w:rsid w:val="008A2110"/>
    <w:rsid w:val="008A21A5"/>
    <w:rsid w:val="008A3914"/>
    <w:rsid w:val="008A4C61"/>
    <w:rsid w:val="008A4D52"/>
    <w:rsid w:val="008A4EEC"/>
    <w:rsid w:val="008A59FC"/>
    <w:rsid w:val="008A5F03"/>
    <w:rsid w:val="008A5FF8"/>
    <w:rsid w:val="008A76D6"/>
    <w:rsid w:val="008B138B"/>
    <w:rsid w:val="008B13F7"/>
    <w:rsid w:val="008B316E"/>
    <w:rsid w:val="008B47C1"/>
    <w:rsid w:val="008B5BD5"/>
    <w:rsid w:val="008B5BF9"/>
    <w:rsid w:val="008B6121"/>
    <w:rsid w:val="008B66E3"/>
    <w:rsid w:val="008B67BF"/>
    <w:rsid w:val="008B6859"/>
    <w:rsid w:val="008B6E5C"/>
    <w:rsid w:val="008B7031"/>
    <w:rsid w:val="008B7331"/>
    <w:rsid w:val="008B75E1"/>
    <w:rsid w:val="008C185C"/>
    <w:rsid w:val="008C2595"/>
    <w:rsid w:val="008C3EB7"/>
    <w:rsid w:val="008C48AD"/>
    <w:rsid w:val="008C5541"/>
    <w:rsid w:val="008C71C8"/>
    <w:rsid w:val="008C7A75"/>
    <w:rsid w:val="008D011F"/>
    <w:rsid w:val="008D0703"/>
    <w:rsid w:val="008D2F75"/>
    <w:rsid w:val="008D31B4"/>
    <w:rsid w:val="008D4934"/>
    <w:rsid w:val="008D49FB"/>
    <w:rsid w:val="008D52EA"/>
    <w:rsid w:val="008D5C27"/>
    <w:rsid w:val="008D6245"/>
    <w:rsid w:val="008D6426"/>
    <w:rsid w:val="008D6D21"/>
    <w:rsid w:val="008D78B4"/>
    <w:rsid w:val="008D7C0C"/>
    <w:rsid w:val="008E0406"/>
    <w:rsid w:val="008E07ED"/>
    <w:rsid w:val="008E0A31"/>
    <w:rsid w:val="008E1F2E"/>
    <w:rsid w:val="008E34F5"/>
    <w:rsid w:val="008E3509"/>
    <w:rsid w:val="008E3909"/>
    <w:rsid w:val="008E391E"/>
    <w:rsid w:val="008E39C2"/>
    <w:rsid w:val="008E3ACB"/>
    <w:rsid w:val="008E4340"/>
    <w:rsid w:val="008E4D61"/>
    <w:rsid w:val="008E4E31"/>
    <w:rsid w:val="008E5031"/>
    <w:rsid w:val="008E579E"/>
    <w:rsid w:val="008E60E0"/>
    <w:rsid w:val="008E62F6"/>
    <w:rsid w:val="008E6964"/>
    <w:rsid w:val="008E728A"/>
    <w:rsid w:val="008E76DE"/>
    <w:rsid w:val="008F01D6"/>
    <w:rsid w:val="008F1018"/>
    <w:rsid w:val="008F11CC"/>
    <w:rsid w:val="008F19BD"/>
    <w:rsid w:val="008F24F3"/>
    <w:rsid w:val="008F2A21"/>
    <w:rsid w:val="008F39E9"/>
    <w:rsid w:val="008F4482"/>
    <w:rsid w:val="008F55BD"/>
    <w:rsid w:val="008F63FC"/>
    <w:rsid w:val="008F664A"/>
    <w:rsid w:val="008F76E5"/>
    <w:rsid w:val="00901829"/>
    <w:rsid w:val="00901C55"/>
    <w:rsid w:val="00902B4C"/>
    <w:rsid w:val="00902F20"/>
    <w:rsid w:val="00903793"/>
    <w:rsid w:val="00903D92"/>
    <w:rsid w:val="009042D7"/>
    <w:rsid w:val="00905C30"/>
    <w:rsid w:val="0090648B"/>
    <w:rsid w:val="00906DAF"/>
    <w:rsid w:val="009076EE"/>
    <w:rsid w:val="00907E11"/>
    <w:rsid w:val="00910016"/>
    <w:rsid w:val="00911A16"/>
    <w:rsid w:val="00912337"/>
    <w:rsid w:val="00912CB0"/>
    <w:rsid w:val="00913068"/>
    <w:rsid w:val="00913101"/>
    <w:rsid w:val="009132CA"/>
    <w:rsid w:val="00913B0C"/>
    <w:rsid w:val="00913E07"/>
    <w:rsid w:val="0091414C"/>
    <w:rsid w:val="00914228"/>
    <w:rsid w:val="009147FE"/>
    <w:rsid w:val="00915531"/>
    <w:rsid w:val="00915B09"/>
    <w:rsid w:val="00915C4A"/>
    <w:rsid w:val="0091793B"/>
    <w:rsid w:val="00921603"/>
    <w:rsid w:val="009217AC"/>
    <w:rsid w:val="009217DB"/>
    <w:rsid w:val="00921B80"/>
    <w:rsid w:val="00923B78"/>
    <w:rsid w:val="0092477D"/>
    <w:rsid w:val="009249E9"/>
    <w:rsid w:val="00926467"/>
    <w:rsid w:val="00926E34"/>
    <w:rsid w:val="009270F6"/>
    <w:rsid w:val="00932C3E"/>
    <w:rsid w:val="00933009"/>
    <w:rsid w:val="00934FAE"/>
    <w:rsid w:val="00935496"/>
    <w:rsid w:val="00937D25"/>
    <w:rsid w:val="009407AE"/>
    <w:rsid w:val="00940FD6"/>
    <w:rsid w:val="00941201"/>
    <w:rsid w:val="00941D2D"/>
    <w:rsid w:val="00946215"/>
    <w:rsid w:val="0095134D"/>
    <w:rsid w:val="009516DF"/>
    <w:rsid w:val="00951C79"/>
    <w:rsid w:val="0095356C"/>
    <w:rsid w:val="009543F6"/>
    <w:rsid w:val="0095480A"/>
    <w:rsid w:val="009553A7"/>
    <w:rsid w:val="0095652F"/>
    <w:rsid w:val="009565E6"/>
    <w:rsid w:val="00956A0F"/>
    <w:rsid w:val="00962025"/>
    <w:rsid w:val="009642AA"/>
    <w:rsid w:val="009643A7"/>
    <w:rsid w:val="00964B93"/>
    <w:rsid w:val="00964EB7"/>
    <w:rsid w:val="009651E5"/>
    <w:rsid w:val="009662CA"/>
    <w:rsid w:val="0096656C"/>
    <w:rsid w:val="0096761D"/>
    <w:rsid w:val="00970698"/>
    <w:rsid w:val="009706EF"/>
    <w:rsid w:val="00970742"/>
    <w:rsid w:val="00970854"/>
    <w:rsid w:val="009709B6"/>
    <w:rsid w:val="00970A15"/>
    <w:rsid w:val="00973453"/>
    <w:rsid w:val="00973F37"/>
    <w:rsid w:val="00974278"/>
    <w:rsid w:val="00974946"/>
    <w:rsid w:val="00974BAC"/>
    <w:rsid w:val="009753AC"/>
    <w:rsid w:val="00975829"/>
    <w:rsid w:val="00975A45"/>
    <w:rsid w:val="00976690"/>
    <w:rsid w:val="00976923"/>
    <w:rsid w:val="0097763A"/>
    <w:rsid w:val="00977EEB"/>
    <w:rsid w:val="009803C5"/>
    <w:rsid w:val="009811C2"/>
    <w:rsid w:val="00982077"/>
    <w:rsid w:val="00982113"/>
    <w:rsid w:val="00983481"/>
    <w:rsid w:val="009835A7"/>
    <w:rsid w:val="00983F14"/>
    <w:rsid w:val="009863C8"/>
    <w:rsid w:val="009864F8"/>
    <w:rsid w:val="009866F7"/>
    <w:rsid w:val="00990290"/>
    <w:rsid w:val="009906F1"/>
    <w:rsid w:val="00993D47"/>
    <w:rsid w:val="00994E30"/>
    <w:rsid w:val="0099610E"/>
    <w:rsid w:val="00996C12"/>
    <w:rsid w:val="0099721E"/>
    <w:rsid w:val="0099756D"/>
    <w:rsid w:val="00997D4A"/>
    <w:rsid w:val="009A06B0"/>
    <w:rsid w:val="009A09FB"/>
    <w:rsid w:val="009A0BAC"/>
    <w:rsid w:val="009A1AB8"/>
    <w:rsid w:val="009A1C91"/>
    <w:rsid w:val="009A238C"/>
    <w:rsid w:val="009A29AB"/>
    <w:rsid w:val="009A29FE"/>
    <w:rsid w:val="009A2F79"/>
    <w:rsid w:val="009A3275"/>
    <w:rsid w:val="009A3C58"/>
    <w:rsid w:val="009A470E"/>
    <w:rsid w:val="009A60C8"/>
    <w:rsid w:val="009A74E8"/>
    <w:rsid w:val="009A7929"/>
    <w:rsid w:val="009A7B12"/>
    <w:rsid w:val="009B016B"/>
    <w:rsid w:val="009B0B1E"/>
    <w:rsid w:val="009B0E44"/>
    <w:rsid w:val="009B1843"/>
    <w:rsid w:val="009B22D1"/>
    <w:rsid w:val="009B2B9B"/>
    <w:rsid w:val="009B2BE5"/>
    <w:rsid w:val="009B2C0E"/>
    <w:rsid w:val="009B37D9"/>
    <w:rsid w:val="009B3E91"/>
    <w:rsid w:val="009B4489"/>
    <w:rsid w:val="009B4B57"/>
    <w:rsid w:val="009B4DE2"/>
    <w:rsid w:val="009B4E37"/>
    <w:rsid w:val="009B51BC"/>
    <w:rsid w:val="009B5325"/>
    <w:rsid w:val="009B6DCB"/>
    <w:rsid w:val="009B7558"/>
    <w:rsid w:val="009C15ED"/>
    <w:rsid w:val="009C197E"/>
    <w:rsid w:val="009C2207"/>
    <w:rsid w:val="009C23A6"/>
    <w:rsid w:val="009C25E3"/>
    <w:rsid w:val="009C3857"/>
    <w:rsid w:val="009C4DC3"/>
    <w:rsid w:val="009C4FEC"/>
    <w:rsid w:val="009C587D"/>
    <w:rsid w:val="009C6325"/>
    <w:rsid w:val="009C7073"/>
    <w:rsid w:val="009D0CA7"/>
    <w:rsid w:val="009D0DE7"/>
    <w:rsid w:val="009D196A"/>
    <w:rsid w:val="009D1A4C"/>
    <w:rsid w:val="009D22EB"/>
    <w:rsid w:val="009D24BA"/>
    <w:rsid w:val="009D264C"/>
    <w:rsid w:val="009D6CC8"/>
    <w:rsid w:val="009E0B6E"/>
    <w:rsid w:val="009E0DA1"/>
    <w:rsid w:val="009E1262"/>
    <w:rsid w:val="009E19FB"/>
    <w:rsid w:val="009E1AE9"/>
    <w:rsid w:val="009E209A"/>
    <w:rsid w:val="009E4FFA"/>
    <w:rsid w:val="009E68C2"/>
    <w:rsid w:val="009F2D87"/>
    <w:rsid w:val="009F3146"/>
    <w:rsid w:val="009F38AF"/>
    <w:rsid w:val="009F4965"/>
    <w:rsid w:val="009F4B4A"/>
    <w:rsid w:val="009F5116"/>
    <w:rsid w:val="009F68F2"/>
    <w:rsid w:val="009F77FD"/>
    <w:rsid w:val="009F7952"/>
    <w:rsid w:val="00A0022A"/>
    <w:rsid w:val="00A003C5"/>
    <w:rsid w:val="00A00CF4"/>
    <w:rsid w:val="00A00EFF"/>
    <w:rsid w:val="00A01303"/>
    <w:rsid w:val="00A01A6C"/>
    <w:rsid w:val="00A01D40"/>
    <w:rsid w:val="00A0497F"/>
    <w:rsid w:val="00A05DFF"/>
    <w:rsid w:val="00A06287"/>
    <w:rsid w:val="00A063EE"/>
    <w:rsid w:val="00A07FF6"/>
    <w:rsid w:val="00A10F62"/>
    <w:rsid w:val="00A11DC0"/>
    <w:rsid w:val="00A13491"/>
    <w:rsid w:val="00A136C8"/>
    <w:rsid w:val="00A17B7D"/>
    <w:rsid w:val="00A20A24"/>
    <w:rsid w:val="00A21866"/>
    <w:rsid w:val="00A21A87"/>
    <w:rsid w:val="00A222EC"/>
    <w:rsid w:val="00A228A7"/>
    <w:rsid w:val="00A23F87"/>
    <w:rsid w:val="00A24369"/>
    <w:rsid w:val="00A24D39"/>
    <w:rsid w:val="00A257DF"/>
    <w:rsid w:val="00A258ED"/>
    <w:rsid w:val="00A25D5A"/>
    <w:rsid w:val="00A27090"/>
    <w:rsid w:val="00A27406"/>
    <w:rsid w:val="00A276EE"/>
    <w:rsid w:val="00A30F51"/>
    <w:rsid w:val="00A315D9"/>
    <w:rsid w:val="00A31A25"/>
    <w:rsid w:val="00A31CB7"/>
    <w:rsid w:val="00A3244E"/>
    <w:rsid w:val="00A33444"/>
    <w:rsid w:val="00A334B5"/>
    <w:rsid w:val="00A33E5F"/>
    <w:rsid w:val="00A35031"/>
    <w:rsid w:val="00A35839"/>
    <w:rsid w:val="00A36606"/>
    <w:rsid w:val="00A3675E"/>
    <w:rsid w:val="00A3756D"/>
    <w:rsid w:val="00A40754"/>
    <w:rsid w:val="00A407D9"/>
    <w:rsid w:val="00A41C7D"/>
    <w:rsid w:val="00A42339"/>
    <w:rsid w:val="00A468DF"/>
    <w:rsid w:val="00A5011E"/>
    <w:rsid w:val="00A52C4B"/>
    <w:rsid w:val="00A5327A"/>
    <w:rsid w:val="00A53DBE"/>
    <w:rsid w:val="00A54255"/>
    <w:rsid w:val="00A54780"/>
    <w:rsid w:val="00A54CC1"/>
    <w:rsid w:val="00A55006"/>
    <w:rsid w:val="00A558D6"/>
    <w:rsid w:val="00A55F6C"/>
    <w:rsid w:val="00A56BD4"/>
    <w:rsid w:val="00A571DF"/>
    <w:rsid w:val="00A6140F"/>
    <w:rsid w:val="00A61D57"/>
    <w:rsid w:val="00A629E1"/>
    <w:rsid w:val="00A646E1"/>
    <w:rsid w:val="00A64991"/>
    <w:rsid w:val="00A65886"/>
    <w:rsid w:val="00A66146"/>
    <w:rsid w:val="00A6697D"/>
    <w:rsid w:val="00A67FA6"/>
    <w:rsid w:val="00A70778"/>
    <w:rsid w:val="00A70EBE"/>
    <w:rsid w:val="00A70F01"/>
    <w:rsid w:val="00A716B1"/>
    <w:rsid w:val="00A71B66"/>
    <w:rsid w:val="00A72C66"/>
    <w:rsid w:val="00A72DBD"/>
    <w:rsid w:val="00A73007"/>
    <w:rsid w:val="00A735AE"/>
    <w:rsid w:val="00A7389C"/>
    <w:rsid w:val="00A743E3"/>
    <w:rsid w:val="00A746BC"/>
    <w:rsid w:val="00A749E9"/>
    <w:rsid w:val="00A7573B"/>
    <w:rsid w:val="00A75E50"/>
    <w:rsid w:val="00A77FC8"/>
    <w:rsid w:val="00A81207"/>
    <w:rsid w:val="00A82180"/>
    <w:rsid w:val="00A82477"/>
    <w:rsid w:val="00A82E49"/>
    <w:rsid w:val="00A83837"/>
    <w:rsid w:val="00A83B80"/>
    <w:rsid w:val="00A84ADE"/>
    <w:rsid w:val="00A860E0"/>
    <w:rsid w:val="00A868F9"/>
    <w:rsid w:val="00A86F4F"/>
    <w:rsid w:val="00A8715C"/>
    <w:rsid w:val="00A87AC0"/>
    <w:rsid w:val="00A90103"/>
    <w:rsid w:val="00A903FC"/>
    <w:rsid w:val="00A90442"/>
    <w:rsid w:val="00A90ECB"/>
    <w:rsid w:val="00A91063"/>
    <w:rsid w:val="00A91BF8"/>
    <w:rsid w:val="00A92120"/>
    <w:rsid w:val="00A92AF5"/>
    <w:rsid w:val="00A94A1F"/>
    <w:rsid w:val="00A96133"/>
    <w:rsid w:val="00A9627E"/>
    <w:rsid w:val="00A962B9"/>
    <w:rsid w:val="00A9656F"/>
    <w:rsid w:val="00A968DA"/>
    <w:rsid w:val="00A96A87"/>
    <w:rsid w:val="00A9701C"/>
    <w:rsid w:val="00A975B5"/>
    <w:rsid w:val="00A97AB1"/>
    <w:rsid w:val="00AA00ED"/>
    <w:rsid w:val="00AA137E"/>
    <w:rsid w:val="00AA13B2"/>
    <w:rsid w:val="00AA14A5"/>
    <w:rsid w:val="00AA158B"/>
    <w:rsid w:val="00AA1D51"/>
    <w:rsid w:val="00AA2612"/>
    <w:rsid w:val="00AA2F84"/>
    <w:rsid w:val="00AA3A22"/>
    <w:rsid w:val="00AA5150"/>
    <w:rsid w:val="00AA75D2"/>
    <w:rsid w:val="00AB0051"/>
    <w:rsid w:val="00AB071D"/>
    <w:rsid w:val="00AB1231"/>
    <w:rsid w:val="00AB1834"/>
    <w:rsid w:val="00AB3450"/>
    <w:rsid w:val="00AB38AA"/>
    <w:rsid w:val="00AB3BA1"/>
    <w:rsid w:val="00AB3C43"/>
    <w:rsid w:val="00AB3FA1"/>
    <w:rsid w:val="00AB49EF"/>
    <w:rsid w:val="00AB5390"/>
    <w:rsid w:val="00AB59D1"/>
    <w:rsid w:val="00AB5C44"/>
    <w:rsid w:val="00AB5DD3"/>
    <w:rsid w:val="00AB7D82"/>
    <w:rsid w:val="00AC08AC"/>
    <w:rsid w:val="00AC0C2B"/>
    <w:rsid w:val="00AC0E3D"/>
    <w:rsid w:val="00AC1EBF"/>
    <w:rsid w:val="00AC3C7B"/>
    <w:rsid w:val="00AC6A80"/>
    <w:rsid w:val="00AC6B09"/>
    <w:rsid w:val="00AC75B8"/>
    <w:rsid w:val="00AD1743"/>
    <w:rsid w:val="00AD2675"/>
    <w:rsid w:val="00AD328A"/>
    <w:rsid w:val="00AD38D8"/>
    <w:rsid w:val="00AD4AAF"/>
    <w:rsid w:val="00AD4C39"/>
    <w:rsid w:val="00AD4D6E"/>
    <w:rsid w:val="00AD4DC6"/>
    <w:rsid w:val="00AD5402"/>
    <w:rsid w:val="00AD66CB"/>
    <w:rsid w:val="00AD7143"/>
    <w:rsid w:val="00AD7D6D"/>
    <w:rsid w:val="00AD7D8E"/>
    <w:rsid w:val="00AE1B08"/>
    <w:rsid w:val="00AE1EE4"/>
    <w:rsid w:val="00AE216A"/>
    <w:rsid w:val="00AE2329"/>
    <w:rsid w:val="00AE35E8"/>
    <w:rsid w:val="00AE3EC4"/>
    <w:rsid w:val="00AE4C09"/>
    <w:rsid w:val="00AE56D8"/>
    <w:rsid w:val="00AE5851"/>
    <w:rsid w:val="00AE58AC"/>
    <w:rsid w:val="00AE596C"/>
    <w:rsid w:val="00AE5E3B"/>
    <w:rsid w:val="00AE624B"/>
    <w:rsid w:val="00AE7080"/>
    <w:rsid w:val="00AE7E7B"/>
    <w:rsid w:val="00AF0FE6"/>
    <w:rsid w:val="00AF1EDE"/>
    <w:rsid w:val="00AF1FE8"/>
    <w:rsid w:val="00AF261D"/>
    <w:rsid w:val="00AF30BE"/>
    <w:rsid w:val="00AF3932"/>
    <w:rsid w:val="00AF3F78"/>
    <w:rsid w:val="00AF522C"/>
    <w:rsid w:val="00AF5661"/>
    <w:rsid w:val="00AF5927"/>
    <w:rsid w:val="00AF5B55"/>
    <w:rsid w:val="00AF6C6E"/>
    <w:rsid w:val="00AF6ED9"/>
    <w:rsid w:val="00AF6F00"/>
    <w:rsid w:val="00AF7190"/>
    <w:rsid w:val="00AF7D53"/>
    <w:rsid w:val="00B00451"/>
    <w:rsid w:val="00B007B8"/>
    <w:rsid w:val="00B013D7"/>
    <w:rsid w:val="00B02A70"/>
    <w:rsid w:val="00B030D7"/>
    <w:rsid w:val="00B03628"/>
    <w:rsid w:val="00B03933"/>
    <w:rsid w:val="00B04494"/>
    <w:rsid w:val="00B066B9"/>
    <w:rsid w:val="00B0678D"/>
    <w:rsid w:val="00B067D5"/>
    <w:rsid w:val="00B07C72"/>
    <w:rsid w:val="00B101DF"/>
    <w:rsid w:val="00B11423"/>
    <w:rsid w:val="00B11721"/>
    <w:rsid w:val="00B11985"/>
    <w:rsid w:val="00B11AC8"/>
    <w:rsid w:val="00B130E3"/>
    <w:rsid w:val="00B134A0"/>
    <w:rsid w:val="00B13FF1"/>
    <w:rsid w:val="00B14756"/>
    <w:rsid w:val="00B1476E"/>
    <w:rsid w:val="00B147CC"/>
    <w:rsid w:val="00B14D8F"/>
    <w:rsid w:val="00B169CD"/>
    <w:rsid w:val="00B178EE"/>
    <w:rsid w:val="00B17CA3"/>
    <w:rsid w:val="00B17DCA"/>
    <w:rsid w:val="00B21618"/>
    <w:rsid w:val="00B21F48"/>
    <w:rsid w:val="00B22ACC"/>
    <w:rsid w:val="00B23107"/>
    <w:rsid w:val="00B23247"/>
    <w:rsid w:val="00B23750"/>
    <w:rsid w:val="00B24B39"/>
    <w:rsid w:val="00B25279"/>
    <w:rsid w:val="00B25390"/>
    <w:rsid w:val="00B254AC"/>
    <w:rsid w:val="00B25E40"/>
    <w:rsid w:val="00B25EB4"/>
    <w:rsid w:val="00B26038"/>
    <w:rsid w:val="00B26120"/>
    <w:rsid w:val="00B26B15"/>
    <w:rsid w:val="00B26CDF"/>
    <w:rsid w:val="00B26EC5"/>
    <w:rsid w:val="00B278DA"/>
    <w:rsid w:val="00B279DC"/>
    <w:rsid w:val="00B30948"/>
    <w:rsid w:val="00B315D2"/>
    <w:rsid w:val="00B335E5"/>
    <w:rsid w:val="00B34317"/>
    <w:rsid w:val="00B34830"/>
    <w:rsid w:val="00B34DDC"/>
    <w:rsid w:val="00B34E34"/>
    <w:rsid w:val="00B352F9"/>
    <w:rsid w:val="00B35826"/>
    <w:rsid w:val="00B35D61"/>
    <w:rsid w:val="00B377DB"/>
    <w:rsid w:val="00B37B0C"/>
    <w:rsid w:val="00B4036A"/>
    <w:rsid w:val="00B40D28"/>
    <w:rsid w:val="00B416C1"/>
    <w:rsid w:val="00B41B94"/>
    <w:rsid w:val="00B41C5F"/>
    <w:rsid w:val="00B41D0D"/>
    <w:rsid w:val="00B42D5D"/>
    <w:rsid w:val="00B43788"/>
    <w:rsid w:val="00B437C1"/>
    <w:rsid w:val="00B4418B"/>
    <w:rsid w:val="00B44440"/>
    <w:rsid w:val="00B45176"/>
    <w:rsid w:val="00B46A90"/>
    <w:rsid w:val="00B46B16"/>
    <w:rsid w:val="00B474B6"/>
    <w:rsid w:val="00B4757A"/>
    <w:rsid w:val="00B50856"/>
    <w:rsid w:val="00B51C23"/>
    <w:rsid w:val="00B52943"/>
    <w:rsid w:val="00B52E11"/>
    <w:rsid w:val="00B53833"/>
    <w:rsid w:val="00B55AF2"/>
    <w:rsid w:val="00B601C8"/>
    <w:rsid w:val="00B60630"/>
    <w:rsid w:val="00B6077D"/>
    <w:rsid w:val="00B60D77"/>
    <w:rsid w:val="00B613A4"/>
    <w:rsid w:val="00B62AB3"/>
    <w:rsid w:val="00B62D0F"/>
    <w:rsid w:val="00B63445"/>
    <w:rsid w:val="00B639A0"/>
    <w:rsid w:val="00B6403A"/>
    <w:rsid w:val="00B64CAF"/>
    <w:rsid w:val="00B65410"/>
    <w:rsid w:val="00B6629E"/>
    <w:rsid w:val="00B66885"/>
    <w:rsid w:val="00B66EEC"/>
    <w:rsid w:val="00B67307"/>
    <w:rsid w:val="00B676C9"/>
    <w:rsid w:val="00B67E19"/>
    <w:rsid w:val="00B707D2"/>
    <w:rsid w:val="00B70B5B"/>
    <w:rsid w:val="00B70BBA"/>
    <w:rsid w:val="00B70E25"/>
    <w:rsid w:val="00B710BA"/>
    <w:rsid w:val="00B718C8"/>
    <w:rsid w:val="00B718EA"/>
    <w:rsid w:val="00B71F2D"/>
    <w:rsid w:val="00B72BF7"/>
    <w:rsid w:val="00B72DBE"/>
    <w:rsid w:val="00B7623B"/>
    <w:rsid w:val="00B7634D"/>
    <w:rsid w:val="00B77675"/>
    <w:rsid w:val="00B777AC"/>
    <w:rsid w:val="00B818F0"/>
    <w:rsid w:val="00B81D2A"/>
    <w:rsid w:val="00B81EB9"/>
    <w:rsid w:val="00B82233"/>
    <w:rsid w:val="00B82C81"/>
    <w:rsid w:val="00B8326C"/>
    <w:rsid w:val="00B8359B"/>
    <w:rsid w:val="00B83DAB"/>
    <w:rsid w:val="00B8452B"/>
    <w:rsid w:val="00B84C45"/>
    <w:rsid w:val="00B84C71"/>
    <w:rsid w:val="00B84DCD"/>
    <w:rsid w:val="00B85F99"/>
    <w:rsid w:val="00B86A38"/>
    <w:rsid w:val="00B86C6A"/>
    <w:rsid w:val="00B86E9F"/>
    <w:rsid w:val="00B87E22"/>
    <w:rsid w:val="00B900E9"/>
    <w:rsid w:val="00B909DE"/>
    <w:rsid w:val="00B90FAC"/>
    <w:rsid w:val="00B910A4"/>
    <w:rsid w:val="00B915E6"/>
    <w:rsid w:val="00B917FC"/>
    <w:rsid w:val="00B91C1E"/>
    <w:rsid w:val="00B9390E"/>
    <w:rsid w:val="00B95349"/>
    <w:rsid w:val="00B9544C"/>
    <w:rsid w:val="00B9614C"/>
    <w:rsid w:val="00B9615E"/>
    <w:rsid w:val="00B9631F"/>
    <w:rsid w:val="00B9664F"/>
    <w:rsid w:val="00B96C21"/>
    <w:rsid w:val="00B978D8"/>
    <w:rsid w:val="00B97E47"/>
    <w:rsid w:val="00B97EA1"/>
    <w:rsid w:val="00BA00CB"/>
    <w:rsid w:val="00BA0267"/>
    <w:rsid w:val="00BA09E3"/>
    <w:rsid w:val="00BA11D3"/>
    <w:rsid w:val="00BA126D"/>
    <w:rsid w:val="00BA1544"/>
    <w:rsid w:val="00BA279F"/>
    <w:rsid w:val="00BA33B0"/>
    <w:rsid w:val="00BA3438"/>
    <w:rsid w:val="00BA37B3"/>
    <w:rsid w:val="00BA38A5"/>
    <w:rsid w:val="00BA3F91"/>
    <w:rsid w:val="00BA4119"/>
    <w:rsid w:val="00BA41C1"/>
    <w:rsid w:val="00BA5817"/>
    <w:rsid w:val="00BA59B8"/>
    <w:rsid w:val="00BA5F33"/>
    <w:rsid w:val="00BA6176"/>
    <w:rsid w:val="00BA66FC"/>
    <w:rsid w:val="00BA70D6"/>
    <w:rsid w:val="00BA770B"/>
    <w:rsid w:val="00BA7729"/>
    <w:rsid w:val="00BA7957"/>
    <w:rsid w:val="00BB067A"/>
    <w:rsid w:val="00BB1949"/>
    <w:rsid w:val="00BB1975"/>
    <w:rsid w:val="00BB21C0"/>
    <w:rsid w:val="00BB2D74"/>
    <w:rsid w:val="00BB339B"/>
    <w:rsid w:val="00BB38D2"/>
    <w:rsid w:val="00BB3C3B"/>
    <w:rsid w:val="00BB65CC"/>
    <w:rsid w:val="00BB68D4"/>
    <w:rsid w:val="00BB6B80"/>
    <w:rsid w:val="00BB6E28"/>
    <w:rsid w:val="00BB7221"/>
    <w:rsid w:val="00BB7A4E"/>
    <w:rsid w:val="00BC02B3"/>
    <w:rsid w:val="00BC03B8"/>
    <w:rsid w:val="00BC0D93"/>
    <w:rsid w:val="00BC23F1"/>
    <w:rsid w:val="00BC288F"/>
    <w:rsid w:val="00BC290D"/>
    <w:rsid w:val="00BC2DF4"/>
    <w:rsid w:val="00BC2EB8"/>
    <w:rsid w:val="00BC3BF6"/>
    <w:rsid w:val="00BC3C52"/>
    <w:rsid w:val="00BC5638"/>
    <w:rsid w:val="00BC631C"/>
    <w:rsid w:val="00BD09F4"/>
    <w:rsid w:val="00BD0CC5"/>
    <w:rsid w:val="00BD11CD"/>
    <w:rsid w:val="00BD11F8"/>
    <w:rsid w:val="00BD1253"/>
    <w:rsid w:val="00BD14E1"/>
    <w:rsid w:val="00BD16E8"/>
    <w:rsid w:val="00BD5F58"/>
    <w:rsid w:val="00BD63B3"/>
    <w:rsid w:val="00BD6E56"/>
    <w:rsid w:val="00BD6F71"/>
    <w:rsid w:val="00BD7C99"/>
    <w:rsid w:val="00BE127B"/>
    <w:rsid w:val="00BE1545"/>
    <w:rsid w:val="00BE154E"/>
    <w:rsid w:val="00BE19D0"/>
    <w:rsid w:val="00BE1C8B"/>
    <w:rsid w:val="00BE24D1"/>
    <w:rsid w:val="00BE2630"/>
    <w:rsid w:val="00BE3115"/>
    <w:rsid w:val="00BE3378"/>
    <w:rsid w:val="00BE34DE"/>
    <w:rsid w:val="00BE44D5"/>
    <w:rsid w:val="00BE49CF"/>
    <w:rsid w:val="00BE5754"/>
    <w:rsid w:val="00BE6057"/>
    <w:rsid w:val="00BE6B62"/>
    <w:rsid w:val="00BE7366"/>
    <w:rsid w:val="00BE7C1D"/>
    <w:rsid w:val="00BF1B96"/>
    <w:rsid w:val="00BF23E9"/>
    <w:rsid w:val="00BF257B"/>
    <w:rsid w:val="00BF2796"/>
    <w:rsid w:val="00BF420E"/>
    <w:rsid w:val="00BF497E"/>
    <w:rsid w:val="00BF4B43"/>
    <w:rsid w:val="00BF4E4E"/>
    <w:rsid w:val="00BF5158"/>
    <w:rsid w:val="00BF629F"/>
    <w:rsid w:val="00BF64F6"/>
    <w:rsid w:val="00BF6798"/>
    <w:rsid w:val="00BF67BA"/>
    <w:rsid w:val="00BF7A9C"/>
    <w:rsid w:val="00C00076"/>
    <w:rsid w:val="00C0037D"/>
    <w:rsid w:val="00C008A4"/>
    <w:rsid w:val="00C031EB"/>
    <w:rsid w:val="00C036FD"/>
    <w:rsid w:val="00C03900"/>
    <w:rsid w:val="00C04203"/>
    <w:rsid w:val="00C04647"/>
    <w:rsid w:val="00C0663E"/>
    <w:rsid w:val="00C06953"/>
    <w:rsid w:val="00C10A77"/>
    <w:rsid w:val="00C1162C"/>
    <w:rsid w:val="00C11C29"/>
    <w:rsid w:val="00C1242D"/>
    <w:rsid w:val="00C12C15"/>
    <w:rsid w:val="00C12FE0"/>
    <w:rsid w:val="00C132D2"/>
    <w:rsid w:val="00C1477E"/>
    <w:rsid w:val="00C15A0D"/>
    <w:rsid w:val="00C15D11"/>
    <w:rsid w:val="00C168E0"/>
    <w:rsid w:val="00C16EB2"/>
    <w:rsid w:val="00C202D0"/>
    <w:rsid w:val="00C20814"/>
    <w:rsid w:val="00C208C8"/>
    <w:rsid w:val="00C20BE3"/>
    <w:rsid w:val="00C20CE4"/>
    <w:rsid w:val="00C2119B"/>
    <w:rsid w:val="00C21A1D"/>
    <w:rsid w:val="00C230B9"/>
    <w:rsid w:val="00C23154"/>
    <w:rsid w:val="00C2385E"/>
    <w:rsid w:val="00C23BD0"/>
    <w:rsid w:val="00C24083"/>
    <w:rsid w:val="00C248DB"/>
    <w:rsid w:val="00C24E94"/>
    <w:rsid w:val="00C30ECE"/>
    <w:rsid w:val="00C318E3"/>
    <w:rsid w:val="00C31B43"/>
    <w:rsid w:val="00C32AB4"/>
    <w:rsid w:val="00C332EC"/>
    <w:rsid w:val="00C3344B"/>
    <w:rsid w:val="00C34581"/>
    <w:rsid w:val="00C34981"/>
    <w:rsid w:val="00C35DC3"/>
    <w:rsid w:val="00C36C67"/>
    <w:rsid w:val="00C374D0"/>
    <w:rsid w:val="00C37F99"/>
    <w:rsid w:val="00C41521"/>
    <w:rsid w:val="00C4168D"/>
    <w:rsid w:val="00C41960"/>
    <w:rsid w:val="00C42303"/>
    <w:rsid w:val="00C43994"/>
    <w:rsid w:val="00C44748"/>
    <w:rsid w:val="00C4588A"/>
    <w:rsid w:val="00C4666E"/>
    <w:rsid w:val="00C47542"/>
    <w:rsid w:val="00C501F9"/>
    <w:rsid w:val="00C5083D"/>
    <w:rsid w:val="00C50D65"/>
    <w:rsid w:val="00C51747"/>
    <w:rsid w:val="00C5205A"/>
    <w:rsid w:val="00C5308A"/>
    <w:rsid w:val="00C545E7"/>
    <w:rsid w:val="00C55297"/>
    <w:rsid w:val="00C55C1C"/>
    <w:rsid w:val="00C56861"/>
    <w:rsid w:val="00C579BA"/>
    <w:rsid w:val="00C57B89"/>
    <w:rsid w:val="00C60AC1"/>
    <w:rsid w:val="00C60BB4"/>
    <w:rsid w:val="00C60D45"/>
    <w:rsid w:val="00C619DC"/>
    <w:rsid w:val="00C62304"/>
    <w:rsid w:val="00C62F80"/>
    <w:rsid w:val="00C63CFC"/>
    <w:rsid w:val="00C640EB"/>
    <w:rsid w:val="00C64376"/>
    <w:rsid w:val="00C6446B"/>
    <w:rsid w:val="00C64CE0"/>
    <w:rsid w:val="00C65525"/>
    <w:rsid w:val="00C66265"/>
    <w:rsid w:val="00C663C5"/>
    <w:rsid w:val="00C6655E"/>
    <w:rsid w:val="00C67211"/>
    <w:rsid w:val="00C67D97"/>
    <w:rsid w:val="00C702ED"/>
    <w:rsid w:val="00C70D1B"/>
    <w:rsid w:val="00C70EF6"/>
    <w:rsid w:val="00C7120E"/>
    <w:rsid w:val="00C7248A"/>
    <w:rsid w:val="00C744FC"/>
    <w:rsid w:val="00C74760"/>
    <w:rsid w:val="00C74837"/>
    <w:rsid w:val="00C76126"/>
    <w:rsid w:val="00C774F1"/>
    <w:rsid w:val="00C77C51"/>
    <w:rsid w:val="00C77F74"/>
    <w:rsid w:val="00C81B31"/>
    <w:rsid w:val="00C8205A"/>
    <w:rsid w:val="00C825E0"/>
    <w:rsid w:val="00C83559"/>
    <w:rsid w:val="00C83E26"/>
    <w:rsid w:val="00C85DA9"/>
    <w:rsid w:val="00C87083"/>
    <w:rsid w:val="00C87859"/>
    <w:rsid w:val="00C87D0C"/>
    <w:rsid w:val="00C9096C"/>
    <w:rsid w:val="00C90F3B"/>
    <w:rsid w:val="00C91303"/>
    <w:rsid w:val="00C915FE"/>
    <w:rsid w:val="00C91D15"/>
    <w:rsid w:val="00C927E7"/>
    <w:rsid w:val="00C92983"/>
    <w:rsid w:val="00C9311D"/>
    <w:rsid w:val="00C93310"/>
    <w:rsid w:val="00C941A8"/>
    <w:rsid w:val="00C944CF"/>
    <w:rsid w:val="00C9469B"/>
    <w:rsid w:val="00CA0528"/>
    <w:rsid w:val="00CA132B"/>
    <w:rsid w:val="00CA1C02"/>
    <w:rsid w:val="00CA1C21"/>
    <w:rsid w:val="00CA4F82"/>
    <w:rsid w:val="00CA5046"/>
    <w:rsid w:val="00CA66FD"/>
    <w:rsid w:val="00CB1537"/>
    <w:rsid w:val="00CB1E9F"/>
    <w:rsid w:val="00CB20AA"/>
    <w:rsid w:val="00CB20E7"/>
    <w:rsid w:val="00CB2FA8"/>
    <w:rsid w:val="00CB3290"/>
    <w:rsid w:val="00CB32D6"/>
    <w:rsid w:val="00CB36B5"/>
    <w:rsid w:val="00CB3881"/>
    <w:rsid w:val="00CB3CC9"/>
    <w:rsid w:val="00CB437A"/>
    <w:rsid w:val="00CB47F8"/>
    <w:rsid w:val="00CB6F46"/>
    <w:rsid w:val="00CB75E2"/>
    <w:rsid w:val="00CC00DA"/>
    <w:rsid w:val="00CC0D13"/>
    <w:rsid w:val="00CC1A78"/>
    <w:rsid w:val="00CC1E1C"/>
    <w:rsid w:val="00CC251A"/>
    <w:rsid w:val="00CC2F0B"/>
    <w:rsid w:val="00CC31BF"/>
    <w:rsid w:val="00CC34AB"/>
    <w:rsid w:val="00CC3828"/>
    <w:rsid w:val="00CC3A55"/>
    <w:rsid w:val="00CC3B2A"/>
    <w:rsid w:val="00CC507A"/>
    <w:rsid w:val="00CC5104"/>
    <w:rsid w:val="00CC6613"/>
    <w:rsid w:val="00CC6A57"/>
    <w:rsid w:val="00CC6C1D"/>
    <w:rsid w:val="00CC6C63"/>
    <w:rsid w:val="00CC78DE"/>
    <w:rsid w:val="00CD000C"/>
    <w:rsid w:val="00CD061B"/>
    <w:rsid w:val="00CD0800"/>
    <w:rsid w:val="00CD10A5"/>
    <w:rsid w:val="00CD134F"/>
    <w:rsid w:val="00CD1A2B"/>
    <w:rsid w:val="00CD220A"/>
    <w:rsid w:val="00CD39FF"/>
    <w:rsid w:val="00CD4276"/>
    <w:rsid w:val="00CD43ED"/>
    <w:rsid w:val="00CD5037"/>
    <w:rsid w:val="00CD6209"/>
    <w:rsid w:val="00CD63F6"/>
    <w:rsid w:val="00CD67A7"/>
    <w:rsid w:val="00CD6969"/>
    <w:rsid w:val="00CD6A87"/>
    <w:rsid w:val="00CD6C4E"/>
    <w:rsid w:val="00CD71A7"/>
    <w:rsid w:val="00CD74AA"/>
    <w:rsid w:val="00CE03B8"/>
    <w:rsid w:val="00CE0F6B"/>
    <w:rsid w:val="00CE1774"/>
    <w:rsid w:val="00CE4F6B"/>
    <w:rsid w:val="00CE51C5"/>
    <w:rsid w:val="00CE53B8"/>
    <w:rsid w:val="00CE5B3A"/>
    <w:rsid w:val="00CE7F28"/>
    <w:rsid w:val="00CF117B"/>
    <w:rsid w:val="00CF276A"/>
    <w:rsid w:val="00CF35B7"/>
    <w:rsid w:val="00CF36F0"/>
    <w:rsid w:val="00CF3874"/>
    <w:rsid w:val="00CF3F64"/>
    <w:rsid w:val="00CF4201"/>
    <w:rsid w:val="00CF4B95"/>
    <w:rsid w:val="00CF69EF"/>
    <w:rsid w:val="00CF7076"/>
    <w:rsid w:val="00D0058A"/>
    <w:rsid w:val="00D00753"/>
    <w:rsid w:val="00D0098D"/>
    <w:rsid w:val="00D00FC2"/>
    <w:rsid w:val="00D01C8A"/>
    <w:rsid w:val="00D0352B"/>
    <w:rsid w:val="00D03BCA"/>
    <w:rsid w:val="00D03E56"/>
    <w:rsid w:val="00D0456F"/>
    <w:rsid w:val="00D049C8"/>
    <w:rsid w:val="00D05839"/>
    <w:rsid w:val="00D06B6D"/>
    <w:rsid w:val="00D07465"/>
    <w:rsid w:val="00D07498"/>
    <w:rsid w:val="00D07B70"/>
    <w:rsid w:val="00D10287"/>
    <w:rsid w:val="00D108D3"/>
    <w:rsid w:val="00D111A9"/>
    <w:rsid w:val="00D11EC8"/>
    <w:rsid w:val="00D12136"/>
    <w:rsid w:val="00D121CC"/>
    <w:rsid w:val="00D121D7"/>
    <w:rsid w:val="00D1233B"/>
    <w:rsid w:val="00D12465"/>
    <w:rsid w:val="00D12AA8"/>
    <w:rsid w:val="00D15501"/>
    <w:rsid w:val="00D15B4F"/>
    <w:rsid w:val="00D16599"/>
    <w:rsid w:val="00D1669F"/>
    <w:rsid w:val="00D170B2"/>
    <w:rsid w:val="00D17545"/>
    <w:rsid w:val="00D2082D"/>
    <w:rsid w:val="00D20C97"/>
    <w:rsid w:val="00D21171"/>
    <w:rsid w:val="00D22D9B"/>
    <w:rsid w:val="00D22FB2"/>
    <w:rsid w:val="00D24245"/>
    <w:rsid w:val="00D24401"/>
    <w:rsid w:val="00D24579"/>
    <w:rsid w:val="00D2492C"/>
    <w:rsid w:val="00D250FA"/>
    <w:rsid w:val="00D2524D"/>
    <w:rsid w:val="00D2618E"/>
    <w:rsid w:val="00D26403"/>
    <w:rsid w:val="00D300E9"/>
    <w:rsid w:val="00D304E4"/>
    <w:rsid w:val="00D310A5"/>
    <w:rsid w:val="00D31CFF"/>
    <w:rsid w:val="00D31E11"/>
    <w:rsid w:val="00D32538"/>
    <w:rsid w:val="00D32C94"/>
    <w:rsid w:val="00D3329B"/>
    <w:rsid w:val="00D33A5D"/>
    <w:rsid w:val="00D34140"/>
    <w:rsid w:val="00D3450D"/>
    <w:rsid w:val="00D370B7"/>
    <w:rsid w:val="00D37860"/>
    <w:rsid w:val="00D40776"/>
    <w:rsid w:val="00D40E89"/>
    <w:rsid w:val="00D41DB6"/>
    <w:rsid w:val="00D425EE"/>
    <w:rsid w:val="00D4279F"/>
    <w:rsid w:val="00D42EC7"/>
    <w:rsid w:val="00D434F9"/>
    <w:rsid w:val="00D43AA0"/>
    <w:rsid w:val="00D43E45"/>
    <w:rsid w:val="00D445BE"/>
    <w:rsid w:val="00D45542"/>
    <w:rsid w:val="00D46054"/>
    <w:rsid w:val="00D469B5"/>
    <w:rsid w:val="00D4780F"/>
    <w:rsid w:val="00D47DA8"/>
    <w:rsid w:val="00D50032"/>
    <w:rsid w:val="00D500C9"/>
    <w:rsid w:val="00D511AC"/>
    <w:rsid w:val="00D5175C"/>
    <w:rsid w:val="00D529CF"/>
    <w:rsid w:val="00D52AFB"/>
    <w:rsid w:val="00D52BF6"/>
    <w:rsid w:val="00D53EFF"/>
    <w:rsid w:val="00D54441"/>
    <w:rsid w:val="00D555BC"/>
    <w:rsid w:val="00D56C6D"/>
    <w:rsid w:val="00D57B2B"/>
    <w:rsid w:val="00D57C39"/>
    <w:rsid w:val="00D57E30"/>
    <w:rsid w:val="00D612E0"/>
    <w:rsid w:val="00D6134B"/>
    <w:rsid w:val="00D623D0"/>
    <w:rsid w:val="00D62FE7"/>
    <w:rsid w:val="00D6330E"/>
    <w:rsid w:val="00D63C02"/>
    <w:rsid w:val="00D6420F"/>
    <w:rsid w:val="00D650EB"/>
    <w:rsid w:val="00D664CE"/>
    <w:rsid w:val="00D66A89"/>
    <w:rsid w:val="00D66BE9"/>
    <w:rsid w:val="00D67549"/>
    <w:rsid w:val="00D67A66"/>
    <w:rsid w:val="00D67B5C"/>
    <w:rsid w:val="00D70A26"/>
    <w:rsid w:val="00D70BFE"/>
    <w:rsid w:val="00D71D66"/>
    <w:rsid w:val="00D71EA0"/>
    <w:rsid w:val="00D721F7"/>
    <w:rsid w:val="00D72F55"/>
    <w:rsid w:val="00D732D5"/>
    <w:rsid w:val="00D733B2"/>
    <w:rsid w:val="00D73D31"/>
    <w:rsid w:val="00D741BE"/>
    <w:rsid w:val="00D749E5"/>
    <w:rsid w:val="00D75828"/>
    <w:rsid w:val="00D75B85"/>
    <w:rsid w:val="00D76D1F"/>
    <w:rsid w:val="00D77354"/>
    <w:rsid w:val="00D773FB"/>
    <w:rsid w:val="00D81BDE"/>
    <w:rsid w:val="00D8204E"/>
    <w:rsid w:val="00D83C8B"/>
    <w:rsid w:val="00D84E77"/>
    <w:rsid w:val="00D8556D"/>
    <w:rsid w:val="00D85F6D"/>
    <w:rsid w:val="00D86514"/>
    <w:rsid w:val="00D86941"/>
    <w:rsid w:val="00D90325"/>
    <w:rsid w:val="00D90F03"/>
    <w:rsid w:val="00D9110D"/>
    <w:rsid w:val="00D93286"/>
    <w:rsid w:val="00D93607"/>
    <w:rsid w:val="00D938C8"/>
    <w:rsid w:val="00D945BC"/>
    <w:rsid w:val="00D96689"/>
    <w:rsid w:val="00D96818"/>
    <w:rsid w:val="00D97AA5"/>
    <w:rsid w:val="00D97F9A"/>
    <w:rsid w:val="00DA10A7"/>
    <w:rsid w:val="00DA11C2"/>
    <w:rsid w:val="00DA1C8E"/>
    <w:rsid w:val="00DA263D"/>
    <w:rsid w:val="00DA29B4"/>
    <w:rsid w:val="00DA320D"/>
    <w:rsid w:val="00DA3493"/>
    <w:rsid w:val="00DA3569"/>
    <w:rsid w:val="00DA6B5F"/>
    <w:rsid w:val="00DA7CED"/>
    <w:rsid w:val="00DA7EA5"/>
    <w:rsid w:val="00DB0D38"/>
    <w:rsid w:val="00DB123A"/>
    <w:rsid w:val="00DB1F78"/>
    <w:rsid w:val="00DB2DEB"/>
    <w:rsid w:val="00DB309C"/>
    <w:rsid w:val="00DB689A"/>
    <w:rsid w:val="00DB73AF"/>
    <w:rsid w:val="00DB7DC1"/>
    <w:rsid w:val="00DB7F10"/>
    <w:rsid w:val="00DC02F3"/>
    <w:rsid w:val="00DC1825"/>
    <w:rsid w:val="00DC19FE"/>
    <w:rsid w:val="00DC233B"/>
    <w:rsid w:val="00DC27A4"/>
    <w:rsid w:val="00DC2ED2"/>
    <w:rsid w:val="00DC3BB2"/>
    <w:rsid w:val="00DC3D13"/>
    <w:rsid w:val="00DC486E"/>
    <w:rsid w:val="00DC4AE5"/>
    <w:rsid w:val="00DC54B9"/>
    <w:rsid w:val="00DC5B5E"/>
    <w:rsid w:val="00DC5DE7"/>
    <w:rsid w:val="00DC5ECF"/>
    <w:rsid w:val="00DC77E8"/>
    <w:rsid w:val="00DC7EC0"/>
    <w:rsid w:val="00DD36A9"/>
    <w:rsid w:val="00DD385E"/>
    <w:rsid w:val="00DD4748"/>
    <w:rsid w:val="00DD4E21"/>
    <w:rsid w:val="00DD5318"/>
    <w:rsid w:val="00DD5611"/>
    <w:rsid w:val="00DD56B6"/>
    <w:rsid w:val="00DD6B6C"/>
    <w:rsid w:val="00DD707C"/>
    <w:rsid w:val="00DE0126"/>
    <w:rsid w:val="00DE03B0"/>
    <w:rsid w:val="00DE1B5E"/>
    <w:rsid w:val="00DE2C94"/>
    <w:rsid w:val="00DE2E91"/>
    <w:rsid w:val="00DE38D9"/>
    <w:rsid w:val="00DE3945"/>
    <w:rsid w:val="00DE65AB"/>
    <w:rsid w:val="00DE6A50"/>
    <w:rsid w:val="00DE6A89"/>
    <w:rsid w:val="00DE6BA3"/>
    <w:rsid w:val="00DE6D3D"/>
    <w:rsid w:val="00DE7890"/>
    <w:rsid w:val="00DF1056"/>
    <w:rsid w:val="00DF22D0"/>
    <w:rsid w:val="00DF257A"/>
    <w:rsid w:val="00DF3967"/>
    <w:rsid w:val="00DF425D"/>
    <w:rsid w:val="00DF4906"/>
    <w:rsid w:val="00DF49F5"/>
    <w:rsid w:val="00DF4B4F"/>
    <w:rsid w:val="00DF50FB"/>
    <w:rsid w:val="00DF66E5"/>
    <w:rsid w:val="00DF6828"/>
    <w:rsid w:val="00E00562"/>
    <w:rsid w:val="00E0074F"/>
    <w:rsid w:val="00E0186D"/>
    <w:rsid w:val="00E01F88"/>
    <w:rsid w:val="00E03798"/>
    <w:rsid w:val="00E037BD"/>
    <w:rsid w:val="00E043BC"/>
    <w:rsid w:val="00E051B5"/>
    <w:rsid w:val="00E05F85"/>
    <w:rsid w:val="00E06491"/>
    <w:rsid w:val="00E078EA"/>
    <w:rsid w:val="00E11612"/>
    <w:rsid w:val="00E127C2"/>
    <w:rsid w:val="00E16BC4"/>
    <w:rsid w:val="00E20077"/>
    <w:rsid w:val="00E20E01"/>
    <w:rsid w:val="00E2126E"/>
    <w:rsid w:val="00E21F39"/>
    <w:rsid w:val="00E22369"/>
    <w:rsid w:val="00E22EF0"/>
    <w:rsid w:val="00E2324D"/>
    <w:rsid w:val="00E23B4B"/>
    <w:rsid w:val="00E23B5D"/>
    <w:rsid w:val="00E2458E"/>
    <w:rsid w:val="00E24AA3"/>
    <w:rsid w:val="00E2522D"/>
    <w:rsid w:val="00E2575F"/>
    <w:rsid w:val="00E25E2D"/>
    <w:rsid w:val="00E2611C"/>
    <w:rsid w:val="00E274F4"/>
    <w:rsid w:val="00E27C7B"/>
    <w:rsid w:val="00E314BD"/>
    <w:rsid w:val="00E342FD"/>
    <w:rsid w:val="00E34CCF"/>
    <w:rsid w:val="00E35440"/>
    <w:rsid w:val="00E354B3"/>
    <w:rsid w:val="00E35D26"/>
    <w:rsid w:val="00E367F2"/>
    <w:rsid w:val="00E36960"/>
    <w:rsid w:val="00E36A12"/>
    <w:rsid w:val="00E37346"/>
    <w:rsid w:val="00E37C32"/>
    <w:rsid w:val="00E428A5"/>
    <w:rsid w:val="00E42E58"/>
    <w:rsid w:val="00E4350C"/>
    <w:rsid w:val="00E44649"/>
    <w:rsid w:val="00E44BAE"/>
    <w:rsid w:val="00E44C85"/>
    <w:rsid w:val="00E44FA5"/>
    <w:rsid w:val="00E4509B"/>
    <w:rsid w:val="00E456F1"/>
    <w:rsid w:val="00E45C1A"/>
    <w:rsid w:val="00E45C37"/>
    <w:rsid w:val="00E45D56"/>
    <w:rsid w:val="00E45FE9"/>
    <w:rsid w:val="00E4606D"/>
    <w:rsid w:val="00E461BD"/>
    <w:rsid w:val="00E464F2"/>
    <w:rsid w:val="00E465E1"/>
    <w:rsid w:val="00E472F4"/>
    <w:rsid w:val="00E47610"/>
    <w:rsid w:val="00E504BA"/>
    <w:rsid w:val="00E51571"/>
    <w:rsid w:val="00E51BF7"/>
    <w:rsid w:val="00E525D2"/>
    <w:rsid w:val="00E52947"/>
    <w:rsid w:val="00E52E73"/>
    <w:rsid w:val="00E53246"/>
    <w:rsid w:val="00E55123"/>
    <w:rsid w:val="00E55A72"/>
    <w:rsid w:val="00E579DC"/>
    <w:rsid w:val="00E60054"/>
    <w:rsid w:val="00E6029D"/>
    <w:rsid w:val="00E61D48"/>
    <w:rsid w:val="00E61F65"/>
    <w:rsid w:val="00E627BB"/>
    <w:rsid w:val="00E63196"/>
    <w:rsid w:val="00E63907"/>
    <w:rsid w:val="00E64196"/>
    <w:rsid w:val="00E67A77"/>
    <w:rsid w:val="00E715D6"/>
    <w:rsid w:val="00E72885"/>
    <w:rsid w:val="00E72DD0"/>
    <w:rsid w:val="00E73E78"/>
    <w:rsid w:val="00E7489B"/>
    <w:rsid w:val="00E76867"/>
    <w:rsid w:val="00E76949"/>
    <w:rsid w:val="00E801E9"/>
    <w:rsid w:val="00E801F1"/>
    <w:rsid w:val="00E813DB"/>
    <w:rsid w:val="00E8223B"/>
    <w:rsid w:val="00E828C2"/>
    <w:rsid w:val="00E839D1"/>
    <w:rsid w:val="00E83D84"/>
    <w:rsid w:val="00E83DFE"/>
    <w:rsid w:val="00E8422F"/>
    <w:rsid w:val="00E8493B"/>
    <w:rsid w:val="00E85112"/>
    <w:rsid w:val="00E85EC4"/>
    <w:rsid w:val="00E86170"/>
    <w:rsid w:val="00E86BA1"/>
    <w:rsid w:val="00E86DEF"/>
    <w:rsid w:val="00E879F5"/>
    <w:rsid w:val="00E90507"/>
    <w:rsid w:val="00E90544"/>
    <w:rsid w:val="00E915A7"/>
    <w:rsid w:val="00E9251C"/>
    <w:rsid w:val="00E925C4"/>
    <w:rsid w:val="00E928BC"/>
    <w:rsid w:val="00E92C0C"/>
    <w:rsid w:val="00E92CA1"/>
    <w:rsid w:val="00E92D52"/>
    <w:rsid w:val="00E93611"/>
    <w:rsid w:val="00E93BEA"/>
    <w:rsid w:val="00E95159"/>
    <w:rsid w:val="00E96D48"/>
    <w:rsid w:val="00E974CC"/>
    <w:rsid w:val="00EA026F"/>
    <w:rsid w:val="00EA128C"/>
    <w:rsid w:val="00EA1ADB"/>
    <w:rsid w:val="00EA4C06"/>
    <w:rsid w:val="00EA5043"/>
    <w:rsid w:val="00EA5348"/>
    <w:rsid w:val="00EA5FB4"/>
    <w:rsid w:val="00EA6819"/>
    <w:rsid w:val="00EA70AC"/>
    <w:rsid w:val="00EA74E0"/>
    <w:rsid w:val="00EB040A"/>
    <w:rsid w:val="00EB0534"/>
    <w:rsid w:val="00EB0A8F"/>
    <w:rsid w:val="00EB120C"/>
    <w:rsid w:val="00EB1DFA"/>
    <w:rsid w:val="00EB257E"/>
    <w:rsid w:val="00EB4192"/>
    <w:rsid w:val="00EB438E"/>
    <w:rsid w:val="00EB490C"/>
    <w:rsid w:val="00EB52D5"/>
    <w:rsid w:val="00EB5C52"/>
    <w:rsid w:val="00EB66FD"/>
    <w:rsid w:val="00EB6A40"/>
    <w:rsid w:val="00EC01C3"/>
    <w:rsid w:val="00EC13D0"/>
    <w:rsid w:val="00EC203F"/>
    <w:rsid w:val="00EC2080"/>
    <w:rsid w:val="00EC2883"/>
    <w:rsid w:val="00EC297A"/>
    <w:rsid w:val="00EC4111"/>
    <w:rsid w:val="00EC4815"/>
    <w:rsid w:val="00EC48FC"/>
    <w:rsid w:val="00EC53B0"/>
    <w:rsid w:val="00EC56EF"/>
    <w:rsid w:val="00EC5748"/>
    <w:rsid w:val="00EC6E67"/>
    <w:rsid w:val="00EC7E2D"/>
    <w:rsid w:val="00ED1513"/>
    <w:rsid w:val="00ED2318"/>
    <w:rsid w:val="00ED26CF"/>
    <w:rsid w:val="00ED2BDB"/>
    <w:rsid w:val="00ED30AF"/>
    <w:rsid w:val="00ED381E"/>
    <w:rsid w:val="00ED3BC9"/>
    <w:rsid w:val="00ED3F2A"/>
    <w:rsid w:val="00ED4BF4"/>
    <w:rsid w:val="00ED6A3E"/>
    <w:rsid w:val="00ED6C03"/>
    <w:rsid w:val="00ED76FB"/>
    <w:rsid w:val="00ED795C"/>
    <w:rsid w:val="00EE0DAB"/>
    <w:rsid w:val="00EE10EA"/>
    <w:rsid w:val="00EE2B41"/>
    <w:rsid w:val="00EE2ECB"/>
    <w:rsid w:val="00EE3C06"/>
    <w:rsid w:val="00EE407C"/>
    <w:rsid w:val="00EE4476"/>
    <w:rsid w:val="00EE499A"/>
    <w:rsid w:val="00EE4DC8"/>
    <w:rsid w:val="00EE5BCF"/>
    <w:rsid w:val="00EE61BF"/>
    <w:rsid w:val="00EE6717"/>
    <w:rsid w:val="00EE7408"/>
    <w:rsid w:val="00EF095A"/>
    <w:rsid w:val="00EF11FD"/>
    <w:rsid w:val="00EF1B9E"/>
    <w:rsid w:val="00EF2CE7"/>
    <w:rsid w:val="00EF2EFA"/>
    <w:rsid w:val="00EF343F"/>
    <w:rsid w:val="00EF5AA2"/>
    <w:rsid w:val="00EF64D3"/>
    <w:rsid w:val="00EF6D33"/>
    <w:rsid w:val="00F0026E"/>
    <w:rsid w:val="00F019D1"/>
    <w:rsid w:val="00F01BC8"/>
    <w:rsid w:val="00F01F4A"/>
    <w:rsid w:val="00F020F7"/>
    <w:rsid w:val="00F021F7"/>
    <w:rsid w:val="00F02D71"/>
    <w:rsid w:val="00F02F92"/>
    <w:rsid w:val="00F03569"/>
    <w:rsid w:val="00F0598C"/>
    <w:rsid w:val="00F068C3"/>
    <w:rsid w:val="00F077C8"/>
    <w:rsid w:val="00F104B6"/>
    <w:rsid w:val="00F10DBE"/>
    <w:rsid w:val="00F1243F"/>
    <w:rsid w:val="00F14A8E"/>
    <w:rsid w:val="00F14B9C"/>
    <w:rsid w:val="00F15219"/>
    <w:rsid w:val="00F16656"/>
    <w:rsid w:val="00F20815"/>
    <w:rsid w:val="00F20DEE"/>
    <w:rsid w:val="00F217AA"/>
    <w:rsid w:val="00F221B7"/>
    <w:rsid w:val="00F22472"/>
    <w:rsid w:val="00F224AB"/>
    <w:rsid w:val="00F229B7"/>
    <w:rsid w:val="00F2319B"/>
    <w:rsid w:val="00F237BC"/>
    <w:rsid w:val="00F241CA"/>
    <w:rsid w:val="00F26C16"/>
    <w:rsid w:val="00F300FF"/>
    <w:rsid w:val="00F302F8"/>
    <w:rsid w:val="00F31C11"/>
    <w:rsid w:val="00F31E4C"/>
    <w:rsid w:val="00F3450D"/>
    <w:rsid w:val="00F3487A"/>
    <w:rsid w:val="00F34DE2"/>
    <w:rsid w:val="00F359B7"/>
    <w:rsid w:val="00F3766F"/>
    <w:rsid w:val="00F377B5"/>
    <w:rsid w:val="00F40273"/>
    <w:rsid w:val="00F403ED"/>
    <w:rsid w:val="00F40B49"/>
    <w:rsid w:val="00F414C2"/>
    <w:rsid w:val="00F43283"/>
    <w:rsid w:val="00F43A9F"/>
    <w:rsid w:val="00F43BB1"/>
    <w:rsid w:val="00F44E29"/>
    <w:rsid w:val="00F453D0"/>
    <w:rsid w:val="00F477D1"/>
    <w:rsid w:val="00F508E9"/>
    <w:rsid w:val="00F50B53"/>
    <w:rsid w:val="00F50BA1"/>
    <w:rsid w:val="00F50E19"/>
    <w:rsid w:val="00F50F7D"/>
    <w:rsid w:val="00F514F3"/>
    <w:rsid w:val="00F515D2"/>
    <w:rsid w:val="00F51CBD"/>
    <w:rsid w:val="00F5357E"/>
    <w:rsid w:val="00F546E3"/>
    <w:rsid w:val="00F561BD"/>
    <w:rsid w:val="00F60499"/>
    <w:rsid w:val="00F60D7A"/>
    <w:rsid w:val="00F61399"/>
    <w:rsid w:val="00F64608"/>
    <w:rsid w:val="00F648BE"/>
    <w:rsid w:val="00F65593"/>
    <w:rsid w:val="00F657C9"/>
    <w:rsid w:val="00F65A7D"/>
    <w:rsid w:val="00F667FA"/>
    <w:rsid w:val="00F675C9"/>
    <w:rsid w:val="00F70AFB"/>
    <w:rsid w:val="00F70D42"/>
    <w:rsid w:val="00F70D73"/>
    <w:rsid w:val="00F71499"/>
    <w:rsid w:val="00F7157A"/>
    <w:rsid w:val="00F715B6"/>
    <w:rsid w:val="00F7195C"/>
    <w:rsid w:val="00F71D24"/>
    <w:rsid w:val="00F72497"/>
    <w:rsid w:val="00F72550"/>
    <w:rsid w:val="00F73CC0"/>
    <w:rsid w:val="00F74B7E"/>
    <w:rsid w:val="00F75EFD"/>
    <w:rsid w:val="00F7627D"/>
    <w:rsid w:val="00F7755C"/>
    <w:rsid w:val="00F811BF"/>
    <w:rsid w:val="00F812BB"/>
    <w:rsid w:val="00F815DF"/>
    <w:rsid w:val="00F8206E"/>
    <w:rsid w:val="00F8391B"/>
    <w:rsid w:val="00F83CA0"/>
    <w:rsid w:val="00F83F5B"/>
    <w:rsid w:val="00F84576"/>
    <w:rsid w:val="00F8589F"/>
    <w:rsid w:val="00F90663"/>
    <w:rsid w:val="00F90F5A"/>
    <w:rsid w:val="00F92046"/>
    <w:rsid w:val="00F92742"/>
    <w:rsid w:val="00F936F2"/>
    <w:rsid w:val="00F9395F"/>
    <w:rsid w:val="00F93EFA"/>
    <w:rsid w:val="00F946EB"/>
    <w:rsid w:val="00F94FCF"/>
    <w:rsid w:val="00F95262"/>
    <w:rsid w:val="00F95A32"/>
    <w:rsid w:val="00F95D1F"/>
    <w:rsid w:val="00F96565"/>
    <w:rsid w:val="00FA00E5"/>
    <w:rsid w:val="00FA15AA"/>
    <w:rsid w:val="00FA16AE"/>
    <w:rsid w:val="00FA188D"/>
    <w:rsid w:val="00FA1AC4"/>
    <w:rsid w:val="00FA1CFE"/>
    <w:rsid w:val="00FA27E6"/>
    <w:rsid w:val="00FA38D1"/>
    <w:rsid w:val="00FA509D"/>
    <w:rsid w:val="00FA5BC8"/>
    <w:rsid w:val="00FA6E10"/>
    <w:rsid w:val="00FA7537"/>
    <w:rsid w:val="00FA7E7B"/>
    <w:rsid w:val="00FB030D"/>
    <w:rsid w:val="00FB11A4"/>
    <w:rsid w:val="00FB1CA8"/>
    <w:rsid w:val="00FB2C56"/>
    <w:rsid w:val="00FB3DD4"/>
    <w:rsid w:val="00FB4006"/>
    <w:rsid w:val="00FB4609"/>
    <w:rsid w:val="00FB4617"/>
    <w:rsid w:val="00FB5A40"/>
    <w:rsid w:val="00FB5E30"/>
    <w:rsid w:val="00FB6B39"/>
    <w:rsid w:val="00FB6C06"/>
    <w:rsid w:val="00FC012D"/>
    <w:rsid w:val="00FC0340"/>
    <w:rsid w:val="00FC067A"/>
    <w:rsid w:val="00FC13EB"/>
    <w:rsid w:val="00FC1879"/>
    <w:rsid w:val="00FC2BC5"/>
    <w:rsid w:val="00FC2CFE"/>
    <w:rsid w:val="00FC337E"/>
    <w:rsid w:val="00FC4396"/>
    <w:rsid w:val="00FC43BA"/>
    <w:rsid w:val="00FC46A6"/>
    <w:rsid w:val="00FC4D76"/>
    <w:rsid w:val="00FC5F1E"/>
    <w:rsid w:val="00FC6A16"/>
    <w:rsid w:val="00FC7FCE"/>
    <w:rsid w:val="00FD00D6"/>
    <w:rsid w:val="00FD024B"/>
    <w:rsid w:val="00FD073B"/>
    <w:rsid w:val="00FD0E91"/>
    <w:rsid w:val="00FD22EB"/>
    <w:rsid w:val="00FD2E05"/>
    <w:rsid w:val="00FD58E8"/>
    <w:rsid w:val="00FD730B"/>
    <w:rsid w:val="00FD7415"/>
    <w:rsid w:val="00FD743E"/>
    <w:rsid w:val="00FD7B53"/>
    <w:rsid w:val="00FE268E"/>
    <w:rsid w:val="00FE31BD"/>
    <w:rsid w:val="00FE3FE1"/>
    <w:rsid w:val="00FE491B"/>
    <w:rsid w:val="00FE4EB3"/>
    <w:rsid w:val="00FE69C7"/>
    <w:rsid w:val="00FE6D66"/>
    <w:rsid w:val="00FE7A8B"/>
    <w:rsid w:val="00FE7C76"/>
    <w:rsid w:val="00FF1274"/>
    <w:rsid w:val="00FF13C7"/>
    <w:rsid w:val="00FF192C"/>
    <w:rsid w:val="00FF2060"/>
    <w:rsid w:val="00FF222D"/>
    <w:rsid w:val="00FF327B"/>
    <w:rsid w:val="00FF3A25"/>
    <w:rsid w:val="00FF4127"/>
    <w:rsid w:val="00FF4A6D"/>
    <w:rsid w:val="00FF69FC"/>
    <w:rsid w:val="00FF6BF2"/>
    <w:rsid w:val="00FF6E42"/>
    <w:rsid w:val="00FF71CC"/>
    <w:rsid w:val="00FF7633"/>
    <w:rsid w:val="00FF7F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B81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sl-SI"/>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F300FF"/>
    <w:pPr>
      <w:spacing w:before="60" w:after="140" w:line="220" w:lineRule="atLeast"/>
      <w:jc w:val="both"/>
    </w:pPr>
    <w:rPr>
      <w:rFonts w:ascii="Arial" w:hAnsi="Arial"/>
      <w:sz w:val="18"/>
      <w:szCs w:val="24"/>
    </w:rPr>
  </w:style>
  <w:style w:type="paragraph" w:styleId="Heading1">
    <w:name w:val="heading 1"/>
    <w:basedOn w:val="Normal"/>
    <w:next w:val="Normal"/>
    <w:semiHidden/>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uiPriority w:val="9"/>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Heading3">
    <w:name w:val="heading 3"/>
    <w:aliases w:val="H3,no vale1,no vale1 Car"/>
    <w:basedOn w:val="Normal"/>
    <w:next w:val="Normal"/>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basedOn w:val="Normal"/>
    <w:next w:val="Normal"/>
    <w:semiHidden/>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semiHidden/>
    <w:qFormat/>
    <w:rsid w:val="00E465E1"/>
    <w:pPr>
      <w:suppressAutoHyphens/>
      <w:spacing w:before="200" w:after="100"/>
      <w:jc w:val="left"/>
      <w:outlineLvl w:val="4"/>
    </w:pPr>
    <w:rPr>
      <w:b/>
      <w:bCs/>
      <w:iCs/>
      <w:color w:val="5F5F5F"/>
      <w:szCs w:val="26"/>
    </w:rPr>
  </w:style>
  <w:style w:type="paragraph" w:styleId="Heading6">
    <w:name w:val="heading 6"/>
    <w:basedOn w:val="Normal"/>
    <w:next w:val="Normal"/>
    <w:semiHidden/>
    <w:qFormat/>
    <w:rsid w:val="00E465E1"/>
    <w:pPr>
      <w:suppressAutoHyphens/>
      <w:spacing w:before="140" w:line="200" w:lineRule="exact"/>
      <w:jc w:val="left"/>
      <w:outlineLvl w:val="5"/>
    </w:pPr>
    <w:rPr>
      <w:b/>
      <w:bCs/>
      <w:color w:val="808080"/>
      <w:sz w:val="16"/>
      <w:szCs w:val="22"/>
    </w:rPr>
  </w:style>
  <w:style w:type="paragraph" w:styleId="Heading7">
    <w:name w:val="heading 7"/>
    <w:basedOn w:val="Normal"/>
    <w:next w:val="Normal"/>
    <w:qFormat/>
    <w:rsid w:val="00E465E1"/>
    <w:pPr>
      <w:suppressAutoHyphens/>
      <w:spacing w:before="140" w:line="200" w:lineRule="exact"/>
      <w:jc w:val="left"/>
      <w:outlineLvl w:val="6"/>
    </w:pPr>
    <w:rPr>
      <w:b/>
      <w:color w:val="808080"/>
      <w:sz w:val="16"/>
    </w:rPr>
  </w:style>
  <w:style w:type="paragraph" w:styleId="Heading8">
    <w:name w:val="heading 8"/>
    <w:basedOn w:val="Normal"/>
    <w:next w:val="Normal"/>
    <w:qFormat/>
    <w:rsid w:val="00E465E1"/>
    <w:pPr>
      <w:suppressAutoHyphens/>
      <w:spacing w:before="140" w:line="200" w:lineRule="exact"/>
      <w:jc w:val="left"/>
      <w:outlineLvl w:val="7"/>
    </w:pPr>
    <w:rPr>
      <w:b/>
      <w:iCs/>
      <w:color w:val="808080"/>
      <w:sz w:val="16"/>
    </w:rPr>
  </w:style>
  <w:style w:type="paragraph" w:styleId="Heading9">
    <w:name w:val="heading 9"/>
    <w:basedOn w:val="Heading1"/>
    <w:next w:val="Normal"/>
    <w:semiHidden/>
    <w:qFormat/>
    <w:rsid w:val="00E465E1"/>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rsid w:val="00364BFD"/>
    <w:pPr>
      <w:tabs>
        <w:tab w:val="left" w:pos="454"/>
        <w:tab w:val="right" w:leader="dot" w:pos="9072"/>
      </w:tabs>
      <w:suppressAutoHyphens/>
      <w:spacing w:before="60" w:line="280" w:lineRule="exact"/>
      <w:ind w:left="454" w:hanging="454"/>
    </w:pPr>
    <w:rPr>
      <w:rFonts w:ascii="Arial" w:hAnsi="Arial"/>
      <w:color w:val="373737" w:themeColor="text1"/>
      <w:szCs w:val="22"/>
    </w:rPr>
  </w:style>
  <w:style w:type="paragraph" w:styleId="Header">
    <w:name w:val="header"/>
    <w:rsid w:val="00BD09F4"/>
    <w:pPr>
      <w:tabs>
        <w:tab w:val="right" w:pos="9072"/>
      </w:tabs>
      <w:spacing w:before="60"/>
    </w:pPr>
    <w:rPr>
      <w:rFonts w:ascii="Arial" w:hAnsi="Arial"/>
      <w:color w:val="F07E31" w:themeColor="accent1"/>
      <w:sz w:val="18"/>
    </w:rPr>
  </w:style>
  <w:style w:type="paragraph" w:styleId="Footer">
    <w:name w:val="footer"/>
    <w:link w:val="FooterChar"/>
    <w:uiPriority w:val="99"/>
    <w:rsid w:val="00D86941"/>
    <w:pPr>
      <w:tabs>
        <w:tab w:val="right" w:pos="8618"/>
      </w:tabs>
      <w:ind w:left="-907" w:right="-907"/>
      <w:jc w:val="center"/>
    </w:pPr>
    <w:rPr>
      <w:rFonts w:ascii="Arial" w:hAnsi="Arial"/>
      <w:color w:val="373737"/>
      <w:sz w:val="22"/>
    </w:rPr>
  </w:style>
  <w:style w:type="character" w:styleId="PageNumber">
    <w:name w:val="page number"/>
    <w:basedOn w:val="DefaultParagraphFont"/>
    <w:semiHidden/>
    <w:rsid w:val="00E465E1"/>
    <w:rPr>
      <w:rFonts w:ascii="Arial" w:hAnsi="Arial"/>
      <w:color w:val="808080"/>
      <w:sz w:val="18"/>
    </w:rPr>
  </w:style>
  <w:style w:type="paragraph" w:customStyle="1" w:styleId="HTitle2">
    <w:name w:val="H_Title2"/>
    <w:basedOn w:val="Normal"/>
    <w:qFormat/>
    <w:rsid w:val="00364BFD"/>
    <w:pPr>
      <w:autoSpaceDE w:val="0"/>
      <w:autoSpaceDN w:val="0"/>
      <w:adjustRightInd w:val="0"/>
      <w:spacing w:before="0" w:after="120" w:line="280" w:lineRule="atLeast"/>
      <w:jc w:val="left"/>
    </w:pPr>
    <w:rPr>
      <w:smallCaps/>
      <w:color w:val="373737" w:themeColor="text1"/>
      <w:sz w:val="44"/>
      <w:szCs w:val="52"/>
    </w:rPr>
  </w:style>
  <w:style w:type="paragraph" w:customStyle="1" w:styleId="Hlistbullet">
    <w:name w:val="H_list_bullet"/>
    <w:rsid w:val="00C42303"/>
    <w:pPr>
      <w:numPr>
        <w:numId w:val="2"/>
      </w:numPr>
      <w:spacing w:before="60" w:after="60" w:line="220" w:lineRule="atLeast"/>
      <w:ind w:left="567" w:hanging="567"/>
      <w:jc w:val="both"/>
    </w:pPr>
    <w:rPr>
      <w:rFonts w:ascii="Arial" w:hAnsi="Arial"/>
      <w:color w:val="373737" w:themeColor="text1"/>
    </w:rPr>
  </w:style>
  <w:style w:type="paragraph" w:customStyle="1" w:styleId="Hlistbullet2">
    <w:name w:val="H_list_bullet2"/>
    <w:basedOn w:val="Hlistbullet"/>
    <w:next w:val="HStandard"/>
    <w:rsid w:val="00735F08"/>
    <w:pPr>
      <w:numPr>
        <w:numId w:val="12"/>
      </w:numPr>
      <w:ind w:left="1134" w:hanging="567"/>
    </w:pPr>
  </w:style>
  <w:style w:type="paragraph" w:customStyle="1" w:styleId="Hlistabc">
    <w:name w:val="H_list_abc"/>
    <w:rsid w:val="00364BFD"/>
    <w:pPr>
      <w:numPr>
        <w:numId w:val="3"/>
      </w:numPr>
      <w:spacing w:before="60" w:after="60" w:line="220" w:lineRule="atLeast"/>
      <w:jc w:val="both"/>
    </w:pPr>
    <w:rPr>
      <w:rFonts w:ascii="Arial" w:hAnsi="Arial"/>
      <w:color w:val="373737" w:themeColor="text1"/>
    </w:rPr>
  </w:style>
  <w:style w:type="paragraph" w:customStyle="1" w:styleId="Hlistabc2">
    <w:name w:val="H_list_abc_2"/>
    <w:basedOn w:val="Hlistabc"/>
    <w:next w:val="HStandard"/>
    <w:rsid w:val="00801FF1"/>
    <w:pPr>
      <w:spacing w:after="140"/>
      <w:ind w:left="1134"/>
    </w:pPr>
  </w:style>
  <w:style w:type="paragraph" w:customStyle="1" w:styleId="HTitle1">
    <w:name w:val="H_Title1"/>
    <w:basedOn w:val="Normal"/>
    <w:rsid w:val="00364BFD"/>
    <w:pPr>
      <w:autoSpaceDE w:val="0"/>
      <w:autoSpaceDN w:val="0"/>
      <w:adjustRightInd w:val="0"/>
      <w:spacing w:before="0" w:after="120" w:line="280" w:lineRule="atLeast"/>
    </w:pPr>
    <w:rPr>
      <w:bCs/>
      <w:smallCaps/>
      <w:color w:val="F07E31" w:themeColor="accent1"/>
      <w:sz w:val="60"/>
      <w:szCs w:val="32"/>
    </w:rPr>
  </w:style>
  <w:style w:type="paragraph" w:customStyle="1" w:styleId="Autor">
    <w:name w:val="Autor"/>
    <w:basedOn w:val="Normal"/>
    <w:rsid w:val="00EE61BF"/>
    <w:pPr>
      <w:spacing w:before="0" w:after="0" w:line="280" w:lineRule="exact"/>
      <w:jc w:val="left"/>
    </w:pPr>
    <w:rPr>
      <w:sz w:val="20"/>
    </w:rPr>
  </w:style>
  <w:style w:type="paragraph" w:customStyle="1" w:styleId="HTitle3">
    <w:name w:val="H_Title3"/>
    <w:basedOn w:val="Autor"/>
    <w:rsid w:val="00364BFD"/>
    <w:rPr>
      <w:smallCaps/>
      <w:color w:val="373737" w:themeColor="text1"/>
      <w:sz w:val="28"/>
    </w:rPr>
  </w:style>
  <w:style w:type="paragraph" w:styleId="TOC1">
    <w:name w:val="toc 1"/>
    <w:next w:val="Normal"/>
    <w:uiPriority w:val="39"/>
    <w:rsid w:val="002807DC"/>
    <w:pPr>
      <w:tabs>
        <w:tab w:val="left" w:pos="454"/>
        <w:tab w:val="right" w:leader="dot" w:pos="9072"/>
      </w:tabs>
      <w:suppressAutoHyphens/>
      <w:spacing w:before="60" w:line="280" w:lineRule="exact"/>
      <w:ind w:left="454" w:hanging="454"/>
    </w:pPr>
    <w:rPr>
      <w:rFonts w:ascii="Arial" w:hAnsi="Arial"/>
      <w:noProof/>
      <w:color w:val="373737" w:themeColor="text1"/>
    </w:rPr>
  </w:style>
  <w:style w:type="paragraph" w:styleId="TOC3">
    <w:name w:val="toc 3"/>
    <w:next w:val="Normal"/>
    <w:uiPriority w:val="39"/>
    <w:rsid w:val="00364BFD"/>
    <w:pPr>
      <w:tabs>
        <w:tab w:val="left" w:pos="1021"/>
        <w:tab w:val="right" w:leader="dot" w:pos="9072"/>
      </w:tabs>
      <w:suppressAutoHyphens/>
      <w:spacing w:before="60" w:line="280" w:lineRule="exact"/>
      <w:ind w:left="1021" w:hanging="567"/>
    </w:pPr>
    <w:rPr>
      <w:rFonts w:ascii="Arial" w:hAnsi="Arial"/>
      <w:color w:val="373737" w:themeColor="text1"/>
      <w:sz w:val="18"/>
    </w:rPr>
  </w:style>
  <w:style w:type="paragraph" w:customStyle="1" w:styleId="Fuzeilequerformat">
    <w:name w:val="Fußzeile_querformat"/>
    <w:basedOn w:val="Footer"/>
    <w:rsid w:val="00EE61BF"/>
    <w:pPr>
      <w:tabs>
        <w:tab w:val="clear" w:pos="8618"/>
        <w:tab w:val="right" w:pos="12871"/>
      </w:tabs>
    </w:pPr>
  </w:style>
  <w:style w:type="paragraph" w:styleId="TableofFigures">
    <w:name w:val="table of figures"/>
    <w:next w:val="HStandard"/>
    <w:uiPriority w:val="99"/>
    <w:rsid w:val="000B6372"/>
    <w:pPr>
      <w:tabs>
        <w:tab w:val="left" w:pos="851"/>
        <w:tab w:val="right" w:leader="dot" w:pos="7711"/>
      </w:tabs>
      <w:suppressAutoHyphens/>
      <w:spacing w:before="60" w:line="280" w:lineRule="exact"/>
      <w:ind w:left="851" w:right="284" w:hanging="851"/>
    </w:pPr>
    <w:rPr>
      <w:rFonts w:ascii="Arial" w:hAnsi="Arial"/>
      <w:color w:val="373737" w:themeColor="text1"/>
    </w:rPr>
  </w:style>
  <w:style w:type="paragraph" w:customStyle="1" w:styleId="Hlistline3">
    <w:name w:val="H_list_line3"/>
    <w:rsid w:val="00BD09F4"/>
    <w:pPr>
      <w:numPr>
        <w:numId w:val="4"/>
      </w:numPr>
      <w:spacing w:before="60" w:after="60" w:line="220" w:lineRule="atLeast"/>
      <w:ind w:left="851" w:hanging="284"/>
    </w:pPr>
    <w:rPr>
      <w:rFonts w:ascii="Arial" w:hAnsi="Arial"/>
      <w:color w:val="373737" w:themeColor="text1"/>
    </w:rPr>
  </w:style>
  <w:style w:type="paragraph" w:customStyle="1" w:styleId="Hlistline4">
    <w:name w:val="H_list_line4"/>
    <w:basedOn w:val="Hlistline3"/>
    <w:next w:val="HStandard"/>
    <w:rsid w:val="00BD09F4"/>
    <w:pPr>
      <w:ind w:left="1135"/>
    </w:pPr>
  </w:style>
  <w:style w:type="paragraph" w:customStyle="1" w:styleId="HSource">
    <w:name w:val="H_Source"/>
    <w:next w:val="HStandard"/>
    <w:rsid w:val="008D52EA"/>
    <w:pPr>
      <w:suppressAutoHyphens/>
      <w:spacing w:before="60" w:after="60"/>
      <w:jc w:val="center"/>
    </w:pPr>
    <w:rPr>
      <w:rFonts w:ascii="Arial" w:hAnsi="Arial"/>
      <w:i/>
      <w:color w:val="373737"/>
      <w:sz w:val="16"/>
    </w:rPr>
  </w:style>
  <w:style w:type="paragraph" w:customStyle="1" w:styleId="Htableleft">
    <w:name w:val="H_table_left"/>
    <w:rsid w:val="00BD09F4"/>
    <w:pPr>
      <w:suppressAutoHyphens/>
      <w:spacing w:before="40" w:after="40"/>
    </w:pPr>
    <w:rPr>
      <w:rFonts w:ascii="Arial" w:hAnsi="Arial"/>
      <w:color w:val="373737" w:themeColor="text1"/>
      <w:sz w:val="18"/>
    </w:rPr>
  </w:style>
  <w:style w:type="paragraph" w:customStyle="1" w:styleId="Htablecentered">
    <w:name w:val="H_table_centered"/>
    <w:basedOn w:val="Htableleft"/>
    <w:rsid w:val="00EE61BF"/>
    <w:pPr>
      <w:jc w:val="center"/>
    </w:pPr>
  </w:style>
  <w:style w:type="paragraph" w:customStyle="1" w:styleId="Htableleftbolt">
    <w:name w:val="H_table_left_bolt"/>
    <w:basedOn w:val="Htableleft"/>
    <w:rsid w:val="00EE61BF"/>
    <w:rPr>
      <w:b/>
      <w:color w:val="FFFFFF" w:themeColor="background1"/>
    </w:rPr>
  </w:style>
  <w:style w:type="paragraph" w:customStyle="1" w:styleId="Htablecenteredbolt">
    <w:name w:val="H_table_centered_bolt"/>
    <w:basedOn w:val="Htablecentered"/>
    <w:rsid w:val="00BD09F4"/>
    <w:rPr>
      <w:b/>
      <w:color w:val="FFFFFF"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0D3DB8"/>
    <w:pPr>
      <w:spacing w:line="180" w:lineRule="exact"/>
      <w:ind w:left="170" w:hanging="170"/>
      <w:jc w:val="both"/>
    </w:pPr>
    <w:rPr>
      <w:rFonts w:ascii="Arial" w:hAnsi="Arial"/>
      <w:color w:val="808080"/>
      <w:sz w:val="16"/>
    </w:rPr>
  </w:style>
  <w:style w:type="paragraph" w:customStyle="1" w:styleId="Htablebullet">
    <w:name w:val="H_table_bullet"/>
    <w:basedOn w:val="Htableleft"/>
    <w:rsid w:val="00BD09F4"/>
    <w:pPr>
      <w:numPr>
        <w:numId w:val="5"/>
      </w:numPr>
      <w:ind w:left="170" w:hanging="170"/>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sid w:val="00364BFD"/>
    <w:rPr>
      <w:rFonts w:ascii="Arial" w:hAnsi="Arial"/>
      <w:i/>
      <w:dstrike w:val="0"/>
      <w:color w:val="373737" w:themeColor="text1"/>
      <w:position w:val="6"/>
      <w:sz w:val="12"/>
      <w:vertAlign w:val="baseline"/>
      <w:lang w:val="sl-SI"/>
    </w:rPr>
  </w:style>
  <w:style w:type="paragraph" w:customStyle="1" w:styleId="HContent">
    <w:name w:val="H_Content"/>
    <w:basedOn w:val="Heading1"/>
    <w:next w:val="HStandard"/>
    <w:rsid w:val="00364BFD"/>
    <w:pPr>
      <w:pageBreakBefore/>
      <w:framePr w:hSpace="0" w:vSpace="0" w:wrap="auto" w:vAnchor="margin" w:hAnchor="text" w:yAlign="inline"/>
      <w:numPr>
        <w:numId w:val="0"/>
      </w:numPr>
      <w:pBdr>
        <w:left w:val="none" w:sz="0" w:space="0" w:color="auto"/>
      </w:pBdr>
      <w:spacing w:before="360" w:after="360" w:line="280" w:lineRule="atLeast"/>
    </w:pPr>
    <w:rPr>
      <w:caps/>
      <w:color w:val="F07E31" w:themeColor="accent1"/>
      <w:sz w:val="20"/>
    </w:rPr>
  </w:style>
  <w:style w:type="paragraph" w:customStyle="1" w:styleId="HHeading1">
    <w:name w:val="H_Heading 1"/>
    <w:next w:val="HStandard"/>
    <w:rsid w:val="008D52EA"/>
    <w:pPr>
      <w:keepNext/>
      <w:keepLines/>
      <w:pageBreakBefore/>
      <w:numPr>
        <w:numId w:val="6"/>
      </w:numPr>
      <w:tabs>
        <w:tab w:val="left" w:pos="567"/>
      </w:tabs>
      <w:spacing w:before="360" w:after="360" w:line="280" w:lineRule="atLeast"/>
      <w:ind w:left="567" w:hanging="567"/>
      <w:outlineLvl w:val="0"/>
    </w:pPr>
    <w:rPr>
      <w:rFonts w:ascii="Arial" w:hAnsi="Arial"/>
      <w:b/>
      <w:caps/>
      <w:color w:val="F07E31" w:themeColor="accent1"/>
    </w:rPr>
  </w:style>
  <w:style w:type="paragraph" w:customStyle="1" w:styleId="HHeading2">
    <w:name w:val="H_Heading 2"/>
    <w:next w:val="HStandard"/>
    <w:rsid w:val="007B4B9E"/>
    <w:pPr>
      <w:keepNext/>
      <w:keepLines/>
      <w:numPr>
        <w:ilvl w:val="1"/>
        <w:numId w:val="6"/>
      </w:numPr>
      <w:tabs>
        <w:tab w:val="left" w:pos="567"/>
      </w:tabs>
      <w:spacing w:before="240" w:after="140" w:line="260" w:lineRule="exact"/>
      <w:ind w:left="567" w:hanging="567"/>
      <w:outlineLvl w:val="1"/>
    </w:pPr>
    <w:rPr>
      <w:rFonts w:ascii="Arial" w:hAnsi="Arial"/>
      <w:b/>
      <w:color w:val="373737" w:themeColor="text1"/>
    </w:rPr>
  </w:style>
  <w:style w:type="paragraph" w:customStyle="1" w:styleId="HHeading3">
    <w:name w:val="H_Heading 3"/>
    <w:next w:val="HStandard"/>
    <w:rsid w:val="00B63445"/>
    <w:pPr>
      <w:keepNext/>
      <w:keepLines/>
      <w:numPr>
        <w:ilvl w:val="2"/>
        <w:numId w:val="6"/>
      </w:numPr>
      <w:tabs>
        <w:tab w:val="clear" w:pos="1146"/>
        <w:tab w:val="num" w:pos="709"/>
      </w:tabs>
      <w:spacing w:before="240" w:after="140" w:line="240" w:lineRule="exact"/>
      <w:ind w:left="709" w:hanging="709"/>
      <w:outlineLvl w:val="2"/>
    </w:pPr>
    <w:rPr>
      <w:rFonts w:ascii="Arial" w:hAnsi="Arial"/>
      <w:color w:val="F07E31" w:themeColor="accent1"/>
    </w:rPr>
  </w:style>
  <w:style w:type="paragraph" w:customStyle="1" w:styleId="HHeading4">
    <w:name w:val="H_Heading 4"/>
    <w:next w:val="HStandard"/>
    <w:rsid w:val="00364BFD"/>
    <w:pPr>
      <w:keepNext/>
      <w:keepLines/>
      <w:tabs>
        <w:tab w:val="left" w:pos="680"/>
      </w:tabs>
      <w:spacing w:before="240" w:after="240" w:line="280" w:lineRule="atLeast"/>
      <w:outlineLvl w:val="3"/>
    </w:pPr>
    <w:rPr>
      <w:rFonts w:ascii="Arial" w:hAnsi="Arial"/>
      <w:b/>
      <w:color w:val="57825E" w:themeColor="accent4"/>
    </w:rPr>
  </w:style>
  <w:style w:type="character" w:styleId="Hyperlink">
    <w:name w:val="Hyperlink"/>
    <w:basedOn w:val="DefaultParagraphFont"/>
    <w:uiPriority w:val="99"/>
    <w:rsid w:val="00BD09F4"/>
    <w:rPr>
      <w:rFonts w:ascii="Arial" w:hAnsi="Arial"/>
      <w:color w:val="F07E31"/>
      <w:sz w:val="20"/>
      <w:u w:val="single"/>
      <w:lang w:val="sl-SI"/>
    </w:rPr>
  </w:style>
  <w:style w:type="paragraph" w:customStyle="1" w:styleId="HStandard">
    <w:name w:val="H_Standard"/>
    <w:link w:val="HStandardCar"/>
    <w:rsid w:val="00364BFD"/>
    <w:pPr>
      <w:spacing w:after="120" w:line="280" w:lineRule="atLeast"/>
      <w:jc w:val="both"/>
    </w:pPr>
    <w:rPr>
      <w:rFonts w:ascii="Arial" w:hAnsi="Arial"/>
      <w:color w:val="373737" w:themeColor="text1"/>
    </w:rPr>
  </w:style>
  <w:style w:type="paragraph" w:styleId="DocumentMap">
    <w:name w:val="Document Map"/>
    <w:basedOn w:val="Normal"/>
    <w:semiHidden/>
    <w:rsid w:val="00E465E1"/>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6410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10C"/>
    <w:rPr>
      <w:rFonts w:ascii="Tahoma" w:hAnsi="Tahoma" w:cs="Tahoma"/>
      <w:sz w:val="16"/>
      <w:szCs w:val="16"/>
      <w:lang w:val="sl-SI"/>
    </w:rPr>
  </w:style>
  <w:style w:type="table" w:styleId="TableGrid">
    <w:name w:val="Table Grid"/>
    <w:basedOn w:val="TableNormal"/>
    <w:uiPriority w:val="3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BD09F4"/>
    <w:pPr>
      <w:numPr>
        <w:numId w:val="7"/>
      </w:numPr>
      <w:spacing w:before="200" w:after="140"/>
    </w:pPr>
    <w:rPr>
      <w:rFonts w:ascii="Arial" w:hAnsi="Arial"/>
      <w:b/>
      <w:color w:val="373737" w:themeColor="text1"/>
      <w:sz w:val="16"/>
    </w:rPr>
  </w:style>
  <w:style w:type="paragraph" w:customStyle="1" w:styleId="HHeadingfigures">
    <w:name w:val="H_Heading_figures"/>
    <w:basedOn w:val="HHeadingtables"/>
    <w:next w:val="HStandard"/>
    <w:qFormat/>
    <w:rsid w:val="00E52947"/>
    <w:pPr>
      <w:keepNext/>
      <w:keepLines/>
      <w:numPr>
        <w:numId w:val="22"/>
      </w:numPr>
      <w:spacing w:before="240"/>
    </w:pPr>
  </w:style>
  <w:style w:type="paragraph" w:customStyle="1" w:styleId="HHeadingmaps">
    <w:name w:val="H_Heading_maps"/>
    <w:basedOn w:val="HHeadingtables"/>
    <w:next w:val="HStandard"/>
    <w:qFormat/>
    <w:rsid w:val="005B4B85"/>
    <w:pPr>
      <w:keepNext/>
      <w:keepLines/>
      <w:numPr>
        <w:numId w:val="9"/>
      </w:numPr>
      <w:outlineLvl w:val="5"/>
    </w:pPr>
  </w:style>
  <w:style w:type="paragraph" w:customStyle="1" w:styleId="HHeadingboxes">
    <w:name w:val="H_Heading_boxes"/>
    <w:basedOn w:val="HHeadingtables"/>
    <w:next w:val="HStandard"/>
    <w:qFormat/>
    <w:rsid w:val="00BD09F4"/>
    <w:pPr>
      <w:numPr>
        <w:numId w:val="10"/>
      </w:numPr>
      <w:ind w:left="851" w:hanging="851"/>
    </w:pPr>
  </w:style>
  <w:style w:type="paragraph" w:customStyle="1" w:styleId="HBox">
    <w:name w:val="H_Box"/>
    <w:next w:val="HStandard"/>
    <w:qFormat/>
    <w:rsid w:val="00BD09F4"/>
    <w:pPr>
      <w:pBdr>
        <w:top w:val="single" w:sz="4" w:space="4" w:color="F07E31"/>
        <w:left w:val="single" w:sz="4" w:space="4" w:color="F07E31"/>
        <w:bottom w:val="single" w:sz="4" w:space="4" w:color="F07E31"/>
        <w:right w:val="single" w:sz="4" w:space="4" w:color="F07E31"/>
      </w:pBdr>
      <w:shd w:val="clear" w:color="auto" w:fill="FCE5D5"/>
      <w:jc w:val="both"/>
    </w:pPr>
    <w:rPr>
      <w:rFonts w:ascii="Arial" w:hAnsi="Arial"/>
      <w:color w:val="373737" w:themeColor="text1"/>
    </w:rPr>
  </w:style>
  <w:style w:type="paragraph" w:customStyle="1" w:styleId="HBoxbullet">
    <w:name w:val="H_Box_bullet"/>
    <w:next w:val="HStandard"/>
    <w:qFormat/>
    <w:rsid w:val="00BD09F4"/>
    <w:pPr>
      <w:numPr>
        <w:numId w:val="11"/>
      </w:numPr>
      <w:pBdr>
        <w:top w:val="single" w:sz="4" w:space="4" w:color="F07E31"/>
        <w:left w:val="single" w:sz="4" w:space="8" w:color="F07E31"/>
        <w:bottom w:val="single" w:sz="4" w:space="4" w:color="F07E31"/>
        <w:right w:val="single" w:sz="4" w:space="4" w:color="F07E31"/>
      </w:pBdr>
      <w:shd w:val="clear" w:color="auto" w:fill="FCE5D5" w:themeFill="accent1" w:themeFillTint="33"/>
      <w:ind w:left="363" w:hanging="284"/>
      <w:jc w:val="both"/>
    </w:pPr>
    <w:rPr>
      <w:rFonts w:ascii="Arial" w:hAnsi="Arial"/>
      <w:color w:val="373737" w:themeColor="text1"/>
    </w:rPr>
  </w:style>
  <w:style w:type="paragraph" w:customStyle="1" w:styleId="Hdisclaimer">
    <w:name w:val="H_disclaimer"/>
    <w:qFormat/>
    <w:rsid w:val="00364BFD"/>
    <w:pPr>
      <w:spacing w:after="120" w:line="280" w:lineRule="atLeast"/>
      <w:jc w:val="both"/>
    </w:pPr>
    <w:rPr>
      <w:rFonts w:ascii="Arial" w:hAnsi="Arial" w:cs="Arial"/>
      <w:color w:val="373737" w:themeColor="text1"/>
      <w:sz w:val="18"/>
      <w:szCs w:val="18"/>
    </w:rPr>
  </w:style>
  <w:style w:type="paragraph" w:styleId="EndnoteText">
    <w:name w:val="endnote text"/>
    <w:basedOn w:val="Normal"/>
    <w:link w:val="EndnoteTextChar"/>
    <w:uiPriority w:val="99"/>
    <w:semiHidden/>
    <w:unhideWhenUsed/>
    <w:rsid w:val="00F1521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15219"/>
    <w:rPr>
      <w:rFonts w:ascii="Arial" w:hAnsi="Arial"/>
      <w:lang w:val="sl-SI"/>
    </w:rPr>
  </w:style>
  <w:style w:type="character" w:styleId="EndnoteReference">
    <w:name w:val="endnote reference"/>
    <w:basedOn w:val="DefaultParagraphFont"/>
    <w:uiPriority w:val="99"/>
    <w:semiHidden/>
    <w:unhideWhenUsed/>
    <w:rsid w:val="00F15219"/>
    <w:rPr>
      <w:vertAlign w:val="superscript"/>
    </w:rPr>
  </w:style>
  <w:style w:type="character" w:styleId="CommentReference">
    <w:name w:val="annotation reference"/>
    <w:basedOn w:val="DefaultParagraphFont"/>
    <w:uiPriority w:val="99"/>
    <w:semiHidden/>
    <w:unhideWhenUsed/>
    <w:rsid w:val="006C1066"/>
    <w:rPr>
      <w:sz w:val="16"/>
      <w:szCs w:val="16"/>
    </w:rPr>
  </w:style>
  <w:style w:type="paragraph" w:styleId="CommentText">
    <w:name w:val="annotation text"/>
    <w:basedOn w:val="Normal"/>
    <w:link w:val="CommentTextChar"/>
    <w:uiPriority w:val="99"/>
    <w:unhideWhenUsed/>
    <w:rsid w:val="006C1066"/>
    <w:pPr>
      <w:spacing w:line="240" w:lineRule="auto"/>
    </w:pPr>
    <w:rPr>
      <w:sz w:val="20"/>
      <w:szCs w:val="20"/>
    </w:rPr>
  </w:style>
  <w:style w:type="character" w:customStyle="1" w:styleId="CommentTextChar">
    <w:name w:val="Comment Text Char"/>
    <w:basedOn w:val="DefaultParagraphFont"/>
    <w:link w:val="CommentText"/>
    <w:uiPriority w:val="99"/>
    <w:rsid w:val="006C1066"/>
    <w:rPr>
      <w:rFonts w:ascii="Arial" w:hAnsi="Arial"/>
      <w:lang w:val="sl-SI"/>
    </w:rPr>
  </w:style>
  <w:style w:type="paragraph" w:styleId="CommentSubject">
    <w:name w:val="annotation subject"/>
    <w:basedOn w:val="CommentText"/>
    <w:next w:val="CommentText"/>
    <w:link w:val="CommentSubjectChar"/>
    <w:uiPriority w:val="99"/>
    <w:semiHidden/>
    <w:unhideWhenUsed/>
    <w:rsid w:val="006C1066"/>
    <w:rPr>
      <w:b/>
      <w:bCs/>
    </w:rPr>
  </w:style>
  <w:style w:type="character" w:customStyle="1" w:styleId="CommentSubjectChar">
    <w:name w:val="Comment Subject Char"/>
    <w:basedOn w:val="CommentTextChar"/>
    <w:link w:val="CommentSubject"/>
    <w:uiPriority w:val="99"/>
    <w:semiHidden/>
    <w:rsid w:val="006C1066"/>
    <w:rPr>
      <w:rFonts w:ascii="Arial" w:hAnsi="Arial"/>
      <w:b/>
      <w:bCs/>
      <w:lang w:val="sl-SI"/>
    </w:rPr>
  </w:style>
  <w:style w:type="paragraph" w:styleId="ListParagraph">
    <w:name w:val="List Paragraph"/>
    <w:basedOn w:val="Normal"/>
    <w:uiPriority w:val="34"/>
    <w:qFormat/>
    <w:rsid w:val="00CD63F6"/>
    <w:pPr>
      <w:spacing w:before="0" w:after="160" w:line="259" w:lineRule="auto"/>
      <w:ind w:left="720"/>
      <w:contextualSpacing/>
      <w:jc w:val="left"/>
    </w:pPr>
    <w:rPr>
      <w:rFonts w:asciiTheme="minorHAnsi" w:eastAsiaTheme="minorHAnsi" w:hAnsiTheme="minorHAnsi" w:cstheme="minorBidi"/>
      <w:sz w:val="22"/>
      <w:szCs w:val="22"/>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0D3DB8"/>
    <w:rPr>
      <w:rFonts w:ascii="Arial" w:hAnsi="Arial"/>
      <w:color w:val="808080"/>
      <w:sz w:val="16"/>
      <w:lang w:val="sl-SI"/>
    </w:rPr>
  </w:style>
  <w:style w:type="paragraph" w:styleId="Title">
    <w:name w:val="Title"/>
    <w:basedOn w:val="Normal"/>
    <w:next w:val="Normal"/>
    <w:link w:val="TitleChar"/>
    <w:uiPriority w:val="10"/>
    <w:qFormat/>
    <w:rsid w:val="00CD63F6"/>
    <w:pPr>
      <w:spacing w:before="0"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63F6"/>
    <w:rPr>
      <w:rFonts w:asciiTheme="majorHAnsi" w:eastAsiaTheme="majorEastAsia" w:hAnsiTheme="majorHAnsi" w:cstheme="majorBidi"/>
      <w:spacing w:val="-10"/>
      <w:kern w:val="28"/>
      <w:sz w:val="56"/>
      <w:szCs w:val="56"/>
      <w:lang w:val="sl-SI" w:eastAsia="sl-SI"/>
    </w:rPr>
  </w:style>
  <w:style w:type="paragraph" w:customStyle="1" w:styleId="CM1">
    <w:name w:val="CM1"/>
    <w:basedOn w:val="Normal"/>
    <w:next w:val="Normal"/>
    <w:uiPriority w:val="99"/>
    <w:rsid w:val="001C2076"/>
    <w:pPr>
      <w:autoSpaceDE w:val="0"/>
      <w:autoSpaceDN w:val="0"/>
      <w:adjustRightInd w:val="0"/>
      <w:spacing w:before="0" w:after="0" w:line="240" w:lineRule="auto"/>
      <w:jc w:val="left"/>
    </w:pPr>
    <w:rPr>
      <w:rFonts w:ascii="EUAlbertina" w:eastAsiaTheme="minorHAnsi" w:hAnsi="EUAlbertina" w:cstheme="minorBidi"/>
      <w:sz w:val="24"/>
    </w:rPr>
  </w:style>
  <w:style w:type="paragraph" w:styleId="Caption">
    <w:name w:val="caption"/>
    <w:basedOn w:val="Normal"/>
    <w:next w:val="Normal"/>
    <w:uiPriority w:val="35"/>
    <w:unhideWhenUsed/>
    <w:qFormat/>
    <w:rsid w:val="001C2076"/>
    <w:pPr>
      <w:spacing w:before="0" w:after="200" w:line="240" w:lineRule="auto"/>
      <w:jc w:val="left"/>
    </w:pPr>
    <w:rPr>
      <w:rFonts w:asciiTheme="minorHAnsi" w:eastAsiaTheme="minorHAnsi" w:hAnsiTheme="minorHAnsi" w:cstheme="minorBidi"/>
      <w:i/>
      <w:iCs/>
      <w:color w:val="373737" w:themeColor="text2"/>
      <w:szCs w:val="18"/>
    </w:rPr>
  </w:style>
  <w:style w:type="table" w:customStyle="1" w:styleId="Tabukasmriekou5tmavzvraznenie61">
    <w:name w:val="Tabuľka s mriežkou 5 – tmavá – zvýraznenie 61"/>
    <w:basedOn w:val="TableNormal"/>
    <w:uiPriority w:val="50"/>
    <w:rsid w:val="00932C3E"/>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E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BAB8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BAB8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BAB8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BAB80" w:themeFill="accent6"/>
      </w:tcPr>
    </w:tblStylePr>
    <w:tblStylePr w:type="band1Vert">
      <w:tblPr/>
      <w:tcPr>
        <w:shd w:val="clear" w:color="auto" w:fill="D0DDCC" w:themeFill="accent6" w:themeFillTint="66"/>
      </w:tcPr>
    </w:tblStylePr>
    <w:tblStylePr w:type="band1Horz">
      <w:tblPr/>
      <w:tcPr>
        <w:shd w:val="clear" w:color="auto" w:fill="D0DDCC" w:themeFill="accent6" w:themeFillTint="66"/>
      </w:tcPr>
    </w:tblStylePr>
  </w:style>
  <w:style w:type="character" w:customStyle="1" w:styleId="FooterChar">
    <w:name w:val="Footer Char"/>
    <w:basedOn w:val="DefaultParagraphFont"/>
    <w:link w:val="Footer"/>
    <w:uiPriority w:val="99"/>
    <w:rsid w:val="00D52AFB"/>
    <w:rPr>
      <w:rFonts w:ascii="Arial" w:hAnsi="Arial"/>
      <w:color w:val="373737"/>
      <w:sz w:val="22"/>
      <w:lang w:val="sl-SI"/>
    </w:rPr>
  </w:style>
  <w:style w:type="paragraph" w:styleId="Revision">
    <w:name w:val="Revision"/>
    <w:hidden/>
    <w:uiPriority w:val="99"/>
    <w:semiHidden/>
    <w:rsid w:val="003B25C7"/>
    <w:rPr>
      <w:rFonts w:ascii="Arial" w:hAnsi="Arial"/>
      <w:sz w:val="18"/>
      <w:szCs w:val="24"/>
    </w:rPr>
  </w:style>
  <w:style w:type="paragraph" w:customStyle="1" w:styleId="Pavpage3">
    <w:name w:val="Pavé page 3"/>
    <w:basedOn w:val="Normal"/>
    <w:qFormat/>
    <w:rsid w:val="003C228A"/>
    <w:pPr>
      <w:spacing w:before="0" w:after="120" w:line="280" w:lineRule="atLeast"/>
      <w:jc w:val="left"/>
    </w:pPr>
    <w:rPr>
      <w:rFonts w:ascii="Helvetica" w:hAnsi="Helvetica" w:cs="Arial"/>
      <w:smallCaps/>
      <w:color w:val="DF6532"/>
      <w:sz w:val="44"/>
      <w:szCs w:val="44"/>
    </w:rPr>
  </w:style>
  <w:style w:type="character" w:styleId="FollowedHyperlink">
    <w:name w:val="FollowedHyperlink"/>
    <w:basedOn w:val="DefaultParagraphFont"/>
    <w:uiPriority w:val="99"/>
    <w:semiHidden/>
    <w:unhideWhenUsed/>
    <w:rsid w:val="00810ED5"/>
    <w:rPr>
      <w:color w:val="F07E31" w:themeColor="followedHyperlink"/>
      <w:u w:val="single"/>
    </w:rPr>
  </w:style>
  <w:style w:type="character" w:customStyle="1" w:styleId="shorttext">
    <w:name w:val="short_text"/>
    <w:basedOn w:val="DefaultParagraphFont"/>
    <w:rsid w:val="00190D63"/>
  </w:style>
  <w:style w:type="character" w:styleId="Emphasis">
    <w:name w:val="Emphasis"/>
    <w:basedOn w:val="DefaultParagraphFont"/>
    <w:uiPriority w:val="20"/>
    <w:qFormat/>
    <w:rsid w:val="00744BAA"/>
    <w:rPr>
      <w:i/>
      <w:iCs/>
    </w:rPr>
  </w:style>
  <w:style w:type="paragraph" w:styleId="HTMLPreformatted">
    <w:name w:val="HTML Preformatted"/>
    <w:basedOn w:val="Normal"/>
    <w:link w:val="HTMLPreformattedChar"/>
    <w:uiPriority w:val="99"/>
    <w:semiHidden/>
    <w:unhideWhenUsed/>
    <w:rsid w:val="00C36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36C67"/>
    <w:rPr>
      <w:rFonts w:ascii="Courier New" w:hAnsi="Courier New" w:cs="Courier New"/>
      <w:lang w:val="sl-SI" w:eastAsia="sl-SI"/>
    </w:rPr>
  </w:style>
  <w:style w:type="character" w:customStyle="1" w:styleId="NichtaufgelsteErwhnung1">
    <w:name w:val="Nicht aufgelöste Erwähnung1"/>
    <w:basedOn w:val="DefaultParagraphFont"/>
    <w:uiPriority w:val="99"/>
    <w:semiHidden/>
    <w:unhideWhenUsed/>
    <w:rsid w:val="005B75BD"/>
    <w:rPr>
      <w:color w:val="808080"/>
      <w:shd w:val="clear" w:color="auto" w:fill="E6E6E6"/>
    </w:rPr>
  </w:style>
  <w:style w:type="character" w:customStyle="1" w:styleId="UnresolvedMention1">
    <w:name w:val="Unresolved Mention1"/>
    <w:basedOn w:val="DefaultParagraphFont"/>
    <w:uiPriority w:val="99"/>
    <w:semiHidden/>
    <w:unhideWhenUsed/>
    <w:rsid w:val="001D32F7"/>
    <w:rPr>
      <w:color w:val="808080"/>
      <w:shd w:val="clear" w:color="auto" w:fill="E6E6E6"/>
    </w:rPr>
  </w:style>
  <w:style w:type="paragraph" w:customStyle="1" w:styleId="Normal12PTcouleurgris">
    <w:name w:val="Normal + 12PT couleur gris"/>
    <w:basedOn w:val="Normal"/>
    <w:qFormat/>
    <w:rsid w:val="00041A27"/>
    <w:pPr>
      <w:spacing w:before="0" w:after="0" w:line="259" w:lineRule="auto"/>
    </w:pPr>
    <w:rPr>
      <w:rFonts w:eastAsiaTheme="minorHAnsi" w:cs="Arial"/>
      <w:color w:val="6F6F6F"/>
      <w:sz w:val="24"/>
      <w:szCs w:val="18"/>
    </w:rPr>
  </w:style>
  <w:style w:type="table" w:customStyle="1" w:styleId="11">
    <w:name w:val="Πίνακας 1 με ανοιχτόχρωμο πλέγμα1"/>
    <w:basedOn w:val="TableNormal"/>
    <w:uiPriority w:val="46"/>
    <w:rsid w:val="00C1242D"/>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numbering" w:customStyle="1" w:styleId="1">
    <w:name w:val="Στυλ1"/>
    <w:uiPriority w:val="99"/>
    <w:rsid w:val="00801FF1"/>
    <w:pPr>
      <w:numPr>
        <w:numId w:val="15"/>
      </w:numPr>
    </w:pPr>
  </w:style>
  <w:style w:type="table" w:customStyle="1" w:styleId="Tabukasmriekou1svetl1">
    <w:name w:val="Tabuľka s mriežkou 1 – svetlá1"/>
    <w:basedOn w:val="TableNormal"/>
    <w:uiPriority w:val="46"/>
    <w:rsid w:val="00B25279"/>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paragraph" w:customStyle="1" w:styleId="H-Titre2">
    <w:name w:val="H-Titre 2"/>
    <w:basedOn w:val="Normal"/>
    <w:qFormat/>
    <w:rsid w:val="0004609A"/>
    <w:pPr>
      <w:spacing w:before="0" w:after="120" w:line="280" w:lineRule="atLeast"/>
      <w:jc w:val="left"/>
    </w:pPr>
    <w:rPr>
      <w:rFonts w:cs="Arial"/>
      <w:b/>
      <w:bCs/>
      <w:color w:val="FFFFFF" w:themeColor="background2"/>
      <w:szCs w:val="44"/>
    </w:rPr>
  </w:style>
  <w:style w:type="paragraph" w:customStyle="1" w:styleId="H-Titre1">
    <w:name w:val="H-Titre 1"/>
    <w:basedOn w:val="Normal"/>
    <w:qFormat/>
    <w:rsid w:val="00BC03B8"/>
    <w:pPr>
      <w:spacing w:before="0" w:after="120" w:line="280" w:lineRule="atLeast"/>
      <w:jc w:val="left"/>
    </w:pPr>
    <w:rPr>
      <w:rFonts w:cs="Arial"/>
      <w:b/>
      <w:color w:val="373737" w:themeColor="text1"/>
      <w:szCs w:val="60"/>
    </w:rPr>
  </w:style>
  <w:style w:type="paragraph" w:styleId="NormalWeb">
    <w:name w:val="Normal (Web)"/>
    <w:basedOn w:val="Normal"/>
    <w:uiPriority w:val="99"/>
    <w:unhideWhenUsed/>
    <w:rsid w:val="00BB68D4"/>
    <w:pPr>
      <w:spacing w:before="100" w:beforeAutospacing="1" w:after="100" w:afterAutospacing="1" w:line="240" w:lineRule="auto"/>
      <w:jc w:val="left"/>
    </w:pPr>
    <w:rPr>
      <w:rFonts w:ascii="Times New Roman" w:eastAsiaTheme="minorHAnsi" w:hAnsi="Times New Roman"/>
      <w:sz w:val="24"/>
    </w:rPr>
  </w:style>
  <w:style w:type="paragraph" w:styleId="Subtitle">
    <w:name w:val="Subtitle"/>
    <w:basedOn w:val="Normal"/>
    <w:link w:val="SubtitleChar"/>
    <w:uiPriority w:val="11"/>
    <w:qFormat/>
    <w:rsid w:val="00C008A4"/>
    <w:pPr>
      <w:numPr>
        <w:numId w:val="19"/>
      </w:numPr>
      <w:spacing w:before="120" w:after="120" w:line="280" w:lineRule="atLeast"/>
      <w:outlineLvl w:val="1"/>
    </w:pPr>
    <w:rPr>
      <w:b/>
      <w:sz w:val="16"/>
      <w:szCs w:val="16"/>
    </w:rPr>
  </w:style>
  <w:style w:type="character" w:customStyle="1" w:styleId="SubtitleChar">
    <w:name w:val="Subtitle Char"/>
    <w:basedOn w:val="DefaultParagraphFont"/>
    <w:link w:val="Subtitle"/>
    <w:uiPriority w:val="11"/>
    <w:rsid w:val="00C008A4"/>
    <w:rPr>
      <w:rFonts w:ascii="Arial" w:hAnsi="Arial"/>
      <w:b/>
      <w:sz w:val="16"/>
      <w:szCs w:val="16"/>
      <w:lang w:val="sl-SI"/>
    </w:rPr>
  </w:style>
  <w:style w:type="character" w:customStyle="1" w:styleId="Heading4Char2Char1">
    <w:name w:val="Heading 4 Char2 Char1"/>
    <w:basedOn w:val="DefaultParagraphFont"/>
    <w:uiPriority w:val="99"/>
    <w:rsid w:val="00123367"/>
    <w:rPr>
      <w:rFonts w:ascii="Arial" w:hAnsi="Arial"/>
      <w:i/>
      <w:dstrike w:val="0"/>
      <w:color w:val="373737"/>
      <w:position w:val="6"/>
      <w:sz w:val="12"/>
      <w:vertAlign w:val="baseline"/>
      <w:lang w:val="sl-SI"/>
    </w:rPr>
  </w:style>
  <w:style w:type="character" w:styleId="Strong">
    <w:name w:val="Strong"/>
    <w:basedOn w:val="DefaultParagraphFont"/>
    <w:uiPriority w:val="22"/>
    <w:qFormat/>
    <w:rsid w:val="00753F39"/>
    <w:rPr>
      <w:b/>
      <w:bCs/>
    </w:rPr>
  </w:style>
  <w:style w:type="table" w:customStyle="1" w:styleId="Mriekatabuky1">
    <w:name w:val="Mriežka tabuľky1"/>
    <w:basedOn w:val="TableNormal"/>
    <w:next w:val="TableGrid"/>
    <w:uiPriority w:val="39"/>
    <w:rsid w:val="00D12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TableNormal"/>
    <w:next w:val="TableGrid"/>
    <w:uiPriority w:val="39"/>
    <w:rsid w:val="009B2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TableNormal"/>
    <w:next w:val="TableGrid"/>
    <w:uiPriority w:val="39"/>
    <w:rsid w:val="00676E1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TableNormal"/>
    <w:next w:val="TableGrid"/>
    <w:uiPriority w:val="39"/>
    <w:rsid w:val="00546E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DefaultParagraphFont"/>
    <w:uiPriority w:val="99"/>
    <w:semiHidden/>
    <w:unhideWhenUsed/>
    <w:rsid w:val="00E828C2"/>
    <w:rPr>
      <w:color w:val="808080"/>
      <w:shd w:val="clear" w:color="auto" w:fill="E6E6E6"/>
    </w:rPr>
  </w:style>
  <w:style w:type="table" w:customStyle="1" w:styleId="Tabukasmriekou5tmavzvraznenie11">
    <w:name w:val="Tabuľka s mriežkou 5 – tmavá – zvýraznenie 11"/>
    <w:basedOn w:val="TableNormal"/>
    <w:uiPriority w:val="50"/>
    <w:rsid w:val="0036599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5D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E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E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E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E31" w:themeFill="accent1"/>
      </w:tcPr>
    </w:tblStylePr>
    <w:tblStylePr w:type="band1Vert">
      <w:tblPr/>
      <w:tcPr>
        <w:shd w:val="clear" w:color="auto" w:fill="F9CBAC" w:themeFill="accent1" w:themeFillTint="66"/>
      </w:tcPr>
    </w:tblStylePr>
    <w:tblStylePr w:type="band1Horz">
      <w:tblPr/>
      <w:tcPr>
        <w:shd w:val="clear" w:color="auto" w:fill="F9CBAC" w:themeFill="accent1" w:themeFillTint="66"/>
      </w:tcPr>
    </w:tblStylePr>
  </w:style>
  <w:style w:type="character" w:styleId="PlaceholderText">
    <w:name w:val="Placeholder Text"/>
    <w:basedOn w:val="DefaultParagraphFont"/>
    <w:uiPriority w:val="99"/>
    <w:semiHidden/>
    <w:rsid w:val="00C2385E"/>
    <w:rPr>
      <w:color w:val="808080"/>
    </w:rPr>
  </w:style>
  <w:style w:type="character" w:customStyle="1" w:styleId="NichtaufgelsteErwhnung3">
    <w:name w:val="Nicht aufgelöste Erwähnung3"/>
    <w:basedOn w:val="DefaultParagraphFont"/>
    <w:uiPriority w:val="99"/>
    <w:semiHidden/>
    <w:unhideWhenUsed/>
    <w:rsid w:val="00F83CA0"/>
    <w:rPr>
      <w:color w:val="808080"/>
      <w:shd w:val="clear" w:color="auto" w:fill="E6E6E6"/>
    </w:rPr>
  </w:style>
  <w:style w:type="character" w:customStyle="1" w:styleId="NichtaufgelsteErwhnung4">
    <w:name w:val="Nicht aufgelöste Erwähnung4"/>
    <w:basedOn w:val="DefaultParagraphFont"/>
    <w:uiPriority w:val="99"/>
    <w:semiHidden/>
    <w:unhideWhenUsed/>
    <w:rsid w:val="00CD220A"/>
    <w:rPr>
      <w:color w:val="808080"/>
      <w:shd w:val="clear" w:color="auto" w:fill="E6E6E6"/>
    </w:rPr>
  </w:style>
  <w:style w:type="character" w:customStyle="1" w:styleId="HStandardCar">
    <w:name w:val="H_Standard Car"/>
    <w:basedOn w:val="DefaultParagraphFont"/>
    <w:link w:val="HStandard"/>
    <w:rsid w:val="00BB6B80"/>
    <w:rPr>
      <w:rFonts w:ascii="Arial" w:hAnsi="Arial"/>
      <w:color w:val="373737" w:themeColor="text1"/>
      <w:lang w:val="sl-SI"/>
    </w:rPr>
  </w:style>
  <w:style w:type="character" w:customStyle="1" w:styleId="UnresolvedMention2">
    <w:name w:val="Unresolved Mention2"/>
    <w:basedOn w:val="DefaultParagraphFont"/>
    <w:uiPriority w:val="99"/>
    <w:semiHidden/>
    <w:unhideWhenUsed/>
    <w:rsid w:val="00B508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125483">
      <w:bodyDiv w:val="1"/>
      <w:marLeft w:val="0"/>
      <w:marRight w:val="0"/>
      <w:marTop w:val="0"/>
      <w:marBottom w:val="0"/>
      <w:divBdr>
        <w:top w:val="none" w:sz="0" w:space="0" w:color="auto"/>
        <w:left w:val="none" w:sz="0" w:space="0" w:color="auto"/>
        <w:bottom w:val="none" w:sz="0" w:space="0" w:color="auto"/>
        <w:right w:val="none" w:sz="0" w:space="0" w:color="auto"/>
      </w:divBdr>
    </w:div>
    <w:div w:id="293565826">
      <w:bodyDiv w:val="1"/>
      <w:marLeft w:val="0"/>
      <w:marRight w:val="0"/>
      <w:marTop w:val="0"/>
      <w:marBottom w:val="0"/>
      <w:divBdr>
        <w:top w:val="none" w:sz="0" w:space="0" w:color="auto"/>
        <w:left w:val="none" w:sz="0" w:space="0" w:color="auto"/>
        <w:bottom w:val="none" w:sz="0" w:space="0" w:color="auto"/>
        <w:right w:val="none" w:sz="0" w:space="0" w:color="auto"/>
      </w:divBdr>
    </w:div>
    <w:div w:id="419108821">
      <w:bodyDiv w:val="1"/>
      <w:marLeft w:val="0"/>
      <w:marRight w:val="0"/>
      <w:marTop w:val="0"/>
      <w:marBottom w:val="0"/>
      <w:divBdr>
        <w:top w:val="none" w:sz="0" w:space="0" w:color="auto"/>
        <w:left w:val="none" w:sz="0" w:space="0" w:color="auto"/>
        <w:bottom w:val="none" w:sz="0" w:space="0" w:color="auto"/>
        <w:right w:val="none" w:sz="0" w:space="0" w:color="auto"/>
      </w:divBdr>
    </w:div>
    <w:div w:id="561716645">
      <w:bodyDiv w:val="1"/>
      <w:marLeft w:val="0"/>
      <w:marRight w:val="0"/>
      <w:marTop w:val="0"/>
      <w:marBottom w:val="0"/>
      <w:divBdr>
        <w:top w:val="none" w:sz="0" w:space="0" w:color="auto"/>
        <w:left w:val="none" w:sz="0" w:space="0" w:color="auto"/>
        <w:bottom w:val="none" w:sz="0" w:space="0" w:color="auto"/>
        <w:right w:val="none" w:sz="0" w:space="0" w:color="auto"/>
      </w:divBdr>
    </w:div>
    <w:div w:id="690491209">
      <w:bodyDiv w:val="1"/>
      <w:marLeft w:val="0"/>
      <w:marRight w:val="0"/>
      <w:marTop w:val="0"/>
      <w:marBottom w:val="0"/>
      <w:divBdr>
        <w:top w:val="none" w:sz="0" w:space="0" w:color="auto"/>
        <w:left w:val="none" w:sz="0" w:space="0" w:color="auto"/>
        <w:bottom w:val="none" w:sz="0" w:space="0" w:color="auto"/>
        <w:right w:val="none" w:sz="0" w:space="0" w:color="auto"/>
      </w:divBdr>
    </w:div>
    <w:div w:id="742029641">
      <w:bodyDiv w:val="1"/>
      <w:marLeft w:val="0"/>
      <w:marRight w:val="0"/>
      <w:marTop w:val="0"/>
      <w:marBottom w:val="0"/>
      <w:divBdr>
        <w:top w:val="none" w:sz="0" w:space="0" w:color="auto"/>
        <w:left w:val="none" w:sz="0" w:space="0" w:color="auto"/>
        <w:bottom w:val="none" w:sz="0" w:space="0" w:color="auto"/>
        <w:right w:val="none" w:sz="0" w:space="0" w:color="auto"/>
      </w:divBdr>
    </w:div>
    <w:div w:id="851915323">
      <w:bodyDiv w:val="1"/>
      <w:marLeft w:val="0"/>
      <w:marRight w:val="0"/>
      <w:marTop w:val="0"/>
      <w:marBottom w:val="0"/>
      <w:divBdr>
        <w:top w:val="none" w:sz="0" w:space="0" w:color="auto"/>
        <w:left w:val="none" w:sz="0" w:space="0" w:color="auto"/>
        <w:bottom w:val="none" w:sz="0" w:space="0" w:color="auto"/>
        <w:right w:val="none" w:sz="0" w:space="0" w:color="auto"/>
      </w:divBdr>
    </w:div>
    <w:div w:id="915817771">
      <w:bodyDiv w:val="1"/>
      <w:marLeft w:val="0"/>
      <w:marRight w:val="0"/>
      <w:marTop w:val="0"/>
      <w:marBottom w:val="0"/>
      <w:divBdr>
        <w:top w:val="none" w:sz="0" w:space="0" w:color="auto"/>
        <w:left w:val="none" w:sz="0" w:space="0" w:color="auto"/>
        <w:bottom w:val="none" w:sz="0" w:space="0" w:color="auto"/>
        <w:right w:val="none" w:sz="0" w:space="0" w:color="auto"/>
      </w:divBdr>
    </w:div>
    <w:div w:id="1475954411">
      <w:bodyDiv w:val="1"/>
      <w:marLeft w:val="0"/>
      <w:marRight w:val="0"/>
      <w:marTop w:val="0"/>
      <w:marBottom w:val="0"/>
      <w:divBdr>
        <w:top w:val="none" w:sz="0" w:space="0" w:color="auto"/>
        <w:left w:val="none" w:sz="0" w:space="0" w:color="auto"/>
        <w:bottom w:val="none" w:sz="0" w:space="0" w:color="auto"/>
        <w:right w:val="none" w:sz="0" w:space="0" w:color="auto"/>
      </w:divBdr>
    </w:div>
    <w:div w:id="1551265796">
      <w:bodyDiv w:val="1"/>
      <w:marLeft w:val="0"/>
      <w:marRight w:val="0"/>
      <w:marTop w:val="0"/>
      <w:marBottom w:val="0"/>
      <w:divBdr>
        <w:top w:val="none" w:sz="0" w:space="0" w:color="auto"/>
        <w:left w:val="none" w:sz="0" w:space="0" w:color="auto"/>
        <w:bottom w:val="none" w:sz="0" w:space="0" w:color="auto"/>
        <w:right w:val="none" w:sz="0" w:space="0" w:color="auto"/>
      </w:divBdr>
    </w:div>
    <w:div w:id="1555964403">
      <w:bodyDiv w:val="1"/>
      <w:marLeft w:val="0"/>
      <w:marRight w:val="0"/>
      <w:marTop w:val="0"/>
      <w:marBottom w:val="0"/>
      <w:divBdr>
        <w:top w:val="none" w:sz="0" w:space="0" w:color="auto"/>
        <w:left w:val="none" w:sz="0" w:space="0" w:color="auto"/>
        <w:bottom w:val="none" w:sz="0" w:space="0" w:color="auto"/>
        <w:right w:val="none" w:sz="0" w:space="0" w:color="auto"/>
      </w:divBdr>
    </w:div>
    <w:div w:id="1679383751">
      <w:bodyDiv w:val="1"/>
      <w:marLeft w:val="0"/>
      <w:marRight w:val="0"/>
      <w:marTop w:val="0"/>
      <w:marBottom w:val="0"/>
      <w:divBdr>
        <w:top w:val="none" w:sz="0" w:space="0" w:color="auto"/>
        <w:left w:val="none" w:sz="0" w:space="0" w:color="auto"/>
        <w:bottom w:val="none" w:sz="0" w:space="0" w:color="auto"/>
        <w:right w:val="none" w:sz="0" w:space="0" w:color="auto"/>
      </w:divBdr>
    </w:div>
    <w:div w:id="2005081885">
      <w:bodyDiv w:val="1"/>
      <w:marLeft w:val="0"/>
      <w:marRight w:val="0"/>
      <w:marTop w:val="0"/>
      <w:marBottom w:val="0"/>
      <w:divBdr>
        <w:top w:val="none" w:sz="0" w:space="0" w:color="auto"/>
        <w:left w:val="none" w:sz="0" w:space="0" w:color="auto"/>
        <w:bottom w:val="none" w:sz="0" w:space="0" w:color="auto"/>
        <w:right w:val="none" w:sz="0" w:space="0" w:color="auto"/>
      </w:divBdr>
    </w:div>
    <w:div w:id="2073506137">
      <w:bodyDiv w:val="1"/>
      <w:marLeft w:val="0"/>
      <w:marRight w:val="0"/>
      <w:marTop w:val="0"/>
      <w:marBottom w:val="0"/>
      <w:divBdr>
        <w:top w:val="none" w:sz="0" w:space="0" w:color="auto"/>
        <w:left w:val="none" w:sz="0" w:space="0" w:color="auto"/>
        <w:bottom w:val="none" w:sz="0" w:space="0" w:color="auto"/>
        <w:right w:val="none" w:sz="0" w:space="0" w:color="auto"/>
      </w:divBdr>
    </w:div>
    <w:div w:id="211736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c.europa.eu/sfc/en/system/files/ged/RDP_Annex%2011.pdf" TargetMode="External"/><Relationship Id="rId26" Type="http://schemas.openxmlformats.org/officeDocument/2006/relationships/hyperlink" Target="https://enrd.ec.europa.eu/evaluation/publications/evaluation-innovation-rural-development-programmes-2014-2020_en" TargetMode="External"/><Relationship Id="rId39" Type="http://schemas.openxmlformats.org/officeDocument/2006/relationships/hyperlink" Target="https://www.envieval.eu/" TargetMode="External"/><Relationship Id="rId21" Type="http://schemas.openxmlformats.org/officeDocument/2006/relationships/hyperlink" Target="https://enrd.ec.europa.eu/evaluation/publications/guidelines-assessment-rdp-results-how-prepare-reporting-evaluation-2017_en" TargetMode="External"/><Relationship Id="rId34" Type="http://schemas.openxmlformats.org/officeDocument/2006/relationships/image" Target="media/image5.png"/><Relationship Id="rId42" Type="http://schemas.openxmlformats.org/officeDocument/2006/relationships/hyperlink" Target="https://ec.europa.eu/agriculture/sites/agriculture/files/evaluation/guidelines/2007-2013-ex-post_en.pdf" TargetMode="External"/><Relationship Id="rId47" Type="http://schemas.openxmlformats.org/officeDocument/2006/relationships/hyperlink" Target="https://ec.europa.eu/agriculture/sites/agriculture/files/evaluation/guidelines/2007-2013-ex-post_en.pdf" TargetMode="External"/><Relationship Id="rId50" Type="http://schemas.openxmlformats.org/officeDocument/2006/relationships/hyperlink" Target="https://books.google.be/books?id=t-uPdSpvPBkC&amp;pg=PP1&amp;lpg=PP1&amp;dq=distinguishing+between+types+of+data+and+methods+of+collecting+them,&amp;source=bl&amp;ots=G26OEW8m2A&amp;sig=h528kvgUEhmDcInCs1LmMIXs8vI&amp;hl=de&amp;sa=X&amp;ved=2ahUKEwjMvZynlc7cAhUSbFAKHaHWCLEQ6AEwBHoECAUQAQ" TargetMode="External"/><Relationship Id="rId55" Type="http://schemas.openxmlformats.org/officeDocument/2006/relationships/image" Target="media/image12.png"/><Relationship Id="rId63"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c.europa.eu/agriculture/sites/agriculture/files/cap-indicators/impact/impact-indicators-fiches.pdf" TargetMode="External"/><Relationship Id="rId20" Type="http://schemas.openxmlformats.org/officeDocument/2006/relationships/hyperlink" Target="https://ec.europa.eu/agriculture/sites/agriculture/files/cap-indicators/result/complementary-result-indicator-fiches-pillar-ii_en.pdf" TargetMode="External"/><Relationship Id="rId29" Type="http://schemas.openxmlformats.org/officeDocument/2006/relationships/hyperlink" Target="http://ec.europa.eu/eurostat/documents/4411192/4411431/Europe_2020_Targets.pdf" TargetMode="External"/><Relationship Id="rId41" Type="http://schemas.openxmlformats.org/officeDocument/2006/relationships/hyperlink" Target="https://ec.europa.eu/agriculture/sites/agriculture/files/evaluation/guidelines/2007-2013-ex-post_en.pdf" TargetMode="External"/><Relationship Id="rId54" Type="http://schemas.openxmlformats.org/officeDocument/2006/relationships/image" Target="media/image11.png"/><Relationship Id="rId62"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c.europa.eu/agriculture/sites/agriculture/files/cap-indicators/impact/2016-impact-indicators-fiches.pdf" TargetMode="External"/><Relationship Id="rId32" Type="http://schemas.openxmlformats.org/officeDocument/2006/relationships/footer" Target="footer3.xml"/><Relationship Id="rId37" Type="http://schemas.openxmlformats.org/officeDocument/2006/relationships/image" Target="media/image6.png"/><Relationship Id="rId40" Type="http://schemas.openxmlformats.org/officeDocument/2006/relationships/hyperlink" Target="https://www.envieval.eu/fileadmin/envieval/dissemination/deliverables/D9.5_Handbook_for_the_evaluation_of_environmental_impacts_of_RDPs.pdf" TargetMode="External"/><Relationship Id="rId45" Type="http://schemas.openxmlformats.org/officeDocument/2006/relationships/hyperlink" Target="http://enrd.ec.europa.eu/enrd-static/app_templates/enrd_assets/pdf/evaluation/epe_master.pdf" TargetMode="External"/><Relationship Id="rId53" Type="http://schemas.openxmlformats.org/officeDocument/2006/relationships/image" Target="media/image10.png"/><Relationship Id="rId58" Type="http://schemas.openxmlformats.org/officeDocument/2006/relationships/image" Target="media/image15.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enrd.ec.europa.eu/evaluation/publications/evaluation-innovation-rural-development-programmes-2014-2020_en" TargetMode="External"/><Relationship Id="rId28" Type="http://schemas.openxmlformats.org/officeDocument/2006/relationships/hyperlink" Target="http://ec.europa.eu/eurostat/web/products-statistical-books/-/KS-EZ-17-001" TargetMode="External"/><Relationship Id="rId36" Type="http://schemas.openxmlformats.org/officeDocument/2006/relationships/hyperlink" Target="https://www.envieval.eu/fileadmin/envieval/dissemination/deliverables/D9.5_Handbook_for_the_evaluation_of_environmental_impacts_of_RDPs.pdf" TargetMode="External"/><Relationship Id="rId49" Type="http://schemas.openxmlformats.org/officeDocument/2006/relationships/hyperlink" Target="https://ec.europa.eu/agriculture/sites/agriculture/files/evaluation/rural-development-reports/2014/investment-support-rdp/fulltext_en.pdf" TargetMode="External"/><Relationship Id="rId57" Type="http://schemas.openxmlformats.org/officeDocument/2006/relationships/image" Target="media/image14.png"/><Relationship Id="rId61"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hyperlink" Target="https://ec.europa.eu/agriculture/sites/agriculture/files/cap-indicators/result/rd-target-indicators_en.pdf" TargetMode="External"/><Relationship Id="rId31" Type="http://schemas.openxmlformats.org/officeDocument/2006/relationships/hyperlink" Target="https://enrd.ec.europa.eu/sites/enrd/files/uploaded-files/wp_evaluation_questions_2015.pdf" TargetMode="External"/><Relationship Id="rId44" Type="http://schemas.openxmlformats.org/officeDocument/2006/relationships/hyperlink" Target="https://enrd.ec.europa.eu/news-events/news/ex-post-evaluation-rdps-2007-2013_en" TargetMode="External"/><Relationship Id="rId52"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rd.ec.europa.eu/evaluation/publications/guidelines-assessment-rdp-results-how-prepare-reporting-evaluation-2017_en" TargetMode="External"/><Relationship Id="rId22" Type="http://schemas.openxmlformats.org/officeDocument/2006/relationships/hyperlink" Target="https://enrd.ec.europa.eu/evaluation/publications/evaluation-leaderclld_en" TargetMode="External"/><Relationship Id="rId27" Type="http://schemas.openxmlformats.org/officeDocument/2006/relationships/hyperlink" Target="http://ec.europa.eu/eurostat/web/europe-2020-indicators/europe-2020-strategy/targets" TargetMode="External"/><Relationship Id="rId30" Type="http://schemas.openxmlformats.org/officeDocument/2006/relationships/hyperlink" Target="https://ec.europa.eu/agriculture/cap-indicators/context/2016/2016-context-indicators-fiches.pdf" TargetMode="External"/><Relationship Id="rId35" Type="http://schemas.openxmlformats.org/officeDocument/2006/relationships/hyperlink" Target="https://www.envieval.eu/" TargetMode="External"/><Relationship Id="rId43" Type="http://schemas.openxmlformats.org/officeDocument/2006/relationships/hyperlink" Target="https://enrd.ec.europa.eu/news-events/news/ex-post-evaluation-rdps-2007-2013_en" TargetMode="External"/><Relationship Id="rId48" Type="http://schemas.openxmlformats.org/officeDocument/2006/relationships/hyperlink" Target="https://ec.europa.eu/agriculture/sites/agriculture/files/evaluation/guidelines/2007-2013-ex-post_en.pdf" TargetMode="External"/><Relationship Id="rId56" Type="http://schemas.openxmlformats.org/officeDocument/2006/relationships/image" Target="media/image13.png"/><Relationship Id="rId64"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enrd.ec.europa.eu/sites/enrd/files/twg-01_rdp_results.pdf" TargetMode="External"/><Relationship Id="rId25" Type="http://schemas.openxmlformats.org/officeDocument/2006/relationships/hyperlink" Target="https://ec.europa.eu/agriculture/cap-indicators/context_sl" TargetMode="External"/><Relationship Id="rId33" Type="http://schemas.openxmlformats.org/officeDocument/2006/relationships/footer" Target="footer4.xml"/><Relationship Id="rId38" Type="http://schemas.openxmlformats.org/officeDocument/2006/relationships/image" Target="media/image7.png"/><Relationship Id="rId46" Type="http://schemas.openxmlformats.org/officeDocument/2006/relationships/hyperlink" Target="http://enrd.ec.europa.eu/enrd-static/app_templates/enrd_assets/pdf/evaluation/epe_master.pdf" TargetMode="External"/><Relationship Id="rId59" Type="http://schemas.openxmlformats.org/officeDocument/2006/relationships/image" Target="media/image16.png"/></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SL/ALL/?uri=CELEX%3A32014R0808" TargetMode="External"/><Relationship Id="rId3" Type="http://schemas.openxmlformats.org/officeDocument/2006/relationships/hyperlink" Target="https://eur-lex.europa.eu/legal-content/SL/ALL/?uri=CELEX%3A32014R0808" TargetMode="External"/><Relationship Id="rId7" Type="http://schemas.openxmlformats.org/officeDocument/2006/relationships/hyperlink" Target="https://eur-lex.europa.eu/legal-content/SL/TXT/?uri=CELEX%3A32014R0834" TargetMode="External"/><Relationship Id="rId12" Type="http://schemas.openxmlformats.org/officeDocument/2006/relationships/hyperlink" Target="http://enrd.ec.europa.eu/enrd-static/app_templates/enrd_assets/pdf/evaluation/epe_master.pdf" TargetMode="External"/><Relationship Id="rId2" Type="http://schemas.openxmlformats.org/officeDocument/2006/relationships/hyperlink" Target="https://enrd.ec.europa.eu/sites/enrd/files/uploaded-files/twg-05-ep-june2015_0.pdf" TargetMode="External"/><Relationship Id="rId1" Type="http://schemas.openxmlformats.org/officeDocument/2006/relationships/hyperlink" Target="https://eur-lex.europa.eu/legal-content/SL/TXT/?uri=CELEX%3A32013R1305&amp;from=en&amp;fromTab=ALL&amp;lang3=choose&amp;lang2=choose&amp;lang1=SL" TargetMode="External"/><Relationship Id="rId6" Type="http://schemas.openxmlformats.org/officeDocument/2006/relationships/hyperlink" Target="https://eur-lex.europa.eu/legal-content/SL/TXT/?uri=celex%3A32013R1306" TargetMode="External"/><Relationship Id="rId11" Type="http://schemas.openxmlformats.org/officeDocument/2006/relationships/hyperlink" Target="https://enrd.ec.europa.eu/evaluation/publications/guidelines-assessment-rdp-results-how-prepare-reporting-evaluation-2017_en" TargetMode="External"/><Relationship Id="rId5" Type="http://schemas.openxmlformats.org/officeDocument/2006/relationships/hyperlink" Target="file:///C:\Users\wimmer\AppData\Local\Microsoft\Windows\INetCache\Content.Outlook\3TA5XJ7V\ur-lex.europa.eu\legal-content\EN\TXT\" TargetMode="External"/><Relationship Id="rId10" Type="http://schemas.openxmlformats.org/officeDocument/2006/relationships/hyperlink" Target="https://ec.europa.eu/agriculture/sites/agriculture/files/evaluation/guidelines/2017-update-technical-handbook-monitoring-evaluation-framework_en.pdf" TargetMode="External"/><Relationship Id="rId4" Type="http://schemas.openxmlformats.org/officeDocument/2006/relationships/hyperlink" Target="https://enrd.ec.europa.eu/evaluation/publications/summary-report-synthesis-evaluation-components-2017-enhanced-air-chapter-7_en" TargetMode="External"/><Relationship Id="rId9" Type="http://schemas.openxmlformats.org/officeDocument/2006/relationships/hyperlink" Target="https://ec.europa.eu/agriculture/sites/agriculture/files/evaluation/guidelines/2017-update-technical-handbook-monitoring-evaluation-framework_en.pdf" TargetMode="External"/></Relationships>
</file>

<file path=word/theme/theme1.xml><?xml version="1.0" encoding="utf-8"?>
<a:theme xmlns:a="http://schemas.openxmlformats.org/drawingml/2006/main" name="Larissa-Design">
  <a:themeElements>
    <a:clrScheme name="Helpdesk">
      <a:dk1>
        <a:srgbClr val="373737"/>
      </a:dk1>
      <a:lt1>
        <a:srgbClr val="FFFFFF"/>
      </a:lt1>
      <a:dk2>
        <a:srgbClr val="373737"/>
      </a:dk2>
      <a:lt2>
        <a:srgbClr val="FFFFFF"/>
      </a:lt2>
      <a:accent1>
        <a:srgbClr val="F07E31"/>
      </a:accent1>
      <a:accent2>
        <a:srgbClr val="BE4A35"/>
      </a:accent2>
      <a:accent3>
        <a:srgbClr val="59638E"/>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24498-0C86-4EA1-BD90-51A7A2240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7478</Words>
  <Characters>42630</Characters>
  <Application>Microsoft Office Word</Application>
  <DocSecurity>0</DocSecurity>
  <Lines>355</Lines>
  <Paragraphs>100</Paragraphs>
  <ScaleCrop>false</ScaleCrop>
  <HeadingPairs>
    <vt:vector size="6" baseType="variant">
      <vt:variant>
        <vt:lpstr>Title</vt:lpstr>
      </vt:variant>
      <vt:variant>
        <vt:i4>1</vt:i4>
      </vt:variant>
      <vt:variant>
        <vt:lpstr>Titel</vt:lpstr>
      </vt:variant>
      <vt:variant>
        <vt:i4>1</vt:i4>
      </vt:variant>
      <vt:variant>
        <vt:lpstr>Názov</vt:lpstr>
      </vt:variant>
      <vt:variant>
        <vt:i4>1</vt:i4>
      </vt:variant>
    </vt:vector>
  </HeadingPairs>
  <TitlesOfParts>
    <vt:vector size="3" baseType="lpstr">
      <vt:lpstr/>
      <vt:lpstr/>
      <vt:lpstr/>
    </vt:vector>
  </TitlesOfParts>
  <LinksUpToDate>false</LinksUpToDate>
  <CharactersWithSpaces>50008</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2018-11-20T08:53:00Z</dcterms:created>
  <dcterms:modified xsi:type="dcterms:W3CDTF">2018-11-20T08:58:00Z</dcterms:modified>
</cp:coreProperties>
</file>