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5257" w:rsidRPr="00571D58" w:rsidRDefault="00F02B64" w:rsidP="00612732">
      <w:pPr>
        <w:pStyle w:val="HHeadingboxes"/>
        <w:numPr>
          <w:ilvl w:val="0"/>
          <w:numId w:val="0"/>
        </w:numPr>
      </w:pPr>
      <w:r>
        <w:rPr>
          <w:noProof/>
          <w:lang w:val="en-GB" w:eastAsia="en-GB"/>
        </w:rPr>
        <mc:AlternateContent>
          <mc:Choice Requires="wps">
            <w:drawing>
              <wp:anchor distT="0" distB="0" distL="114300" distR="114300" simplePos="0" relativeHeight="251650560" behindDoc="1" locked="0" layoutInCell="1" allowOverlap="1">
                <wp:simplePos x="0" y="0"/>
                <wp:positionH relativeFrom="page">
                  <wp:posOffset>2053590</wp:posOffset>
                </wp:positionH>
                <wp:positionV relativeFrom="page">
                  <wp:posOffset>5022215</wp:posOffset>
                </wp:positionV>
                <wp:extent cx="4775835" cy="3150870"/>
                <wp:effectExtent l="0" t="0" r="5715" b="11430"/>
                <wp:wrapTight wrapText="bothSides">
                  <wp:wrapPolygon edited="0">
                    <wp:start x="0" y="0"/>
                    <wp:lineTo x="0" y="21548"/>
                    <wp:lineTo x="21540" y="21548"/>
                    <wp:lineTo x="21540" y="0"/>
                    <wp:lineTo x="0" y="0"/>
                  </wp:wrapPolygon>
                </wp:wrapTight>
                <wp:docPr id="9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835" cy="315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5257" w:rsidRPr="00E76949" w:rsidRDefault="00DB5257" w:rsidP="00DB5257">
                            <w:pPr>
                              <w:pStyle w:val="HTitle1"/>
                            </w:pPr>
                            <w:r>
                              <w:t>RIKTLINJER</w:t>
                            </w:r>
                          </w:p>
                          <w:p w:rsidR="00DB5257" w:rsidRPr="00196DF6" w:rsidRDefault="00DB5257" w:rsidP="00DB5257">
                            <w:pPr>
                              <w:pStyle w:val="HTitle2"/>
                            </w:pPr>
                            <w:r>
                              <w:t xml:space="preserve">Bedömning av </w:t>
                            </w:r>
                            <w:r w:rsidR="00F159E5">
                              <w:t>resultat</w:t>
                            </w:r>
                            <w:r>
                              <w:t xml:space="preserve"> och effekter </w:t>
                            </w:r>
                            <w:r w:rsidR="00F159E5">
                              <w:t>av</w:t>
                            </w:r>
                            <w:r>
                              <w:t xml:space="preserve"> landsbygdsprogrammet 2019</w:t>
                            </w:r>
                          </w:p>
                          <w:p w:rsidR="00DB5257" w:rsidRPr="00F15219" w:rsidRDefault="00DB5257" w:rsidP="00DB5257">
                            <w:pPr>
                              <w:pStyle w:val="HTitle2"/>
                            </w:pPr>
                          </w:p>
                          <w:p w:rsidR="00DB5257" w:rsidRPr="00435F02" w:rsidRDefault="00DB5257" w:rsidP="00DB5257">
                            <w:pPr>
                              <w:pStyle w:val="HTitle3"/>
                              <w:rPr>
                                <w:color w:val="000000"/>
                              </w:rPr>
                            </w:pPr>
                            <w:r>
                              <w:rPr>
                                <w:color w:val="000000"/>
                              </w:rPr>
                              <w:t>Augusti 2018</w:t>
                            </w:r>
                          </w:p>
                          <w:p w:rsidR="00DB5257" w:rsidRDefault="00DB5257" w:rsidP="00DB5257">
                            <w:pPr>
                              <w:pStyle w:val="HTitl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61.7pt;margin-top:395.45pt;width:376.05pt;height:248.1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0tFsgIAAKw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" filled="f" stroked="f">
                <v:textbox inset="0,0,0,0">
                  <w:txbxContent>
                    <w:p w:rsidR="00DB5257" w:rsidRPr="00E76949" w:rsidRDefault="00DB5257" w:rsidP="00DB5257">
                      <w:pPr>
                        <w:pStyle w:val="HTitle1"/>
                      </w:pPr>
                      <w:r>
                        <w:t>RIKTLINJER</w:t>
                      </w:r>
                    </w:p>
                    <w:p w:rsidR="00DB5257" w:rsidRPr="00196DF6" w:rsidRDefault="00DB5257" w:rsidP="00DB5257">
                      <w:pPr>
                        <w:pStyle w:val="HTitle2"/>
                      </w:pPr>
                      <w:r>
                        <w:t xml:space="preserve">Bedömning av </w:t>
                      </w:r>
                      <w:r w:rsidR="00F159E5">
                        <w:t>resultat</w:t>
                      </w:r>
                      <w:r>
                        <w:t xml:space="preserve"> och effekter </w:t>
                      </w:r>
                      <w:r w:rsidR="00F159E5">
                        <w:t>av</w:t>
                      </w:r>
                      <w:r>
                        <w:t xml:space="preserve"> landsbygdsprogrammet 2019</w:t>
                      </w:r>
                    </w:p>
                    <w:p w:rsidR="00DB5257" w:rsidRPr="00F15219" w:rsidRDefault="00DB5257" w:rsidP="00DB5257">
                      <w:pPr>
                        <w:pStyle w:val="HTitle2"/>
                      </w:pPr>
                    </w:p>
                    <w:p w:rsidR="00DB5257" w:rsidRPr="00435F02" w:rsidRDefault="00DB5257" w:rsidP="00DB5257">
                      <w:pPr>
                        <w:pStyle w:val="HTitle3"/>
                        <w:rPr>
                          <w:color w:val="000000"/>
                        </w:rPr>
                      </w:pPr>
                      <w:r>
                        <w:rPr>
                          <w:color w:val="000000"/>
                        </w:rPr>
                        <w:t>Augusti 2018</w:t>
                      </w:r>
                    </w:p>
                    <w:p w:rsidR="00DB5257" w:rsidRDefault="00DB5257" w:rsidP="00DB5257">
                      <w:pPr>
                        <w:pStyle w:val="HTitle3"/>
                      </w:pPr>
                    </w:p>
                  </w:txbxContent>
                </v:textbox>
                <w10:wrap type="tight" anchorx="page" anchory="page"/>
              </v:shape>
            </w:pict>
          </mc:Fallback>
        </mc:AlternateContent>
      </w:r>
      <w:r>
        <w:rPr>
          <w:noProof/>
          <w:lang w:val="en-GB" w:eastAsia="en-GB"/>
        </w:rPr>
        <w:drawing>
          <wp:anchor distT="0" distB="0" distL="114300" distR="114300" simplePos="0" relativeHeight="251649536" behindDoc="1" locked="0" layoutInCell="1" allowOverlap="1">
            <wp:simplePos x="0" y="0"/>
            <wp:positionH relativeFrom="margin">
              <wp:posOffset>-918210</wp:posOffset>
            </wp:positionH>
            <wp:positionV relativeFrom="margin">
              <wp:posOffset>-914400</wp:posOffset>
            </wp:positionV>
            <wp:extent cx="7561580" cy="10683240"/>
            <wp:effectExtent l="0" t="0" r="1270" b="3810"/>
            <wp:wrapSquare wrapText="bothSides"/>
            <wp:docPr id="45"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1580" cy="10683240"/>
                    </a:xfrm>
                    <a:prstGeom prst="rect">
                      <a:avLst/>
                    </a:prstGeom>
                    <a:noFill/>
                  </pic:spPr>
                </pic:pic>
              </a:graphicData>
            </a:graphic>
            <wp14:sizeRelH relativeFrom="page">
              <wp14:pctWidth>0</wp14:pctWidth>
            </wp14:sizeRelH>
            <wp14:sizeRelV relativeFrom="page">
              <wp14:pctHeight>0</wp14:pctHeight>
            </wp14:sizeRelV>
          </wp:anchor>
        </w:drawing>
      </w:r>
      <w:r w:rsidR="00AD2E14">
        <w:t xml:space="preserve"> </w:t>
      </w:r>
      <w:r w:rsidR="00AD2E14">
        <w:br w:type="page"/>
      </w:r>
    </w:p>
    <w:p w:rsidR="00DB5257" w:rsidRPr="00571D58" w:rsidRDefault="00F02B64" w:rsidP="00DB5257">
      <w:pPr>
        <w:pStyle w:val="HStandard"/>
      </w:pPr>
      <w:r>
        <w:rPr>
          <w:noProof/>
          <w:lang w:val="en-GB" w:eastAsia="en-GB"/>
        </w:rPr>
        <w:lastRenderedPageBreak/>
        <mc:AlternateContent>
          <mc:Choice Requires="wps">
            <w:drawing>
              <wp:anchor distT="0" distB="0" distL="114300" distR="114300" simplePos="0" relativeHeight="251642368" behindDoc="0" locked="0" layoutInCell="1" allowOverlap="1">
                <wp:simplePos x="0" y="0"/>
                <wp:positionH relativeFrom="margin">
                  <wp:posOffset>-426085</wp:posOffset>
                </wp:positionH>
                <wp:positionV relativeFrom="paragraph">
                  <wp:posOffset>4095115</wp:posOffset>
                </wp:positionV>
                <wp:extent cx="6583680" cy="5161915"/>
                <wp:effectExtent l="0" t="0" r="0" b="0"/>
                <wp:wrapNone/>
                <wp:docPr id="9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5161915"/>
                        </a:xfrm>
                        <a:prstGeom prst="rect">
                          <a:avLst/>
                        </a:prstGeom>
                        <a:solidFill>
                          <a:srgbClr val="FFFFFF">
                            <a:alpha val="0"/>
                          </a:srgbClr>
                        </a:solidFill>
                        <a:ln>
                          <a:noFill/>
                        </a:ln>
                        <a:extLst/>
                      </wps:spPr>
                      <wps:txbx>
                        <w:txbxContent>
                          <w:p w:rsidR="00DB5257" w:rsidRPr="00811EF1" w:rsidRDefault="00DB5257" w:rsidP="00DB5257">
                            <w:pPr>
                              <w:pStyle w:val="Hdisclaimer"/>
                            </w:pPr>
                            <w:r>
                              <w:t xml:space="preserve">Meddelande </w:t>
                            </w:r>
                            <w:r>
                              <w:t>om upphovsrätt</w:t>
                            </w:r>
                          </w:p>
                          <w:p w:rsidR="00DB5257" w:rsidRPr="00811EF1" w:rsidRDefault="00DB5257" w:rsidP="00DB5257">
                            <w:pPr>
                              <w:pStyle w:val="Hdisclaimer"/>
                            </w:pPr>
                            <w:r>
                              <w:t>© Europeiska unionen, 2018</w:t>
                            </w:r>
                          </w:p>
                          <w:p w:rsidR="00DB5257" w:rsidRPr="00811EF1" w:rsidRDefault="00DB5257" w:rsidP="00DB5257">
                            <w:pPr>
                              <w:pStyle w:val="Hdisclaimer"/>
                            </w:pPr>
                            <w:r>
                              <w:t>Kopiering tillåten med angivande av källan.</w:t>
                            </w:r>
                          </w:p>
                          <w:p w:rsidR="00DB5257" w:rsidRPr="00811EF1" w:rsidRDefault="00DB5257" w:rsidP="00DB5257">
                            <w:pPr>
                              <w:pStyle w:val="Hdisclaimer"/>
                            </w:pPr>
                            <w:r>
                              <w:t xml:space="preserve">Rekommenderad hänvisning: </w:t>
                            </w:r>
                          </w:p>
                          <w:p w:rsidR="00DB5257" w:rsidRDefault="00DB5257" w:rsidP="00DB5257">
                            <w:pPr>
                              <w:pStyle w:val="Hdisclaimer"/>
                            </w:pPr>
                            <w:r>
                              <w:t xml:space="preserve">Europeiska kommissionen, generaldirektoratet för jordbruk och landsbygdsutveckling, enhet C.4 (2018): Riktlinjer: Bedömning av </w:t>
                            </w:r>
                            <w:r w:rsidR="00F159E5">
                              <w:t xml:space="preserve">resultat </w:t>
                            </w:r>
                            <w:r>
                              <w:t xml:space="preserve">och effekter </w:t>
                            </w:r>
                            <w:r w:rsidR="00F159E5">
                              <w:t xml:space="preserve">av </w:t>
                            </w:r>
                            <w:r>
                              <w:t xml:space="preserve">landsbygdsprogrammet 2019 Bryssel, augusti 2018. </w:t>
                            </w:r>
                          </w:p>
                          <w:p w:rsidR="00DB5257" w:rsidRPr="00811EF1" w:rsidRDefault="00DB5257" w:rsidP="00DB5257">
                            <w:pPr>
                              <w:pStyle w:val="Hdisclaimer"/>
                            </w:pPr>
                            <w:r>
                              <w:t>Ansvarsfriskrivning:</w:t>
                            </w:r>
                          </w:p>
                          <w:p w:rsidR="00DB5257" w:rsidRPr="00811EF1" w:rsidRDefault="00DB5257" w:rsidP="00DB5257">
                            <w:pPr>
                              <w:pStyle w:val="Hdisclaimer"/>
                            </w:pPr>
                            <w:r>
                              <w:t>Informationen och synsätten i dessa riktlinjer tillhör författarna och återspeglar inte nödvändigtvis kommissionens officiella åsikt. Kommissionen garanterar inte riktigheten för de uppgifter som ingår i dessa riktlinjer. Varken kommissionen eller någon annan som agerar för kommissionens räkning kan hållas ansvarig för hur den information som ingår i rapporten kan ha använts.</w:t>
                            </w:r>
                          </w:p>
                          <w:p w:rsidR="00DB5257" w:rsidRPr="00811EF1" w:rsidRDefault="00DB5257" w:rsidP="00DB5257">
                            <w:pPr>
                              <w:pStyle w:val="Hdisclaimer"/>
                              <w:tabs>
                                <w:tab w:val="right" w:pos="10065"/>
                              </w:tabs>
                            </w:pPr>
                            <w:r>
                              <w:rPr>
                                <w:noProof/>
                                <w:color w:val="000000"/>
                                <w:lang w:val="en-GB" w:eastAsia="en-GB"/>
                              </w:rPr>
                              <w:drawing>
                                <wp:inline distT="0" distB="0" distL="0" distR="0">
                                  <wp:extent cx="1676400" cy="790575"/>
                                  <wp:effectExtent l="0" t="0" r="0" b="9525"/>
                                  <wp:docPr id="2"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Logo-OK3.jpg"/>
                                          <pic:cNvPicPr>
                                            <a:picLocks noChangeAspect="1" noChangeArrowheads="1"/>
                                          </pic:cNvPicPr>
                                        </pic:nvPicPr>
                                        <pic:blipFill>
                                          <a:blip r:embed="rId9">
                                            <a:extLst>
                                              <a:ext uri="{28A0092B-C50C-407E-A947-70E740481C1C}">
                                                <a14:useLocalDpi xmlns:a14="http://schemas.microsoft.com/office/drawing/2010/main" val="0"/>
                                              </a:ext>
                                            </a:extLst>
                                          </a:blip>
                                          <a:srcRect l="19669" r="17921"/>
                                          <a:stretch>
                                            <a:fillRect/>
                                          </a:stretch>
                                        </pic:blipFill>
                                        <pic:spPr bwMode="auto">
                                          <a:xfrm>
                                            <a:off x="0" y="0"/>
                                            <a:ext cx="1676400" cy="790575"/>
                                          </a:xfrm>
                                          <a:prstGeom prst="rect">
                                            <a:avLst/>
                                          </a:prstGeom>
                                          <a:noFill/>
                                          <a:ln>
                                            <a:noFill/>
                                          </a:ln>
                                        </pic:spPr>
                                      </pic:pic>
                                    </a:graphicData>
                                  </a:graphic>
                                </wp:inline>
                              </w:drawing>
                            </w:r>
                            <w:r>
                              <w:rPr>
                                <w:color w:val="000000"/>
                              </w:rPr>
                              <w:tab/>
                            </w:r>
                            <w:r>
                              <w:rPr>
                                <w:noProof/>
                                <w:color w:val="000000"/>
                                <w:lang w:val="en-GB" w:eastAsia="en-GB"/>
                              </w:rPr>
                              <w:drawing>
                                <wp:inline distT="0" distB="0" distL="0" distR="0">
                                  <wp:extent cx="1809750" cy="666750"/>
                                  <wp:effectExtent l="0" t="0" r="0" b="0"/>
                                  <wp:docPr id="4" name="Image 9" descr="logoRURAL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logoRURAL develop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0" cy="666750"/>
                                          </a:xfrm>
                                          <a:prstGeom prst="rect">
                                            <a:avLst/>
                                          </a:prstGeom>
                                          <a:noFill/>
                                          <a:ln>
                                            <a:noFill/>
                                          </a:ln>
                                        </pic:spPr>
                                      </pic:pic>
                                    </a:graphicData>
                                  </a:graphic>
                                </wp:inline>
                              </w:drawing>
                            </w:r>
                          </w:p>
                          <w:p w:rsidR="00DB5257" w:rsidRPr="00811EF1" w:rsidRDefault="00DB5257" w:rsidP="00DB5257">
                            <w:pPr>
                              <w:pStyle w:val="Hdisclaimer"/>
                            </w:pPr>
                            <w:r>
                              <w:t>Helpdesken för utvärdering ansvarar för utvärderingsfunktionen inom det europeiska nätverket för landsbygdsutveckling genom att ge vägledning om utvärdering av principer och landsbygdsprogram. Dessa hanteras och leds av enhet C.4 för övervakning och utvärdering på Europeiska kommissionens generaldirektorat för jordbruk och landsbygdsutveckling. För att förbättra utvärderingen av EU:s politik för landsbygdsutveckling ger helpdesken för utvärdering stöd till alla berörda aktörer, särskilt generaldirektoratet för jordbruk och landsbygdsutveckling, nationella myndigheter, myndigheter som förvaltar landsbygdsprogram och utvärderare av landsbygdsprogram, genom att ta fram och sprida lämpliga metoder och verktyg, och genom kapacitetsuppbyggnad, och genom att kommunicera med nätverksmedlemmar om tematiska utvärderingsrelaterade områden.</w:t>
                            </w:r>
                          </w:p>
                          <w:p w:rsidR="00DB5257" w:rsidRPr="00811EF1" w:rsidRDefault="00DB5257" w:rsidP="00DB5257">
                            <w:pPr>
                              <w:pStyle w:val="Hdisclaimer"/>
                            </w:pPr>
                            <w:r>
                              <w:t>Mer information om den europeiska helpdesken för utvärdering av landsbygdsutveckling finns på Europa-servern på internet (http://enrd.ec.europa.eu).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33.55pt;margin-top:322.45pt;width:518.4pt;height:406.4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" stroked="f">
                <v:fill opacity="0"/>
                <v:textbox>
                  <w:txbxContent>
                    <w:p w:rsidR="00DB5257" w:rsidRPr="00811EF1" w:rsidRDefault="00DB5257" w:rsidP="00DB5257">
                      <w:pPr>
                        <w:pStyle w:val="Hdisclaimer"/>
                      </w:pPr>
                      <w:r>
                        <w:t xml:space="preserve">Meddelande </w:t>
                      </w:r>
                      <w:r>
                        <w:t>om upphovsrätt</w:t>
                      </w:r>
                    </w:p>
                    <w:p w:rsidR="00DB5257" w:rsidRPr="00811EF1" w:rsidRDefault="00DB5257" w:rsidP="00DB5257">
                      <w:pPr>
                        <w:pStyle w:val="Hdisclaimer"/>
                      </w:pPr>
                      <w:r>
                        <w:t>© Europeiska unionen, 2018</w:t>
                      </w:r>
                    </w:p>
                    <w:p w:rsidR="00DB5257" w:rsidRPr="00811EF1" w:rsidRDefault="00DB5257" w:rsidP="00DB5257">
                      <w:pPr>
                        <w:pStyle w:val="Hdisclaimer"/>
                      </w:pPr>
                      <w:r>
                        <w:t>Kopiering tillåten med angivande av källan.</w:t>
                      </w:r>
                    </w:p>
                    <w:p w:rsidR="00DB5257" w:rsidRPr="00811EF1" w:rsidRDefault="00DB5257" w:rsidP="00DB5257">
                      <w:pPr>
                        <w:pStyle w:val="Hdisclaimer"/>
                      </w:pPr>
                      <w:r>
                        <w:t xml:space="preserve">Rekommenderad hänvisning: </w:t>
                      </w:r>
                    </w:p>
                    <w:p w:rsidR="00DB5257" w:rsidRDefault="00DB5257" w:rsidP="00DB5257">
                      <w:pPr>
                        <w:pStyle w:val="Hdisclaimer"/>
                      </w:pPr>
                      <w:r>
                        <w:t xml:space="preserve">Europeiska kommissionen, generaldirektoratet för jordbruk och landsbygdsutveckling, enhet C.4 (2018): Riktlinjer: Bedömning av </w:t>
                      </w:r>
                      <w:r w:rsidR="00F159E5">
                        <w:t xml:space="preserve">resultat </w:t>
                      </w:r>
                      <w:r>
                        <w:t xml:space="preserve">och effekter </w:t>
                      </w:r>
                      <w:r w:rsidR="00F159E5">
                        <w:t xml:space="preserve">av </w:t>
                      </w:r>
                      <w:r>
                        <w:t xml:space="preserve">landsbygdsprogrammet 2019 Bryssel, augusti 2018. </w:t>
                      </w:r>
                    </w:p>
                    <w:p w:rsidR="00DB5257" w:rsidRPr="00811EF1" w:rsidRDefault="00DB5257" w:rsidP="00DB5257">
                      <w:pPr>
                        <w:pStyle w:val="Hdisclaimer"/>
                      </w:pPr>
                      <w:r>
                        <w:t>Ansvarsfriskrivning:</w:t>
                      </w:r>
                    </w:p>
                    <w:p w:rsidR="00DB5257" w:rsidRPr="00811EF1" w:rsidRDefault="00DB5257" w:rsidP="00DB5257">
                      <w:pPr>
                        <w:pStyle w:val="Hdisclaimer"/>
                      </w:pPr>
                      <w:r>
                        <w:t>Informationen och synsätten i dessa riktlinjer tillhör författarna och återspeglar inte nödvändigtvis kommissionens officiella åsikt. Kommissionen garanterar inte riktigheten för de uppgifter som ingår i dessa riktlinjer. Varken kommissionen eller någon annan som agerar för kommissionens räkning kan hållas ansvarig för hur den information som ingår i rapporten kan ha använts.</w:t>
                      </w:r>
                    </w:p>
                    <w:p w:rsidR="00DB5257" w:rsidRPr="00811EF1" w:rsidRDefault="00DB5257" w:rsidP="00DB5257">
                      <w:pPr>
                        <w:pStyle w:val="Hdisclaimer"/>
                        <w:tabs>
                          <w:tab w:val="right" w:pos="10065"/>
                        </w:tabs>
                      </w:pPr>
                      <w:r>
                        <w:rPr>
                          <w:noProof/>
                          <w:color w:val="000000"/>
                          <w:lang w:val="en-GB" w:eastAsia="en-GB"/>
                        </w:rPr>
                        <w:drawing>
                          <wp:inline distT="0" distB="0" distL="0" distR="0">
                            <wp:extent cx="1676400" cy="790575"/>
                            <wp:effectExtent l="0" t="0" r="0" b="9525"/>
                            <wp:docPr id="2"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Logo-OK3.jpg"/>
                                    <pic:cNvPicPr>
                                      <a:picLocks noChangeAspect="1" noChangeArrowheads="1"/>
                                    </pic:cNvPicPr>
                                  </pic:nvPicPr>
                                  <pic:blipFill>
                                    <a:blip r:embed="rId9">
                                      <a:extLst>
                                        <a:ext uri="{28A0092B-C50C-407E-A947-70E740481C1C}">
                                          <a14:useLocalDpi xmlns:a14="http://schemas.microsoft.com/office/drawing/2010/main" val="0"/>
                                        </a:ext>
                                      </a:extLst>
                                    </a:blip>
                                    <a:srcRect l="19669" r="17921"/>
                                    <a:stretch>
                                      <a:fillRect/>
                                    </a:stretch>
                                  </pic:blipFill>
                                  <pic:spPr bwMode="auto">
                                    <a:xfrm>
                                      <a:off x="0" y="0"/>
                                      <a:ext cx="1676400" cy="790575"/>
                                    </a:xfrm>
                                    <a:prstGeom prst="rect">
                                      <a:avLst/>
                                    </a:prstGeom>
                                    <a:noFill/>
                                    <a:ln>
                                      <a:noFill/>
                                    </a:ln>
                                  </pic:spPr>
                                </pic:pic>
                              </a:graphicData>
                            </a:graphic>
                          </wp:inline>
                        </w:drawing>
                      </w:r>
                      <w:r>
                        <w:rPr>
                          <w:color w:val="000000"/>
                        </w:rPr>
                        <w:tab/>
                      </w:r>
                      <w:r>
                        <w:rPr>
                          <w:noProof/>
                          <w:color w:val="000000"/>
                          <w:lang w:val="en-GB" w:eastAsia="en-GB"/>
                        </w:rPr>
                        <w:drawing>
                          <wp:inline distT="0" distB="0" distL="0" distR="0">
                            <wp:extent cx="1809750" cy="666750"/>
                            <wp:effectExtent l="0" t="0" r="0" b="0"/>
                            <wp:docPr id="4" name="Image 9" descr="logoRURAL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logoRURAL develop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0" cy="666750"/>
                                    </a:xfrm>
                                    <a:prstGeom prst="rect">
                                      <a:avLst/>
                                    </a:prstGeom>
                                    <a:noFill/>
                                    <a:ln>
                                      <a:noFill/>
                                    </a:ln>
                                  </pic:spPr>
                                </pic:pic>
                              </a:graphicData>
                            </a:graphic>
                          </wp:inline>
                        </w:drawing>
                      </w:r>
                    </w:p>
                    <w:p w:rsidR="00DB5257" w:rsidRPr="00811EF1" w:rsidRDefault="00DB5257" w:rsidP="00DB5257">
                      <w:pPr>
                        <w:pStyle w:val="Hdisclaimer"/>
                      </w:pPr>
                      <w:r>
                        <w:t>Helpdesken för utvärdering ansvarar för utvärderingsfunktionen inom det europeiska nätverket för landsbygdsutveckling genom att ge vägledning om utvärdering av principer och landsbygdsprogram. Dessa hanteras och leds av enhet C.4 för övervakning och utvärdering på Europeiska kommissionens generaldirektorat för jordbruk och landsbygdsutveckling. För att förbättra utvärderingen av EU:s politik för landsbygdsutveckling ger helpdesken för utvärdering stöd till alla berörda aktörer, särskilt generaldirektoratet för jordbruk och landsbygdsutveckling, nationella myndigheter, myndigheter som förvaltar landsbygdsprogram och utvärderare av landsbygdsprogram, genom att ta fram och sprida lämpliga metoder och verktyg, och genom kapacitetsuppbyggnad, och genom att kommunicera med nätverksmedlemmar om tematiska utvärderingsrelaterade områden.</w:t>
                      </w:r>
                    </w:p>
                    <w:p w:rsidR="00DB5257" w:rsidRPr="00811EF1" w:rsidRDefault="00DB5257" w:rsidP="00DB5257">
                      <w:pPr>
                        <w:pStyle w:val="Hdisclaimer"/>
                      </w:pPr>
                      <w:r>
                        <w:t>Mer information om den europeiska helpdesken för utvärdering av landsbygdsutveckling finns på Europa-servern på internet (http://enrd.ec.europa.eu).</w:t>
                      </w:r>
                    </w:p>
                  </w:txbxContent>
                </v:textbox>
                <w10:wrap anchorx="margin"/>
              </v:shape>
            </w:pict>
          </mc:Fallback>
        </mc:AlternateContent>
      </w:r>
      <w:r w:rsidR="00AD2E14">
        <w:br w:type="page"/>
      </w:r>
    </w:p>
    <w:p w:rsidR="00DB5257" w:rsidRPr="00571D58" w:rsidRDefault="00DB5257" w:rsidP="00DB5257">
      <w:pPr>
        <w:pStyle w:val="HStandard"/>
      </w:pPr>
    </w:p>
    <w:p w:rsidR="00DB5257" w:rsidRPr="00571D58" w:rsidRDefault="00DB5257" w:rsidP="00DB5257">
      <w:pPr>
        <w:pStyle w:val="HStandard"/>
      </w:pPr>
    </w:p>
    <w:p w:rsidR="00DB5257" w:rsidRPr="00571D58" w:rsidRDefault="00DB5257" w:rsidP="00DB5257">
      <w:pPr>
        <w:pStyle w:val="HStandard"/>
      </w:pPr>
    </w:p>
    <w:p w:rsidR="00DB5257" w:rsidRPr="00571D58" w:rsidRDefault="00F02B64" w:rsidP="00DB5257">
      <w:pPr>
        <w:pStyle w:val="HStandard"/>
      </w:pPr>
      <w:r>
        <w:rPr>
          <w:noProof/>
          <w:lang w:val="en-GB" w:eastAsia="en-GB"/>
        </w:rPr>
        <mc:AlternateContent>
          <mc:Choice Requires="wps">
            <w:drawing>
              <wp:anchor distT="0" distB="0" distL="114300" distR="114300" simplePos="0" relativeHeight="251651584" behindDoc="1" locked="0" layoutInCell="1" allowOverlap="1">
                <wp:simplePos x="0" y="0"/>
                <wp:positionH relativeFrom="page">
                  <wp:posOffset>2204720</wp:posOffset>
                </wp:positionH>
                <wp:positionV relativeFrom="page">
                  <wp:posOffset>5175250</wp:posOffset>
                </wp:positionV>
                <wp:extent cx="4958080" cy="3855720"/>
                <wp:effectExtent l="0" t="0" r="13970" b="11430"/>
                <wp:wrapTight wrapText="bothSides">
                  <wp:wrapPolygon edited="0">
                    <wp:start x="0" y="0"/>
                    <wp:lineTo x="0" y="21557"/>
                    <wp:lineTo x="21578" y="21557"/>
                    <wp:lineTo x="21578" y="0"/>
                    <wp:lineTo x="0" y="0"/>
                  </wp:wrapPolygon>
                </wp:wrapTight>
                <wp:docPr id="9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5257" w:rsidRPr="00F15219" w:rsidRDefault="00DB5257" w:rsidP="00DB5257">
                            <w:pPr>
                              <w:pStyle w:val="HTitle1"/>
                            </w:pPr>
                            <w:r>
                              <w:t>Riktlinjer</w:t>
                            </w:r>
                          </w:p>
                          <w:p w:rsidR="00DB5257" w:rsidRPr="00F15219" w:rsidRDefault="00DB5257" w:rsidP="00DB5257">
                            <w:pPr>
                              <w:pStyle w:val="HTitle2"/>
                            </w:pPr>
                            <w:r>
                              <w:t xml:space="preserve">BEDÖMNING AV </w:t>
                            </w:r>
                            <w:r w:rsidR="00B937C0">
                              <w:t xml:space="preserve">RESULTAT </w:t>
                            </w:r>
                            <w:r>
                              <w:t xml:space="preserve">OCH EFFEKTER </w:t>
                            </w:r>
                            <w:r w:rsidR="00B937C0">
                              <w:t>AV</w:t>
                            </w:r>
                            <w:r>
                              <w:t xml:space="preserve"> LANDSBYGDSPROGRAMMET 2019</w:t>
                            </w:r>
                          </w:p>
                          <w:p w:rsidR="00DB5257" w:rsidRPr="00F15219" w:rsidRDefault="00DB5257" w:rsidP="00DB5257">
                            <w:pPr>
                              <w:pStyle w:val="HTitle2"/>
                            </w:pPr>
                          </w:p>
                          <w:p w:rsidR="00DB5257" w:rsidRPr="00D46054" w:rsidRDefault="00DB5257" w:rsidP="00DB5257">
                            <w:pPr>
                              <w:pStyle w:val="HTitle3"/>
                              <w:rPr>
                                <w:color w:val="000000"/>
                              </w:rPr>
                            </w:pPr>
                            <w:r>
                              <w:rPr>
                                <w:color w:val="000000"/>
                              </w:rPr>
                              <w:t>Augusti 2018</w:t>
                            </w:r>
                          </w:p>
                          <w:p w:rsidR="00DB5257" w:rsidRPr="00D46054" w:rsidRDefault="00DB5257" w:rsidP="00DB5257">
                            <w:pPr>
                              <w:pStyle w:val="HTitle3"/>
                              <w:rPr>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8" type="#_x0000_t202" style="position:absolute;left:0;text-align:left;margin-left:173.6pt;margin-top:407.5pt;width:390.4pt;height:303.6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82tQ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" filled="f" stroked="f">
                <v:textbox inset="0,0,0,0">
                  <w:txbxContent>
                    <w:p w:rsidR="00DB5257" w:rsidRPr="00F15219" w:rsidRDefault="00DB5257" w:rsidP="00DB5257">
                      <w:pPr>
                        <w:pStyle w:val="HTitle1"/>
                      </w:pPr>
                      <w:r>
                        <w:t>Riktlinjer</w:t>
                      </w:r>
                    </w:p>
                    <w:p w:rsidR="00DB5257" w:rsidRPr="00F15219" w:rsidRDefault="00DB5257" w:rsidP="00DB5257">
                      <w:pPr>
                        <w:pStyle w:val="HTitle2"/>
                      </w:pPr>
                      <w:r>
                        <w:t xml:space="preserve">BEDÖMNING AV </w:t>
                      </w:r>
                      <w:r w:rsidR="00B937C0">
                        <w:t xml:space="preserve">RESULTAT </w:t>
                      </w:r>
                      <w:r>
                        <w:t xml:space="preserve">OCH EFFEKTER </w:t>
                      </w:r>
                      <w:r w:rsidR="00B937C0">
                        <w:t>AV</w:t>
                      </w:r>
                      <w:r>
                        <w:t xml:space="preserve"> LANDSBYGDSPROGRAMMET 2019</w:t>
                      </w:r>
                    </w:p>
                    <w:p w:rsidR="00DB5257" w:rsidRPr="00F15219" w:rsidRDefault="00DB5257" w:rsidP="00DB5257">
                      <w:pPr>
                        <w:pStyle w:val="HTitle2"/>
                      </w:pPr>
                    </w:p>
                    <w:p w:rsidR="00DB5257" w:rsidRPr="00D46054" w:rsidRDefault="00DB5257" w:rsidP="00DB5257">
                      <w:pPr>
                        <w:pStyle w:val="HTitle3"/>
                        <w:rPr>
                          <w:color w:val="000000"/>
                        </w:rPr>
                      </w:pPr>
                      <w:r>
                        <w:rPr>
                          <w:color w:val="000000"/>
                        </w:rPr>
                        <w:t>Augusti 2018</w:t>
                      </w:r>
                    </w:p>
                    <w:p w:rsidR="00DB5257" w:rsidRPr="00D46054" w:rsidRDefault="00DB5257" w:rsidP="00DB5257">
                      <w:pPr>
                        <w:pStyle w:val="HTitle3"/>
                        <w:rPr>
                          <w:color w:val="000000"/>
                        </w:rPr>
                      </w:pPr>
                    </w:p>
                  </w:txbxContent>
                </v:textbox>
                <w10:wrap type="tight" anchorx="page" anchory="page"/>
              </v:shape>
            </w:pict>
          </mc:Fallback>
        </mc:AlternateContent>
      </w:r>
    </w:p>
    <w:p w:rsidR="00D27C24" w:rsidRDefault="00D27C24" w:rsidP="00DB5257">
      <w:pPr>
        <w:pStyle w:val="HStandard"/>
        <w:sectPr w:rsidR="00D27C24" w:rsidSect="00DB5257">
          <w:footerReference w:type="first" r:id="rId11"/>
          <w:pgSz w:w="11906" w:h="16838" w:code="9"/>
          <w:pgMar w:top="1440" w:right="1440" w:bottom="1134" w:left="1440" w:header="284" w:footer="709" w:gutter="0"/>
          <w:cols w:space="708"/>
          <w:titlePg/>
          <w:docGrid w:linePitch="360"/>
        </w:sectPr>
      </w:pPr>
    </w:p>
    <w:p w:rsidR="00DB5257" w:rsidRPr="00571D58" w:rsidRDefault="00AD2E14">
      <w:pPr>
        <w:spacing w:before="0" w:after="0" w:line="240" w:lineRule="auto"/>
        <w:jc w:val="left"/>
        <w:rPr>
          <w:rFonts w:cs="Arial"/>
          <w:b/>
          <w:bCs/>
          <w:caps/>
          <w:color w:val="F07E31"/>
          <w:kern w:val="32"/>
          <w:sz w:val="20"/>
          <w:szCs w:val="32"/>
        </w:rPr>
      </w:pPr>
      <w:r>
        <w:lastRenderedPageBreak/>
        <w:br w:type="page"/>
      </w:r>
    </w:p>
    <w:p w:rsidR="00DB5257" w:rsidRPr="00571D58" w:rsidRDefault="00AD2E14" w:rsidP="00DB5257">
      <w:pPr>
        <w:pStyle w:val="HContent"/>
      </w:pPr>
      <w:r>
        <w:lastRenderedPageBreak/>
        <w:t>Innehåll</w:t>
      </w:r>
    </w:p>
    <w:p w:rsidR="00DB5257" w:rsidRDefault="00AD2E14" w:rsidP="00DB5257">
      <w:r>
        <w:t>Författarnas tack</w:t>
      </w:r>
      <w:r>
        <w:tab/>
        <w:t>1</w:t>
      </w:r>
    </w:p>
    <w:p w:rsidR="00DB5257" w:rsidRDefault="00AD2E14" w:rsidP="00DB5257">
      <w:r>
        <w:t>INLEDNING</w:t>
      </w:r>
      <w:r>
        <w:tab/>
        <w:t>2</w:t>
      </w:r>
    </w:p>
    <w:p w:rsidR="002B337C" w:rsidRDefault="00AD2E14" w:rsidP="00DB5257">
      <w:r>
        <w:t>1</w:t>
      </w:r>
      <w:r>
        <w:tab/>
        <w:t xml:space="preserve">Vad ska rapporteras i utvärderingen av </w:t>
      </w:r>
    </w:p>
    <w:p w:rsidR="00DB5257" w:rsidRDefault="00AD2E14" w:rsidP="00DB5257">
      <w:r>
        <w:t>den årliga genomföranderapporten 2019? (Del I)</w:t>
      </w:r>
      <w:r>
        <w:tab/>
        <w:t>3</w:t>
      </w:r>
    </w:p>
    <w:p w:rsidR="00DB5257" w:rsidRDefault="00AD2E14" w:rsidP="00DB5257">
      <w:r>
        <w:t>1.1</w:t>
      </w:r>
      <w:r>
        <w:tab/>
        <w:t>Rättslig ram och fokus för utvärderingen 2019</w:t>
      </w:r>
      <w:r>
        <w:tab/>
        <w:t>3</w:t>
      </w:r>
    </w:p>
    <w:p w:rsidR="00DB5257" w:rsidRDefault="00AD2E14" w:rsidP="00DB5257">
      <w:r>
        <w:t>1.2</w:t>
      </w:r>
      <w:r>
        <w:tab/>
        <w:t>Hur ska de gemensamma utvärderingsfrågorna rapporteras 2019?</w:t>
      </w:r>
      <w:r>
        <w:tab/>
        <w:t>6</w:t>
      </w:r>
    </w:p>
    <w:p w:rsidR="00DB5257" w:rsidRDefault="00AD2E14" w:rsidP="00DB5257">
      <w:r>
        <w:t>1.3</w:t>
      </w:r>
      <w:r>
        <w:tab/>
        <w:t>Förberedelser för den årliga genomföranderapporten 2019</w:t>
      </w:r>
      <w:r>
        <w:tab/>
        <w:t>8</w:t>
      </w:r>
    </w:p>
    <w:p w:rsidR="00DB5257" w:rsidRDefault="00AD2E14" w:rsidP="00DB5257">
      <w:r>
        <w:t>2</w:t>
      </w:r>
      <w:r>
        <w:tab/>
        <w:t>Metoder för att bedöma effekterna av landsbygdsprogrammen 2019 (DEL II)</w:t>
      </w:r>
      <w:r>
        <w:tab/>
        <w:t>12</w:t>
      </w:r>
    </w:p>
    <w:p w:rsidR="00DB5257" w:rsidRDefault="00AD2E14" w:rsidP="00DB5257">
      <w:r>
        <w:t>2.1</w:t>
      </w:r>
      <w:r>
        <w:tab/>
        <w:t>Välja lämpliga utvärderingsmetoder för bedömningen av effekterna av landsbygdsprogrammen</w:t>
      </w:r>
      <w:r>
        <w:tab/>
        <w:t>12</w:t>
      </w:r>
    </w:p>
    <w:p w:rsidR="00DB5257" w:rsidRDefault="00AD2E14" w:rsidP="00DB5257">
      <w:r>
        <w:t>2.1.1</w:t>
      </w:r>
      <w:r>
        <w:tab/>
        <w:t>Hur kan logiska modeller användas för att fastställa vilka utvärderingsmetoder som är lämpliga?</w:t>
      </w:r>
      <w:r>
        <w:tab/>
        <w:t>12</w:t>
      </w:r>
    </w:p>
    <w:p w:rsidR="00DB5257" w:rsidRDefault="00AD2E14" w:rsidP="00DB5257">
      <w:r>
        <w:t>2.1.2</w:t>
      </w:r>
      <w:r>
        <w:tab/>
        <w:t>Översikt av rekommenderade utvärderingsmetoder för bedömningen av GJP:s effektindikatorer</w:t>
      </w:r>
      <w:r>
        <w:tab/>
        <w:t>23</w:t>
      </w:r>
    </w:p>
    <w:p w:rsidR="00DB5257" w:rsidRPr="001C6ACF" w:rsidRDefault="00AD2E14" w:rsidP="00DB5257">
      <w:pPr>
        <w:pStyle w:val="HContent"/>
      </w:pPr>
      <w:r>
        <w:lastRenderedPageBreak/>
        <w:t xml:space="preserve">Tabeller och siffror </w:t>
      </w:r>
    </w:p>
    <w:p w:rsidR="00DB5257" w:rsidRDefault="00AD2E14" w:rsidP="00DB5257">
      <w:r>
        <w:t>Tabell 1.</w:t>
      </w:r>
      <w:r>
        <w:tab/>
        <w:t>Riktlinjer för att besvara de gemensamma utvärderingsfrågorna i den årliga genomföranderapporten för 2019</w:t>
      </w:r>
      <w:r>
        <w:tab/>
        <w:t>7</w:t>
      </w:r>
    </w:p>
    <w:p w:rsidR="00DB5257" w:rsidRDefault="00AD2E14" w:rsidP="00DB5257">
      <w:r>
        <w:t>Tabell 2.</w:t>
      </w:r>
      <w:r>
        <w:tab/>
        <w:t>Checklista för rekommenderade steg i utvärderingen 2019</w:t>
      </w:r>
      <w:r>
        <w:tab/>
        <w:t>9</w:t>
      </w:r>
    </w:p>
    <w:p w:rsidR="00DB5257" w:rsidRDefault="00AD2E14" w:rsidP="00DB5257">
      <w:r>
        <w:t>Tabell 3.</w:t>
      </w:r>
      <w:r>
        <w:tab/>
        <w:t>Exempel på rekommenderade utvärderingsmetoder för bedömningen av GJP:s effektindikatorer</w:t>
      </w:r>
      <w:r>
        <w:tab/>
        <w:t>24</w:t>
      </w:r>
    </w:p>
    <w:p w:rsidR="00DB5257" w:rsidRPr="00571D58" w:rsidRDefault="00AD2E14" w:rsidP="00DB5257">
      <w:pPr>
        <w:pStyle w:val="HContent"/>
      </w:pPr>
      <w:r>
        <w:lastRenderedPageBreak/>
        <w:t>Förkortningar</w:t>
      </w:r>
    </w:p>
    <w:p w:rsidR="00DB5257" w:rsidRPr="001C6ACF" w:rsidRDefault="00CA5F28" w:rsidP="00DB5257">
      <w:pPr>
        <w:pStyle w:val="HStandard"/>
        <w:ind w:left="993" w:hanging="993"/>
      </w:pPr>
      <w:r>
        <w:t>GJP</w:t>
      </w:r>
      <w:r w:rsidR="00AD2E14">
        <w:tab/>
      </w:r>
      <w:r w:rsidR="00AD2E14">
        <w:tab/>
      </w:r>
      <w:r>
        <w:t>Gemensamma jordbrukspolitiken</w:t>
      </w:r>
    </w:p>
    <w:p w:rsidR="00DB5257" w:rsidRPr="001C6ACF" w:rsidRDefault="00AD2E14" w:rsidP="00DB5257">
      <w:pPr>
        <w:pStyle w:val="HStandard"/>
        <w:ind w:left="993" w:hanging="993"/>
      </w:pPr>
      <w:r>
        <w:t>DiD</w:t>
      </w:r>
      <w:r>
        <w:tab/>
      </w:r>
      <w:r>
        <w:tab/>
      </w:r>
      <w:r w:rsidR="008C5111">
        <w:t>Skillnaden mellan skillnader (</w:t>
      </w:r>
      <w:r>
        <w:t>Difference in Differences</w:t>
      </w:r>
      <w:r w:rsidR="008C5111">
        <w:t>)</w:t>
      </w:r>
    </w:p>
    <w:p w:rsidR="00DB5257" w:rsidRPr="001C6ACF" w:rsidRDefault="00AD2E14" w:rsidP="00DB5257">
      <w:pPr>
        <w:pStyle w:val="HStandard"/>
        <w:ind w:left="993" w:hanging="993"/>
      </w:pPr>
      <w:r>
        <w:t>NUTS</w:t>
      </w:r>
      <w:r>
        <w:tab/>
      </w:r>
      <w:r>
        <w:tab/>
      </w:r>
      <w:r w:rsidR="007E0063" w:rsidRPr="007E0063">
        <w:t>Standardindelningen av territoriella enheter för statistikändamål</w:t>
      </w:r>
    </w:p>
    <w:p w:rsidR="00D27C24" w:rsidRDefault="00D27C24" w:rsidP="00DB5257">
      <w:pPr>
        <w:pStyle w:val="HStandard"/>
        <w:ind w:left="993" w:hanging="993"/>
        <w:sectPr w:rsidR="00D27C24" w:rsidSect="00DB5257">
          <w:headerReference w:type="default" r:id="rId12"/>
          <w:footerReference w:type="first" r:id="rId13"/>
          <w:pgSz w:w="11906" w:h="16838" w:code="9"/>
          <w:pgMar w:top="1440" w:right="1440" w:bottom="1134" w:left="1440" w:header="567" w:footer="737" w:gutter="0"/>
          <w:cols w:space="708"/>
          <w:titlePg/>
          <w:docGrid w:linePitch="360"/>
        </w:sectPr>
      </w:pPr>
    </w:p>
    <w:p w:rsidR="00DB5257" w:rsidRPr="001C6ACF" w:rsidRDefault="00AD2E14" w:rsidP="00DB5257">
      <w:pPr>
        <w:pStyle w:val="HHeading1"/>
        <w:numPr>
          <w:ilvl w:val="0"/>
          <w:numId w:val="0"/>
        </w:numPr>
        <w:rPr>
          <w:sz w:val="28"/>
        </w:rPr>
      </w:pPr>
      <w:r>
        <w:rPr>
          <w:sz w:val="28"/>
        </w:rPr>
        <w:lastRenderedPageBreak/>
        <w:t>Författarnas tack</w:t>
      </w:r>
    </w:p>
    <w:p w:rsidR="00DB5257" w:rsidRPr="001C6ACF" w:rsidRDefault="00AD2E14" w:rsidP="00DB5257">
      <w:pPr>
        <w:spacing w:after="120" w:line="280" w:lineRule="atLeast"/>
        <w:rPr>
          <w:rFonts w:ascii="Calibri" w:hAnsi="Calibri"/>
          <w:i/>
          <w:iCs/>
          <w:color w:val="373737"/>
          <w:sz w:val="20"/>
          <w:szCs w:val="20"/>
        </w:rPr>
      </w:pPr>
      <w:r>
        <w:rPr>
          <w:i/>
          <w:color w:val="373737"/>
          <w:sz w:val="20"/>
        </w:rPr>
        <w:t>Riktlinjerna har utarbetats av en internationell expertgrupp inom utvärdering av landsbygdsutveckling som består av Jerzy Michalek (sektorseffekter), Demetrios Psaltopoulos (socioekonomiska effekter), Marili Parisaki (kvalitativa metoder), Tomáš Ratinger (sektorseffekter), Gerald Schwarz (miljö</w:t>
      </w:r>
      <w:r w:rsidR="003E5351">
        <w:rPr>
          <w:i/>
          <w:color w:val="373737"/>
          <w:sz w:val="20"/>
        </w:rPr>
        <w:t>effekter</w:t>
      </w:r>
      <w:r>
        <w:rPr>
          <w:i/>
          <w:color w:val="373737"/>
          <w:sz w:val="20"/>
        </w:rPr>
        <w:t>), Dimitris Skuras (miljö</w:t>
      </w:r>
      <w:r w:rsidR="003E5351">
        <w:rPr>
          <w:i/>
          <w:color w:val="373737"/>
          <w:sz w:val="20"/>
        </w:rPr>
        <w:t>effekter</w:t>
      </w:r>
      <w:r>
        <w:rPr>
          <w:i/>
          <w:color w:val="373737"/>
          <w:sz w:val="20"/>
        </w:rPr>
        <w:t>) och Darko Znaor (miljö</w:t>
      </w:r>
      <w:r w:rsidR="003E5351">
        <w:rPr>
          <w:i/>
          <w:color w:val="373737"/>
          <w:sz w:val="20"/>
        </w:rPr>
        <w:t>effekter</w:t>
      </w:r>
      <w:r>
        <w:rPr>
          <w:i/>
          <w:color w:val="373737"/>
          <w:sz w:val="20"/>
        </w:rPr>
        <w:t xml:space="preserve">). Tillhörande temaarbetsgrupp har samordnats av helpdesken för utvärdering under ledning av Jela Tvrdonova och Hannes Wimmer. Valérie Dumont, Myles Stiffler, Matteo Metta, Valdis Kudins och Harriet Mackaill-Hill har stöttat utvecklingsarbetet och kontrollerat de slutgiltiga riktlinjernas kvalitet och utseende. </w:t>
      </w:r>
    </w:p>
    <w:p w:rsidR="00DB5257" w:rsidRPr="001C6ACF" w:rsidRDefault="00AD2E14" w:rsidP="00DB5257">
      <w:pPr>
        <w:spacing w:after="120" w:line="280" w:lineRule="atLeast"/>
        <w:rPr>
          <w:i/>
          <w:iCs/>
          <w:color w:val="373737"/>
          <w:sz w:val="20"/>
          <w:szCs w:val="20"/>
        </w:rPr>
      </w:pPr>
      <w:r>
        <w:rPr>
          <w:i/>
          <w:color w:val="373737"/>
          <w:sz w:val="20"/>
        </w:rPr>
        <w:t>Olika experter har fungerat som expertgranskare (Rolf Bergs, Kit Macleod och Žymantas Morkvėnas). Representanter från generaldirektoratet för jordbruk och landsbygdsutveckling har säkerställt att riktlinjerna stämmer överens med EU:s politiska ram.</w:t>
      </w:r>
    </w:p>
    <w:p w:rsidR="00DB5257" w:rsidRPr="001C6ACF" w:rsidRDefault="00AD2E14" w:rsidP="00DB5257">
      <w:pPr>
        <w:pStyle w:val="HStandard"/>
      </w:pPr>
      <w:r>
        <w:rPr>
          <w:i/>
        </w:rPr>
        <w:t>Representanter från medlemsstaterna lämnade synpunkter på utkasten till riktlinjerna under den rådgivande gruppens samråd i januari och april 2018. Medlemmar av expertgruppen för övervakning och utvärdering av den gemensamma jordbrukspolitiken lämnade synpunkter på det slutgiltiga utkastet i juni 2018. </w:t>
      </w:r>
    </w:p>
    <w:p w:rsidR="00DB5257" w:rsidRPr="001C6ACF" w:rsidRDefault="00DB5257" w:rsidP="00DB5257">
      <w:pPr>
        <w:pStyle w:val="HStandard"/>
      </w:pPr>
    </w:p>
    <w:p w:rsidR="00DB5257" w:rsidRPr="001C6ACF" w:rsidRDefault="00AD2E14" w:rsidP="00DB5257">
      <w:pPr>
        <w:pStyle w:val="HHeading1"/>
        <w:numPr>
          <w:ilvl w:val="0"/>
          <w:numId w:val="0"/>
        </w:numPr>
        <w:rPr>
          <w:sz w:val="28"/>
        </w:rPr>
      </w:pPr>
      <w:r>
        <w:rPr>
          <w:sz w:val="28"/>
        </w:rPr>
        <w:lastRenderedPageBreak/>
        <w:t>INLEDNING</w:t>
      </w:r>
    </w:p>
    <w:p w:rsidR="00CD63F6" w:rsidRPr="001C6ACF" w:rsidRDefault="00AD2E14" w:rsidP="00CD63F6">
      <w:pPr>
        <w:pStyle w:val="HHeading4"/>
      </w:pPr>
      <w:r>
        <w:t>Vikten av utvärdering</w:t>
      </w:r>
    </w:p>
    <w:p w:rsidR="00CD63F6" w:rsidRPr="001C6ACF" w:rsidRDefault="00AD2E14" w:rsidP="00CD63F6">
      <w:pPr>
        <w:pStyle w:val="HStandard"/>
      </w:pPr>
      <w:r>
        <w:t xml:space="preserve">De Europeiska struktur- och investeringsfonderna (Esif) är viktiga </w:t>
      </w:r>
      <w:r>
        <w:rPr>
          <w:b/>
        </w:rPr>
        <w:t>offentliga instrument</w:t>
      </w:r>
      <w:r>
        <w:t xml:space="preserve"> till stöd för åtgärder inom unionens viktigaste prioriteringar, som </w:t>
      </w:r>
      <w:r w:rsidR="00EE21E1">
        <w:t xml:space="preserve">genomförs </w:t>
      </w:r>
      <w:r>
        <w:t xml:space="preserve">genom fleråriga program i medlemsstaterna och regionerna. Det ligger därför i beslutsfattarnas och allmänhetens intresse att veta att </w:t>
      </w:r>
      <w:r w:rsidR="00EE21E1">
        <w:t xml:space="preserve">medlen används </w:t>
      </w:r>
      <w:r>
        <w:t xml:space="preserve">på ett ansvarsfullt sätt, </w:t>
      </w:r>
      <w:r w:rsidR="00EE21E1">
        <w:t xml:space="preserve">att de </w:t>
      </w:r>
      <w:r>
        <w:t xml:space="preserve">ger de förväntade resultaten och huruvida åtgärderna riktar sig till rätt stödmottagare för att uppnå EU:s politiska mål. </w:t>
      </w:r>
    </w:p>
    <w:p w:rsidR="00CD63F6" w:rsidRPr="001C6ACF" w:rsidRDefault="00AD2E14" w:rsidP="00DB5257">
      <w:pPr>
        <w:pStyle w:val="HStandard"/>
      </w:pPr>
      <w:r>
        <w:rPr>
          <w:b/>
        </w:rPr>
        <w:t>Utvärdering</w:t>
      </w:r>
      <w:r>
        <w:t xml:space="preserve"> är ett verktyg för att mäta politikens effektivitet, ändamålsenlighet, resultat och effekter</w:t>
      </w:r>
      <w:r>
        <w:rPr>
          <w:rStyle w:val="FootnoteReference"/>
          <w:i w:val="0"/>
        </w:rPr>
        <w:footnoteReference w:id="1"/>
      </w:r>
      <w:r>
        <w:t xml:space="preserve">, relevans, samstämmighet och </w:t>
      </w:r>
      <w:r w:rsidR="00EE21E1">
        <w:t>EU-</w:t>
      </w:r>
      <w:r>
        <w:t xml:space="preserve">mervärde för att </w:t>
      </w:r>
      <w:r w:rsidR="00EE21E1">
        <w:t xml:space="preserve">säkerställa anvarsskyldighet och insyn </w:t>
      </w:r>
      <w:r>
        <w:t xml:space="preserve">samt för att förbättra dess utformning. </w:t>
      </w:r>
      <w:r w:rsidR="00EE21E1">
        <w:t xml:space="preserve">När det gäller </w:t>
      </w:r>
      <w:r>
        <w:t xml:space="preserve">landsbygdsutveckling finns det två milstolpar för utvärderingen </w:t>
      </w:r>
      <w:r>
        <w:rPr>
          <w:b/>
        </w:rPr>
        <w:t>under programperioden 2014–2020</w:t>
      </w:r>
      <w:r>
        <w:t xml:space="preserve">. </w:t>
      </w:r>
      <w:r w:rsidR="00EE21E1">
        <w:t xml:space="preserve">Den ena under 2017, </w:t>
      </w:r>
      <w:r>
        <w:t xml:space="preserve">där aktörerna utvärderar resultaten </w:t>
      </w:r>
      <w:r w:rsidR="00EE21E1">
        <w:t xml:space="preserve">av </w:t>
      </w:r>
      <w:r w:rsidR="006F112E">
        <w:t>politiken</w:t>
      </w:r>
      <w:r w:rsidR="00EE21E1">
        <w:t xml:space="preserve">, och den andra under 2019, </w:t>
      </w:r>
      <w:r>
        <w:t xml:space="preserve">då både </w:t>
      </w:r>
      <w:r w:rsidR="008036BE">
        <w:t>resultaten</w:t>
      </w:r>
      <w:r>
        <w:t xml:space="preserve"> och effekterna </w:t>
      </w:r>
      <w:r w:rsidR="00EE21E1">
        <w:t xml:space="preserve">av </w:t>
      </w:r>
      <w:r w:rsidR="006F112E">
        <w:t xml:space="preserve">politiken </w:t>
      </w:r>
      <w:r>
        <w:t xml:space="preserve">ska mätas. Dessutom genomförs en utvärdering </w:t>
      </w:r>
      <w:r>
        <w:rPr>
          <w:b/>
        </w:rPr>
        <w:t>efter programperioden</w:t>
      </w:r>
      <w:r>
        <w:t>.</w:t>
      </w:r>
      <w:r>
        <w:rPr>
          <w:b/>
        </w:rPr>
        <w:t xml:space="preserve"> </w:t>
      </w:r>
    </w:p>
    <w:p w:rsidR="00CD63F6" w:rsidRPr="001C6ACF" w:rsidRDefault="00AD2E14" w:rsidP="00DB5257">
      <w:pPr>
        <w:pStyle w:val="HHeading4"/>
      </w:pPr>
      <w:r>
        <w:t xml:space="preserve">Riktlinjernas syfte </w:t>
      </w:r>
    </w:p>
    <w:p w:rsidR="00CD63F6" w:rsidRPr="00571D58" w:rsidRDefault="002B337C" w:rsidP="00CD63F6">
      <w:pPr>
        <w:pStyle w:val="HStandard"/>
      </w:pPr>
      <w:r>
        <w:t>Enligt de</w:t>
      </w:r>
      <w:r w:rsidR="00AD2E14">
        <w:t xml:space="preserve"> rättsliga ram</w:t>
      </w:r>
      <w:r>
        <w:t>arna</w:t>
      </w:r>
      <w:r w:rsidR="00AD2E14">
        <w:t xml:space="preserve"> ska medlemsstaterna under 2019 rapportera om landsbygdsprogrammet</w:t>
      </w:r>
      <w:r>
        <w:t>s måluppfyllelse</w:t>
      </w:r>
      <w:r w:rsidR="00AD2E14">
        <w:t xml:space="preserve"> </w:t>
      </w:r>
      <w:r>
        <w:t xml:space="preserve">och </w:t>
      </w:r>
      <w:r w:rsidR="00AD2E14">
        <w:t xml:space="preserve">bidrag till EU:s strategi för en smart och hållbar tillväxt för alla. Detta </w:t>
      </w:r>
      <w:r>
        <w:t xml:space="preserve">sker </w:t>
      </w:r>
      <w:r w:rsidR="00AD2E14">
        <w:t xml:space="preserve">genom </w:t>
      </w:r>
      <w:r w:rsidR="00BA581F">
        <w:t xml:space="preserve">de </w:t>
      </w:r>
      <w:r w:rsidR="00AD2E14">
        <w:t xml:space="preserve">årliga genomföranderapporter </w:t>
      </w:r>
      <w:r w:rsidR="00BA581F">
        <w:t xml:space="preserve">som </w:t>
      </w:r>
      <w:r w:rsidR="008C748D">
        <w:t xml:space="preserve">ska </w:t>
      </w:r>
      <w:r w:rsidR="00BA581F">
        <w:t xml:space="preserve">lämnas in under </w:t>
      </w:r>
      <w:r w:rsidR="00AD2E14">
        <w:t xml:space="preserve">2019. Utvärderingarna bör </w:t>
      </w:r>
      <w:r w:rsidR="00BA581F">
        <w:t>innehålla en bedömning av</w:t>
      </w:r>
      <w:r w:rsidR="00AD2E14">
        <w:t xml:space="preserve"> programmets nettobidrag till förändringar i </w:t>
      </w:r>
      <w:r w:rsidR="00BA581F">
        <w:t xml:space="preserve">värdena för effektindikatorerna för </w:t>
      </w:r>
      <w:r w:rsidR="00AD2E14">
        <w:t xml:space="preserve">den gemensamma jordbrukspolitiken </w:t>
      </w:r>
      <w:r w:rsidR="00BA581F">
        <w:t xml:space="preserve">samt </w:t>
      </w:r>
      <w:r w:rsidR="00AD2E14">
        <w:t>besvara utvärderingsfrågorna.</w:t>
      </w:r>
      <w:r w:rsidR="00AD2E14">
        <w:rPr>
          <w:rStyle w:val="FootnoteReference"/>
          <w:i w:val="0"/>
        </w:rPr>
        <w:footnoteReference w:id="2"/>
      </w:r>
      <w:r w:rsidR="00AD2E14">
        <w:t xml:space="preserve"> </w:t>
      </w:r>
    </w:p>
    <w:p w:rsidR="00CD63F6" w:rsidRPr="001C6ACF" w:rsidRDefault="00AD2E14" w:rsidP="00DB5257">
      <w:pPr>
        <w:pStyle w:val="HStandard"/>
      </w:pPr>
      <w:r>
        <w:t xml:space="preserve">Syftet med dessa riktlinjer är att </w:t>
      </w:r>
      <w:r>
        <w:rPr>
          <w:b/>
        </w:rPr>
        <w:t xml:space="preserve">undersöka </w:t>
      </w:r>
      <w:r w:rsidR="008036BE">
        <w:rPr>
          <w:b/>
        </w:rPr>
        <w:t>de utmaningar</w:t>
      </w:r>
      <w:r>
        <w:t xml:space="preserve"> som rör utvärderingen av de årliga genomföranderapporterna under 2019, </w:t>
      </w:r>
      <w:r>
        <w:rPr>
          <w:b/>
        </w:rPr>
        <w:t xml:space="preserve">presentera </w:t>
      </w:r>
      <w:r w:rsidR="008036BE">
        <w:rPr>
          <w:b/>
        </w:rPr>
        <w:t xml:space="preserve">konkreta </w:t>
      </w:r>
      <w:r>
        <w:rPr>
          <w:b/>
        </w:rPr>
        <w:t>metoder</w:t>
      </w:r>
      <w:r>
        <w:t xml:space="preserve"> för att beräkna landsbygdsprogrammets nettobidrag till </w:t>
      </w:r>
      <w:r w:rsidR="00424C43">
        <w:t xml:space="preserve">effektindikatorerna för </w:t>
      </w:r>
      <w:r>
        <w:t>de</w:t>
      </w:r>
      <w:r w:rsidR="00424C43">
        <w:t>n gemensamma jordbrukspolitiken</w:t>
      </w:r>
      <w:r>
        <w:t xml:space="preserve"> och bedöma framstegen </w:t>
      </w:r>
      <w:r w:rsidR="00073365">
        <w:t xml:space="preserve">mot </w:t>
      </w:r>
      <w:r>
        <w:t xml:space="preserve">att uppnå målen på EU-nivå samt att </w:t>
      </w:r>
      <w:r>
        <w:rPr>
          <w:b/>
        </w:rPr>
        <w:t>tillhandahålla stöd för att besvara</w:t>
      </w:r>
      <w:r>
        <w:t xml:space="preserve"> de </w:t>
      </w:r>
      <w:r w:rsidR="00073365">
        <w:t xml:space="preserve">gemensamma </w:t>
      </w:r>
      <w:r>
        <w:t>utvärderingsfrågorna 22–30 och för att rapportera om utvärderingsresultat till Europeiska kommissionen i d</w:t>
      </w:r>
      <w:r w:rsidR="00073365">
        <w:t>e årliga genomföranderapporter</w:t>
      </w:r>
      <w:r>
        <w:t xml:space="preserve"> som lämnas in under 2019.</w:t>
      </w:r>
    </w:p>
    <w:p w:rsidR="00CD63F6" w:rsidRPr="001C6ACF" w:rsidRDefault="00AD2E14" w:rsidP="00DB5257">
      <w:pPr>
        <w:pStyle w:val="HHeading4"/>
      </w:pPr>
      <w:r>
        <w:t xml:space="preserve">Riktlinjernas struktur och innehåll </w:t>
      </w:r>
    </w:p>
    <w:p w:rsidR="00CD63F6" w:rsidRPr="001C6ACF" w:rsidRDefault="00AD2E14" w:rsidP="00DB5257">
      <w:pPr>
        <w:pStyle w:val="HStandard"/>
      </w:pPr>
      <w:r>
        <w:t xml:space="preserve">De </w:t>
      </w:r>
      <w:r>
        <w:rPr>
          <w:b/>
        </w:rPr>
        <w:t>ICKE-BINDANDE riktlinjerna,</w:t>
      </w:r>
      <w:r>
        <w:t xml:space="preserve"> </w:t>
      </w:r>
      <w:r w:rsidR="00996843">
        <w:rPr>
          <w:i/>
        </w:rPr>
        <w:t xml:space="preserve">Bedömning av resultat och effekter av landsbygdsprogrammet </w:t>
      </w:r>
      <w:r>
        <w:rPr>
          <w:i/>
        </w:rPr>
        <w:t>2019,</w:t>
      </w:r>
      <w:r>
        <w:t xml:space="preserve"> omfattar följande: </w:t>
      </w:r>
    </w:p>
    <w:p w:rsidR="00CD63F6" w:rsidRPr="001C6ACF" w:rsidRDefault="00AD2E14" w:rsidP="00DB5257">
      <w:pPr>
        <w:pStyle w:val="Hlistbullet"/>
        <w:spacing w:line="276" w:lineRule="auto"/>
      </w:pPr>
      <w:r>
        <w:rPr>
          <w:b/>
          <w:color w:val="F07E31"/>
        </w:rPr>
        <w:t>DEL I</w:t>
      </w:r>
      <w:r>
        <w:t xml:space="preserve"> </w:t>
      </w:r>
      <w:r>
        <w:rPr>
          <w:b/>
          <w:color w:val="F07E31"/>
        </w:rPr>
        <w:t>(</w:t>
      </w:r>
      <w:r w:rsidR="004373C3">
        <w:rPr>
          <w:b/>
          <w:color w:val="F07E31"/>
        </w:rPr>
        <w:t xml:space="preserve">avsedd </w:t>
      </w:r>
      <w:r>
        <w:rPr>
          <w:b/>
          <w:color w:val="F07E31"/>
        </w:rPr>
        <w:t xml:space="preserve">främst för förvaltningsmyndigheterna): </w:t>
      </w:r>
      <w:r>
        <w:t xml:space="preserve">information om de rättsliga kraven och </w:t>
      </w:r>
      <w:r w:rsidR="00DA5925">
        <w:t xml:space="preserve">om </w:t>
      </w:r>
      <w:r w:rsidR="00E1400E">
        <w:t xml:space="preserve">hur </w:t>
      </w:r>
      <w:r>
        <w:t>de gemensamma utvärderingsfrågorna 22–30</w:t>
      </w:r>
      <w:r w:rsidR="00E1400E">
        <w:t xml:space="preserve"> ska rapporteras under 2019</w:t>
      </w:r>
      <w:r>
        <w:t xml:space="preserve">. Del I innehåller hänvisningar till andra befintliga riktlinjer. </w:t>
      </w:r>
    </w:p>
    <w:p w:rsidR="00CD63F6" w:rsidRPr="001C6ACF" w:rsidRDefault="00AD2E14" w:rsidP="00DB5257">
      <w:pPr>
        <w:pStyle w:val="Hlistbullet"/>
        <w:spacing w:line="276" w:lineRule="auto"/>
      </w:pPr>
      <w:r>
        <w:rPr>
          <w:b/>
          <w:color w:val="F07E31"/>
        </w:rPr>
        <w:t>DEL II</w:t>
      </w:r>
      <w:r>
        <w:t xml:space="preserve"> </w:t>
      </w:r>
      <w:r>
        <w:rPr>
          <w:b/>
          <w:color w:val="F07E31"/>
        </w:rPr>
        <w:t>(</w:t>
      </w:r>
      <w:r w:rsidR="004373C3">
        <w:rPr>
          <w:b/>
          <w:color w:val="F07E31"/>
        </w:rPr>
        <w:t xml:space="preserve">avsedd </w:t>
      </w:r>
      <w:r>
        <w:rPr>
          <w:b/>
          <w:color w:val="F07E31"/>
        </w:rPr>
        <w:t>främst för utvärderare):</w:t>
      </w:r>
      <w:r>
        <w:t xml:space="preserve"> innehåller metodiskt stöd för att bedöma de gemensamma effektindikatorerna i pelare II (</w:t>
      </w:r>
      <w:r w:rsidR="00742641">
        <w:t>sektors</w:t>
      </w:r>
      <w:r>
        <w:t>effekter, miljöeffekter och socioekonomiska effekter). I den här delen förklaras interventionslogik</w:t>
      </w:r>
      <w:r w:rsidR="00521F93">
        <w:t>en</w:t>
      </w:r>
      <w:r>
        <w:t xml:space="preserve">, användningen av ytterligare utvärderingselement, datakraven och bedömningsenheterna. Läsaren får vägledning för att välja den lämpligaste utvärderingsmetoden för att beräkna </w:t>
      </w:r>
      <w:r w:rsidR="00743E8D">
        <w:t>programmets nettobidrag</w:t>
      </w:r>
      <w:r>
        <w:t xml:space="preserve"> till värden</w:t>
      </w:r>
      <w:r w:rsidR="00743E8D">
        <w:t xml:space="preserve">a för </w:t>
      </w:r>
      <w:r>
        <w:t xml:space="preserve">effektindikatorerna för den gemensamma jordbrukspolitiken. I del II finns även förslag på metoder för att bedöma </w:t>
      </w:r>
      <w:r w:rsidR="00010AEA">
        <w:t xml:space="preserve">hur landsbygdsprogrammet bidrar till </w:t>
      </w:r>
      <w:r>
        <w:t>uppnå</w:t>
      </w:r>
      <w:r w:rsidR="00010AEA">
        <w:t>endet av</w:t>
      </w:r>
      <w:r>
        <w:t xml:space="preserve"> målen för EU 2020 om strategi och innovation. </w:t>
      </w:r>
    </w:p>
    <w:p w:rsidR="00DB5257" w:rsidRPr="001C6ACF" w:rsidRDefault="00AD2E14" w:rsidP="00DB5257">
      <w:pPr>
        <w:pStyle w:val="Hlistbullet"/>
        <w:spacing w:line="276" w:lineRule="auto"/>
      </w:pPr>
      <w:r>
        <w:rPr>
          <w:b/>
          <w:color w:val="F07E31"/>
        </w:rPr>
        <w:t>DEL III:</w:t>
      </w:r>
      <w:r>
        <w:rPr>
          <w:color w:val="F07E31"/>
        </w:rPr>
        <w:t xml:space="preserve"> </w:t>
      </w:r>
      <w:r>
        <w:t>Innehåller informationsblad för att besvara de gemensamma utvärderingsfrågorna 22–30.</w:t>
      </w:r>
    </w:p>
    <w:p w:rsidR="00CD63F6" w:rsidRPr="001C6ACF" w:rsidRDefault="00AD2E14" w:rsidP="00DB5257">
      <w:pPr>
        <w:pStyle w:val="Hlistbullet"/>
        <w:spacing w:line="276" w:lineRule="auto"/>
      </w:pPr>
      <w:r>
        <w:rPr>
          <w:b/>
          <w:color w:val="F07E31"/>
        </w:rPr>
        <w:lastRenderedPageBreak/>
        <w:t xml:space="preserve">DEL </w:t>
      </w:r>
      <w:r w:rsidR="00612732">
        <w:rPr>
          <w:b/>
          <w:color w:val="F07E31"/>
        </w:rPr>
        <w:t>I</w:t>
      </w:r>
      <w:r>
        <w:rPr>
          <w:b/>
          <w:color w:val="F07E31"/>
        </w:rPr>
        <w:t xml:space="preserve">V: </w:t>
      </w:r>
      <w:r>
        <w:t>Innehåller</w:t>
      </w:r>
      <w:r>
        <w:rPr>
          <w:b/>
        </w:rPr>
        <w:t xml:space="preserve"> </w:t>
      </w:r>
      <w:r>
        <w:t xml:space="preserve">den tekniska bilagan med </w:t>
      </w:r>
      <w:r w:rsidR="00755161">
        <w:t xml:space="preserve">mer </w:t>
      </w:r>
      <w:r>
        <w:t xml:space="preserve">detaljerad information om de olika metoderna för att bedöma effektindikatorerna för den gemensamma jordbrukspolitiken samt en termlista. </w:t>
      </w:r>
    </w:p>
    <w:p w:rsidR="00DB5257" w:rsidRPr="001C6ACF" w:rsidRDefault="00AD2E14" w:rsidP="00DB5257">
      <w:pPr>
        <w:pStyle w:val="HHeading1"/>
        <w:tabs>
          <w:tab w:val="clear" w:pos="474"/>
          <w:tab w:val="clear" w:pos="567"/>
        </w:tabs>
        <w:rPr>
          <w:sz w:val="28"/>
        </w:rPr>
      </w:pPr>
      <w:r>
        <w:rPr>
          <w:sz w:val="28"/>
        </w:rPr>
        <w:lastRenderedPageBreak/>
        <w:t>Vad ska rapporteras i utvärderingen av den årliga genomföranderapporten 2019? (Del I)</w:t>
      </w:r>
    </w:p>
    <w:p w:rsidR="00DB5257" w:rsidRPr="001C6ACF" w:rsidRDefault="00AD2E14" w:rsidP="00DB5257">
      <w:pPr>
        <w:pStyle w:val="HHeading2"/>
      </w:pPr>
      <w:r>
        <w:t xml:space="preserve">Rättslig ram och fokus för utvärderingen 2019 </w:t>
      </w:r>
    </w:p>
    <w:p w:rsidR="00DB5257" w:rsidRPr="00571D58" w:rsidRDefault="00AD2E14" w:rsidP="00DB5257">
      <w:pPr>
        <w:pStyle w:val="HStandard"/>
      </w:pPr>
      <w:r>
        <w:t>Med början i juni 2016 och varje år fram till 2024</w:t>
      </w:r>
      <w:r>
        <w:rPr>
          <w:rStyle w:val="FootnoteReference"/>
          <w:i w:val="0"/>
        </w:rPr>
        <w:footnoteReference w:id="3"/>
      </w:r>
      <w:r>
        <w:t xml:space="preserve"> lämnar medlemsstaterna in en genomföranderapport till Europeiska kommissionen. I genomföranderapporten finns information om </w:t>
      </w:r>
      <w:r w:rsidR="007F011F">
        <w:t xml:space="preserve">genomförandet </w:t>
      </w:r>
      <w:r>
        <w:t xml:space="preserve">av programmet för landsbygdsutveckling samt information om framstegen </w:t>
      </w:r>
      <w:r w:rsidR="00F159E5">
        <w:t xml:space="preserve">med </w:t>
      </w:r>
      <w:r>
        <w:t xml:space="preserve">att </w:t>
      </w:r>
      <w:r w:rsidR="007F011F">
        <w:t xml:space="preserve">genomföra </w:t>
      </w:r>
      <w:r>
        <w:t>utvärderingsplanen</w:t>
      </w:r>
      <w:r>
        <w:rPr>
          <w:rStyle w:val="FootnoteReference"/>
          <w:i w:val="0"/>
        </w:rPr>
        <w:footnoteReference w:id="4"/>
      </w:r>
      <w:r>
        <w:t xml:space="preserve">. </w:t>
      </w:r>
    </w:p>
    <w:p w:rsidR="00DB5257" w:rsidRPr="0036731C" w:rsidRDefault="00AD2E14" w:rsidP="00DB5257">
      <w:pPr>
        <w:pStyle w:val="HStandard"/>
      </w:pPr>
      <w:r>
        <w:t xml:space="preserve">Den </w:t>
      </w:r>
      <w:r>
        <w:rPr>
          <w:b/>
        </w:rPr>
        <w:t>årliga genomföranderapporten</w:t>
      </w:r>
      <w:r>
        <w:t xml:space="preserve"> </w:t>
      </w:r>
      <w:r>
        <w:rPr>
          <w:b/>
        </w:rPr>
        <w:t>2017</w:t>
      </w:r>
      <w:r>
        <w:t xml:space="preserve"> inkluderade kvantifiering av programresultat (genom bedömning av resultatindikatorer, inklusive kompletterande resultatindikatorer). Bedömningskriterierna användes för att tolka resultatindikatorer och för att besvara de gemensamma utvärderingsfrågorna</w:t>
      </w:r>
      <w:r>
        <w:rPr>
          <w:rStyle w:val="FootnoteReference"/>
          <w:i w:val="0"/>
        </w:rPr>
        <w:footnoteReference w:id="5"/>
      </w:r>
      <w:r>
        <w:t xml:space="preserve"> 1–21. </w:t>
      </w:r>
      <w:r w:rsidRPr="00EC3B03">
        <w:t>Riktlinjerna</w:t>
      </w:r>
      <w:r>
        <w:rPr>
          <w:i/>
        </w:rPr>
        <w:t xml:space="preserve"> </w:t>
      </w:r>
      <w:hyperlink r:id="rId14" w:history="1">
        <w:r w:rsidR="00EC3B03">
          <w:rPr>
            <w:rStyle w:val="Hyperlink"/>
            <w:i/>
          </w:rPr>
          <w:t>för 2017</w:t>
        </w:r>
      </w:hyperlink>
      <w:r>
        <w:t>, kan också vara ett stöd för arbetet eftersom de är relevanta även för bedömningen 2019.</w:t>
      </w:r>
      <w:r>
        <w:rPr>
          <w:rStyle w:val="FootnoteReference"/>
          <w:i w:val="0"/>
        </w:rPr>
        <w:footnoteReference w:id="6"/>
      </w:r>
      <w:r>
        <w:t xml:space="preserve"> </w:t>
      </w:r>
    </w:p>
    <w:p w:rsidR="00DB5257" w:rsidRPr="001C6ACF" w:rsidRDefault="00AD2E14" w:rsidP="00DB5257">
      <w:pPr>
        <w:pStyle w:val="HStandard"/>
      </w:pPr>
      <w:r>
        <w:t xml:space="preserve">I de </w:t>
      </w:r>
      <w:r>
        <w:rPr>
          <w:b/>
        </w:rPr>
        <w:t>årliga genomförandeplanerna</w:t>
      </w:r>
      <w:r>
        <w:t xml:space="preserve"> för </w:t>
      </w:r>
      <w:r>
        <w:rPr>
          <w:b/>
        </w:rPr>
        <w:t>2019</w:t>
      </w:r>
      <w:r>
        <w:t xml:space="preserve"> krävs en uppdatering av utvärderingsresultaten som rapporterades under 2017, och de ska </w:t>
      </w:r>
      <w:r>
        <w:rPr>
          <w:u w:val="single"/>
        </w:rPr>
        <w:t>dessutom</w:t>
      </w:r>
      <w:r>
        <w:t xml:space="preserve"> innehålla följande:</w:t>
      </w:r>
    </w:p>
    <w:p w:rsidR="00DB5257" w:rsidRPr="001C6ACF" w:rsidRDefault="00AD2E14" w:rsidP="00DB5257">
      <w:pPr>
        <w:pStyle w:val="Hlistbullet"/>
      </w:pPr>
      <w:r>
        <w:t xml:space="preserve">Resultaten från bedömningen av effekterna av landsbygdsprogrammen, som erhålls genom beräkning och tolkning av nettovärdet av effektindikatorerna för </w:t>
      </w:r>
      <w:r w:rsidR="00B52922">
        <w:t>d</w:t>
      </w:r>
      <w:r w:rsidR="001D39D0">
        <w:t>en gemensamma jordbrukspolitiken</w:t>
      </w:r>
      <w:r w:rsidR="00B52922">
        <w:t xml:space="preserve"> (</w:t>
      </w:r>
      <w:r>
        <w:t>GJP</w:t>
      </w:r>
      <w:r w:rsidR="00B52922">
        <w:t>)</w:t>
      </w:r>
      <w:r>
        <w:t xml:space="preserve">. </w:t>
      </w:r>
    </w:p>
    <w:p w:rsidR="00DB5257" w:rsidRPr="001C6ACF" w:rsidRDefault="00AD2E14" w:rsidP="00DB5257">
      <w:pPr>
        <w:pStyle w:val="Hlistbullet"/>
      </w:pPr>
      <w:r>
        <w:t>Landsbygdsprogrammens bidrag till EU 2020-strategin för en smart och hållbar tillväxt för alla, samt för s</w:t>
      </w:r>
      <w:r w:rsidR="007F3B18">
        <w:t>trategin för biologisk mångfald.</w:t>
      </w:r>
    </w:p>
    <w:p w:rsidR="00DB5257" w:rsidRPr="001C6ACF" w:rsidRDefault="007F3B18" w:rsidP="00DB5257">
      <w:pPr>
        <w:pStyle w:val="Hlistbullet"/>
      </w:pPr>
      <w:r>
        <w:t>S</w:t>
      </w:r>
      <w:r w:rsidR="00AD2E14">
        <w:t>varen på de gemensamma utvärderingsfrågorna för landsbygdsprogrammen 2014–2020, med hänsyn till målen på EU-nivå (t.ex. de gemensamma utvärderingsfrågorna 22–30).</w:t>
      </w:r>
    </w:p>
    <w:p w:rsidR="00DB5257" w:rsidRPr="0036731C" w:rsidRDefault="00AD2E14" w:rsidP="00DB5257">
      <w:pPr>
        <w:pStyle w:val="HStandard"/>
      </w:pPr>
      <w:r>
        <w:t>I följande bild visas en översikt av de främsta rapporteringskraven vid utvärdering i de årliga genomförandeplanerna under programperioden enligt den rättsliga ramen</w:t>
      </w:r>
      <w:r>
        <w:rPr>
          <w:rStyle w:val="FootnoteReference"/>
          <w:i w:val="0"/>
        </w:rPr>
        <w:footnoteReference w:id="7"/>
      </w:r>
      <w:r>
        <w:t xml:space="preserve"> samt relevant vägledning. </w:t>
      </w:r>
    </w:p>
    <w:p w:rsidR="00DB5257" w:rsidRPr="00FB6C06" w:rsidRDefault="00AD2E14" w:rsidP="00DB5257">
      <w:pPr>
        <w:pStyle w:val="HHeadingfigures"/>
        <w:tabs>
          <w:tab w:val="clear" w:pos="2666"/>
        </w:tabs>
      </w:pPr>
      <w:r>
        <w:lastRenderedPageBreak/>
        <w:t xml:space="preserve">Rapport om utvärdering (enligt bilaga VII till förordning (EU) nr 808/2014) </w:t>
      </w:r>
    </w:p>
    <w:p w:rsidR="00DB5257" w:rsidRPr="00571D58" w:rsidRDefault="00C9529C" w:rsidP="00DB5257">
      <w:pPr>
        <w:pStyle w:val="HStandard"/>
        <w:jc w:val="center"/>
      </w:pPr>
      <w:r>
        <w:rPr>
          <w:noProof/>
          <w:lang w:val="en-GB" w:eastAsia="en-GB"/>
        </w:rPr>
        <w:drawing>
          <wp:inline distT="0" distB="0" distL="0" distR="0">
            <wp:extent cx="5735320" cy="3211195"/>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5320" cy="3211195"/>
                    </a:xfrm>
                    <a:prstGeom prst="rect">
                      <a:avLst/>
                    </a:prstGeom>
                    <a:noFill/>
                    <a:ln>
                      <a:noFill/>
                    </a:ln>
                  </pic:spPr>
                </pic:pic>
              </a:graphicData>
            </a:graphic>
          </wp:inline>
        </w:drawing>
      </w:r>
    </w:p>
    <w:p w:rsidR="00DB5257" w:rsidRPr="007645B4" w:rsidRDefault="00AD2E14" w:rsidP="00DB5257">
      <w:pPr>
        <w:pStyle w:val="HSource"/>
        <w:rPr>
          <w:i w:val="0"/>
        </w:rPr>
      </w:pPr>
      <w:r>
        <w:t>Källa: Europeiska helpdesken för utvärdering av landsbygdsutveckling, (2018).</w:t>
      </w:r>
    </w:p>
    <w:p w:rsidR="00DB5257" w:rsidRPr="007645B4" w:rsidRDefault="00AD2E14" w:rsidP="00DB5257">
      <w:pPr>
        <w:pStyle w:val="HHeading4"/>
      </w:pPr>
      <w:r>
        <w:t xml:space="preserve">Den rättsliga ramen </w:t>
      </w:r>
    </w:p>
    <w:p w:rsidR="00DB5257" w:rsidRPr="001C6ACF" w:rsidRDefault="00AD2E14" w:rsidP="00DB5257">
      <w:pPr>
        <w:pStyle w:val="HStandard"/>
      </w:pPr>
      <w:r>
        <w:t xml:space="preserve">Den rättsliga ramen och det gemensamma uppföljnings- och utvärderingssystemet utgör grunden för utvärderingen av landsbygdsprogrammen. </w:t>
      </w:r>
    </w:p>
    <w:p w:rsidR="00DB5257" w:rsidRPr="00863E73" w:rsidRDefault="00AD2E14" w:rsidP="00DB5257">
      <w:pPr>
        <w:pStyle w:val="HStandard"/>
      </w:pPr>
      <w:r>
        <w:rPr>
          <w:b/>
        </w:rPr>
        <w:t>Den rättsliga ramen</w:t>
      </w:r>
      <w:r>
        <w:rPr>
          <w:rStyle w:val="FootnoteReference"/>
          <w:b/>
          <w:i w:val="0"/>
        </w:rPr>
        <w:footnoteReference w:id="8"/>
      </w:r>
      <w:r>
        <w:t xml:space="preserve"> är grunden för utvärderingen av landsbygdsprogrammens effekter och bidrag EU:s högre politiska mål. </w:t>
      </w:r>
    </w:p>
    <w:p w:rsidR="00DB5257" w:rsidRPr="001C6ACF" w:rsidRDefault="00AD2E14" w:rsidP="00DB5257">
      <w:pPr>
        <w:pStyle w:val="HStandard"/>
      </w:pPr>
      <w:r>
        <w:t xml:space="preserve">De </w:t>
      </w:r>
      <w:r>
        <w:rPr>
          <w:b/>
        </w:rPr>
        <w:t>allmänna bestämmelserna</w:t>
      </w:r>
      <w:r>
        <w:t xml:space="preserve"> för utvärderingarna anges i </w:t>
      </w:r>
      <w:r>
        <w:rPr>
          <w:b/>
        </w:rPr>
        <w:t>förordning (EU) nr 1303/2013</w:t>
      </w:r>
      <w:r>
        <w:t xml:space="preserve"> där syftet är att</w:t>
      </w:r>
    </w:p>
    <w:p w:rsidR="00DB5257" w:rsidRPr="001C6ACF" w:rsidRDefault="00AD2E14" w:rsidP="00DB5257">
      <w:pPr>
        <w:pStyle w:val="Hlistbullet"/>
      </w:pPr>
      <w:r>
        <w:t xml:space="preserve">förbättra programkvaliteten gällande utformning och genomförande, samt </w:t>
      </w:r>
    </w:p>
    <w:p w:rsidR="00DB5257" w:rsidRPr="00571D58" w:rsidRDefault="00AD2E14" w:rsidP="00DB5257">
      <w:pPr>
        <w:pStyle w:val="Hlistbullet"/>
      </w:pPr>
      <w:r>
        <w:t>att bedöma programmets effektivitet och verkan.</w:t>
      </w:r>
      <w:r>
        <w:rPr>
          <w:rStyle w:val="FootnoteReference"/>
          <w:i w:val="0"/>
        </w:rPr>
        <w:footnoteReference w:id="9"/>
      </w:r>
      <w:r>
        <w:t xml:space="preserve"> </w:t>
      </w:r>
    </w:p>
    <w:p w:rsidR="00DB5257" w:rsidRPr="001C6ACF" w:rsidRDefault="00AD2E14" w:rsidP="00DB5257">
      <w:pPr>
        <w:pStyle w:val="HStandard"/>
      </w:pPr>
      <w:r>
        <w:t xml:space="preserve">Medlemsstaterna ska tillhandahålla </w:t>
      </w:r>
      <w:r>
        <w:rPr>
          <w:b/>
        </w:rPr>
        <w:t>de resurser som krävs för att genomföra utvärderingarna</w:t>
      </w:r>
      <w:r>
        <w:t xml:space="preserve">, och säkerställa att förfaranden finns för att </w:t>
      </w:r>
      <w:r>
        <w:rPr>
          <w:b/>
        </w:rPr>
        <w:t>ta fram och samla in de uppgifter som krävs för utvärderingar</w:t>
      </w:r>
      <w:r>
        <w:t xml:space="preserve">, inklusive uppgifter rörande allmänna och, där så är lämpligt, programspecifika indikatorer. </w:t>
      </w:r>
    </w:p>
    <w:p w:rsidR="00DB5257" w:rsidRPr="00571D58" w:rsidRDefault="00AD2E14" w:rsidP="00DB5257">
      <w:pPr>
        <w:pStyle w:val="HStandard"/>
      </w:pPr>
      <w:r>
        <w:t xml:space="preserve">Utvärdering ska genomföras enligt </w:t>
      </w:r>
      <w:r>
        <w:rPr>
          <w:b/>
        </w:rPr>
        <w:t>utvärderingsplanen</w:t>
      </w:r>
      <w:r>
        <w:t xml:space="preserve"> och resultaten ska följas upp enligt de fondspecifika reglerna. Åtminstone en gång under programperioden ska man med hjälp av en utvärdering bedöma hur stödet från de europeiska struktur- och investeringsfonderna har medverkat till målen för varje insatsområde.</w:t>
      </w:r>
      <w:r>
        <w:rPr>
          <w:rStyle w:val="FootnoteReference"/>
          <w:i w:val="0"/>
        </w:rPr>
        <w:footnoteReference w:id="10"/>
      </w:r>
    </w:p>
    <w:p w:rsidR="00DB5257" w:rsidRPr="00571D58" w:rsidRDefault="00AD2E14" w:rsidP="00DB5257">
      <w:pPr>
        <w:pStyle w:val="HStandard"/>
      </w:pPr>
      <w:r>
        <w:t xml:space="preserve">I </w:t>
      </w:r>
      <w:r>
        <w:rPr>
          <w:b/>
        </w:rPr>
        <w:t>förordning (EU) nr 1306/2013</w:t>
      </w:r>
      <w:r>
        <w:t xml:space="preserve"> anges övervaknings- och utvärderingskraven för den gemensamma jordbrukspolitiken (GJP).</w:t>
      </w:r>
      <w:r>
        <w:rPr>
          <w:rStyle w:val="FootnoteReference"/>
          <w:i w:val="0"/>
        </w:rPr>
        <w:footnoteReference w:id="11"/>
      </w:r>
      <w:r>
        <w:t xml:space="preserve"> I förordningen fastställs att Europeiska kommissionen ska säkerställa att den gemensamma jordbrukspolitiken fungerar och uppnår de </w:t>
      </w:r>
      <w:r>
        <w:rPr>
          <w:b/>
        </w:rPr>
        <w:t>gemensamma målen.</w:t>
      </w:r>
      <w:r>
        <w:t xml:space="preserve"> Den kombinerade effekten av alla instrument inom den gemensamma jordbrukspolitiken mäts och bedöms på grundval av informationen från medlemsstaternas övervakning och utvärdering.</w:t>
      </w:r>
      <w:r>
        <w:rPr>
          <w:b/>
        </w:rPr>
        <w:t xml:space="preserve"> </w:t>
      </w:r>
      <w:r>
        <w:t xml:space="preserve">Gemensamma </w:t>
      </w:r>
      <w:r>
        <w:lastRenderedPageBreak/>
        <w:t xml:space="preserve">mål ska bedömas med </w:t>
      </w:r>
      <w:r>
        <w:rPr>
          <w:b/>
        </w:rPr>
        <w:t>gemensamma effektindikatorer</w:t>
      </w:r>
      <w:r>
        <w:t xml:space="preserve">, medan de bakomliggande särskilda målen ska bedömas med </w:t>
      </w:r>
      <w:r>
        <w:rPr>
          <w:b/>
        </w:rPr>
        <w:t>gemensamma</w:t>
      </w:r>
      <w:r>
        <w:t xml:space="preserve"> </w:t>
      </w:r>
      <w:r>
        <w:rPr>
          <w:b/>
        </w:rPr>
        <w:t>resultatindikatorer</w:t>
      </w:r>
      <w:r>
        <w:t>. Sådan information ska grundas på etablerade informationskällor, t.ex. informationssystemet för jordbruksföretagens redovisningsuppgifter och Eurostat. Europeiska kommissionen ska ta hänsyn till databehovet och synergieffekterna mellan potentiella uppgiftskällor, i synnerhet deras användning för statistiska ändamål när så är lämpligt.</w:t>
      </w:r>
      <w:r>
        <w:rPr>
          <w:rStyle w:val="FootnoteReference"/>
          <w:i w:val="0"/>
        </w:rPr>
        <w:footnoteReference w:id="12"/>
      </w:r>
    </w:p>
    <w:p w:rsidR="00DB5257" w:rsidRPr="001C6ACF" w:rsidRDefault="00AD2E14" w:rsidP="00DB5257">
      <w:pPr>
        <w:pStyle w:val="HStandard"/>
      </w:pPr>
      <w:r>
        <w:t xml:space="preserve">I </w:t>
      </w:r>
      <w:r>
        <w:rPr>
          <w:b/>
        </w:rPr>
        <w:t>förordning (EU) nr 1305/2013 fastställs</w:t>
      </w:r>
      <w:r>
        <w:t xml:space="preserve"> </w:t>
      </w:r>
      <w:r>
        <w:rPr>
          <w:b/>
        </w:rPr>
        <w:t>ett gemensamt övervaknings- och utvärderingssystem</w:t>
      </w:r>
      <w:r>
        <w:t>, dess mål</w:t>
      </w:r>
      <w:r>
        <w:rPr>
          <w:rStyle w:val="FootnoteReference"/>
          <w:i w:val="0"/>
        </w:rPr>
        <w:footnoteReference w:id="13"/>
      </w:r>
      <w:r>
        <w:t xml:space="preserve"> och de gemensamma indikatorerna</w:t>
      </w:r>
      <w:r>
        <w:rPr>
          <w:rStyle w:val="FootnoteReference"/>
          <w:i w:val="0"/>
        </w:rPr>
        <w:footnoteReference w:id="14"/>
      </w:r>
      <w:r>
        <w:t>. Dessa indikatorer hänför sig till såväl utgångssituationen (kontextindikatorer) som programmets finansiella genomförande, utfall, resultat och effekt. De gemensamma indikatorerna ska baseras på tillgängliga data och vara kopplade till strukturen och målen för den politiska ramen för landsbygdsutveckling och ska göra det möjligt att utvärdera utveckling, effektivitet och ändamålsenlighet när det gäller politikens genomförande i förhållande till syften och mål på unionsnivå, nationell nivå och programnivå.</w:t>
      </w:r>
    </w:p>
    <w:p w:rsidR="00DB5257" w:rsidRPr="001C6ACF" w:rsidRDefault="00AD2E14" w:rsidP="00DB5257">
      <w:pPr>
        <w:pStyle w:val="HStandard"/>
        <w:rPr>
          <w:b/>
        </w:rPr>
      </w:pPr>
      <w:r>
        <w:t xml:space="preserve">Effekterna av landsbygdsprogrammen bedöms med hjälp av gemensamma (samt kompletterande och programspecifika) effektindikatorer. </w:t>
      </w:r>
      <w:r>
        <w:rPr>
          <w:b/>
        </w:rPr>
        <w:t>Ansvaret för bedömningen</w:t>
      </w:r>
      <w:r>
        <w:t xml:space="preserve"> </w:t>
      </w:r>
      <w:r>
        <w:rPr>
          <w:b/>
        </w:rPr>
        <w:t xml:space="preserve">av programmets effekter ligger på medlemsstaterna. </w:t>
      </w:r>
    </w:p>
    <w:p w:rsidR="00DB5257" w:rsidRPr="001C6ACF" w:rsidRDefault="00AD2E14" w:rsidP="00DB5257">
      <w:pPr>
        <w:pStyle w:val="HHeading4"/>
      </w:pPr>
      <w:r>
        <w:t>De gemensamma utvärderingsfaktorerna</w:t>
      </w:r>
    </w:p>
    <w:p w:rsidR="00DB5257" w:rsidRPr="00CB20AA" w:rsidRDefault="00AD2E14" w:rsidP="00DB5257">
      <w:pPr>
        <w:pStyle w:val="HStandard"/>
      </w:pPr>
      <w:r>
        <w:t>Det gemensamma övervaknings- och utvärderingssystemet är en del av den gemensamma ramen för övervakning och utvärdering av den gemensamma jordbrukspolitiken</w:t>
      </w:r>
      <w:r>
        <w:rPr>
          <w:rStyle w:val="FootnoteReference"/>
          <w:i w:val="0"/>
        </w:rPr>
        <w:footnoteReference w:id="15"/>
      </w:r>
      <w:r>
        <w:t xml:space="preserve"> och omfattar flera vägledande dokument om hur de gemensamma utvärderingsfrågorna och -indikatorerna ska användas vid övervakning och utvärdering av landsbygdsutvecklingspolitiken. I kommissionens </w:t>
      </w:r>
      <w:r>
        <w:rPr>
          <w:b/>
        </w:rPr>
        <w:t>genomförandeförordning (EU) nr 808/2014</w:t>
      </w:r>
      <w:r>
        <w:rPr>
          <w:rStyle w:val="FootnoteReference"/>
          <w:b/>
          <w:i w:val="0"/>
        </w:rPr>
        <w:footnoteReference w:id="16"/>
      </w:r>
      <w:r>
        <w:rPr>
          <w:b/>
        </w:rPr>
        <w:t xml:space="preserve"> </w:t>
      </w:r>
      <w:r>
        <w:t xml:space="preserve">beskrivs det gemensamma övervaknings- och utvärderingssystemet mer i detalj samtidigt som delarna specificeras: </w:t>
      </w:r>
    </w:p>
    <w:p w:rsidR="00DB5257" w:rsidRPr="00FB6C06" w:rsidRDefault="00AD2E14" w:rsidP="00DB5257">
      <w:pPr>
        <w:pStyle w:val="Hlistbullet"/>
      </w:pPr>
      <w:r>
        <w:t xml:space="preserve">En interventionslogik som visar samspelet mellan prioriteringar, fokusområden och åtgärder. </w:t>
      </w:r>
    </w:p>
    <w:p w:rsidR="00DB5257" w:rsidRPr="00571D58" w:rsidRDefault="00AD2E14" w:rsidP="00DB5257">
      <w:pPr>
        <w:pStyle w:val="Hlistbullet"/>
      </w:pPr>
      <w:r>
        <w:t>En uppsättning gemensamma kontext-, resultat- och utfallsindikatorer, inklusive indikatorer som ska användas för att fastställa kvantifierade mål i förhållande till fokusområden för landsbygdsutveckling.</w:t>
      </w:r>
      <w:r>
        <w:rPr>
          <w:rStyle w:val="FootnoteReference"/>
          <w:i w:val="0"/>
        </w:rPr>
        <w:footnoteReference w:id="17"/>
      </w:r>
      <w:r>
        <w:t xml:space="preserve"> </w:t>
      </w:r>
    </w:p>
    <w:p w:rsidR="00DB5257" w:rsidRPr="00571D58" w:rsidRDefault="00AD2E14" w:rsidP="00DB5257">
      <w:pPr>
        <w:pStyle w:val="Hlistbullet"/>
      </w:pPr>
      <w:r>
        <w:t>Gemensamma utvärderingsfrågor.</w:t>
      </w:r>
      <w:r>
        <w:rPr>
          <w:rStyle w:val="FootnoteReference"/>
          <w:i w:val="0"/>
        </w:rPr>
        <w:footnoteReference w:id="18"/>
      </w:r>
    </w:p>
    <w:p w:rsidR="00DB5257" w:rsidRPr="00FB6C06" w:rsidRDefault="00AD2E14" w:rsidP="00DB5257">
      <w:pPr>
        <w:pStyle w:val="Hlistbullet"/>
      </w:pPr>
      <w:r>
        <w:t xml:space="preserve">Datainsamling, lagring och översändande. </w:t>
      </w:r>
    </w:p>
    <w:p w:rsidR="00DB5257" w:rsidRPr="00571D58" w:rsidRDefault="00AD2E14" w:rsidP="00DB5257">
      <w:pPr>
        <w:pStyle w:val="Hlistbullet"/>
      </w:pPr>
      <w:r>
        <w:t>Regelbunden rapportering om uppföljnings- och utvärderingsverksamhet.</w:t>
      </w:r>
      <w:r>
        <w:rPr>
          <w:rStyle w:val="FootnoteReference"/>
          <w:i w:val="0"/>
        </w:rPr>
        <w:footnoteReference w:id="19"/>
      </w:r>
      <w:r>
        <w:t xml:space="preserve"> </w:t>
      </w:r>
    </w:p>
    <w:p w:rsidR="00DB5257" w:rsidRPr="00571D58" w:rsidRDefault="00AD2E14" w:rsidP="00DB5257">
      <w:pPr>
        <w:pStyle w:val="Hlistbullet"/>
      </w:pPr>
      <w:r>
        <w:t>Utvärderingsplanen.</w:t>
      </w:r>
      <w:r>
        <w:rPr>
          <w:rStyle w:val="FootnoteReference"/>
          <w:i w:val="0"/>
        </w:rPr>
        <w:footnoteReference w:id="20"/>
      </w:r>
      <w:r>
        <w:t xml:space="preserve"> </w:t>
      </w:r>
    </w:p>
    <w:p w:rsidR="00DB5257" w:rsidRPr="00571D58" w:rsidRDefault="00AD2E14" w:rsidP="00DB5257">
      <w:pPr>
        <w:pStyle w:val="Hlistbullet"/>
      </w:pPr>
      <w:r>
        <w:t>Förhands- och efterhandsutvärderingar och all annan utvärderingsverksamhet kopplad till landsbygdsprogrammet, inklusive sådan som krävs för att uppfylla de ökade behoven för de årliga genomföranderapporterna för 2017 och 2019.</w:t>
      </w:r>
      <w:r>
        <w:rPr>
          <w:rStyle w:val="FootnoteReference"/>
          <w:i w:val="0"/>
        </w:rPr>
        <w:footnoteReference w:id="21"/>
      </w:r>
    </w:p>
    <w:p w:rsidR="00DB5257" w:rsidRPr="00571D58" w:rsidRDefault="00AD2E14" w:rsidP="00DB5257">
      <w:pPr>
        <w:pStyle w:val="Hlistbullet"/>
      </w:pPr>
      <w:r>
        <w:t>Stöd så att det är möjligt för alla aktörer som ansvarar för uppföljning och utvärdering att fullgöra sina skyldigheter.</w:t>
      </w:r>
      <w:r>
        <w:rPr>
          <w:rStyle w:val="FootnoteReference"/>
          <w:i w:val="0"/>
        </w:rPr>
        <w:footnoteReference w:id="22"/>
      </w:r>
      <w:r>
        <w:t xml:space="preserve"> </w:t>
      </w:r>
    </w:p>
    <w:p w:rsidR="00DB5257" w:rsidRPr="00CB20AA" w:rsidRDefault="00AD2E14" w:rsidP="00DB5257">
      <w:pPr>
        <w:pStyle w:val="HStandard"/>
      </w:pPr>
      <w:r>
        <w:t xml:space="preserve">Europeiska kommissionen tillhandahöll även detaljerade </w:t>
      </w:r>
      <w:r>
        <w:rPr>
          <w:b/>
        </w:rPr>
        <w:t xml:space="preserve">informationsblad </w:t>
      </w:r>
      <w:r>
        <w:t xml:space="preserve">för var och en av de gemensamma indikatorerna som ska rapporteras i den genomföranderapport som lämnas in 2017 och 2019. Bland dessa finns 16 gemensamma </w:t>
      </w:r>
      <w:r w:rsidR="004077A5">
        <w:fldChar w:fldCharType="begin"/>
      </w:r>
      <w:r w:rsidR="004077A5">
        <w:instrText xml:space="preserve"> HYPERLINK "https://ec.europa.eu/agriculture/sites/agriculture/files/cap-indicators/impact/impact-indicators-fiches.pd</w:instrText>
      </w:r>
      <w:r w:rsidR="004077A5">
        <w:instrText xml:space="preserve">f" </w:instrText>
      </w:r>
      <w:r w:rsidR="004077A5">
        <w:fldChar w:fldCharType="separate"/>
      </w:r>
      <w:r>
        <w:rPr>
          <w:rStyle w:val="Hyperlink"/>
        </w:rPr>
        <w:t>effektindikatorer för GJP</w:t>
      </w:r>
      <w:r w:rsidR="004077A5">
        <w:rPr>
          <w:rStyle w:val="Hyperlink"/>
        </w:rPr>
        <w:fldChar w:fldCharType="end"/>
      </w:r>
      <w:r>
        <w:t xml:space="preserve">. </w:t>
      </w:r>
      <w:r>
        <w:rPr>
          <w:b/>
        </w:rPr>
        <w:t>Varje informationsblad för effektindikatorerna</w:t>
      </w:r>
      <w:r>
        <w:t xml:space="preserve"> innehåller en länk till följande:</w:t>
      </w:r>
    </w:p>
    <w:p w:rsidR="00DB5257" w:rsidRPr="001C6ACF" w:rsidRDefault="00AD2E14" w:rsidP="00DB5257">
      <w:pPr>
        <w:pStyle w:val="Hlistbullet"/>
      </w:pPr>
      <w:r>
        <w:lastRenderedPageBreak/>
        <w:t xml:space="preserve">Respektive politiskt mål </w:t>
      </w:r>
    </w:p>
    <w:p w:rsidR="00DB5257" w:rsidRPr="001C6ACF" w:rsidRDefault="00AD2E14" w:rsidP="00DB5257">
      <w:pPr>
        <w:pStyle w:val="Hlistbullet"/>
      </w:pPr>
      <w:r>
        <w:t xml:space="preserve">Definition av indikatorn </w:t>
      </w:r>
    </w:p>
    <w:p w:rsidR="00DB5257" w:rsidRPr="001C6ACF" w:rsidRDefault="00AD2E14" w:rsidP="00DB5257">
      <w:pPr>
        <w:pStyle w:val="Hlistbullet"/>
      </w:pPr>
      <w:r>
        <w:t xml:space="preserve">Måttenhet </w:t>
      </w:r>
    </w:p>
    <w:p w:rsidR="00DB5257" w:rsidRPr="001C6ACF" w:rsidRDefault="00AD2E14" w:rsidP="00DB5257">
      <w:pPr>
        <w:pStyle w:val="Hlistbullet"/>
      </w:pPr>
      <w:r>
        <w:t xml:space="preserve">Metod/formel för beräkningen </w:t>
      </w:r>
    </w:p>
    <w:p w:rsidR="00DB5257" w:rsidRPr="001C6ACF" w:rsidRDefault="00AD2E14" w:rsidP="00DB5257">
      <w:pPr>
        <w:pStyle w:val="Hlistbullet"/>
      </w:pPr>
      <w:r>
        <w:t xml:space="preserve">Uppgifter som krävs samt uppgiftskällor </w:t>
      </w:r>
    </w:p>
    <w:p w:rsidR="00DB5257" w:rsidRPr="001C6ACF" w:rsidRDefault="00AD2E14" w:rsidP="00DB5257">
      <w:pPr>
        <w:pStyle w:val="Hlistbullet"/>
      </w:pPr>
      <w:r>
        <w:t xml:space="preserve">Datainsamlingens nivå och frekvens </w:t>
      </w:r>
    </w:p>
    <w:p w:rsidR="00DB5257" w:rsidRPr="001C6ACF" w:rsidRDefault="00AD2E14" w:rsidP="00DB5257">
      <w:pPr>
        <w:pStyle w:val="Hlistbullet"/>
      </w:pPr>
      <w:r>
        <w:t xml:space="preserve">Information om förseningar i datainsamlingen. </w:t>
      </w:r>
    </w:p>
    <w:p w:rsidR="00DB5257" w:rsidRPr="001C6ACF" w:rsidRDefault="00AD2E14" w:rsidP="00DB5257">
      <w:pPr>
        <w:pStyle w:val="HStandard"/>
      </w:pPr>
      <w:r>
        <w:rPr>
          <w:b/>
        </w:rPr>
        <w:t>13 av 16 gemensamma effektindikatorer för GJP</w:t>
      </w:r>
      <w:r>
        <w:t xml:space="preserve"> ska användas vid bedömningen av effekterna av landsbygdsprogrammet:</w:t>
      </w:r>
    </w:p>
    <w:p w:rsidR="00DB5257" w:rsidRPr="001C6ACF" w:rsidRDefault="00AD2E14" w:rsidP="00DB5257">
      <w:pPr>
        <w:pStyle w:val="Hlistbullet"/>
      </w:pPr>
      <w:r>
        <w:t>I.01 Jordbrukets företagsinkomst</w:t>
      </w:r>
    </w:p>
    <w:p w:rsidR="00DB5257" w:rsidRPr="001C6ACF" w:rsidRDefault="00AD2E14" w:rsidP="00DB5257">
      <w:pPr>
        <w:pStyle w:val="Hlistbullet"/>
      </w:pPr>
      <w:r>
        <w:t>I.02 Jordbrukets faktorinkomst</w:t>
      </w:r>
    </w:p>
    <w:p w:rsidR="00DB5257" w:rsidRPr="001C6ACF" w:rsidRDefault="00AD2E14" w:rsidP="00DB5257">
      <w:pPr>
        <w:pStyle w:val="Hlistbullet"/>
      </w:pPr>
      <w:r>
        <w:t>I.03 Jordbrukets sammanlagda faktorproduktivitet</w:t>
      </w:r>
    </w:p>
    <w:p w:rsidR="00DB5257" w:rsidRPr="001C6ACF" w:rsidRDefault="00AD2E14" w:rsidP="00DB5257">
      <w:pPr>
        <w:pStyle w:val="Hlistbullet"/>
      </w:pPr>
      <w:r>
        <w:t>I.07 Utsläpp från jordbruket</w:t>
      </w:r>
    </w:p>
    <w:p w:rsidR="00DB5257" w:rsidRPr="001C6ACF" w:rsidRDefault="00AD2E14" w:rsidP="00DB5257">
      <w:pPr>
        <w:pStyle w:val="Hlistbullet"/>
      </w:pPr>
      <w:r>
        <w:t>I.08 Index över odlingslandskapets fåglar</w:t>
      </w:r>
    </w:p>
    <w:p w:rsidR="00DB5257" w:rsidRPr="001C6ACF" w:rsidRDefault="00AD2E14" w:rsidP="00DB5257">
      <w:pPr>
        <w:pStyle w:val="Hlistbullet"/>
      </w:pPr>
      <w:r>
        <w:t>I.09 Jordbruk med högt naturvärde</w:t>
      </w:r>
    </w:p>
    <w:p w:rsidR="00DB5257" w:rsidRPr="001C6ACF" w:rsidRDefault="00AD2E14" w:rsidP="00DB5257">
      <w:pPr>
        <w:pStyle w:val="Hlistbullet"/>
      </w:pPr>
      <w:r>
        <w:t>I.10 Uttag av vatten för jordbruk</w:t>
      </w:r>
    </w:p>
    <w:p w:rsidR="00DB5257" w:rsidRPr="001C6ACF" w:rsidRDefault="00AD2E14" w:rsidP="00DB5257">
      <w:pPr>
        <w:pStyle w:val="Hlistbullet"/>
      </w:pPr>
      <w:r>
        <w:t>I.11 Vattenkvalitet</w:t>
      </w:r>
    </w:p>
    <w:p w:rsidR="00DB5257" w:rsidRPr="001C6ACF" w:rsidRDefault="00AD2E14" w:rsidP="00DB5257">
      <w:pPr>
        <w:pStyle w:val="Hlistbullet"/>
      </w:pPr>
      <w:r>
        <w:t>I.12 Organiskt material i åkermark</w:t>
      </w:r>
    </w:p>
    <w:p w:rsidR="00DB5257" w:rsidRPr="001C6ACF" w:rsidRDefault="00AD2E14" w:rsidP="00DB5257">
      <w:pPr>
        <w:pStyle w:val="Hlistbullet"/>
      </w:pPr>
      <w:r>
        <w:t>I.13 Markerosion på grund av vatten</w:t>
      </w:r>
    </w:p>
    <w:p w:rsidR="00DB5257" w:rsidRPr="001C6ACF" w:rsidRDefault="00AD2E14" w:rsidP="00DB5257">
      <w:pPr>
        <w:pStyle w:val="Hlistbullet"/>
      </w:pPr>
      <w:r>
        <w:t>I.14 Sysselsättningsgrad inom jordbruket</w:t>
      </w:r>
    </w:p>
    <w:p w:rsidR="00DB5257" w:rsidRPr="00013DFC" w:rsidRDefault="00AD2E14" w:rsidP="00DB5257">
      <w:pPr>
        <w:pStyle w:val="Hlistbullet"/>
        <w:rPr>
          <w:lang w:val="nn-NO"/>
        </w:rPr>
      </w:pPr>
      <w:r w:rsidRPr="00013DFC">
        <w:rPr>
          <w:lang w:val="nn-NO"/>
        </w:rPr>
        <w:t>I.15 Nivå av fattigdom på landsbygden</w:t>
      </w:r>
    </w:p>
    <w:p w:rsidR="00DB5257" w:rsidRPr="001C6ACF" w:rsidRDefault="00AD2E14" w:rsidP="00DB5257">
      <w:pPr>
        <w:pStyle w:val="Hlistbullet"/>
      </w:pPr>
      <w:r>
        <w:t>I.16 BNP per capita på landsbygden</w:t>
      </w:r>
    </w:p>
    <w:p w:rsidR="00DB5257" w:rsidRPr="001C6ACF" w:rsidRDefault="00AD2E14" w:rsidP="00DB5257">
      <w:pPr>
        <w:pStyle w:val="HHeading2"/>
      </w:pPr>
      <w:r>
        <w:t xml:space="preserve"> Hur ska de gemensamma utvärderingsfrågorna rapporteras 2019?</w:t>
      </w:r>
    </w:p>
    <w:p w:rsidR="00DB5257" w:rsidRPr="001C6ACF" w:rsidRDefault="00AD2E14" w:rsidP="00DB5257">
      <w:pPr>
        <w:pStyle w:val="HStandard"/>
      </w:pPr>
      <w:r>
        <w:t xml:space="preserve">Under 2019 rapporterar medlemsstaterna sina utvärderingsresultat genom att svara på alla relevanta gemensamma och programspecifika utvärderingsfrågor i respektive avsnitt av genomföranderapporten. </w:t>
      </w:r>
    </w:p>
    <w:p w:rsidR="00DB5257" w:rsidRPr="001C6ACF" w:rsidRDefault="00AD2E14" w:rsidP="00DB5257">
      <w:pPr>
        <w:pStyle w:val="HStandard"/>
      </w:pPr>
      <w:r>
        <w:t xml:space="preserve">På samma sätt som för de gemensamma utvärderingsfrågorna 1–21 ska svaren på de gemensamma utvärderingsfrågorna som gäller målen på EU-nivå (frågorna 22–30) baseras på uppgifter från utvärderingsresultaten. Bedömningen av </w:t>
      </w:r>
      <w:r w:rsidR="00F159E5">
        <w:t xml:space="preserve">hur framgångsrika insatserna varit </w:t>
      </w:r>
      <w:r>
        <w:t>formuleras med hjälp av bedömningskriterier och mäts med gemensamma och kompletterande indikatorer samt med indikatorer som är kopplade till EU:s strategi för en smart och hållbar tillväxt för alla. Utöver detta kan kvalitativ information samlas in för att besvara utvärderingsfrågorna om uppgifterna inte räcker till.</w:t>
      </w:r>
    </w:p>
    <w:p w:rsidR="00DB5257" w:rsidRPr="001C6ACF" w:rsidRDefault="00AD2E14" w:rsidP="00DB5257">
      <w:pPr>
        <w:pStyle w:val="HHeading4"/>
      </w:pPr>
      <w:r>
        <w:t>Vilka är de gemensamma stegen för att besvara utvärderingsfrågorna?</w:t>
      </w:r>
    </w:p>
    <w:p w:rsidR="00DB5257" w:rsidRPr="001C6ACF" w:rsidRDefault="00AD2E14" w:rsidP="00DB5257">
      <w:pPr>
        <w:pStyle w:val="HStandard"/>
        <w:rPr>
          <w:rFonts w:cs="Arial"/>
        </w:rPr>
      </w:pPr>
      <w:r>
        <w:t>Följande gemensamma steg rekommenderas för att utveckla svaren på utvärderingsfrågorna 22–30:</w:t>
      </w:r>
    </w:p>
    <w:p w:rsidR="00DB5257" w:rsidRPr="001C6ACF" w:rsidRDefault="00AD2E14" w:rsidP="00DB5257">
      <w:pPr>
        <w:pStyle w:val="Hlistbullet"/>
      </w:pPr>
      <w:r>
        <w:t>Granska programmets interventionslogik som är kopplad till respektive gemensam utvärderingsfrågas GJP-mål/strategiska mål för EU 2020, prioriteringar för landsbygdsutveckling, fokusområden och åtgärder.</w:t>
      </w:r>
    </w:p>
    <w:p w:rsidR="00DB5257" w:rsidRPr="001C6ACF" w:rsidRDefault="00AD2E14" w:rsidP="00DB5257">
      <w:pPr>
        <w:pStyle w:val="Hlistbullet"/>
      </w:pPr>
      <w:r>
        <w:t xml:space="preserve">Fastställ bedömningskriterier och koppla dem till gemensamma (och kompletterande) effektindikatorer som krävs för att besvara utvärderingsfrågan. </w:t>
      </w:r>
    </w:p>
    <w:p w:rsidR="00DB5257" w:rsidRPr="00863E73" w:rsidRDefault="00AD2E14" w:rsidP="00DB5257">
      <w:pPr>
        <w:pStyle w:val="Hlistbullet"/>
      </w:pPr>
      <w:r>
        <w:t>Välj kvantitativa och kvalitativa metoder för att bedöma effektindikatorernas nettovärden</w:t>
      </w:r>
      <w:r>
        <w:rPr>
          <w:rStyle w:val="FootnoteReference"/>
          <w:i w:val="0"/>
          <w:position w:val="0"/>
          <w:sz w:val="20"/>
          <w:vertAlign w:val="superscript"/>
        </w:rPr>
        <w:footnoteReference w:id="23"/>
      </w:r>
      <w:r>
        <w:rPr>
          <w:vertAlign w:val="superscript"/>
        </w:rPr>
        <w:t xml:space="preserve"> </w:t>
      </w:r>
      <w:r>
        <w:t>.</w:t>
      </w:r>
    </w:p>
    <w:p w:rsidR="00DB5257" w:rsidRPr="001C6ACF" w:rsidRDefault="00AD2E14" w:rsidP="00DB5257">
      <w:pPr>
        <w:pStyle w:val="Hlistbullet"/>
      </w:pPr>
      <w:r>
        <w:t xml:space="preserve">Ange kvantitativa värden för resultat- och effektindikatorerna, samt relevanta kvalitativa resultat för att besvara utvärderingsfrågorna. </w:t>
      </w:r>
    </w:p>
    <w:p w:rsidR="00DB5257" w:rsidRPr="001C6ACF" w:rsidRDefault="00AD2E14" w:rsidP="00DB5257">
      <w:pPr>
        <w:pStyle w:val="Hlistbullet"/>
      </w:pPr>
      <w:r>
        <w:t>Svara på utvärderingsfrågorna.</w:t>
      </w:r>
    </w:p>
    <w:p w:rsidR="00DB5257" w:rsidRPr="001C6ACF" w:rsidRDefault="00AD2E14" w:rsidP="00DB5257">
      <w:pPr>
        <w:pStyle w:val="HStandard"/>
      </w:pPr>
      <w:r>
        <w:lastRenderedPageBreak/>
        <w:t xml:space="preserve">Stegen ovan liknar de som föreslogs vid utvärderingen 2017. 2019 innebär dock några nya utmaningar, som förklaras i detalj i </w:t>
      </w:r>
      <w:r>
        <w:rPr>
          <w:color w:val="F07E31"/>
        </w:rPr>
        <w:t>del II</w:t>
      </w:r>
      <w:r>
        <w:t xml:space="preserve"> i riktlinjerna. </w:t>
      </w:r>
    </w:p>
    <w:p w:rsidR="00DB5257" w:rsidRPr="001C6ACF" w:rsidRDefault="00AD2E14" w:rsidP="00DB5257">
      <w:pPr>
        <w:pStyle w:val="HHeading4"/>
      </w:pPr>
      <w:r>
        <w:t xml:space="preserve">Var finns vägledning för de utvärderingsfrågor som ska besvaras 2019? </w:t>
      </w:r>
    </w:p>
    <w:p w:rsidR="00DB5257" w:rsidRPr="001C6ACF" w:rsidRDefault="00AD2E14" w:rsidP="00DB5257">
      <w:pPr>
        <w:pStyle w:val="HStandard"/>
      </w:pPr>
      <w:r>
        <w:t xml:space="preserve">De aktuella riktlinjerna innehåller detaljerad information om hur man besvarar de gemensamma utvärderingsfrågorna som är kopplade till målen på EU-nivå, 22–30. Vid behov hänvisar riktlinjerna till andra relevanta riktlinjer, enligt tabell 1. </w:t>
      </w:r>
    </w:p>
    <w:p w:rsidR="00DB5257" w:rsidRPr="001C6ACF" w:rsidRDefault="00AD2E14" w:rsidP="00DB5257">
      <w:pPr>
        <w:spacing w:after="0" w:line="280" w:lineRule="atLeast"/>
        <w:rPr>
          <w:rFonts w:cs="Arial"/>
          <w:color w:val="373737"/>
          <w:sz w:val="20"/>
          <w:szCs w:val="20"/>
        </w:rPr>
      </w:pPr>
      <w:r>
        <w:rPr>
          <w:color w:val="373737"/>
          <w:sz w:val="20"/>
        </w:rPr>
        <w:t>Vägledning för att besvara de gemensamma utvärderingsfrågorna som är kopplade till fokusområden inom landsbygdsutveckling, programsynergier, tekniskt stöd och nationella landsbygdsnätverk (gemensamma utvärderingsfrågor 1–21) finns i:</w:t>
      </w:r>
    </w:p>
    <w:p w:rsidR="00DB5257" w:rsidRPr="001C6ACF" w:rsidRDefault="00AD2E14" w:rsidP="00DB5257">
      <w:pPr>
        <w:pStyle w:val="Hlistbullet"/>
      </w:pPr>
      <w:proofErr w:type="spellStart"/>
      <w:r w:rsidRPr="00013DFC">
        <w:rPr>
          <w:i/>
          <w:lang w:val="en-GB"/>
        </w:rPr>
        <w:t>Riktlinjerna</w:t>
      </w:r>
      <w:proofErr w:type="spellEnd"/>
      <w:r w:rsidRPr="00013DFC">
        <w:rPr>
          <w:i/>
          <w:lang w:val="en-GB"/>
        </w:rPr>
        <w:t xml:space="preserve"> </w:t>
      </w:r>
      <w:hyperlink r:id="rId16" w:history="1">
        <w:r w:rsidRPr="00013DFC">
          <w:rPr>
            <w:rStyle w:val="Hyperlink"/>
            <w:i/>
            <w:color w:val="373737"/>
            <w:u w:val="none"/>
            <w:lang w:val="en-GB"/>
          </w:rPr>
          <w:t>Assessment of RDP results: how to prepare for reporting on evaluation in 2017</w:t>
        </w:r>
      </w:hyperlink>
      <w:r w:rsidRPr="00013DFC">
        <w:rPr>
          <w:lang w:val="en-GB"/>
        </w:rPr>
        <w:t xml:space="preserve">. </w:t>
      </w:r>
      <w:r>
        <w:t xml:space="preserve">I detta dokument anges hur utvärderingarna ska rapporteras i den årliga genomföranderapporten 2017 och framåt. I riktlinjerna anges möjliga utvärderingsmetoder för bedömning av resultaten av landsbygdsprogrammen 2017, vilket sett till utvärderingsfrågorna 1–21 gäller även för 2019. </w:t>
      </w:r>
    </w:p>
    <w:p w:rsidR="00DB5257" w:rsidRPr="001C6ACF" w:rsidRDefault="004077A5" w:rsidP="00DB5257">
      <w:pPr>
        <w:pStyle w:val="Hlistbullet"/>
      </w:pPr>
      <w:hyperlink r:id="rId17" w:history="1">
        <w:r w:rsidR="00AD2E14">
          <w:rPr>
            <w:rStyle w:val="Hyperlink"/>
            <w:i/>
            <w:color w:val="373737"/>
            <w:u w:val="none"/>
          </w:rPr>
          <w:t>Bilaga 11 - Fiches for answering Common Evaluation Questions for Rural Development Programmes 2014-2020</w:t>
        </w:r>
      </w:hyperlink>
      <w:r w:rsidR="00AD2E14">
        <w:rPr>
          <w:rStyle w:val="Hyperlink"/>
          <w:i/>
          <w:color w:val="373737"/>
          <w:u w:val="none"/>
        </w:rPr>
        <w:t>:</w:t>
      </w:r>
      <w:r w:rsidR="00AD2E14">
        <w:t xml:space="preserve"> innehåller tekniskt stöd för att besvara de gemensamma utvärderingsfrågorna. 1–21. Här visas interventionslogiken som är kopplad till varje utvärderingsfråga samtidigt som användbara utvärderingsdelar beskrivs. Här finns även förslag på bedömningsmetoder.</w:t>
      </w:r>
    </w:p>
    <w:p w:rsidR="00DB5257" w:rsidRPr="001C6ACF" w:rsidRDefault="00AD2E14" w:rsidP="00DB5257">
      <w:pPr>
        <w:pStyle w:val="HStandard"/>
      </w:pPr>
      <w:r>
        <w:t xml:space="preserve">En översikt av de mest relevanta dokumenten för att besvara utvärderingsfrågorna i genomföranderapporten 2019 finns i tabell 1: </w:t>
      </w:r>
    </w:p>
    <w:p w:rsidR="00DB5257" w:rsidRPr="001C6ACF" w:rsidRDefault="00AD2E14" w:rsidP="00DB5257">
      <w:pPr>
        <w:pStyle w:val="HHeadingtables"/>
      </w:pPr>
      <w:r>
        <w:br w:type="column"/>
      </w:r>
      <w:r>
        <w:lastRenderedPageBreak/>
        <w:t>Riktlinjer för att besvara de gemensamma utvärderingsfrågorna i den årliga genomföranderapporten 2019</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683"/>
        <w:gridCol w:w="2289"/>
        <w:gridCol w:w="4270"/>
      </w:tblGrid>
      <w:tr w:rsidR="00DB5257" w:rsidRPr="001C6ACF" w:rsidTr="00DB5257">
        <w:trPr>
          <w:tblHeader/>
        </w:trPr>
        <w:tc>
          <w:tcPr>
            <w:tcW w:w="1129" w:type="dxa"/>
            <w:shd w:val="clear" w:color="auto" w:fill="F07E31"/>
          </w:tcPr>
          <w:p w:rsidR="00DB5257" w:rsidRPr="006F5B0F" w:rsidRDefault="00AD2E14" w:rsidP="00DB5257">
            <w:pPr>
              <w:pStyle w:val="HStandard"/>
              <w:jc w:val="center"/>
              <w:rPr>
                <w:b/>
                <w:color w:val="FFFFFF"/>
              </w:rPr>
            </w:pPr>
            <w:r>
              <w:rPr>
                <w:b/>
                <w:color w:val="FFFFFF"/>
              </w:rPr>
              <w:t>GEMENSAMMA UTVÄRDERINGSFRÅGOR</w:t>
            </w:r>
          </w:p>
        </w:tc>
        <w:tc>
          <w:tcPr>
            <w:tcW w:w="2410" w:type="dxa"/>
            <w:shd w:val="clear" w:color="auto" w:fill="F07E31"/>
          </w:tcPr>
          <w:p w:rsidR="00DB5257" w:rsidRPr="006F5B0F" w:rsidRDefault="00AD2E14" w:rsidP="00DB5257">
            <w:pPr>
              <w:pStyle w:val="HStandard"/>
              <w:jc w:val="center"/>
              <w:rPr>
                <w:b/>
                <w:color w:val="FFFFFF"/>
              </w:rPr>
            </w:pPr>
            <w:r>
              <w:rPr>
                <w:b/>
                <w:color w:val="FFFFFF"/>
              </w:rPr>
              <w:t>Dokument</w:t>
            </w:r>
          </w:p>
        </w:tc>
        <w:tc>
          <w:tcPr>
            <w:tcW w:w="5477" w:type="dxa"/>
            <w:shd w:val="clear" w:color="auto" w:fill="F07E31"/>
          </w:tcPr>
          <w:p w:rsidR="00DB5257" w:rsidRPr="006F5B0F" w:rsidRDefault="00AD2E14" w:rsidP="00DB5257">
            <w:pPr>
              <w:pStyle w:val="HStandard"/>
              <w:jc w:val="center"/>
              <w:rPr>
                <w:b/>
                <w:color w:val="FFFFFF"/>
              </w:rPr>
            </w:pPr>
            <w:r>
              <w:rPr>
                <w:b/>
                <w:color w:val="FFFFFF"/>
              </w:rPr>
              <w:t>Relevans för den årliga genomföranderapporten 2019</w:t>
            </w:r>
          </w:p>
        </w:tc>
      </w:tr>
      <w:tr w:rsidR="00DB5257" w:rsidRPr="001C6ACF" w:rsidTr="00DB5257">
        <w:trPr>
          <w:trHeight w:val="1091"/>
        </w:trPr>
        <w:tc>
          <w:tcPr>
            <w:tcW w:w="1129" w:type="dxa"/>
            <w:vMerge w:val="restart"/>
          </w:tcPr>
          <w:p w:rsidR="00DB5257" w:rsidRPr="006F5B0F" w:rsidRDefault="00AD2E14" w:rsidP="00DB5257">
            <w:pPr>
              <w:pStyle w:val="HStandard"/>
              <w:jc w:val="center"/>
            </w:pPr>
            <w:r>
              <w:t>1–21</w:t>
            </w:r>
          </w:p>
        </w:tc>
        <w:tc>
          <w:tcPr>
            <w:tcW w:w="2410" w:type="dxa"/>
          </w:tcPr>
          <w:p w:rsidR="00DB5257" w:rsidRPr="006F5B0F" w:rsidRDefault="004077A5" w:rsidP="00DB5257">
            <w:pPr>
              <w:pStyle w:val="HStandard"/>
              <w:jc w:val="left"/>
            </w:pPr>
            <w:hyperlink r:id="rId18" w:history="1">
              <w:r w:rsidR="00AD2E14">
                <w:rPr>
                  <w:rStyle w:val="Hyperlink"/>
                </w:rPr>
                <w:t>Informationsblad för målindikator för pelare II (prioritering I och II)</w:t>
              </w:r>
            </w:hyperlink>
          </w:p>
        </w:tc>
        <w:tc>
          <w:tcPr>
            <w:tcW w:w="5477" w:type="dxa"/>
          </w:tcPr>
          <w:p w:rsidR="00DB5257" w:rsidRPr="006F5B0F" w:rsidRDefault="00AD2E14" w:rsidP="00DB5257">
            <w:pPr>
              <w:pStyle w:val="HStandard"/>
            </w:pPr>
            <w:r>
              <w:t>Visar kopplingen till respektive prioritering och fokusområde för varje indikator, definitionen och måttenheten, beräkningsmetod, databehov och källor, insamlingsfrekvens och hur informationen ska översändas till Europeiska kommissionen.</w:t>
            </w:r>
          </w:p>
        </w:tc>
      </w:tr>
      <w:tr w:rsidR="00DB5257" w:rsidRPr="001C6ACF" w:rsidTr="00DB5257">
        <w:trPr>
          <w:trHeight w:val="290"/>
        </w:trPr>
        <w:tc>
          <w:tcPr>
            <w:tcW w:w="1129" w:type="dxa"/>
            <w:vMerge/>
          </w:tcPr>
          <w:p w:rsidR="00DB5257" w:rsidRPr="006F5B0F" w:rsidRDefault="00DB5257" w:rsidP="00DB5257">
            <w:pPr>
              <w:pStyle w:val="HStandard"/>
              <w:jc w:val="center"/>
            </w:pPr>
          </w:p>
        </w:tc>
        <w:tc>
          <w:tcPr>
            <w:tcW w:w="2410" w:type="dxa"/>
          </w:tcPr>
          <w:p w:rsidR="00DB5257" w:rsidRPr="006F5B0F" w:rsidRDefault="004077A5" w:rsidP="00DB5257">
            <w:pPr>
              <w:pStyle w:val="HStandard"/>
              <w:jc w:val="left"/>
            </w:pPr>
            <w:hyperlink r:id="rId19" w:history="1">
              <w:r w:rsidR="00AD2E14">
                <w:rPr>
                  <w:rStyle w:val="Hyperlink"/>
                </w:rPr>
                <w:t>Informationsblad för kompletterande resultatindikatorer för pelare II</w:t>
              </w:r>
            </w:hyperlink>
          </w:p>
        </w:tc>
        <w:tc>
          <w:tcPr>
            <w:tcW w:w="5477" w:type="dxa"/>
          </w:tcPr>
          <w:p w:rsidR="00DB5257" w:rsidRPr="006F5B0F" w:rsidRDefault="00AD2E14" w:rsidP="00DB5257">
            <w:pPr>
              <w:pStyle w:val="HStandard"/>
            </w:pPr>
            <w:r>
              <w:t>Innehåller liknande vägledning för var och en av de kompletterande resultatindikatorerna.</w:t>
            </w:r>
          </w:p>
        </w:tc>
      </w:tr>
      <w:tr w:rsidR="00DB5257" w:rsidRPr="001C6ACF" w:rsidTr="00DB5257">
        <w:trPr>
          <w:trHeight w:val="290"/>
        </w:trPr>
        <w:tc>
          <w:tcPr>
            <w:tcW w:w="1129" w:type="dxa"/>
            <w:vMerge/>
          </w:tcPr>
          <w:p w:rsidR="00DB5257" w:rsidRPr="006F5B0F" w:rsidRDefault="00DB5257" w:rsidP="00DB5257">
            <w:pPr>
              <w:pStyle w:val="HStandard"/>
              <w:jc w:val="center"/>
            </w:pPr>
          </w:p>
        </w:tc>
        <w:tc>
          <w:tcPr>
            <w:tcW w:w="2410" w:type="dxa"/>
          </w:tcPr>
          <w:p w:rsidR="00DB5257" w:rsidRPr="00013DFC" w:rsidRDefault="004077A5" w:rsidP="00DB5257">
            <w:pPr>
              <w:pStyle w:val="HStandard"/>
              <w:jc w:val="left"/>
              <w:rPr>
                <w:lang w:val="en-GB"/>
              </w:rPr>
            </w:pPr>
            <w:hyperlink r:id="rId20" w:history="1">
              <w:proofErr w:type="spellStart"/>
              <w:r w:rsidR="00AD2E14" w:rsidRPr="00013DFC">
                <w:rPr>
                  <w:rStyle w:val="Hyperlink"/>
                  <w:lang w:val="en-GB"/>
                </w:rPr>
                <w:t>Riktlinjerna</w:t>
              </w:r>
              <w:proofErr w:type="spellEnd"/>
              <w:r w:rsidR="00AD2E14" w:rsidRPr="00013DFC">
                <w:rPr>
                  <w:rStyle w:val="Hyperlink"/>
                  <w:lang w:val="en-GB"/>
                </w:rPr>
                <w:t xml:space="preserve"> Assessment of RDP results: how to prepare for reporting on evaluation in 2017</w:t>
              </w:r>
            </w:hyperlink>
            <w:r w:rsidR="00AD2E14" w:rsidRPr="00013DFC">
              <w:rPr>
                <w:rStyle w:val="Hyperlink"/>
                <w:lang w:val="en-GB"/>
              </w:rPr>
              <w:t xml:space="preserve"> (</w:t>
            </w:r>
            <w:proofErr w:type="spellStart"/>
            <w:r w:rsidR="00AD2E14" w:rsidRPr="00013DFC">
              <w:rPr>
                <w:rStyle w:val="Hyperlink"/>
                <w:lang w:val="en-GB"/>
              </w:rPr>
              <w:t>separat</w:t>
            </w:r>
            <w:proofErr w:type="spellEnd"/>
            <w:r w:rsidR="00AD2E14" w:rsidRPr="00013DFC">
              <w:rPr>
                <w:rStyle w:val="Hyperlink"/>
                <w:lang w:val="en-GB"/>
              </w:rPr>
              <w:t xml:space="preserve"> </w:t>
            </w:r>
            <w:proofErr w:type="spellStart"/>
            <w:r w:rsidR="00AD2E14" w:rsidRPr="00013DFC">
              <w:rPr>
                <w:rStyle w:val="Hyperlink"/>
                <w:lang w:val="en-GB"/>
              </w:rPr>
              <w:t>bilaga</w:t>
            </w:r>
            <w:proofErr w:type="spellEnd"/>
            <w:r w:rsidR="00AD2E14" w:rsidRPr="00013DFC">
              <w:rPr>
                <w:rStyle w:val="Hyperlink"/>
                <w:lang w:val="en-GB"/>
              </w:rPr>
              <w:t xml:space="preserve"> 11)</w:t>
            </w:r>
          </w:p>
        </w:tc>
        <w:tc>
          <w:tcPr>
            <w:tcW w:w="5477" w:type="dxa"/>
          </w:tcPr>
          <w:p w:rsidR="00DB5257" w:rsidRPr="006F5B0F" w:rsidRDefault="00AD2E14" w:rsidP="00DB5257">
            <w:pPr>
              <w:pStyle w:val="HStandard"/>
            </w:pPr>
            <w:r>
              <w:t>Här finns förslag på hur man rapporterar utvärderingarna i den genomföranderapport som lämnades in 2017, hur utvärderingsverksamheten genomförs och med utgångspunkt från vilken metod man besvarar de gemensamma utvärderingsfrågorna 1–21.</w:t>
            </w:r>
          </w:p>
        </w:tc>
      </w:tr>
      <w:tr w:rsidR="00DB5257" w:rsidRPr="001C6ACF" w:rsidTr="00DB5257">
        <w:trPr>
          <w:trHeight w:val="290"/>
        </w:trPr>
        <w:tc>
          <w:tcPr>
            <w:tcW w:w="1129" w:type="dxa"/>
            <w:vMerge/>
          </w:tcPr>
          <w:p w:rsidR="00DB5257" w:rsidRPr="006F5B0F" w:rsidRDefault="00DB5257" w:rsidP="00DB5257">
            <w:pPr>
              <w:pStyle w:val="HStandard"/>
              <w:jc w:val="center"/>
            </w:pPr>
          </w:p>
        </w:tc>
        <w:tc>
          <w:tcPr>
            <w:tcW w:w="2410" w:type="dxa"/>
          </w:tcPr>
          <w:p w:rsidR="00DB5257" w:rsidRPr="006F5B0F" w:rsidRDefault="004077A5" w:rsidP="00DB5257">
            <w:pPr>
              <w:pStyle w:val="HStandard"/>
              <w:jc w:val="left"/>
            </w:pPr>
            <w:hyperlink r:id="rId21" w:history="1">
              <w:r w:rsidR="00AD2E14">
                <w:rPr>
                  <w:rStyle w:val="Hyperlink"/>
                </w:rPr>
                <w:t>Riktlinjer för utvärderingar av Leader/LLU</w:t>
              </w:r>
            </w:hyperlink>
          </w:p>
        </w:tc>
        <w:tc>
          <w:tcPr>
            <w:tcW w:w="5477" w:type="dxa"/>
          </w:tcPr>
          <w:p w:rsidR="00DB5257" w:rsidRPr="006F5B0F" w:rsidRDefault="00AD2E14" w:rsidP="00DB5257">
            <w:pPr>
              <w:pStyle w:val="HStandard"/>
            </w:pPr>
            <w:r>
              <w:t xml:space="preserve">Här förklaras hur man bedömer primära och sekundära bidrag till Leader/LLU för landsbygdsutvecklingens fokusområden. </w:t>
            </w:r>
          </w:p>
        </w:tc>
      </w:tr>
      <w:tr w:rsidR="00DB5257" w:rsidRPr="001C6ACF" w:rsidTr="00DB5257">
        <w:trPr>
          <w:trHeight w:val="290"/>
        </w:trPr>
        <w:tc>
          <w:tcPr>
            <w:tcW w:w="1129" w:type="dxa"/>
            <w:vMerge/>
          </w:tcPr>
          <w:p w:rsidR="00DB5257" w:rsidRPr="006F5B0F" w:rsidRDefault="00DB5257" w:rsidP="00DB5257">
            <w:pPr>
              <w:pStyle w:val="HStandard"/>
              <w:jc w:val="center"/>
            </w:pPr>
          </w:p>
        </w:tc>
        <w:tc>
          <w:tcPr>
            <w:tcW w:w="2410" w:type="dxa"/>
          </w:tcPr>
          <w:p w:rsidR="00DB5257" w:rsidRPr="006F5B0F" w:rsidRDefault="004077A5" w:rsidP="00DB5257">
            <w:pPr>
              <w:pStyle w:val="HStandard"/>
              <w:jc w:val="left"/>
            </w:pPr>
            <w:hyperlink r:id="rId22" w:history="1">
              <w:r w:rsidR="00AD2E14">
                <w:rPr>
                  <w:rStyle w:val="Hyperlink"/>
                </w:rPr>
                <w:t>Riktlinjer för utvärderingen av innovation i landsbygdsprogram 2014–2020</w:t>
              </w:r>
            </w:hyperlink>
          </w:p>
        </w:tc>
        <w:tc>
          <w:tcPr>
            <w:tcW w:w="5477" w:type="dxa"/>
          </w:tcPr>
          <w:p w:rsidR="00DB5257" w:rsidRPr="006F5B0F" w:rsidRDefault="00AD2E14" w:rsidP="00DB5257">
            <w:pPr>
              <w:pStyle w:val="HStandard"/>
            </w:pPr>
            <w:r>
              <w:t xml:space="preserve">Här finns information om bedömningen av innovationer som är kopplade till fokusområde 1A och 1B och som stöd för innovationer via aktiviteter i de nationella landsbygdsnätverken. I riktlinjerna finns även stöd för att besvarar de gemensamma utvärderingsfrågorna 1,2 och 21 ur innovationssynpunkt. </w:t>
            </w:r>
          </w:p>
        </w:tc>
      </w:tr>
      <w:tr w:rsidR="00DB5257" w:rsidRPr="001C6ACF" w:rsidTr="00DB5257">
        <w:tc>
          <w:tcPr>
            <w:tcW w:w="1129" w:type="dxa"/>
            <w:vMerge w:val="restart"/>
          </w:tcPr>
          <w:p w:rsidR="00DB5257" w:rsidRPr="006F5B0F" w:rsidRDefault="00AD2E14" w:rsidP="00DB5257">
            <w:pPr>
              <w:pStyle w:val="HStandard"/>
              <w:jc w:val="center"/>
            </w:pPr>
            <w:r>
              <w:t>22–30</w:t>
            </w:r>
          </w:p>
        </w:tc>
        <w:tc>
          <w:tcPr>
            <w:tcW w:w="2410" w:type="dxa"/>
          </w:tcPr>
          <w:p w:rsidR="00DB5257" w:rsidRPr="006F5B0F" w:rsidRDefault="004077A5" w:rsidP="00DB5257">
            <w:pPr>
              <w:pStyle w:val="HStandard"/>
              <w:jc w:val="left"/>
            </w:pPr>
            <w:hyperlink r:id="rId23" w:history="1">
              <w:r w:rsidR="00AD2E14">
                <w:rPr>
                  <w:rStyle w:val="Hyperlink"/>
                </w:rPr>
                <w:t>Informationsblad om effektindikatorer</w:t>
              </w:r>
            </w:hyperlink>
            <w:r w:rsidR="00AD2E14">
              <w:t xml:space="preserve"> </w:t>
            </w:r>
          </w:p>
        </w:tc>
        <w:tc>
          <w:tcPr>
            <w:tcW w:w="5477" w:type="dxa"/>
          </w:tcPr>
          <w:p w:rsidR="00DB5257" w:rsidRPr="006F5B0F" w:rsidRDefault="00AD2E14" w:rsidP="00DB5257">
            <w:pPr>
              <w:pStyle w:val="HStandard"/>
            </w:pPr>
            <w:r>
              <w:t>Anger information om kopplingar till indikatorer med de övergripande målen för GJP, definition av indikatorer, måttenhet, metod/formel för beräkning, uppgifter som krävs, uppgiftskällor och frekvens/fördröjning av insamling och placering av uppgifter.</w:t>
            </w:r>
          </w:p>
        </w:tc>
      </w:tr>
      <w:tr w:rsidR="00DB5257" w:rsidRPr="001C6ACF" w:rsidTr="00DB5257">
        <w:tc>
          <w:tcPr>
            <w:tcW w:w="1129" w:type="dxa"/>
            <w:vMerge/>
          </w:tcPr>
          <w:p w:rsidR="00DB5257" w:rsidRPr="006F5B0F" w:rsidRDefault="00DB5257" w:rsidP="00DB5257">
            <w:pPr>
              <w:pStyle w:val="HStandard"/>
              <w:jc w:val="center"/>
            </w:pPr>
          </w:p>
        </w:tc>
        <w:tc>
          <w:tcPr>
            <w:tcW w:w="2410" w:type="dxa"/>
          </w:tcPr>
          <w:p w:rsidR="00DB5257" w:rsidRPr="006F5B0F" w:rsidRDefault="004077A5" w:rsidP="00DB5257">
            <w:pPr>
              <w:pStyle w:val="HStandard"/>
              <w:jc w:val="left"/>
            </w:pPr>
            <w:hyperlink r:id="rId24" w:history="1">
              <w:r w:rsidR="00AD2E14">
                <w:rPr>
                  <w:rStyle w:val="Hyperlink"/>
                </w:rPr>
                <w:t>Senaste kontextindikatorernas data från medlemsstaterna</w:t>
              </w:r>
            </w:hyperlink>
          </w:p>
        </w:tc>
        <w:tc>
          <w:tcPr>
            <w:tcW w:w="5477" w:type="dxa"/>
          </w:tcPr>
          <w:p w:rsidR="00DB5257" w:rsidRPr="006F5B0F" w:rsidRDefault="00AD2E14" w:rsidP="00DB5257">
            <w:pPr>
              <w:pStyle w:val="HStandard"/>
            </w:pPr>
            <w:r>
              <w:t>Europeiska kommissionen tillhandahåller en årlig uppdatering av uppgifter (förutsatt att de är tillgängliga) för gemensamma kontextindikatorer som baseras på de uppgifter som medlemsstaterna har skickat in.</w:t>
            </w:r>
          </w:p>
        </w:tc>
      </w:tr>
      <w:tr w:rsidR="00DB5257" w:rsidRPr="001C6ACF" w:rsidTr="00DB5257">
        <w:tc>
          <w:tcPr>
            <w:tcW w:w="1129" w:type="dxa"/>
            <w:vMerge/>
          </w:tcPr>
          <w:p w:rsidR="00DB5257" w:rsidRPr="006F5B0F" w:rsidRDefault="00DB5257" w:rsidP="00DB5257">
            <w:pPr>
              <w:pStyle w:val="HStandard"/>
              <w:jc w:val="center"/>
            </w:pPr>
          </w:p>
        </w:tc>
        <w:tc>
          <w:tcPr>
            <w:tcW w:w="2410" w:type="dxa"/>
          </w:tcPr>
          <w:p w:rsidR="00DB5257" w:rsidRPr="006F5B0F" w:rsidRDefault="004077A5" w:rsidP="00DB5257">
            <w:pPr>
              <w:pStyle w:val="HStandard"/>
              <w:jc w:val="left"/>
              <w:rPr>
                <w:color w:val="F07E31"/>
              </w:rPr>
            </w:pPr>
            <w:hyperlink r:id="rId25" w:history="1">
              <w:r w:rsidR="00AD2E14">
                <w:rPr>
                  <w:rStyle w:val="Hyperlink"/>
                </w:rPr>
                <w:t xml:space="preserve">Riktlinjer för utvärderingen av </w:t>
              </w:r>
              <w:r w:rsidR="00AD2E14">
                <w:rPr>
                  <w:rStyle w:val="Hyperlink"/>
                </w:rPr>
                <w:lastRenderedPageBreak/>
                <w:t>innovation i landsbygdsprogram 2014–2020</w:t>
              </w:r>
            </w:hyperlink>
          </w:p>
          <w:p w:rsidR="00DB5257" w:rsidRPr="006F5B0F" w:rsidRDefault="00DB5257" w:rsidP="00DB5257">
            <w:pPr>
              <w:pStyle w:val="HStandard"/>
              <w:jc w:val="left"/>
            </w:pPr>
          </w:p>
        </w:tc>
        <w:tc>
          <w:tcPr>
            <w:tcW w:w="5477" w:type="dxa"/>
          </w:tcPr>
          <w:p w:rsidR="00DB5257" w:rsidRPr="006F5B0F" w:rsidRDefault="00AD2E14" w:rsidP="00DB5257">
            <w:pPr>
              <w:pStyle w:val="HStandard"/>
            </w:pPr>
            <w:r>
              <w:lastRenderedPageBreak/>
              <w:t xml:space="preserve">Innehåller information om bedömningen av bidragen från landsbygdsprogrammet till </w:t>
            </w:r>
            <w:r>
              <w:lastRenderedPageBreak/>
              <w:t>Europa 2020-strategins överordnade mål att 3 % av EU:s BNP ska investeras i forskning och utveckling och innovation och för landsbygdsprogrammets bidrag till innovation och för att besvara de gemensamma utvärderingsfrågorna 23 och 30.</w:t>
            </w:r>
          </w:p>
        </w:tc>
      </w:tr>
      <w:tr w:rsidR="00DB5257" w:rsidRPr="001C6ACF" w:rsidTr="00DB5257">
        <w:tc>
          <w:tcPr>
            <w:tcW w:w="1129" w:type="dxa"/>
            <w:vMerge/>
          </w:tcPr>
          <w:p w:rsidR="00DB5257" w:rsidRPr="006F5B0F" w:rsidRDefault="00DB5257" w:rsidP="00DB5257">
            <w:pPr>
              <w:pStyle w:val="HStandard"/>
              <w:jc w:val="center"/>
            </w:pPr>
          </w:p>
        </w:tc>
        <w:tc>
          <w:tcPr>
            <w:tcW w:w="2410" w:type="dxa"/>
          </w:tcPr>
          <w:p w:rsidR="00DB5257" w:rsidRPr="006F5B0F" w:rsidRDefault="004077A5" w:rsidP="00DB5257">
            <w:pPr>
              <w:pStyle w:val="HStandard"/>
              <w:jc w:val="left"/>
            </w:pPr>
            <w:hyperlink r:id="rId26" w:history="1">
              <w:r w:rsidR="00AD2E14">
                <w:rPr>
                  <w:rStyle w:val="Hyperlink"/>
                </w:rPr>
                <w:t>Information om Europa 2020-strategin</w:t>
              </w:r>
            </w:hyperlink>
          </w:p>
        </w:tc>
        <w:tc>
          <w:tcPr>
            <w:tcW w:w="5477" w:type="dxa"/>
          </w:tcPr>
          <w:p w:rsidR="00DB5257" w:rsidRPr="006F5B0F" w:rsidRDefault="00AD2E14" w:rsidP="00DB5257">
            <w:pPr>
              <w:pStyle w:val="HStandard"/>
            </w:pPr>
            <w:r>
              <w:t>Europa 2020-strategin används som referensram för verksamhet på EU-nivå samt på nationell och regional nivå. EU:s regeringar har fastställt nationella mål för att kunna uppnå de överordnade EU-målen och rapporterar om dessa som en del i deras årliga nationella reformprogram. EU:s statistiska avdelning Eurostat publicerar regelbundet en övergripande framstegsrapport om målen (</w:t>
            </w:r>
            <w:r w:rsidR="004077A5">
              <w:fldChar w:fldCharType="begin"/>
            </w:r>
            <w:r w:rsidR="004077A5">
              <w:instrText xml:space="preserve"> HYPERLINK "http://ec.europa.eu/eurostat/web/products-statistical-books/-/KS-EZ-17-001" </w:instrText>
            </w:r>
            <w:r w:rsidR="004077A5">
              <w:fldChar w:fldCharType="separate"/>
            </w:r>
            <w:r>
              <w:rPr>
                <w:rStyle w:val="Hyperlink"/>
              </w:rPr>
              <w:t>publikationen ”Smarter, greener, more inclusive? Indicators to support the Europe 2020 strategy</w:t>
            </w:r>
            <w:r w:rsidR="004077A5">
              <w:rPr>
                <w:rStyle w:val="Hyperlink"/>
              </w:rPr>
              <w:fldChar w:fldCharType="end"/>
            </w:r>
            <w:r>
              <w:rPr>
                <w:color w:val="F07E31"/>
              </w:rPr>
              <w:t>”</w:t>
            </w:r>
            <w:r>
              <w:t>)</w:t>
            </w:r>
            <w:r>
              <w:rPr>
                <w:color w:val="333333"/>
              </w:rPr>
              <w:t xml:space="preserve"> som beskriver framstegen mot EU:s mål som definierades enligt de tre prioriteringar som ömsesidigt förstärker varandra för en smart och hållbar tillväxt för alla och som visar läget i medlemsstaterna</w:t>
            </w:r>
            <w:r>
              <w:t>.</w:t>
            </w:r>
          </w:p>
        </w:tc>
      </w:tr>
      <w:tr w:rsidR="00DB5257" w:rsidRPr="001C6ACF" w:rsidTr="00DB5257">
        <w:tc>
          <w:tcPr>
            <w:tcW w:w="1129" w:type="dxa"/>
            <w:vMerge w:val="restart"/>
          </w:tcPr>
          <w:p w:rsidR="00DB5257" w:rsidRPr="006F5B0F" w:rsidRDefault="00AD2E14" w:rsidP="00DB5257">
            <w:pPr>
              <w:pStyle w:val="HStandard"/>
              <w:jc w:val="center"/>
            </w:pPr>
            <w:r>
              <w:t>22, 23, 24, 25, 30</w:t>
            </w:r>
          </w:p>
        </w:tc>
        <w:tc>
          <w:tcPr>
            <w:tcW w:w="2410" w:type="dxa"/>
          </w:tcPr>
          <w:p w:rsidR="00DB5257" w:rsidRPr="006F5B0F" w:rsidRDefault="004077A5" w:rsidP="00DB5257">
            <w:pPr>
              <w:pStyle w:val="HStandard"/>
              <w:jc w:val="left"/>
              <w:rPr>
                <w:rFonts w:cs="Arial"/>
                <w:color w:val="F07E31"/>
              </w:rPr>
            </w:pPr>
            <w:hyperlink r:id="rId27" w:history="1">
              <w:r w:rsidR="00AD2E14">
                <w:rPr>
                  <w:rStyle w:val="Hyperlink"/>
                </w:rPr>
                <w:t>Information om målen för Europa 2020-strategin per medlemsstat</w:t>
              </w:r>
            </w:hyperlink>
          </w:p>
        </w:tc>
        <w:tc>
          <w:tcPr>
            <w:tcW w:w="5477" w:type="dxa"/>
          </w:tcPr>
          <w:p w:rsidR="00DB5257" w:rsidRPr="006F5B0F" w:rsidRDefault="00AD2E14" w:rsidP="00DB5257">
            <w:pPr>
              <w:pStyle w:val="HStandard"/>
            </w:pPr>
            <w:r>
              <w:t>Eurostat uppdaterar regelbundet informationen om de nationella målen för att uppfylla Europa 2020-strategins överordnade mål per medlemsstat.</w:t>
            </w:r>
          </w:p>
        </w:tc>
      </w:tr>
      <w:tr w:rsidR="00DB5257" w:rsidRPr="001C6ACF" w:rsidTr="00DB5257">
        <w:tc>
          <w:tcPr>
            <w:tcW w:w="1129" w:type="dxa"/>
            <w:vMerge/>
          </w:tcPr>
          <w:p w:rsidR="00DB5257" w:rsidRPr="006F5B0F" w:rsidRDefault="00DB5257" w:rsidP="00DB5257">
            <w:pPr>
              <w:pStyle w:val="HStandard"/>
              <w:jc w:val="center"/>
            </w:pPr>
          </w:p>
        </w:tc>
        <w:tc>
          <w:tcPr>
            <w:tcW w:w="2410" w:type="dxa"/>
          </w:tcPr>
          <w:p w:rsidR="00DB5257" w:rsidRPr="006F5B0F" w:rsidRDefault="004077A5" w:rsidP="00DB5257">
            <w:pPr>
              <w:pStyle w:val="HStandard"/>
              <w:jc w:val="left"/>
              <w:rPr>
                <w:rFonts w:cs="Arial"/>
              </w:rPr>
            </w:pPr>
            <w:hyperlink r:id="rId28" w:history="1">
              <w:r w:rsidR="00AD2E14">
                <w:rPr>
                  <w:rStyle w:val="Hyperlink"/>
                </w:rPr>
                <w:t>Informationsblad om kontextindikatorer</w:t>
              </w:r>
            </w:hyperlink>
            <w:r w:rsidR="00AD2E14">
              <w:t xml:space="preserve"> </w:t>
            </w:r>
          </w:p>
        </w:tc>
        <w:tc>
          <w:tcPr>
            <w:tcW w:w="5477" w:type="dxa"/>
          </w:tcPr>
          <w:p w:rsidR="00DB5257" w:rsidRPr="006F5B0F" w:rsidRDefault="00AD2E14" w:rsidP="000C190D">
            <w:pPr>
              <w:pStyle w:val="HStandard"/>
            </w:pPr>
            <w:r>
              <w:t xml:space="preserve">45 gemensamma kontextindikatorer för GJP (indelade i tre grupper – socioekonomiska, </w:t>
            </w:r>
            <w:r w:rsidR="000C190D">
              <w:t xml:space="preserve">sektoriella </w:t>
            </w:r>
            <w:r>
              <w:t>och miljö</w:t>
            </w:r>
            <w:r w:rsidR="000C190D">
              <w:t>relaterade</w:t>
            </w:r>
            <w:r>
              <w:t>) speglar relevanta aspekter av de allmänna kontextuella trenderna i ekonomin, miljön och samhället. Dessa påverkar sannolikt GJP:s genomförande, framsteg och resultat. Faktabladen om indikatorer innehåller en beskrivning av definitioner, metoder och uppgiftskällor.</w:t>
            </w:r>
          </w:p>
        </w:tc>
      </w:tr>
      <w:tr w:rsidR="00DB5257" w:rsidRPr="001C6ACF" w:rsidTr="00DB5257">
        <w:trPr>
          <w:trHeight w:val="1800"/>
        </w:trPr>
        <w:tc>
          <w:tcPr>
            <w:tcW w:w="1129" w:type="dxa"/>
          </w:tcPr>
          <w:p w:rsidR="00DB5257" w:rsidRPr="006F5B0F" w:rsidRDefault="00AD2E14" w:rsidP="00DB5257">
            <w:pPr>
              <w:pStyle w:val="HStandard"/>
              <w:jc w:val="center"/>
            </w:pPr>
            <w:r>
              <w:t>Alla gemensamma utvärderingsfrågor</w:t>
            </w:r>
          </w:p>
        </w:tc>
        <w:tc>
          <w:tcPr>
            <w:tcW w:w="2410" w:type="dxa"/>
          </w:tcPr>
          <w:p w:rsidR="00DB5257" w:rsidRPr="006F5B0F" w:rsidRDefault="004077A5" w:rsidP="00DB5257">
            <w:pPr>
              <w:pStyle w:val="HStandard"/>
              <w:jc w:val="left"/>
            </w:pPr>
            <w:hyperlink r:id="rId29" w:history="1">
              <w:r w:rsidR="00AD2E14">
                <w:rPr>
                  <w:rStyle w:val="Hyperlink"/>
                </w:rPr>
                <w:t>Arbetsdokumentet Common evaluation questions for Rural Development Programmes 2014-2020</w:t>
              </w:r>
            </w:hyperlink>
          </w:p>
        </w:tc>
        <w:tc>
          <w:tcPr>
            <w:tcW w:w="5477" w:type="dxa"/>
          </w:tcPr>
          <w:p w:rsidR="00DB5257" w:rsidRPr="006F5B0F" w:rsidRDefault="00AD2E14" w:rsidP="00DB5257">
            <w:pPr>
              <w:pStyle w:val="HStandard"/>
            </w:pPr>
            <w:r>
              <w:t xml:space="preserve">Här förklaras syftet och användningen av gemensamma utvärderingsfrågor i det gemensamma övervaknings- och utvärderingssystemet. I dokumentet beskrivs de olika typerna av utvärderingsfrågor tillsammans med bedömningskriterier samt gemensamma och kompletterande indikatorer för de gemensamma </w:t>
            </w:r>
            <w:r>
              <w:lastRenderedPageBreak/>
              <w:t>utvärderingsfrågorna 1–21.</w:t>
            </w:r>
          </w:p>
        </w:tc>
      </w:tr>
    </w:tbl>
    <w:p w:rsidR="00DB5257" w:rsidRPr="001C6ACF" w:rsidRDefault="00DB5257"/>
    <w:p w:rsidR="00DB5257" w:rsidRPr="001C6ACF" w:rsidRDefault="00AD2E14" w:rsidP="00DB5257">
      <w:pPr>
        <w:pStyle w:val="HHeading2"/>
      </w:pPr>
      <w:r>
        <w:t xml:space="preserve">Förberedelser för den årliga genomföranderapporten 2019 </w:t>
      </w:r>
    </w:p>
    <w:p w:rsidR="00DB5257" w:rsidRPr="001C6ACF" w:rsidRDefault="00AD2E14" w:rsidP="00DB5257">
      <w:pPr>
        <w:pStyle w:val="HStandard"/>
      </w:pPr>
      <w:r>
        <w:t>För att förbereda bedömningen av resultat och effekter av landsbygdsprogrammet 2019 kan de olika aktörerna i medlemsstaterna genomföra flera olika steg,</w:t>
      </w:r>
      <w:r>
        <w:rPr>
          <w:rStyle w:val="FootnoteReference"/>
          <w:i w:val="0"/>
          <w:sz w:val="20"/>
          <w:vertAlign w:val="superscript"/>
        </w:rPr>
        <w:footnoteReference w:id="24"/>
      </w:r>
      <w:r>
        <w:t xml:space="preserve"> som kommer att bidra till att säkerställa utvärderingsresultat av hög kvalitet som har betydelse för beslutsfattarna.</w:t>
      </w:r>
    </w:p>
    <w:p w:rsidR="00DB5257" w:rsidRPr="001C6ACF" w:rsidRDefault="00AD2E14" w:rsidP="00DB5257">
      <w:pPr>
        <w:pStyle w:val="HStandard"/>
      </w:pPr>
      <w:r>
        <w:t xml:space="preserve">Ett förslag på checklista finns i tabell 2. Den innehåller de steg som krävs för utvärderingen 2019. Här finns även några förberedelsesteg, som om de inte genomförts ännu fortfarande kan användas innan utvärderingen för 2019 inleds. I tabell 2 anges de olika aktörernas ansvarsområden som kan ingå i utvärderingsarbetet på medlemsstatsnivå: Förvaltande myndighet, övervakningskommitté, utbetalande organ, utvärderingsenhet (om sådan finns), utvärderingsstyrgrupp (om sådan finns), utvärderare, uppgiftslämnare och andra relevanta utvärderingsaktörer. </w:t>
      </w:r>
    </w:p>
    <w:p w:rsidR="00DB5257" w:rsidRPr="001C6ACF" w:rsidRDefault="00AD2E14" w:rsidP="00DB5257">
      <w:pPr>
        <w:pStyle w:val="HHeadingtables"/>
      </w:pPr>
      <w:r>
        <w:br w:type="column"/>
      </w:r>
      <w:r>
        <w:lastRenderedPageBreak/>
        <w:t>Checklista med rekommenderade steg för utvärderingen 2019</w:t>
      </w:r>
    </w:p>
    <w:tbl>
      <w:tblPr>
        <w:tblW w:w="949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562"/>
        <w:gridCol w:w="3402"/>
        <w:gridCol w:w="1061"/>
        <w:gridCol w:w="622"/>
        <w:gridCol w:w="549"/>
        <w:gridCol w:w="549"/>
        <w:gridCol w:w="550"/>
        <w:gridCol w:w="593"/>
        <w:gridCol w:w="505"/>
        <w:gridCol w:w="549"/>
        <w:gridCol w:w="550"/>
      </w:tblGrid>
      <w:tr w:rsidR="00DB5257" w:rsidRPr="001C6ACF" w:rsidTr="00DB5257">
        <w:trPr>
          <w:trHeight w:val="300"/>
          <w:tblHeader/>
          <w:jc w:val="center"/>
        </w:trPr>
        <w:tc>
          <w:tcPr>
            <w:tcW w:w="562" w:type="dxa"/>
            <w:vMerge w:val="restart"/>
            <w:tcBorders>
              <w:top w:val="single" w:sz="4" w:space="0" w:color="6E8967"/>
              <w:left w:val="single" w:sz="4" w:space="0" w:color="6E8967"/>
              <w:right w:val="single" w:sz="4" w:space="0" w:color="FFFFFF"/>
            </w:tcBorders>
            <w:shd w:val="clear" w:color="auto" w:fill="8BAB80"/>
            <w:textDirection w:val="btLr"/>
            <w:vAlign w:val="center"/>
          </w:tcPr>
          <w:p w:rsidR="00DB5257" w:rsidRPr="006F5B0F" w:rsidRDefault="00AD2E14" w:rsidP="00DB5257">
            <w:pPr>
              <w:spacing w:line="280" w:lineRule="atLeast"/>
              <w:ind w:left="113" w:right="113"/>
              <w:jc w:val="center"/>
              <w:rPr>
                <w:rFonts w:eastAsia="Calibri" w:cs="Arial"/>
                <w:b/>
                <w:bCs/>
                <w:color w:val="FFFFFF"/>
                <w:sz w:val="16"/>
                <w:szCs w:val="16"/>
              </w:rPr>
            </w:pPr>
            <w:r>
              <w:rPr>
                <w:b/>
                <w:color w:val="FFFFFF"/>
                <w:sz w:val="16"/>
              </w:rPr>
              <w:t>Fas</w:t>
            </w:r>
          </w:p>
        </w:tc>
        <w:tc>
          <w:tcPr>
            <w:tcW w:w="3402" w:type="dxa"/>
            <w:vMerge w:val="restart"/>
            <w:tcBorders>
              <w:top w:val="single" w:sz="4" w:space="0" w:color="6E8967"/>
              <w:left w:val="single" w:sz="4" w:space="0" w:color="FFFFFF"/>
              <w:right w:val="single" w:sz="4" w:space="0" w:color="FFFFFF"/>
            </w:tcBorders>
            <w:shd w:val="clear" w:color="auto" w:fill="8BAB80"/>
            <w:vAlign w:val="center"/>
          </w:tcPr>
          <w:p w:rsidR="00DB5257" w:rsidRPr="006F5B0F" w:rsidRDefault="00AD2E14" w:rsidP="00DB5257">
            <w:pPr>
              <w:spacing w:line="280" w:lineRule="atLeast"/>
              <w:jc w:val="center"/>
              <w:rPr>
                <w:rFonts w:eastAsia="Calibri" w:cs="Arial"/>
                <w:b/>
                <w:bCs/>
                <w:color w:val="FFFFFF"/>
                <w:sz w:val="16"/>
                <w:szCs w:val="16"/>
              </w:rPr>
            </w:pPr>
            <w:r>
              <w:rPr>
                <w:b/>
                <w:color w:val="FFFFFF"/>
                <w:sz w:val="16"/>
              </w:rPr>
              <w:t>Steg</w:t>
            </w:r>
          </w:p>
        </w:tc>
        <w:tc>
          <w:tcPr>
            <w:tcW w:w="1061" w:type="dxa"/>
            <w:vMerge w:val="restart"/>
            <w:tcBorders>
              <w:top w:val="single" w:sz="4" w:space="0" w:color="6E8967"/>
              <w:left w:val="single" w:sz="4" w:space="0" w:color="FFFFFF"/>
              <w:right w:val="single" w:sz="4" w:space="0" w:color="FFFFFF"/>
            </w:tcBorders>
            <w:shd w:val="clear" w:color="auto" w:fill="8BAB80"/>
            <w:vAlign w:val="center"/>
          </w:tcPr>
          <w:p w:rsidR="00DB5257" w:rsidRPr="006F5B0F" w:rsidRDefault="00AD2E14" w:rsidP="00DB5257">
            <w:pPr>
              <w:spacing w:line="280" w:lineRule="atLeast"/>
              <w:jc w:val="center"/>
              <w:rPr>
                <w:rFonts w:eastAsia="Calibri" w:cs="Arial"/>
                <w:b/>
                <w:bCs/>
                <w:color w:val="FFFFFF"/>
                <w:sz w:val="16"/>
                <w:szCs w:val="16"/>
              </w:rPr>
            </w:pPr>
            <w:r>
              <w:rPr>
                <w:b/>
                <w:color w:val="FFFFFF"/>
                <w:sz w:val="16"/>
              </w:rPr>
              <w:t>Preliminär tidsplan</w:t>
            </w:r>
          </w:p>
        </w:tc>
        <w:tc>
          <w:tcPr>
            <w:tcW w:w="4467" w:type="dxa"/>
            <w:gridSpan w:val="8"/>
            <w:tcBorders>
              <w:top w:val="single" w:sz="4" w:space="0" w:color="6E8967"/>
              <w:left w:val="single" w:sz="4" w:space="0" w:color="FFFFFF"/>
              <w:right w:val="single" w:sz="4" w:space="0" w:color="6E8967"/>
            </w:tcBorders>
            <w:shd w:val="clear" w:color="auto" w:fill="8BAB80"/>
            <w:vAlign w:val="center"/>
          </w:tcPr>
          <w:p w:rsidR="00DB5257" w:rsidRPr="006F5B0F" w:rsidRDefault="00AD2E14" w:rsidP="00DB5257">
            <w:pPr>
              <w:spacing w:line="280" w:lineRule="atLeast"/>
              <w:jc w:val="center"/>
              <w:rPr>
                <w:rFonts w:eastAsia="Calibri" w:cs="Arial"/>
                <w:b/>
                <w:bCs/>
                <w:color w:val="FFFFFF"/>
                <w:sz w:val="16"/>
                <w:szCs w:val="16"/>
              </w:rPr>
            </w:pPr>
            <w:r>
              <w:rPr>
                <w:b/>
                <w:color w:val="FFFFFF"/>
                <w:sz w:val="16"/>
              </w:rPr>
              <w:t>Ansvar (x) och engagemang (y)</w:t>
            </w:r>
            <w:r>
              <w:rPr>
                <w:rStyle w:val="FootnoteReference"/>
                <w:b/>
                <w:i w:val="0"/>
                <w:color w:val="FFFFFF"/>
                <w:sz w:val="10"/>
              </w:rPr>
              <w:footnoteReference w:id="25"/>
            </w:r>
          </w:p>
        </w:tc>
      </w:tr>
      <w:tr w:rsidR="00DB5257" w:rsidRPr="001C6ACF" w:rsidTr="00DB5257">
        <w:trPr>
          <w:trHeight w:val="260"/>
          <w:tblHeader/>
          <w:jc w:val="center"/>
        </w:trPr>
        <w:tc>
          <w:tcPr>
            <w:tcW w:w="562" w:type="dxa"/>
            <w:vMerge/>
            <w:tcBorders>
              <w:top w:val="single" w:sz="4" w:space="0" w:color="FFFFFF"/>
              <w:left w:val="single" w:sz="4" w:space="0" w:color="6E8967"/>
              <w:right w:val="single" w:sz="4" w:space="0" w:color="FFFFFF"/>
            </w:tcBorders>
            <w:shd w:val="clear" w:color="auto" w:fill="8BAB80"/>
            <w:textDirection w:val="btLr"/>
          </w:tcPr>
          <w:p w:rsidR="00DB5257" w:rsidRPr="006F5B0F" w:rsidRDefault="00DB5257" w:rsidP="00DB5257">
            <w:pPr>
              <w:spacing w:line="280" w:lineRule="atLeast"/>
              <w:ind w:left="113" w:right="113"/>
              <w:jc w:val="right"/>
              <w:rPr>
                <w:rFonts w:eastAsia="Calibri" w:cs="Arial"/>
                <w:b/>
                <w:bCs/>
                <w:color w:val="FFFFFF"/>
                <w:sz w:val="16"/>
                <w:szCs w:val="16"/>
              </w:rPr>
            </w:pPr>
          </w:p>
        </w:tc>
        <w:tc>
          <w:tcPr>
            <w:tcW w:w="3402" w:type="dxa"/>
            <w:vMerge/>
            <w:tcBorders>
              <w:top w:val="single" w:sz="4" w:space="0" w:color="FFFFFF"/>
              <w:left w:val="single" w:sz="4" w:space="0" w:color="FFFFFF"/>
              <w:right w:val="single" w:sz="4" w:space="0" w:color="FFFFFF"/>
            </w:tcBorders>
            <w:shd w:val="clear" w:color="auto" w:fill="8BAB80"/>
          </w:tcPr>
          <w:p w:rsidR="00DB5257" w:rsidRPr="006F5B0F" w:rsidRDefault="00DB5257" w:rsidP="00DB5257">
            <w:pPr>
              <w:spacing w:line="280" w:lineRule="atLeast"/>
              <w:rPr>
                <w:rFonts w:eastAsia="Calibri" w:cs="Arial"/>
                <w:b/>
                <w:bCs/>
                <w:color w:val="FFFFFF"/>
                <w:sz w:val="16"/>
                <w:szCs w:val="16"/>
              </w:rPr>
            </w:pPr>
          </w:p>
        </w:tc>
        <w:tc>
          <w:tcPr>
            <w:tcW w:w="1061" w:type="dxa"/>
            <w:vMerge/>
            <w:tcBorders>
              <w:top w:val="single" w:sz="4" w:space="0" w:color="FFFFFF"/>
              <w:left w:val="single" w:sz="4" w:space="0" w:color="FFFFFF"/>
              <w:right w:val="single" w:sz="4" w:space="0" w:color="FFFFFF"/>
            </w:tcBorders>
            <w:shd w:val="clear" w:color="auto" w:fill="8BAB80"/>
          </w:tcPr>
          <w:p w:rsidR="00DB5257" w:rsidRPr="006F5B0F" w:rsidRDefault="00DB5257" w:rsidP="00DB5257">
            <w:pPr>
              <w:spacing w:line="280" w:lineRule="atLeast"/>
              <w:jc w:val="left"/>
              <w:rPr>
                <w:rFonts w:eastAsia="Calibri" w:cs="Arial"/>
                <w:b/>
                <w:bCs/>
                <w:color w:val="FFFFFF"/>
                <w:sz w:val="16"/>
                <w:szCs w:val="16"/>
              </w:rPr>
            </w:pPr>
          </w:p>
        </w:tc>
        <w:tc>
          <w:tcPr>
            <w:tcW w:w="622" w:type="dxa"/>
            <w:tcBorders>
              <w:top w:val="single" w:sz="4" w:space="0" w:color="FFFFFF"/>
              <w:left w:val="single" w:sz="4" w:space="0" w:color="FFFFFF"/>
              <w:bottom w:val="single" w:sz="4" w:space="0" w:color="FFFFFF"/>
              <w:right w:val="single" w:sz="4" w:space="0" w:color="FFFFFF"/>
            </w:tcBorders>
            <w:shd w:val="clear" w:color="auto" w:fill="8BAB80"/>
          </w:tcPr>
          <w:p w:rsidR="00DB5257" w:rsidRPr="006F5B0F" w:rsidRDefault="00AD2E14" w:rsidP="00DB5257">
            <w:pPr>
              <w:spacing w:line="280" w:lineRule="atLeast"/>
              <w:rPr>
                <w:rFonts w:eastAsia="Calibri" w:cs="Arial"/>
                <w:b/>
                <w:bCs/>
                <w:color w:val="FFFFFF"/>
                <w:sz w:val="16"/>
                <w:szCs w:val="16"/>
              </w:rPr>
            </w:pPr>
            <w:r>
              <w:rPr>
                <w:b/>
                <w:color w:val="FFFFFF"/>
                <w:sz w:val="16"/>
              </w:rPr>
              <w:t>FM</w:t>
            </w:r>
          </w:p>
        </w:tc>
        <w:tc>
          <w:tcPr>
            <w:tcW w:w="549" w:type="dxa"/>
            <w:tcBorders>
              <w:top w:val="single" w:sz="4" w:space="0" w:color="FFFFFF"/>
              <w:left w:val="single" w:sz="4" w:space="0" w:color="FFFFFF"/>
              <w:bottom w:val="single" w:sz="4" w:space="0" w:color="FFFFFF"/>
              <w:right w:val="single" w:sz="4" w:space="0" w:color="FFFFFF"/>
            </w:tcBorders>
            <w:shd w:val="clear" w:color="auto" w:fill="8BAB80"/>
          </w:tcPr>
          <w:p w:rsidR="00DB5257" w:rsidRPr="006F5B0F" w:rsidRDefault="00AD2E14" w:rsidP="00DB5257">
            <w:pPr>
              <w:spacing w:line="280" w:lineRule="atLeast"/>
              <w:rPr>
                <w:rFonts w:eastAsia="Calibri" w:cs="Arial"/>
                <w:b/>
                <w:bCs/>
                <w:color w:val="FFFFFF"/>
                <w:sz w:val="16"/>
                <w:szCs w:val="16"/>
              </w:rPr>
            </w:pPr>
            <w:r>
              <w:rPr>
                <w:b/>
                <w:color w:val="FFFFFF"/>
                <w:sz w:val="16"/>
              </w:rPr>
              <w:t>UO</w:t>
            </w:r>
          </w:p>
        </w:tc>
        <w:tc>
          <w:tcPr>
            <w:tcW w:w="549" w:type="dxa"/>
            <w:tcBorders>
              <w:top w:val="single" w:sz="4" w:space="0" w:color="FFFFFF"/>
              <w:left w:val="single" w:sz="4" w:space="0" w:color="FFFFFF"/>
              <w:bottom w:val="single" w:sz="4" w:space="0" w:color="FFFFFF"/>
              <w:right w:val="single" w:sz="4" w:space="0" w:color="FFFFFF"/>
            </w:tcBorders>
            <w:shd w:val="clear" w:color="auto" w:fill="8BAB80"/>
          </w:tcPr>
          <w:p w:rsidR="00DB5257" w:rsidRPr="006F5B0F" w:rsidRDefault="00AD2E14" w:rsidP="00DB5257">
            <w:pPr>
              <w:spacing w:line="280" w:lineRule="atLeast"/>
              <w:rPr>
                <w:rFonts w:eastAsia="Calibri" w:cs="Arial"/>
                <w:b/>
                <w:bCs/>
                <w:color w:val="FFFFFF"/>
                <w:sz w:val="16"/>
                <w:szCs w:val="16"/>
              </w:rPr>
            </w:pPr>
            <w:r>
              <w:rPr>
                <w:b/>
                <w:color w:val="FFFFFF"/>
                <w:sz w:val="16"/>
              </w:rPr>
              <w:t>UL</w:t>
            </w:r>
          </w:p>
        </w:tc>
        <w:tc>
          <w:tcPr>
            <w:tcW w:w="550" w:type="dxa"/>
            <w:tcBorders>
              <w:top w:val="single" w:sz="4" w:space="0" w:color="FFFFFF"/>
              <w:left w:val="single" w:sz="4" w:space="0" w:color="FFFFFF"/>
              <w:bottom w:val="single" w:sz="4" w:space="0" w:color="FFFFFF"/>
              <w:right w:val="single" w:sz="4" w:space="0" w:color="FFFFFF"/>
            </w:tcBorders>
            <w:shd w:val="clear" w:color="auto" w:fill="8BAB80"/>
          </w:tcPr>
          <w:p w:rsidR="00DB5257" w:rsidRPr="006F5B0F" w:rsidRDefault="00AD2E14" w:rsidP="00DB5257">
            <w:pPr>
              <w:spacing w:line="280" w:lineRule="atLeast"/>
              <w:rPr>
                <w:rFonts w:eastAsia="Calibri" w:cs="Arial"/>
                <w:b/>
                <w:bCs/>
                <w:color w:val="FFFFFF"/>
                <w:sz w:val="16"/>
                <w:szCs w:val="16"/>
              </w:rPr>
            </w:pPr>
            <w:r>
              <w:rPr>
                <w:b/>
                <w:color w:val="FFFFFF"/>
                <w:sz w:val="16"/>
              </w:rPr>
              <w:t>UtvE</w:t>
            </w:r>
          </w:p>
        </w:tc>
        <w:tc>
          <w:tcPr>
            <w:tcW w:w="593" w:type="dxa"/>
            <w:tcBorders>
              <w:top w:val="single" w:sz="4" w:space="0" w:color="FFFFFF"/>
              <w:left w:val="single" w:sz="4" w:space="0" w:color="FFFFFF"/>
              <w:bottom w:val="single" w:sz="4" w:space="0" w:color="FFFFFF"/>
              <w:right w:val="single" w:sz="4" w:space="0" w:color="FFFFFF"/>
            </w:tcBorders>
            <w:shd w:val="clear" w:color="auto" w:fill="8BAB80"/>
          </w:tcPr>
          <w:p w:rsidR="00DB5257" w:rsidRPr="006F5B0F" w:rsidRDefault="00AD2E14" w:rsidP="00DB5257">
            <w:pPr>
              <w:spacing w:line="280" w:lineRule="atLeast"/>
              <w:rPr>
                <w:rFonts w:eastAsia="Calibri" w:cs="Arial"/>
                <w:b/>
                <w:bCs/>
                <w:color w:val="FFFFFF"/>
                <w:sz w:val="16"/>
                <w:szCs w:val="16"/>
              </w:rPr>
            </w:pPr>
            <w:r>
              <w:rPr>
                <w:b/>
                <w:color w:val="FFFFFF"/>
                <w:sz w:val="16"/>
              </w:rPr>
              <w:t>UtvSG</w:t>
            </w:r>
          </w:p>
        </w:tc>
        <w:tc>
          <w:tcPr>
            <w:tcW w:w="505" w:type="dxa"/>
            <w:tcBorders>
              <w:top w:val="single" w:sz="4" w:space="0" w:color="FFFFFF"/>
              <w:left w:val="single" w:sz="4" w:space="0" w:color="FFFFFF"/>
              <w:bottom w:val="single" w:sz="4" w:space="0" w:color="FFFFFF"/>
              <w:right w:val="single" w:sz="4" w:space="0" w:color="FFFFFF"/>
            </w:tcBorders>
            <w:shd w:val="clear" w:color="auto" w:fill="8BAB80"/>
          </w:tcPr>
          <w:p w:rsidR="00DB5257" w:rsidRPr="006F5B0F" w:rsidRDefault="00AD2E14" w:rsidP="00DB5257">
            <w:pPr>
              <w:spacing w:line="280" w:lineRule="atLeast"/>
              <w:rPr>
                <w:rFonts w:eastAsia="Calibri" w:cs="Arial"/>
                <w:b/>
                <w:bCs/>
                <w:color w:val="FFFFFF"/>
                <w:sz w:val="16"/>
                <w:szCs w:val="16"/>
              </w:rPr>
            </w:pPr>
            <w:r>
              <w:rPr>
                <w:b/>
                <w:color w:val="FFFFFF"/>
                <w:sz w:val="16"/>
              </w:rPr>
              <w:t>Utv</w:t>
            </w:r>
          </w:p>
        </w:tc>
        <w:tc>
          <w:tcPr>
            <w:tcW w:w="549" w:type="dxa"/>
            <w:tcBorders>
              <w:top w:val="single" w:sz="4" w:space="0" w:color="FFFFFF"/>
              <w:left w:val="single" w:sz="4" w:space="0" w:color="FFFFFF"/>
              <w:bottom w:val="single" w:sz="4" w:space="0" w:color="FFFFFF"/>
              <w:right w:val="single" w:sz="4" w:space="0" w:color="FFFFFF"/>
            </w:tcBorders>
            <w:shd w:val="clear" w:color="auto" w:fill="8BAB80"/>
          </w:tcPr>
          <w:p w:rsidR="00DB5257" w:rsidRPr="006F5B0F" w:rsidRDefault="00AD2E14" w:rsidP="00DB5257">
            <w:pPr>
              <w:spacing w:line="280" w:lineRule="atLeast"/>
              <w:rPr>
                <w:rFonts w:eastAsia="Calibri" w:cs="Arial"/>
                <w:b/>
                <w:bCs/>
                <w:color w:val="FFFFFF"/>
                <w:sz w:val="16"/>
                <w:szCs w:val="16"/>
              </w:rPr>
            </w:pPr>
            <w:r>
              <w:rPr>
                <w:b/>
                <w:color w:val="FFFFFF"/>
                <w:sz w:val="16"/>
              </w:rPr>
              <w:t>ÖK</w:t>
            </w:r>
          </w:p>
        </w:tc>
        <w:tc>
          <w:tcPr>
            <w:tcW w:w="550" w:type="dxa"/>
            <w:tcBorders>
              <w:top w:val="single" w:sz="4" w:space="0" w:color="FFFFFF"/>
              <w:left w:val="single" w:sz="4" w:space="0" w:color="FFFFFF"/>
              <w:bottom w:val="single" w:sz="4" w:space="0" w:color="FFFFFF"/>
              <w:right w:val="single" w:sz="4" w:space="0" w:color="6E8967"/>
            </w:tcBorders>
            <w:shd w:val="clear" w:color="auto" w:fill="8BAB80"/>
          </w:tcPr>
          <w:p w:rsidR="00DB5257" w:rsidRPr="006F5B0F" w:rsidRDefault="00AD2E14" w:rsidP="00DB5257">
            <w:pPr>
              <w:spacing w:line="280" w:lineRule="atLeast"/>
              <w:rPr>
                <w:rFonts w:eastAsia="Calibri" w:cs="Arial"/>
                <w:b/>
                <w:bCs/>
                <w:color w:val="FFFFFF"/>
                <w:sz w:val="16"/>
                <w:szCs w:val="16"/>
              </w:rPr>
            </w:pPr>
            <w:r>
              <w:rPr>
                <w:b/>
                <w:color w:val="FFFFFF"/>
                <w:sz w:val="16"/>
              </w:rPr>
              <w:t>Annan</w:t>
            </w:r>
          </w:p>
        </w:tc>
      </w:tr>
      <w:tr w:rsidR="00DB5257" w:rsidRPr="001C6ACF" w:rsidTr="00DB5257">
        <w:trPr>
          <w:trHeight w:val="560"/>
          <w:jc w:val="center"/>
        </w:trPr>
        <w:tc>
          <w:tcPr>
            <w:tcW w:w="562" w:type="dxa"/>
            <w:vMerge w:val="restart"/>
            <w:tcBorders>
              <w:left w:val="single" w:sz="4" w:space="0" w:color="6E8967"/>
            </w:tcBorders>
            <w:shd w:val="clear" w:color="auto" w:fill="8BAB80"/>
            <w:textDirection w:val="btLr"/>
          </w:tcPr>
          <w:p w:rsidR="00DB5257" w:rsidRPr="006F5B0F" w:rsidRDefault="00AD2E14" w:rsidP="00DB5257">
            <w:pPr>
              <w:spacing w:line="280" w:lineRule="atLeast"/>
              <w:ind w:left="113" w:right="113"/>
              <w:jc w:val="right"/>
              <w:rPr>
                <w:rFonts w:eastAsia="Calibri" w:cs="Arial"/>
                <w:b/>
                <w:bCs/>
                <w:i/>
                <w:color w:val="FFFFFF"/>
                <w:sz w:val="16"/>
                <w:szCs w:val="16"/>
              </w:rPr>
            </w:pPr>
            <w:r>
              <w:rPr>
                <w:b/>
                <w:i/>
                <w:color w:val="FFFFFF"/>
                <w:sz w:val="16"/>
              </w:rPr>
              <w:t>Planering</w:t>
            </w:r>
          </w:p>
        </w:tc>
        <w:tc>
          <w:tcPr>
            <w:tcW w:w="3402" w:type="dxa"/>
            <w:shd w:val="clear" w:color="auto" w:fill="D0DDCC"/>
          </w:tcPr>
          <w:p w:rsidR="00DB5257" w:rsidRPr="006F5B0F" w:rsidRDefault="00AD2E14" w:rsidP="00DB5257">
            <w:pPr>
              <w:rPr>
                <w:rFonts w:eastAsia="Calibri" w:cs="Arial"/>
                <w:color w:val="373737"/>
                <w:sz w:val="16"/>
                <w:szCs w:val="16"/>
              </w:rPr>
            </w:pPr>
            <w:r>
              <w:rPr>
                <w:color w:val="373737"/>
                <w:sz w:val="16"/>
              </w:rPr>
              <w:t>Uppdatera utgångsvärden för gemensamma kontextindikatorer (i landsbygdsprogrammet).</w:t>
            </w:r>
          </w:p>
        </w:tc>
        <w:tc>
          <w:tcPr>
            <w:tcW w:w="1061" w:type="dxa"/>
            <w:shd w:val="clear" w:color="auto" w:fill="D0DDCC"/>
          </w:tcPr>
          <w:p w:rsidR="00DB5257" w:rsidRPr="006F5B0F" w:rsidRDefault="00AD2E14" w:rsidP="00DB5257">
            <w:pPr>
              <w:jc w:val="left"/>
              <w:rPr>
                <w:rFonts w:eastAsia="Calibri" w:cs="Arial"/>
                <w:color w:val="373737"/>
                <w:sz w:val="16"/>
                <w:szCs w:val="16"/>
              </w:rPr>
            </w:pPr>
            <w:r>
              <w:rPr>
                <w:color w:val="373737"/>
                <w:sz w:val="16"/>
              </w:rPr>
              <w:t>Så snart som uppgifterna är tillgängliga.</w:t>
            </w:r>
          </w:p>
        </w:tc>
        <w:tc>
          <w:tcPr>
            <w:tcW w:w="622" w:type="dxa"/>
            <w:tcBorders>
              <w:top w:val="single" w:sz="4" w:space="0" w:color="FFFFFF"/>
              <w:right w:val="single" w:sz="4" w:space="0" w:color="FFFFFF"/>
            </w:tcBorders>
            <w:shd w:val="clear" w:color="auto" w:fill="95B89B"/>
          </w:tcPr>
          <w:p w:rsidR="00DB5257" w:rsidRPr="006F5B0F" w:rsidRDefault="00AD2E14" w:rsidP="00DB5257">
            <w:pPr>
              <w:rPr>
                <w:rFonts w:eastAsia="Calibri" w:cs="Arial"/>
                <w:color w:val="373737"/>
                <w:sz w:val="16"/>
                <w:szCs w:val="16"/>
              </w:rPr>
            </w:pPr>
            <w:r>
              <w:rPr>
                <w:color w:val="373737"/>
                <w:sz w:val="16"/>
              </w:rPr>
              <w:t>x</w:t>
            </w:r>
          </w:p>
        </w:tc>
        <w:tc>
          <w:tcPr>
            <w:tcW w:w="549" w:type="dxa"/>
            <w:tcBorders>
              <w:top w:val="single" w:sz="4" w:space="0" w:color="FFFFFF"/>
              <w:left w:val="single" w:sz="4" w:space="0" w:color="FFFFFF"/>
            </w:tcBorders>
            <w:shd w:val="clear" w:color="auto" w:fill="auto"/>
          </w:tcPr>
          <w:p w:rsidR="00DB5257" w:rsidRPr="006F5B0F" w:rsidRDefault="00DB5257" w:rsidP="00DB5257">
            <w:pPr>
              <w:rPr>
                <w:rFonts w:eastAsia="Calibri" w:cs="Arial"/>
                <w:color w:val="373737"/>
                <w:sz w:val="16"/>
                <w:szCs w:val="16"/>
              </w:rPr>
            </w:pPr>
          </w:p>
        </w:tc>
        <w:tc>
          <w:tcPr>
            <w:tcW w:w="549" w:type="dxa"/>
            <w:tcBorders>
              <w:top w:val="single" w:sz="4" w:space="0" w:color="FFFFFF"/>
            </w:tcBorders>
            <w:shd w:val="clear" w:color="auto" w:fill="auto"/>
          </w:tcPr>
          <w:p w:rsidR="00DB5257" w:rsidRPr="006F5B0F" w:rsidRDefault="00DB5257" w:rsidP="00DB5257">
            <w:pPr>
              <w:rPr>
                <w:rFonts w:eastAsia="Calibri" w:cs="Arial"/>
                <w:color w:val="373737"/>
                <w:sz w:val="16"/>
                <w:szCs w:val="16"/>
              </w:rPr>
            </w:pPr>
          </w:p>
        </w:tc>
        <w:tc>
          <w:tcPr>
            <w:tcW w:w="550" w:type="dxa"/>
            <w:tcBorders>
              <w:top w:val="single" w:sz="4" w:space="0" w:color="FFFFFF"/>
            </w:tcBorders>
            <w:shd w:val="clear" w:color="auto" w:fill="D0DDCC"/>
          </w:tcPr>
          <w:p w:rsidR="00DB5257" w:rsidRPr="006F5B0F" w:rsidRDefault="00AD2E14" w:rsidP="00DB5257">
            <w:pPr>
              <w:rPr>
                <w:rFonts w:eastAsia="Calibri" w:cs="Arial"/>
                <w:color w:val="373737"/>
                <w:sz w:val="16"/>
                <w:szCs w:val="16"/>
              </w:rPr>
            </w:pPr>
            <w:r>
              <w:rPr>
                <w:color w:val="373737"/>
                <w:sz w:val="16"/>
              </w:rPr>
              <w:t>y</w:t>
            </w:r>
          </w:p>
        </w:tc>
        <w:tc>
          <w:tcPr>
            <w:tcW w:w="593" w:type="dxa"/>
            <w:tcBorders>
              <w:top w:val="single" w:sz="4" w:space="0" w:color="FFFFFF"/>
            </w:tcBorders>
            <w:shd w:val="clear" w:color="auto" w:fill="auto"/>
          </w:tcPr>
          <w:p w:rsidR="00DB5257" w:rsidRPr="006F5B0F" w:rsidRDefault="00DB5257" w:rsidP="00DB5257">
            <w:pPr>
              <w:rPr>
                <w:rFonts w:eastAsia="Calibri" w:cs="Arial"/>
                <w:color w:val="373737"/>
                <w:sz w:val="16"/>
                <w:szCs w:val="16"/>
              </w:rPr>
            </w:pPr>
          </w:p>
        </w:tc>
        <w:tc>
          <w:tcPr>
            <w:tcW w:w="505" w:type="dxa"/>
            <w:tcBorders>
              <w:top w:val="single" w:sz="4" w:space="0" w:color="FFFFFF"/>
            </w:tcBorders>
            <w:shd w:val="clear" w:color="auto" w:fill="auto"/>
          </w:tcPr>
          <w:p w:rsidR="00DB5257" w:rsidRPr="006F5B0F" w:rsidRDefault="00DB5257" w:rsidP="00DB5257">
            <w:pPr>
              <w:rPr>
                <w:rFonts w:eastAsia="Calibri" w:cs="Arial"/>
                <w:color w:val="373737"/>
                <w:sz w:val="16"/>
                <w:szCs w:val="16"/>
              </w:rPr>
            </w:pPr>
          </w:p>
        </w:tc>
        <w:tc>
          <w:tcPr>
            <w:tcW w:w="549" w:type="dxa"/>
            <w:tcBorders>
              <w:top w:val="single" w:sz="4" w:space="0" w:color="FFFFFF"/>
            </w:tcBorders>
            <w:shd w:val="clear" w:color="auto" w:fill="auto"/>
          </w:tcPr>
          <w:p w:rsidR="00DB5257" w:rsidRPr="006F5B0F" w:rsidRDefault="00DB5257" w:rsidP="00DB5257">
            <w:pPr>
              <w:rPr>
                <w:rFonts w:eastAsia="Calibri" w:cs="Arial"/>
                <w:color w:val="373737"/>
                <w:sz w:val="16"/>
                <w:szCs w:val="16"/>
              </w:rPr>
            </w:pPr>
          </w:p>
        </w:tc>
        <w:tc>
          <w:tcPr>
            <w:tcW w:w="550" w:type="dxa"/>
            <w:tcBorders>
              <w:top w:val="single" w:sz="4" w:space="0" w:color="FFFFFF"/>
              <w:right w:val="single" w:sz="4" w:space="0" w:color="6E8967"/>
            </w:tcBorders>
            <w:shd w:val="clear" w:color="auto" w:fill="auto"/>
          </w:tcPr>
          <w:p w:rsidR="00DB5257" w:rsidRPr="006F5B0F" w:rsidRDefault="00DB5257" w:rsidP="00DB5257">
            <w:pPr>
              <w:rPr>
                <w:rFonts w:eastAsia="Calibri" w:cs="Arial"/>
                <w:color w:val="373737"/>
                <w:sz w:val="16"/>
                <w:szCs w:val="16"/>
              </w:rPr>
            </w:pPr>
          </w:p>
        </w:tc>
      </w:tr>
      <w:tr w:rsidR="00DB5257" w:rsidRPr="001C6ACF" w:rsidTr="00DB5257">
        <w:trPr>
          <w:trHeight w:val="590"/>
          <w:jc w:val="center"/>
        </w:trPr>
        <w:tc>
          <w:tcPr>
            <w:tcW w:w="562" w:type="dxa"/>
            <w:vMerge/>
            <w:tcBorders>
              <w:left w:val="single" w:sz="4" w:space="0" w:color="6E8967"/>
            </w:tcBorders>
            <w:shd w:val="clear" w:color="auto" w:fill="8BAB80"/>
            <w:textDirection w:val="btLr"/>
          </w:tcPr>
          <w:p w:rsidR="00DB5257" w:rsidRPr="006F5B0F" w:rsidRDefault="00DB5257" w:rsidP="00DB5257">
            <w:pPr>
              <w:spacing w:line="280" w:lineRule="atLeast"/>
              <w:ind w:left="113" w:right="113"/>
              <w:jc w:val="right"/>
              <w:rPr>
                <w:rFonts w:eastAsia="Calibri" w:cs="Arial"/>
                <w:b/>
                <w:bCs/>
                <w:i/>
                <w:color w:val="FFFFFF"/>
                <w:sz w:val="16"/>
                <w:szCs w:val="16"/>
              </w:rPr>
            </w:pPr>
          </w:p>
        </w:tc>
        <w:tc>
          <w:tcPr>
            <w:tcW w:w="3402" w:type="dxa"/>
            <w:shd w:val="clear" w:color="auto" w:fill="E7EEE5"/>
          </w:tcPr>
          <w:p w:rsidR="00DB5257" w:rsidRPr="006F5B0F" w:rsidRDefault="00AD2E14" w:rsidP="00DB5257">
            <w:pPr>
              <w:rPr>
                <w:rFonts w:eastAsia="Calibri" w:cs="Arial"/>
                <w:color w:val="373737"/>
                <w:sz w:val="16"/>
                <w:szCs w:val="16"/>
              </w:rPr>
            </w:pPr>
            <w:r>
              <w:rPr>
                <w:color w:val="373737"/>
                <w:sz w:val="16"/>
              </w:rPr>
              <w:t xml:space="preserve">Planera utvärderingsverksamhet, ämnen, studier och insamling av uppgifter kopplade till gemensamma effektindikatorer i utvärderingsplanen för landsbygdsprogrammet. </w:t>
            </w:r>
          </w:p>
        </w:tc>
        <w:tc>
          <w:tcPr>
            <w:tcW w:w="1061" w:type="dxa"/>
            <w:shd w:val="clear" w:color="auto" w:fill="E7EEE5"/>
          </w:tcPr>
          <w:p w:rsidR="00DB5257" w:rsidRPr="006F5B0F" w:rsidRDefault="00AD2E14" w:rsidP="00DB5257">
            <w:pPr>
              <w:jc w:val="left"/>
              <w:rPr>
                <w:rFonts w:eastAsia="Calibri" w:cs="Arial"/>
                <w:color w:val="373737"/>
                <w:sz w:val="16"/>
                <w:szCs w:val="16"/>
              </w:rPr>
            </w:pPr>
            <w:r>
              <w:rPr>
                <w:color w:val="373737"/>
                <w:sz w:val="16"/>
              </w:rPr>
              <w:t xml:space="preserve">Från 2013 </w:t>
            </w:r>
          </w:p>
        </w:tc>
        <w:tc>
          <w:tcPr>
            <w:tcW w:w="622" w:type="dxa"/>
            <w:tcBorders>
              <w:right w:val="single" w:sz="4" w:space="0" w:color="FFFFFF"/>
            </w:tcBorders>
            <w:shd w:val="clear" w:color="auto" w:fill="95B89B"/>
          </w:tcPr>
          <w:p w:rsidR="00DB5257" w:rsidRPr="006F5B0F" w:rsidRDefault="00AD2E14" w:rsidP="00DB5257">
            <w:pPr>
              <w:rPr>
                <w:rFonts w:eastAsia="Calibri" w:cs="Arial"/>
                <w:color w:val="373737"/>
                <w:sz w:val="16"/>
                <w:szCs w:val="16"/>
              </w:rPr>
            </w:pPr>
            <w:r>
              <w:rPr>
                <w:color w:val="373737"/>
                <w:sz w:val="16"/>
              </w:rPr>
              <w:t>x</w:t>
            </w:r>
          </w:p>
        </w:tc>
        <w:tc>
          <w:tcPr>
            <w:tcW w:w="549" w:type="dxa"/>
            <w:tcBorders>
              <w:left w:val="single" w:sz="4" w:space="0" w:color="FFFFFF"/>
            </w:tcBorders>
            <w:shd w:val="clear" w:color="auto" w:fill="auto"/>
          </w:tcPr>
          <w:p w:rsidR="00DB5257" w:rsidRPr="006F5B0F" w:rsidRDefault="00DB5257" w:rsidP="00DB5257">
            <w:pPr>
              <w:rPr>
                <w:rFonts w:eastAsia="Calibri" w:cs="Arial"/>
                <w:color w:val="373737"/>
                <w:sz w:val="16"/>
                <w:szCs w:val="16"/>
              </w:rPr>
            </w:pPr>
          </w:p>
        </w:tc>
        <w:tc>
          <w:tcPr>
            <w:tcW w:w="549" w:type="dxa"/>
            <w:shd w:val="clear" w:color="auto" w:fill="auto"/>
          </w:tcPr>
          <w:p w:rsidR="00DB5257" w:rsidRPr="006F5B0F" w:rsidRDefault="00DB5257" w:rsidP="00DB5257">
            <w:pPr>
              <w:rPr>
                <w:rFonts w:eastAsia="Calibri" w:cs="Arial"/>
                <w:color w:val="373737"/>
                <w:sz w:val="16"/>
                <w:szCs w:val="16"/>
              </w:rPr>
            </w:pPr>
          </w:p>
        </w:tc>
        <w:tc>
          <w:tcPr>
            <w:tcW w:w="550" w:type="dxa"/>
            <w:shd w:val="clear" w:color="auto" w:fill="D0DDCC"/>
          </w:tcPr>
          <w:p w:rsidR="00DB5257" w:rsidRPr="006F5B0F" w:rsidRDefault="00AD2E14" w:rsidP="00DB5257">
            <w:pPr>
              <w:rPr>
                <w:rFonts w:eastAsia="Calibri" w:cs="Arial"/>
                <w:color w:val="373737"/>
                <w:sz w:val="16"/>
                <w:szCs w:val="16"/>
              </w:rPr>
            </w:pPr>
            <w:r>
              <w:rPr>
                <w:color w:val="373737"/>
                <w:sz w:val="16"/>
              </w:rPr>
              <w:t>y</w:t>
            </w:r>
          </w:p>
        </w:tc>
        <w:tc>
          <w:tcPr>
            <w:tcW w:w="593" w:type="dxa"/>
            <w:shd w:val="clear" w:color="auto" w:fill="auto"/>
          </w:tcPr>
          <w:p w:rsidR="00DB5257" w:rsidRPr="006F5B0F" w:rsidRDefault="00DB5257" w:rsidP="00DB5257">
            <w:pPr>
              <w:rPr>
                <w:rFonts w:eastAsia="Calibri" w:cs="Arial"/>
                <w:color w:val="373737"/>
                <w:sz w:val="16"/>
                <w:szCs w:val="16"/>
              </w:rPr>
            </w:pPr>
          </w:p>
        </w:tc>
        <w:tc>
          <w:tcPr>
            <w:tcW w:w="505" w:type="dxa"/>
            <w:shd w:val="clear" w:color="auto" w:fill="auto"/>
          </w:tcPr>
          <w:p w:rsidR="00DB5257" w:rsidRPr="006F5B0F" w:rsidRDefault="00DB5257" w:rsidP="00DB5257">
            <w:pPr>
              <w:rPr>
                <w:rFonts w:eastAsia="Calibri" w:cs="Arial"/>
                <w:color w:val="373737"/>
                <w:sz w:val="16"/>
                <w:szCs w:val="16"/>
              </w:rPr>
            </w:pPr>
          </w:p>
        </w:tc>
        <w:tc>
          <w:tcPr>
            <w:tcW w:w="549" w:type="dxa"/>
            <w:shd w:val="clear" w:color="auto" w:fill="auto"/>
          </w:tcPr>
          <w:p w:rsidR="00DB5257" w:rsidRPr="006F5B0F" w:rsidRDefault="00DB5257" w:rsidP="00DB5257">
            <w:pPr>
              <w:rPr>
                <w:rFonts w:eastAsia="Calibri" w:cs="Arial"/>
                <w:color w:val="373737"/>
                <w:sz w:val="16"/>
                <w:szCs w:val="16"/>
              </w:rPr>
            </w:pPr>
          </w:p>
        </w:tc>
        <w:tc>
          <w:tcPr>
            <w:tcW w:w="550" w:type="dxa"/>
            <w:tcBorders>
              <w:right w:val="single" w:sz="4" w:space="0" w:color="6E8967"/>
            </w:tcBorders>
            <w:shd w:val="clear" w:color="auto" w:fill="auto"/>
          </w:tcPr>
          <w:p w:rsidR="00DB5257" w:rsidRPr="006F5B0F" w:rsidRDefault="00DB5257" w:rsidP="00DB5257">
            <w:pPr>
              <w:rPr>
                <w:rFonts w:eastAsia="Calibri" w:cs="Arial"/>
                <w:color w:val="373737"/>
                <w:sz w:val="16"/>
                <w:szCs w:val="16"/>
              </w:rPr>
            </w:pPr>
          </w:p>
        </w:tc>
      </w:tr>
      <w:tr w:rsidR="00DB5257" w:rsidRPr="001C6ACF" w:rsidTr="00DB5257">
        <w:trPr>
          <w:trHeight w:val="230"/>
          <w:jc w:val="center"/>
        </w:trPr>
        <w:tc>
          <w:tcPr>
            <w:tcW w:w="562" w:type="dxa"/>
            <w:vMerge/>
            <w:tcBorders>
              <w:left w:val="single" w:sz="4" w:space="0" w:color="6E8967"/>
            </w:tcBorders>
            <w:shd w:val="clear" w:color="auto" w:fill="8BAB80"/>
            <w:textDirection w:val="btLr"/>
          </w:tcPr>
          <w:p w:rsidR="00DB5257" w:rsidRPr="006F5B0F" w:rsidRDefault="00DB5257" w:rsidP="00DB5257">
            <w:pPr>
              <w:spacing w:line="280" w:lineRule="atLeast"/>
              <w:ind w:left="113" w:right="113"/>
              <w:jc w:val="right"/>
              <w:rPr>
                <w:rFonts w:eastAsia="Calibri" w:cs="Arial"/>
                <w:b/>
                <w:bCs/>
                <w:i/>
                <w:color w:val="FFFFFF"/>
                <w:sz w:val="16"/>
                <w:szCs w:val="16"/>
              </w:rPr>
            </w:pPr>
          </w:p>
        </w:tc>
        <w:tc>
          <w:tcPr>
            <w:tcW w:w="3402" w:type="dxa"/>
            <w:shd w:val="clear" w:color="auto" w:fill="D0DDCC"/>
          </w:tcPr>
          <w:p w:rsidR="00DB5257" w:rsidRPr="006F5B0F" w:rsidRDefault="00AD2E14" w:rsidP="00DB5257">
            <w:pPr>
              <w:rPr>
                <w:rFonts w:eastAsia="Calibri" w:cs="Arial"/>
                <w:color w:val="373737"/>
                <w:sz w:val="16"/>
                <w:szCs w:val="16"/>
              </w:rPr>
            </w:pPr>
            <w:r>
              <w:rPr>
                <w:color w:val="373737"/>
                <w:sz w:val="16"/>
              </w:rPr>
              <w:t xml:space="preserve">Utveckla/uppdatera utvärderingsplanering (dokument) för att ytterligare specificera utvärderingsämnen och verksamhet (inklusive dataåtgärder för att tillämpa en nettometod för effektindikatorerna, för att samla in mer uppgifter och genomföra relaterade undersökningar). </w:t>
            </w:r>
          </w:p>
        </w:tc>
        <w:tc>
          <w:tcPr>
            <w:tcW w:w="1061" w:type="dxa"/>
            <w:shd w:val="clear" w:color="auto" w:fill="D0DDCC"/>
          </w:tcPr>
          <w:p w:rsidR="00DB5257" w:rsidRPr="006F5B0F" w:rsidRDefault="00AD2E14" w:rsidP="00DB5257">
            <w:pPr>
              <w:jc w:val="left"/>
              <w:rPr>
                <w:rFonts w:eastAsia="Calibri" w:cs="Arial"/>
                <w:color w:val="373737"/>
                <w:sz w:val="16"/>
                <w:szCs w:val="16"/>
              </w:rPr>
            </w:pPr>
            <w:r>
              <w:rPr>
                <w:color w:val="373737"/>
                <w:sz w:val="16"/>
              </w:rPr>
              <w:t>Från 2013</w:t>
            </w:r>
          </w:p>
        </w:tc>
        <w:tc>
          <w:tcPr>
            <w:tcW w:w="622" w:type="dxa"/>
            <w:shd w:val="clear" w:color="auto" w:fill="95B89B"/>
          </w:tcPr>
          <w:p w:rsidR="00DB5257" w:rsidRPr="006F5B0F" w:rsidRDefault="00AD2E14" w:rsidP="00DB5257">
            <w:pPr>
              <w:rPr>
                <w:rFonts w:eastAsia="Calibri" w:cs="Arial"/>
                <w:color w:val="373737"/>
                <w:sz w:val="16"/>
                <w:szCs w:val="16"/>
              </w:rPr>
            </w:pPr>
            <w:r>
              <w:rPr>
                <w:color w:val="373737"/>
                <w:sz w:val="16"/>
              </w:rPr>
              <w:t>x</w:t>
            </w:r>
          </w:p>
        </w:tc>
        <w:tc>
          <w:tcPr>
            <w:tcW w:w="549" w:type="dxa"/>
            <w:shd w:val="clear" w:color="auto" w:fill="auto"/>
          </w:tcPr>
          <w:p w:rsidR="00DB5257" w:rsidRPr="006F5B0F" w:rsidRDefault="00DB5257" w:rsidP="00DB5257">
            <w:pPr>
              <w:rPr>
                <w:rFonts w:eastAsia="Calibri" w:cs="Arial"/>
                <w:color w:val="373737"/>
                <w:sz w:val="16"/>
                <w:szCs w:val="16"/>
              </w:rPr>
            </w:pPr>
          </w:p>
        </w:tc>
        <w:tc>
          <w:tcPr>
            <w:tcW w:w="549" w:type="dxa"/>
            <w:shd w:val="clear" w:color="auto" w:fill="auto"/>
          </w:tcPr>
          <w:p w:rsidR="00DB5257" w:rsidRPr="006F5B0F" w:rsidRDefault="00DB5257" w:rsidP="00DB5257">
            <w:pPr>
              <w:rPr>
                <w:rFonts w:eastAsia="Calibri" w:cs="Arial"/>
                <w:color w:val="373737"/>
                <w:sz w:val="16"/>
                <w:szCs w:val="16"/>
              </w:rPr>
            </w:pPr>
          </w:p>
        </w:tc>
        <w:tc>
          <w:tcPr>
            <w:tcW w:w="550" w:type="dxa"/>
            <w:shd w:val="clear" w:color="auto" w:fill="D0DDCC"/>
          </w:tcPr>
          <w:p w:rsidR="00DB5257" w:rsidRPr="006F5B0F" w:rsidRDefault="00AD2E14" w:rsidP="00DB5257">
            <w:pPr>
              <w:rPr>
                <w:rFonts w:eastAsia="Calibri" w:cs="Arial"/>
                <w:color w:val="373737"/>
                <w:sz w:val="16"/>
                <w:szCs w:val="16"/>
              </w:rPr>
            </w:pPr>
            <w:r>
              <w:rPr>
                <w:color w:val="373737"/>
                <w:sz w:val="16"/>
              </w:rPr>
              <w:t>y</w:t>
            </w:r>
          </w:p>
        </w:tc>
        <w:tc>
          <w:tcPr>
            <w:tcW w:w="593" w:type="dxa"/>
            <w:shd w:val="clear" w:color="auto" w:fill="auto"/>
          </w:tcPr>
          <w:p w:rsidR="00DB5257" w:rsidRPr="006F5B0F" w:rsidRDefault="00DB5257" w:rsidP="00DB5257">
            <w:pPr>
              <w:rPr>
                <w:rFonts w:eastAsia="Calibri" w:cs="Arial"/>
                <w:color w:val="373737"/>
                <w:sz w:val="16"/>
                <w:szCs w:val="16"/>
              </w:rPr>
            </w:pPr>
          </w:p>
        </w:tc>
        <w:tc>
          <w:tcPr>
            <w:tcW w:w="505" w:type="dxa"/>
            <w:shd w:val="clear" w:color="auto" w:fill="auto"/>
          </w:tcPr>
          <w:p w:rsidR="00DB5257" w:rsidRPr="006F5B0F" w:rsidRDefault="00DB5257" w:rsidP="00DB5257">
            <w:pPr>
              <w:rPr>
                <w:rFonts w:eastAsia="Calibri" w:cs="Arial"/>
                <w:color w:val="373737"/>
                <w:sz w:val="16"/>
                <w:szCs w:val="16"/>
              </w:rPr>
            </w:pPr>
          </w:p>
        </w:tc>
        <w:tc>
          <w:tcPr>
            <w:tcW w:w="549" w:type="dxa"/>
            <w:shd w:val="clear" w:color="auto" w:fill="auto"/>
          </w:tcPr>
          <w:p w:rsidR="00DB5257" w:rsidRPr="006F5B0F" w:rsidRDefault="00DB5257" w:rsidP="00DB5257">
            <w:pPr>
              <w:rPr>
                <w:rFonts w:eastAsia="Calibri" w:cs="Arial"/>
                <w:color w:val="373737"/>
                <w:sz w:val="16"/>
                <w:szCs w:val="16"/>
              </w:rPr>
            </w:pPr>
          </w:p>
        </w:tc>
        <w:tc>
          <w:tcPr>
            <w:tcW w:w="550" w:type="dxa"/>
            <w:tcBorders>
              <w:right w:val="single" w:sz="4" w:space="0" w:color="6E8967"/>
            </w:tcBorders>
            <w:shd w:val="clear" w:color="auto" w:fill="auto"/>
          </w:tcPr>
          <w:p w:rsidR="00DB5257" w:rsidRPr="006F5B0F" w:rsidRDefault="00DB5257" w:rsidP="00DB5257">
            <w:pPr>
              <w:rPr>
                <w:rFonts w:eastAsia="Calibri" w:cs="Arial"/>
                <w:color w:val="373737"/>
                <w:sz w:val="16"/>
                <w:szCs w:val="16"/>
              </w:rPr>
            </w:pPr>
          </w:p>
        </w:tc>
      </w:tr>
      <w:tr w:rsidR="00DB5257" w:rsidRPr="001C6ACF" w:rsidTr="00DB5257">
        <w:trPr>
          <w:trHeight w:val="790"/>
          <w:jc w:val="center"/>
        </w:trPr>
        <w:tc>
          <w:tcPr>
            <w:tcW w:w="562" w:type="dxa"/>
            <w:vMerge w:val="restart"/>
            <w:tcBorders>
              <w:left w:val="single" w:sz="4" w:space="0" w:color="6E8967"/>
            </w:tcBorders>
            <w:shd w:val="clear" w:color="auto" w:fill="8BAB80"/>
            <w:textDirection w:val="btLr"/>
          </w:tcPr>
          <w:p w:rsidR="00DB5257" w:rsidRPr="006F5B0F" w:rsidRDefault="00AD2E14" w:rsidP="00DB5257">
            <w:pPr>
              <w:spacing w:line="280" w:lineRule="atLeast"/>
              <w:ind w:left="113" w:right="113"/>
              <w:jc w:val="right"/>
              <w:rPr>
                <w:rFonts w:eastAsia="Calibri" w:cs="Arial"/>
                <w:b/>
                <w:bCs/>
                <w:i/>
                <w:color w:val="FFFFFF"/>
                <w:sz w:val="16"/>
                <w:szCs w:val="16"/>
              </w:rPr>
            </w:pPr>
            <w:r>
              <w:rPr>
                <w:b/>
                <w:i/>
                <w:color w:val="FFFFFF"/>
                <w:sz w:val="16"/>
              </w:rPr>
              <w:t>Förberedelse</w:t>
            </w:r>
          </w:p>
        </w:tc>
        <w:tc>
          <w:tcPr>
            <w:tcW w:w="3402" w:type="dxa"/>
            <w:shd w:val="clear" w:color="auto" w:fill="E7EEE5"/>
          </w:tcPr>
          <w:p w:rsidR="00DB5257" w:rsidRPr="006F5B0F" w:rsidRDefault="00AD2E14" w:rsidP="00DB5257">
            <w:pPr>
              <w:rPr>
                <w:rFonts w:eastAsia="Calibri" w:cs="Arial"/>
                <w:color w:val="373737"/>
                <w:sz w:val="16"/>
                <w:szCs w:val="16"/>
              </w:rPr>
            </w:pPr>
            <w:r>
              <w:rPr>
                <w:color w:val="373737"/>
                <w:sz w:val="16"/>
              </w:rPr>
              <w:t>Inrätta en frivillig styrgrupp för utvärderingen som leder processen (regelbundna möten).</w:t>
            </w:r>
          </w:p>
        </w:tc>
        <w:tc>
          <w:tcPr>
            <w:tcW w:w="1061" w:type="dxa"/>
            <w:shd w:val="clear" w:color="auto" w:fill="E7EEE5"/>
          </w:tcPr>
          <w:p w:rsidR="00DB5257" w:rsidRPr="006F5B0F" w:rsidRDefault="00AD2E14" w:rsidP="00DB5257">
            <w:pPr>
              <w:jc w:val="left"/>
              <w:rPr>
                <w:rFonts w:eastAsia="Calibri" w:cs="Arial"/>
                <w:color w:val="373737"/>
                <w:sz w:val="16"/>
                <w:szCs w:val="16"/>
              </w:rPr>
            </w:pPr>
            <w:r>
              <w:rPr>
                <w:color w:val="373737"/>
                <w:sz w:val="16"/>
              </w:rPr>
              <w:t xml:space="preserve">Tidigt under programperioden </w:t>
            </w:r>
          </w:p>
        </w:tc>
        <w:tc>
          <w:tcPr>
            <w:tcW w:w="622" w:type="dxa"/>
            <w:shd w:val="clear" w:color="auto" w:fill="95B89B"/>
          </w:tcPr>
          <w:p w:rsidR="00DB5257" w:rsidRPr="006F5B0F" w:rsidRDefault="00AD2E14" w:rsidP="00DB5257">
            <w:pPr>
              <w:rPr>
                <w:rFonts w:eastAsia="Calibri" w:cs="Arial"/>
                <w:color w:val="373737"/>
                <w:sz w:val="16"/>
                <w:szCs w:val="16"/>
              </w:rPr>
            </w:pPr>
            <w:r>
              <w:rPr>
                <w:color w:val="373737"/>
                <w:sz w:val="16"/>
              </w:rPr>
              <w:t>x</w:t>
            </w:r>
          </w:p>
        </w:tc>
        <w:tc>
          <w:tcPr>
            <w:tcW w:w="549" w:type="dxa"/>
            <w:shd w:val="clear" w:color="auto" w:fill="D0DDCC"/>
          </w:tcPr>
          <w:p w:rsidR="00DB5257" w:rsidRPr="006F5B0F" w:rsidRDefault="00AD2E14" w:rsidP="00DB5257">
            <w:pPr>
              <w:rPr>
                <w:rFonts w:eastAsia="Calibri" w:cs="Arial"/>
                <w:color w:val="373737"/>
                <w:sz w:val="16"/>
                <w:szCs w:val="16"/>
              </w:rPr>
            </w:pPr>
            <w:r>
              <w:rPr>
                <w:color w:val="373737"/>
                <w:sz w:val="16"/>
              </w:rPr>
              <w:t>y</w:t>
            </w:r>
          </w:p>
        </w:tc>
        <w:tc>
          <w:tcPr>
            <w:tcW w:w="549" w:type="dxa"/>
            <w:shd w:val="clear" w:color="auto" w:fill="D0DDCC"/>
          </w:tcPr>
          <w:p w:rsidR="00DB5257" w:rsidRPr="006F5B0F" w:rsidRDefault="00AD2E14" w:rsidP="00DB5257">
            <w:pPr>
              <w:rPr>
                <w:rFonts w:eastAsia="Calibri" w:cs="Arial"/>
                <w:color w:val="373737"/>
                <w:sz w:val="16"/>
                <w:szCs w:val="16"/>
              </w:rPr>
            </w:pPr>
            <w:r>
              <w:rPr>
                <w:color w:val="373737"/>
                <w:sz w:val="16"/>
              </w:rPr>
              <w:t>y</w:t>
            </w:r>
          </w:p>
        </w:tc>
        <w:tc>
          <w:tcPr>
            <w:tcW w:w="550" w:type="dxa"/>
            <w:shd w:val="clear" w:color="auto" w:fill="95B89B"/>
          </w:tcPr>
          <w:p w:rsidR="00DB5257" w:rsidRPr="006F5B0F" w:rsidRDefault="00AD2E14" w:rsidP="00DB5257">
            <w:pPr>
              <w:rPr>
                <w:rFonts w:eastAsia="Calibri" w:cs="Arial"/>
                <w:color w:val="373737"/>
                <w:sz w:val="16"/>
                <w:szCs w:val="16"/>
              </w:rPr>
            </w:pPr>
            <w:r>
              <w:rPr>
                <w:color w:val="373737"/>
                <w:sz w:val="16"/>
              </w:rPr>
              <w:t>x</w:t>
            </w:r>
          </w:p>
        </w:tc>
        <w:tc>
          <w:tcPr>
            <w:tcW w:w="593" w:type="dxa"/>
            <w:shd w:val="clear" w:color="auto" w:fill="95B89B"/>
          </w:tcPr>
          <w:p w:rsidR="00DB5257" w:rsidRPr="006F5B0F" w:rsidRDefault="00AD2E14" w:rsidP="00DB5257">
            <w:pPr>
              <w:rPr>
                <w:rFonts w:eastAsia="Calibri" w:cs="Arial"/>
                <w:color w:val="373737"/>
                <w:sz w:val="16"/>
                <w:szCs w:val="16"/>
              </w:rPr>
            </w:pPr>
            <w:r>
              <w:rPr>
                <w:color w:val="373737"/>
                <w:sz w:val="16"/>
              </w:rPr>
              <w:t>x</w:t>
            </w:r>
          </w:p>
        </w:tc>
        <w:tc>
          <w:tcPr>
            <w:tcW w:w="505" w:type="dxa"/>
            <w:shd w:val="clear" w:color="auto" w:fill="auto"/>
          </w:tcPr>
          <w:p w:rsidR="00DB5257" w:rsidRPr="006F5B0F" w:rsidRDefault="00DB5257" w:rsidP="00DB5257">
            <w:pPr>
              <w:rPr>
                <w:rFonts w:eastAsia="Calibri" w:cs="Arial"/>
                <w:color w:val="373737"/>
                <w:sz w:val="16"/>
                <w:szCs w:val="16"/>
              </w:rPr>
            </w:pPr>
          </w:p>
        </w:tc>
        <w:tc>
          <w:tcPr>
            <w:tcW w:w="549" w:type="dxa"/>
            <w:shd w:val="clear" w:color="auto" w:fill="auto"/>
          </w:tcPr>
          <w:p w:rsidR="00DB5257" w:rsidRPr="006F5B0F" w:rsidRDefault="00DB5257" w:rsidP="00DB5257">
            <w:pPr>
              <w:rPr>
                <w:rFonts w:eastAsia="Calibri" w:cs="Arial"/>
                <w:color w:val="373737"/>
                <w:sz w:val="16"/>
                <w:szCs w:val="16"/>
              </w:rPr>
            </w:pPr>
          </w:p>
        </w:tc>
        <w:tc>
          <w:tcPr>
            <w:tcW w:w="550" w:type="dxa"/>
            <w:tcBorders>
              <w:right w:val="single" w:sz="4" w:space="0" w:color="6E8967"/>
            </w:tcBorders>
            <w:shd w:val="clear" w:color="auto" w:fill="D0DDCC"/>
          </w:tcPr>
          <w:p w:rsidR="00DB5257" w:rsidRPr="006F5B0F" w:rsidRDefault="00AD2E14" w:rsidP="00DB5257">
            <w:pPr>
              <w:rPr>
                <w:rFonts w:eastAsia="Calibri" w:cs="Arial"/>
                <w:color w:val="373737"/>
                <w:sz w:val="16"/>
                <w:szCs w:val="16"/>
              </w:rPr>
            </w:pPr>
            <w:r>
              <w:rPr>
                <w:color w:val="373737"/>
                <w:sz w:val="16"/>
              </w:rPr>
              <w:t>y</w:t>
            </w:r>
          </w:p>
        </w:tc>
      </w:tr>
      <w:tr w:rsidR="00DB5257" w:rsidRPr="001C6ACF" w:rsidTr="00DB5257">
        <w:trPr>
          <w:trHeight w:val="790"/>
          <w:jc w:val="center"/>
        </w:trPr>
        <w:tc>
          <w:tcPr>
            <w:tcW w:w="562" w:type="dxa"/>
            <w:vMerge/>
            <w:tcBorders>
              <w:left w:val="single" w:sz="4" w:space="0" w:color="6E8967"/>
            </w:tcBorders>
            <w:shd w:val="clear" w:color="auto" w:fill="8BAB80"/>
            <w:textDirection w:val="btLr"/>
          </w:tcPr>
          <w:p w:rsidR="00DB5257" w:rsidRPr="006F5B0F" w:rsidRDefault="00DB5257" w:rsidP="00DB5257">
            <w:pPr>
              <w:spacing w:line="280" w:lineRule="atLeast"/>
              <w:ind w:left="113" w:right="113"/>
              <w:jc w:val="right"/>
              <w:rPr>
                <w:rFonts w:eastAsia="Calibri" w:cs="Arial"/>
                <w:b/>
                <w:bCs/>
                <w:i/>
                <w:color w:val="FFFFFF"/>
                <w:sz w:val="16"/>
                <w:szCs w:val="16"/>
              </w:rPr>
            </w:pPr>
          </w:p>
        </w:tc>
        <w:tc>
          <w:tcPr>
            <w:tcW w:w="3402" w:type="dxa"/>
            <w:shd w:val="clear" w:color="auto" w:fill="D0DDCC"/>
          </w:tcPr>
          <w:p w:rsidR="00DB5257" w:rsidRPr="006F5B0F" w:rsidRDefault="00AD2E14" w:rsidP="00DB5257">
            <w:pPr>
              <w:rPr>
                <w:rFonts w:eastAsia="Calibri" w:cs="Arial"/>
                <w:color w:val="373737"/>
                <w:sz w:val="16"/>
                <w:szCs w:val="16"/>
              </w:rPr>
            </w:pPr>
            <w:r>
              <w:rPr>
                <w:color w:val="373737"/>
                <w:sz w:val="16"/>
              </w:rPr>
              <w:t xml:space="preserve">Granska programmets interventionslogik (mål, prioriteringar för landsbygdsutveckling och fokusområden, åtgärder). </w:t>
            </w:r>
          </w:p>
        </w:tc>
        <w:tc>
          <w:tcPr>
            <w:tcW w:w="1061" w:type="dxa"/>
            <w:shd w:val="clear" w:color="auto" w:fill="D0DDCC"/>
          </w:tcPr>
          <w:p w:rsidR="00DB5257" w:rsidRPr="006F5B0F" w:rsidRDefault="00AD2E14" w:rsidP="00DB5257">
            <w:pPr>
              <w:jc w:val="left"/>
              <w:rPr>
                <w:rFonts w:eastAsia="Calibri" w:cs="Arial"/>
                <w:color w:val="373737"/>
                <w:sz w:val="16"/>
                <w:szCs w:val="16"/>
              </w:rPr>
            </w:pPr>
            <w:r>
              <w:rPr>
                <w:color w:val="373737"/>
                <w:sz w:val="16"/>
              </w:rPr>
              <w:t>Tidigt under programperioden och före varje utvärdering</w:t>
            </w:r>
          </w:p>
        </w:tc>
        <w:tc>
          <w:tcPr>
            <w:tcW w:w="622" w:type="dxa"/>
            <w:shd w:val="clear" w:color="auto" w:fill="95B89B"/>
          </w:tcPr>
          <w:p w:rsidR="00DB5257" w:rsidRPr="006F5B0F" w:rsidRDefault="00AD2E14" w:rsidP="00DB5257">
            <w:pPr>
              <w:rPr>
                <w:rFonts w:eastAsia="Calibri" w:cs="Arial"/>
                <w:color w:val="373737"/>
                <w:sz w:val="16"/>
                <w:szCs w:val="16"/>
              </w:rPr>
            </w:pPr>
            <w:r>
              <w:rPr>
                <w:color w:val="373737"/>
                <w:sz w:val="16"/>
              </w:rPr>
              <w:t>x</w:t>
            </w:r>
          </w:p>
        </w:tc>
        <w:tc>
          <w:tcPr>
            <w:tcW w:w="549" w:type="dxa"/>
            <w:shd w:val="clear" w:color="auto" w:fill="auto"/>
          </w:tcPr>
          <w:p w:rsidR="00DB5257" w:rsidRPr="006F5B0F" w:rsidRDefault="00DB5257" w:rsidP="00DB5257">
            <w:pPr>
              <w:rPr>
                <w:rFonts w:eastAsia="Calibri" w:cs="Arial"/>
                <w:color w:val="373737"/>
                <w:sz w:val="16"/>
                <w:szCs w:val="16"/>
              </w:rPr>
            </w:pPr>
          </w:p>
        </w:tc>
        <w:tc>
          <w:tcPr>
            <w:tcW w:w="549" w:type="dxa"/>
            <w:shd w:val="clear" w:color="auto" w:fill="auto"/>
          </w:tcPr>
          <w:p w:rsidR="00DB5257" w:rsidRPr="006F5B0F" w:rsidRDefault="00DB5257" w:rsidP="00DB5257">
            <w:pPr>
              <w:rPr>
                <w:rFonts w:eastAsia="Calibri" w:cs="Arial"/>
                <w:color w:val="373737"/>
                <w:sz w:val="16"/>
                <w:szCs w:val="16"/>
              </w:rPr>
            </w:pPr>
          </w:p>
        </w:tc>
        <w:tc>
          <w:tcPr>
            <w:tcW w:w="550" w:type="dxa"/>
            <w:shd w:val="clear" w:color="auto" w:fill="95B89B"/>
          </w:tcPr>
          <w:p w:rsidR="00DB5257" w:rsidRPr="006F5B0F" w:rsidRDefault="00AD2E14" w:rsidP="00DB5257">
            <w:pPr>
              <w:rPr>
                <w:rFonts w:eastAsia="Calibri" w:cs="Arial"/>
                <w:color w:val="373737"/>
                <w:sz w:val="16"/>
                <w:szCs w:val="16"/>
              </w:rPr>
            </w:pPr>
            <w:r>
              <w:rPr>
                <w:color w:val="373737"/>
                <w:sz w:val="16"/>
              </w:rPr>
              <w:t>x</w:t>
            </w:r>
          </w:p>
        </w:tc>
        <w:tc>
          <w:tcPr>
            <w:tcW w:w="593" w:type="dxa"/>
            <w:shd w:val="clear" w:color="auto" w:fill="D0DDCC"/>
          </w:tcPr>
          <w:p w:rsidR="00DB5257" w:rsidRPr="006F5B0F" w:rsidRDefault="00AD2E14" w:rsidP="00DB5257">
            <w:pPr>
              <w:rPr>
                <w:rFonts w:eastAsia="Calibri" w:cs="Arial"/>
                <w:color w:val="373737"/>
                <w:sz w:val="16"/>
                <w:szCs w:val="16"/>
              </w:rPr>
            </w:pPr>
            <w:r>
              <w:rPr>
                <w:color w:val="373737"/>
                <w:sz w:val="16"/>
              </w:rPr>
              <w:t>y</w:t>
            </w:r>
          </w:p>
        </w:tc>
        <w:tc>
          <w:tcPr>
            <w:tcW w:w="505" w:type="dxa"/>
            <w:shd w:val="clear" w:color="auto" w:fill="D0DDCC"/>
          </w:tcPr>
          <w:p w:rsidR="00DB5257" w:rsidRPr="006F5B0F" w:rsidRDefault="00AD2E14" w:rsidP="00DB5257">
            <w:pPr>
              <w:rPr>
                <w:rFonts w:eastAsia="Calibri" w:cs="Arial"/>
                <w:color w:val="373737"/>
                <w:sz w:val="16"/>
                <w:szCs w:val="16"/>
              </w:rPr>
            </w:pPr>
            <w:r>
              <w:rPr>
                <w:color w:val="373737"/>
                <w:sz w:val="16"/>
              </w:rPr>
              <w:t>y</w:t>
            </w:r>
          </w:p>
        </w:tc>
        <w:tc>
          <w:tcPr>
            <w:tcW w:w="549" w:type="dxa"/>
            <w:shd w:val="clear" w:color="auto" w:fill="auto"/>
          </w:tcPr>
          <w:p w:rsidR="00DB5257" w:rsidRPr="006F5B0F" w:rsidRDefault="00DB5257" w:rsidP="00DB5257">
            <w:pPr>
              <w:rPr>
                <w:rFonts w:eastAsia="Calibri" w:cs="Arial"/>
                <w:color w:val="373737"/>
                <w:sz w:val="16"/>
                <w:szCs w:val="16"/>
              </w:rPr>
            </w:pPr>
          </w:p>
        </w:tc>
        <w:tc>
          <w:tcPr>
            <w:tcW w:w="550" w:type="dxa"/>
            <w:tcBorders>
              <w:right w:val="single" w:sz="4" w:space="0" w:color="6E8967"/>
            </w:tcBorders>
            <w:shd w:val="clear" w:color="auto" w:fill="auto"/>
          </w:tcPr>
          <w:p w:rsidR="00DB5257" w:rsidRPr="006F5B0F" w:rsidRDefault="00DB5257" w:rsidP="00DB5257">
            <w:pPr>
              <w:rPr>
                <w:rFonts w:eastAsia="Calibri" w:cs="Arial"/>
                <w:color w:val="373737"/>
                <w:sz w:val="16"/>
                <w:szCs w:val="16"/>
              </w:rPr>
            </w:pPr>
          </w:p>
        </w:tc>
      </w:tr>
      <w:tr w:rsidR="00DB5257" w:rsidRPr="001C6ACF" w:rsidTr="00DB5257">
        <w:trPr>
          <w:trHeight w:val="502"/>
          <w:jc w:val="center"/>
        </w:trPr>
        <w:tc>
          <w:tcPr>
            <w:tcW w:w="562" w:type="dxa"/>
            <w:vMerge/>
            <w:tcBorders>
              <w:left w:val="single" w:sz="4" w:space="0" w:color="6E8967"/>
            </w:tcBorders>
            <w:shd w:val="clear" w:color="auto" w:fill="8BAB80"/>
            <w:textDirection w:val="btLr"/>
          </w:tcPr>
          <w:p w:rsidR="00DB5257" w:rsidRPr="006F5B0F" w:rsidRDefault="00DB5257" w:rsidP="00DB5257">
            <w:pPr>
              <w:spacing w:line="280" w:lineRule="atLeast"/>
              <w:ind w:left="113" w:right="113"/>
              <w:jc w:val="right"/>
              <w:rPr>
                <w:rFonts w:eastAsia="Calibri" w:cs="Arial"/>
                <w:b/>
                <w:bCs/>
                <w:i/>
                <w:color w:val="FFFFFF"/>
                <w:sz w:val="16"/>
                <w:szCs w:val="16"/>
              </w:rPr>
            </w:pPr>
          </w:p>
        </w:tc>
        <w:tc>
          <w:tcPr>
            <w:tcW w:w="3402" w:type="dxa"/>
            <w:shd w:val="clear" w:color="auto" w:fill="E7EEE5"/>
          </w:tcPr>
          <w:p w:rsidR="00DB5257" w:rsidRPr="006F5B0F" w:rsidRDefault="00AD2E14" w:rsidP="00DB5257">
            <w:pPr>
              <w:rPr>
                <w:rFonts w:eastAsia="Calibri" w:cs="Arial"/>
                <w:color w:val="373737"/>
                <w:sz w:val="16"/>
                <w:szCs w:val="16"/>
              </w:rPr>
            </w:pPr>
            <w:r>
              <w:rPr>
                <w:color w:val="373737"/>
                <w:sz w:val="16"/>
              </w:rPr>
              <w:t xml:space="preserve">Skapa en gemensam syn på de gemensamma utvärderingsfrågorna, utveckla bedömningskriterier och koppla dem med gemensamma (och kompletterande) indikatorer. Säkerställa enhetlighet vid koppling av utvärderingselementen med interventionslogiken för landsbygdsprogrammet. </w:t>
            </w:r>
          </w:p>
        </w:tc>
        <w:tc>
          <w:tcPr>
            <w:tcW w:w="1061" w:type="dxa"/>
            <w:shd w:val="clear" w:color="auto" w:fill="E7EEE5"/>
          </w:tcPr>
          <w:p w:rsidR="00DB5257" w:rsidRPr="006F5B0F" w:rsidRDefault="00AD2E14" w:rsidP="00DB5257">
            <w:pPr>
              <w:jc w:val="left"/>
              <w:rPr>
                <w:rFonts w:eastAsia="Calibri" w:cs="Arial"/>
                <w:color w:val="373737"/>
                <w:sz w:val="16"/>
                <w:szCs w:val="16"/>
              </w:rPr>
            </w:pPr>
            <w:r>
              <w:rPr>
                <w:color w:val="373737"/>
                <w:sz w:val="16"/>
              </w:rPr>
              <w:t>Tidigt under programperioden och före varje utvärdering</w:t>
            </w:r>
          </w:p>
        </w:tc>
        <w:tc>
          <w:tcPr>
            <w:tcW w:w="622" w:type="dxa"/>
            <w:shd w:val="clear" w:color="auto" w:fill="95B89B"/>
          </w:tcPr>
          <w:p w:rsidR="00DB5257" w:rsidRPr="006F5B0F" w:rsidRDefault="00AD2E14" w:rsidP="00DB5257">
            <w:pPr>
              <w:rPr>
                <w:rFonts w:eastAsia="Calibri" w:cs="Arial"/>
                <w:color w:val="373737"/>
                <w:sz w:val="16"/>
                <w:szCs w:val="16"/>
              </w:rPr>
            </w:pPr>
            <w:r>
              <w:rPr>
                <w:color w:val="373737"/>
                <w:sz w:val="16"/>
              </w:rPr>
              <w:t>x</w:t>
            </w:r>
          </w:p>
        </w:tc>
        <w:tc>
          <w:tcPr>
            <w:tcW w:w="549" w:type="dxa"/>
            <w:shd w:val="clear" w:color="auto" w:fill="auto"/>
          </w:tcPr>
          <w:p w:rsidR="00DB5257" w:rsidRPr="006F5B0F" w:rsidRDefault="00DB5257" w:rsidP="00DB5257">
            <w:pPr>
              <w:rPr>
                <w:rFonts w:eastAsia="Calibri" w:cs="Arial"/>
                <w:color w:val="373737"/>
                <w:sz w:val="16"/>
                <w:szCs w:val="16"/>
              </w:rPr>
            </w:pPr>
          </w:p>
        </w:tc>
        <w:tc>
          <w:tcPr>
            <w:tcW w:w="549" w:type="dxa"/>
            <w:shd w:val="clear" w:color="auto" w:fill="auto"/>
          </w:tcPr>
          <w:p w:rsidR="00DB5257" w:rsidRPr="006F5B0F" w:rsidRDefault="00DB5257" w:rsidP="00DB5257">
            <w:pPr>
              <w:rPr>
                <w:rFonts w:eastAsia="Calibri" w:cs="Arial"/>
                <w:color w:val="373737"/>
                <w:sz w:val="16"/>
                <w:szCs w:val="16"/>
              </w:rPr>
            </w:pPr>
          </w:p>
        </w:tc>
        <w:tc>
          <w:tcPr>
            <w:tcW w:w="550" w:type="dxa"/>
            <w:shd w:val="clear" w:color="auto" w:fill="95B89B"/>
          </w:tcPr>
          <w:p w:rsidR="00DB5257" w:rsidRPr="006F5B0F" w:rsidRDefault="00AD2E14" w:rsidP="00DB5257">
            <w:pPr>
              <w:rPr>
                <w:rFonts w:eastAsia="Calibri" w:cs="Arial"/>
                <w:color w:val="373737"/>
                <w:sz w:val="16"/>
                <w:szCs w:val="16"/>
              </w:rPr>
            </w:pPr>
            <w:r>
              <w:rPr>
                <w:color w:val="373737"/>
                <w:sz w:val="16"/>
              </w:rPr>
              <w:t>x</w:t>
            </w:r>
          </w:p>
        </w:tc>
        <w:tc>
          <w:tcPr>
            <w:tcW w:w="593" w:type="dxa"/>
            <w:shd w:val="clear" w:color="auto" w:fill="D0DDCC"/>
          </w:tcPr>
          <w:p w:rsidR="00DB5257" w:rsidRPr="006F5B0F" w:rsidRDefault="00AD2E14" w:rsidP="00DB5257">
            <w:pPr>
              <w:rPr>
                <w:rFonts w:eastAsia="Calibri" w:cs="Arial"/>
                <w:color w:val="373737"/>
                <w:sz w:val="16"/>
                <w:szCs w:val="16"/>
              </w:rPr>
            </w:pPr>
            <w:r>
              <w:rPr>
                <w:color w:val="373737"/>
                <w:sz w:val="16"/>
              </w:rPr>
              <w:t>y</w:t>
            </w:r>
          </w:p>
        </w:tc>
        <w:tc>
          <w:tcPr>
            <w:tcW w:w="505" w:type="dxa"/>
            <w:shd w:val="clear" w:color="auto" w:fill="D0DDCC"/>
          </w:tcPr>
          <w:p w:rsidR="00DB5257" w:rsidRPr="006F5B0F" w:rsidRDefault="00AD2E14" w:rsidP="00DB5257">
            <w:pPr>
              <w:rPr>
                <w:rFonts w:eastAsia="Calibri" w:cs="Arial"/>
                <w:color w:val="373737"/>
                <w:sz w:val="16"/>
                <w:szCs w:val="16"/>
              </w:rPr>
            </w:pPr>
            <w:r>
              <w:rPr>
                <w:color w:val="373737"/>
                <w:sz w:val="16"/>
              </w:rPr>
              <w:t>y</w:t>
            </w:r>
          </w:p>
        </w:tc>
        <w:tc>
          <w:tcPr>
            <w:tcW w:w="549" w:type="dxa"/>
            <w:shd w:val="clear" w:color="auto" w:fill="auto"/>
          </w:tcPr>
          <w:p w:rsidR="00DB5257" w:rsidRPr="006F5B0F" w:rsidRDefault="00DB5257" w:rsidP="00DB5257">
            <w:pPr>
              <w:rPr>
                <w:rFonts w:eastAsia="Calibri" w:cs="Arial"/>
                <w:color w:val="373737"/>
                <w:sz w:val="16"/>
                <w:szCs w:val="16"/>
              </w:rPr>
            </w:pPr>
          </w:p>
        </w:tc>
        <w:tc>
          <w:tcPr>
            <w:tcW w:w="550" w:type="dxa"/>
            <w:tcBorders>
              <w:right w:val="single" w:sz="4" w:space="0" w:color="6E8967"/>
            </w:tcBorders>
            <w:shd w:val="clear" w:color="auto" w:fill="auto"/>
          </w:tcPr>
          <w:p w:rsidR="00DB5257" w:rsidRPr="006F5B0F" w:rsidRDefault="00DB5257" w:rsidP="00DB5257">
            <w:pPr>
              <w:rPr>
                <w:rFonts w:eastAsia="Calibri" w:cs="Arial"/>
                <w:color w:val="373737"/>
                <w:sz w:val="16"/>
                <w:szCs w:val="16"/>
              </w:rPr>
            </w:pPr>
          </w:p>
        </w:tc>
      </w:tr>
      <w:tr w:rsidR="00DB5257" w:rsidRPr="001C6ACF" w:rsidTr="00DB5257">
        <w:trPr>
          <w:trHeight w:val="800"/>
          <w:jc w:val="center"/>
        </w:trPr>
        <w:tc>
          <w:tcPr>
            <w:tcW w:w="562" w:type="dxa"/>
            <w:vMerge/>
            <w:tcBorders>
              <w:left w:val="single" w:sz="4" w:space="0" w:color="6E8967"/>
            </w:tcBorders>
            <w:shd w:val="clear" w:color="auto" w:fill="8BAB80"/>
            <w:textDirection w:val="btLr"/>
          </w:tcPr>
          <w:p w:rsidR="00DB5257" w:rsidRPr="006F5B0F" w:rsidRDefault="00DB5257" w:rsidP="00DB5257">
            <w:pPr>
              <w:spacing w:line="280" w:lineRule="atLeast"/>
              <w:ind w:left="113" w:right="113"/>
              <w:jc w:val="right"/>
              <w:rPr>
                <w:rFonts w:eastAsia="Calibri" w:cs="Arial"/>
                <w:b/>
                <w:bCs/>
                <w:i/>
                <w:color w:val="FFFFFF"/>
                <w:sz w:val="16"/>
                <w:szCs w:val="16"/>
              </w:rPr>
            </w:pPr>
          </w:p>
        </w:tc>
        <w:tc>
          <w:tcPr>
            <w:tcW w:w="3402" w:type="dxa"/>
            <w:shd w:val="clear" w:color="auto" w:fill="D0DDCC"/>
          </w:tcPr>
          <w:p w:rsidR="00DB5257" w:rsidRPr="006F5B0F" w:rsidRDefault="00AD2E14" w:rsidP="00DB5257">
            <w:pPr>
              <w:rPr>
                <w:rFonts w:eastAsia="Calibri" w:cs="Arial"/>
                <w:color w:val="373737"/>
                <w:sz w:val="16"/>
                <w:szCs w:val="16"/>
              </w:rPr>
            </w:pPr>
            <w:r>
              <w:rPr>
                <w:color w:val="373737"/>
                <w:sz w:val="16"/>
              </w:rPr>
              <w:t>Utveckla programspecifika utvärderingsfrågor vid behov. Förse dem med bedömningskriterier och programspecifika indikatorer. Säkerställa konsekvens när utvärderingsdelarna kopplas samman med interventionslogiken för landsbygdsprogrammet.</w:t>
            </w:r>
          </w:p>
        </w:tc>
        <w:tc>
          <w:tcPr>
            <w:tcW w:w="1061" w:type="dxa"/>
            <w:shd w:val="clear" w:color="auto" w:fill="D0DDCC"/>
          </w:tcPr>
          <w:p w:rsidR="00DB5257" w:rsidRPr="006F5B0F" w:rsidRDefault="00AD2E14" w:rsidP="00DB5257">
            <w:pPr>
              <w:jc w:val="left"/>
              <w:rPr>
                <w:rFonts w:eastAsia="Calibri" w:cs="Arial"/>
                <w:color w:val="373737"/>
                <w:sz w:val="16"/>
                <w:szCs w:val="16"/>
              </w:rPr>
            </w:pPr>
            <w:r>
              <w:rPr>
                <w:color w:val="373737"/>
                <w:sz w:val="16"/>
              </w:rPr>
              <w:t>Tidigt under programperioden och före varje utvärdering</w:t>
            </w:r>
          </w:p>
        </w:tc>
        <w:tc>
          <w:tcPr>
            <w:tcW w:w="622" w:type="dxa"/>
            <w:shd w:val="clear" w:color="auto" w:fill="95B89B"/>
          </w:tcPr>
          <w:p w:rsidR="00DB5257" w:rsidRPr="006F5B0F" w:rsidRDefault="00AD2E14" w:rsidP="00DB5257">
            <w:pPr>
              <w:rPr>
                <w:rFonts w:eastAsia="Calibri" w:cs="Arial"/>
                <w:color w:val="373737"/>
                <w:sz w:val="16"/>
                <w:szCs w:val="16"/>
              </w:rPr>
            </w:pPr>
            <w:r>
              <w:rPr>
                <w:color w:val="373737"/>
                <w:sz w:val="16"/>
              </w:rPr>
              <w:t>x</w:t>
            </w:r>
          </w:p>
        </w:tc>
        <w:tc>
          <w:tcPr>
            <w:tcW w:w="549" w:type="dxa"/>
            <w:shd w:val="clear" w:color="auto" w:fill="auto"/>
          </w:tcPr>
          <w:p w:rsidR="00DB5257" w:rsidRPr="006F5B0F" w:rsidRDefault="00DB5257" w:rsidP="00DB5257">
            <w:pPr>
              <w:rPr>
                <w:rFonts w:eastAsia="Calibri" w:cs="Arial"/>
                <w:color w:val="373737"/>
                <w:sz w:val="16"/>
                <w:szCs w:val="16"/>
              </w:rPr>
            </w:pPr>
          </w:p>
        </w:tc>
        <w:tc>
          <w:tcPr>
            <w:tcW w:w="549" w:type="dxa"/>
            <w:shd w:val="clear" w:color="auto" w:fill="auto"/>
          </w:tcPr>
          <w:p w:rsidR="00DB5257" w:rsidRPr="006F5B0F" w:rsidRDefault="00DB5257" w:rsidP="00DB5257">
            <w:pPr>
              <w:rPr>
                <w:rFonts w:eastAsia="Calibri" w:cs="Arial"/>
                <w:color w:val="373737"/>
                <w:sz w:val="16"/>
                <w:szCs w:val="16"/>
              </w:rPr>
            </w:pPr>
          </w:p>
        </w:tc>
        <w:tc>
          <w:tcPr>
            <w:tcW w:w="550" w:type="dxa"/>
            <w:shd w:val="clear" w:color="auto" w:fill="95B89B"/>
          </w:tcPr>
          <w:p w:rsidR="00DB5257" w:rsidRPr="006F5B0F" w:rsidRDefault="00AD2E14" w:rsidP="00DB5257">
            <w:pPr>
              <w:rPr>
                <w:rFonts w:eastAsia="Calibri" w:cs="Arial"/>
                <w:color w:val="373737"/>
                <w:sz w:val="16"/>
                <w:szCs w:val="16"/>
              </w:rPr>
            </w:pPr>
            <w:r>
              <w:rPr>
                <w:color w:val="373737"/>
                <w:sz w:val="16"/>
              </w:rPr>
              <w:t>x</w:t>
            </w:r>
          </w:p>
        </w:tc>
        <w:tc>
          <w:tcPr>
            <w:tcW w:w="593" w:type="dxa"/>
            <w:shd w:val="clear" w:color="auto" w:fill="D0DDCC"/>
          </w:tcPr>
          <w:p w:rsidR="00DB5257" w:rsidRPr="006F5B0F" w:rsidRDefault="00AD2E14" w:rsidP="00DB5257">
            <w:pPr>
              <w:rPr>
                <w:rFonts w:eastAsia="Calibri" w:cs="Arial"/>
                <w:color w:val="373737"/>
                <w:sz w:val="16"/>
                <w:szCs w:val="16"/>
              </w:rPr>
            </w:pPr>
            <w:r>
              <w:rPr>
                <w:color w:val="373737"/>
                <w:sz w:val="16"/>
              </w:rPr>
              <w:t>y</w:t>
            </w:r>
          </w:p>
        </w:tc>
        <w:tc>
          <w:tcPr>
            <w:tcW w:w="505" w:type="dxa"/>
            <w:shd w:val="clear" w:color="auto" w:fill="D0DDCC"/>
          </w:tcPr>
          <w:p w:rsidR="00DB5257" w:rsidRPr="006F5B0F" w:rsidRDefault="00AD2E14" w:rsidP="00DB5257">
            <w:pPr>
              <w:rPr>
                <w:rFonts w:eastAsia="Calibri" w:cs="Arial"/>
                <w:color w:val="373737"/>
                <w:sz w:val="16"/>
                <w:szCs w:val="16"/>
              </w:rPr>
            </w:pPr>
            <w:r>
              <w:rPr>
                <w:color w:val="373737"/>
                <w:sz w:val="16"/>
              </w:rPr>
              <w:t>y</w:t>
            </w:r>
          </w:p>
        </w:tc>
        <w:tc>
          <w:tcPr>
            <w:tcW w:w="549" w:type="dxa"/>
            <w:shd w:val="clear" w:color="auto" w:fill="auto"/>
          </w:tcPr>
          <w:p w:rsidR="00DB5257" w:rsidRPr="006F5B0F" w:rsidRDefault="00DB5257" w:rsidP="00DB5257">
            <w:pPr>
              <w:rPr>
                <w:rFonts w:eastAsia="Calibri" w:cs="Arial"/>
                <w:color w:val="373737"/>
                <w:sz w:val="16"/>
                <w:szCs w:val="16"/>
              </w:rPr>
            </w:pPr>
          </w:p>
        </w:tc>
        <w:tc>
          <w:tcPr>
            <w:tcW w:w="550" w:type="dxa"/>
            <w:tcBorders>
              <w:right w:val="single" w:sz="4" w:space="0" w:color="6E8967"/>
            </w:tcBorders>
            <w:shd w:val="clear" w:color="auto" w:fill="auto"/>
          </w:tcPr>
          <w:p w:rsidR="00DB5257" w:rsidRPr="006F5B0F" w:rsidRDefault="00DB5257" w:rsidP="00DB5257">
            <w:pPr>
              <w:rPr>
                <w:rFonts w:eastAsia="Calibri" w:cs="Arial"/>
                <w:color w:val="373737"/>
                <w:sz w:val="16"/>
                <w:szCs w:val="16"/>
              </w:rPr>
            </w:pPr>
          </w:p>
        </w:tc>
      </w:tr>
      <w:tr w:rsidR="00DB5257" w:rsidRPr="001C6ACF" w:rsidTr="00DB5257">
        <w:trPr>
          <w:trHeight w:val="1050"/>
          <w:jc w:val="center"/>
        </w:trPr>
        <w:tc>
          <w:tcPr>
            <w:tcW w:w="562" w:type="dxa"/>
            <w:vMerge/>
            <w:tcBorders>
              <w:top w:val="single" w:sz="4" w:space="0" w:color="FFFFFF"/>
              <w:left w:val="single" w:sz="4" w:space="0" w:color="6E8967"/>
            </w:tcBorders>
            <w:shd w:val="clear" w:color="auto" w:fill="8BAB80"/>
            <w:textDirection w:val="btLr"/>
          </w:tcPr>
          <w:p w:rsidR="00DB5257" w:rsidRPr="006F5B0F" w:rsidRDefault="00DB5257" w:rsidP="00DB5257">
            <w:pPr>
              <w:spacing w:line="280" w:lineRule="atLeast"/>
              <w:ind w:left="113" w:right="113"/>
              <w:jc w:val="right"/>
              <w:rPr>
                <w:rFonts w:eastAsia="Calibri" w:cs="Arial"/>
                <w:b/>
                <w:bCs/>
                <w:i/>
                <w:color w:val="FFFFFF"/>
                <w:sz w:val="16"/>
                <w:szCs w:val="16"/>
              </w:rPr>
            </w:pPr>
          </w:p>
        </w:tc>
        <w:tc>
          <w:tcPr>
            <w:tcW w:w="3402" w:type="dxa"/>
            <w:tcBorders>
              <w:top w:val="single" w:sz="4" w:space="0" w:color="FFFFFF"/>
            </w:tcBorders>
            <w:shd w:val="clear" w:color="auto" w:fill="E7EEE5"/>
          </w:tcPr>
          <w:p w:rsidR="00DB5257" w:rsidRPr="006F5B0F" w:rsidRDefault="00AD2E14" w:rsidP="00DB5257">
            <w:pPr>
              <w:rPr>
                <w:rFonts w:eastAsia="Calibri" w:cs="Arial"/>
                <w:color w:val="373737"/>
                <w:sz w:val="16"/>
                <w:szCs w:val="16"/>
              </w:rPr>
            </w:pPr>
            <w:r>
              <w:rPr>
                <w:color w:val="373737"/>
                <w:sz w:val="16"/>
              </w:rPr>
              <w:t xml:space="preserve">Granska de befintliga uppgifterna för beräkning av de gemensamma (och kompletterande) indikatorerna för att samla in de uppgifter som krävs för att besvara de gemensamma utvärderingsfrågorna som rör EU 2020-strategin. Identifiera möjliga </w:t>
            </w:r>
            <w:r>
              <w:rPr>
                <w:color w:val="373737"/>
                <w:sz w:val="16"/>
              </w:rPr>
              <w:lastRenderedPageBreak/>
              <w:t xml:space="preserve">uppgiftsluckor sett till valda indikatorer. </w:t>
            </w:r>
          </w:p>
        </w:tc>
        <w:tc>
          <w:tcPr>
            <w:tcW w:w="1061" w:type="dxa"/>
            <w:tcBorders>
              <w:top w:val="single" w:sz="4" w:space="0" w:color="FFFFFF"/>
            </w:tcBorders>
            <w:shd w:val="clear" w:color="auto" w:fill="E7EEE5"/>
          </w:tcPr>
          <w:p w:rsidR="00DB5257" w:rsidRPr="006F5B0F" w:rsidRDefault="00AD2E14" w:rsidP="00DB5257">
            <w:pPr>
              <w:jc w:val="left"/>
              <w:rPr>
                <w:rFonts w:eastAsia="Calibri" w:cs="Arial"/>
                <w:color w:val="373737"/>
                <w:sz w:val="16"/>
                <w:szCs w:val="16"/>
              </w:rPr>
            </w:pPr>
            <w:r>
              <w:rPr>
                <w:color w:val="373737"/>
                <w:sz w:val="16"/>
              </w:rPr>
              <w:lastRenderedPageBreak/>
              <w:t>Tidigt under programperioden och före utvärdering</w:t>
            </w:r>
            <w:r>
              <w:rPr>
                <w:color w:val="373737"/>
                <w:sz w:val="16"/>
              </w:rPr>
              <w:lastRenderedPageBreak/>
              <w:t>en</w:t>
            </w:r>
          </w:p>
        </w:tc>
        <w:tc>
          <w:tcPr>
            <w:tcW w:w="622" w:type="dxa"/>
            <w:tcBorders>
              <w:top w:val="single" w:sz="4" w:space="0" w:color="FFFFFF"/>
            </w:tcBorders>
            <w:shd w:val="clear" w:color="auto" w:fill="95B89B"/>
          </w:tcPr>
          <w:p w:rsidR="00DB5257" w:rsidRPr="006F5B0F" w:rsidRDefault="00AD2E14" w:rsidP="00DB5257">
            <w:pPr>
              <w:rPr>
                <w:rFonts w:eastAsia="Calibri" w:cs="Arial"/>
                <w:color w:val="373737"/>
                <w:sz w:val="16"/>
                <w:szCs w:val="16"/>
              </w:rPr>
            </w:pPr>
            <w:r>
              <w:rPr>
                <w:color w:val="373737"/>
                <w:sz w:val="16"/>
              </w:rPr>
              <w:lastRenderedPageBreak/>
              <w:t>x</w:t>
            </w:r>
          </w:p>
        </w:tc>
        <w:tc>
          <w:tcPr>
            <w:tcW w:w="549" w:type="dxa"/>
            <w:tcBorders>
              <w:top w:val="single" w:sz="4" w:space="0" w:color="FFFFFF"/>
            </w:tcBorders>
            <w:shd w:val="clear" w:color="auto" w:fill="D0DDCC"/>
          </w:tcPr>
          <w:p w:rsidR="00DB5257" w:rsidRPr="006F5B0F" w:rsidRDefault="00AD2E14" w:rsidP="00DB5257">
            <w:pPr>
              <w:rPr>
                <w:rFonts w:eastAsia="Calibri" w:cs="Arial"/>
                <w:color w:val="373737"/>
                <w:sz w:val="16"/>
                <w:szCs w:val="16"/>
              </w:rPr>
            </w:pPr>
            <w:r>
              <w:rPr>
                <w:color w:val="373737"/>
                <w:sz w:val="16"/>
              </w:rPr>
              <w:t>y</w:t>
            </w:r>
          </w:p>
        </w:tc>
        <w:tc>
          <w:tcPr>
            <w:tcW w:w="549" w:type="dxa"/>
            <w:tcBorders>
              <w:top w:val="single" w:sz="4" w:space="0" w:color="FFFFFF"/>
            </w:tcBorders>
            <w:shd w:val="clear" w:color="auto" w:fill="D0DDCC"/>
          </w:tcPr>
          <w:p w:rsidR="00DB5257" w:rsidRPr="006F5B0F" w:rsidRDefault="00AD2E14" w:rsidP="00DB5257">
            <w:pPr>
              <w:rPr>
                <w:rFonts w:eastAsia="Calibri" w:cs="Arial"/>
                <w:color w:val="373737"/>
                <w:sz w:val="16"/>
                <w:szCs w:val="16"/>
              </w:rPr>
            </w:pPr>
            <w:r>
              <w:rPr>
                <w:color w:val="373737"/>
                <w:sz w:val="16"/>
              </w:rPr>
              <w:t>y</w:t>
            </w:r>
          </w:p>
        </w:tc>
        <w:tc>
          <w:tcPr>
            <w:tcW w:w="550" w:type="dxa"/>
            <w:tcBorders>
              <w:top w:val="single" w:sz="4" w:space="0" w:color="FFFFFF"/>
            </w:tcBorders>
            <w:shd w:val="clear" w:color="auto" w:fill="95B89B"/>
          </w:tcPr>
          <w:p w:rsidR="00DB5257" w:rsidRPr="006F5B0F" w:rsidRDefault="00AD2E14" w:rsidP="00DB5257">
            <w:pPr>
              <w:rPr>
                <w:rFonts w:eastAsia="Calibri" w:cs="Arial"/>
                <w:color w:val="373737"/>
                <w:sz w:val="16"/>
                <w:szCs w:val="16"/>
              </w:rPr>
            </w:pPr>
            <w:r>
              <w:rPr>
                <w:color w:val="373737"/>
                <w:sz w:val="16"/>
              </w:rPr>
              <w:t>x</w:t>
            </w:r>
          </w:p>
        </w:tc>
        <w:tc>
          <w:tcPr>
            <w:tcW w:w="593" w:type="dxa"/>
            <w:tcBorders>
              <w:top w:val="single" w:sz="4" w:space="0" w:color="FFFFFF"/>
            </w:tcBorders>
            <w:shd w:val="clear" w:color="auto" w:fill="95B89B"/>
          </w:tcPr>
          <w:p w:rsidR="00DB5257" w:rsidRPr="006F5B0F" w:rsidRDefault="00AD2E14" w:rsidP="00DB5257">
            <w:pPr>
              <w:rPr>
                <w:rFonts w:eastAsia="Calibri" w:cs="Arial"/>
                <w:color w:val="373737"/>
                <w:sz w:val="16"/>
                <w:szCs w:val="16"/>
              </w:rPr>
            </w:pPr>
            <w:r>
              <w:rPr>
                <w:color w:val="373737"/>
                <w:sz w:val="16"/>
              </w:rPr>
              <w:t>x</w:t>
            </w:r>
          </w:p>
        </w:tc>
        <w:tc>
          <w:tcPr>
            <w:tcW w:w="505" w:type="dxa"/>
            <w:tcBorders>
              <w:top w:val="single" w:sz="4" w:space="0" w:color="FFFFFF"/>
            </w:tcBorders>
            <w:shd w:val="clear" w:color="auto" w:fill="D0DDCC"/>
          </w:tcPr>
          <w:p w:rsidR="00DB5257" w:rsidRPr="006F5B0F" w:rsidRDefault="00AD2E14" w:rsidP="00DB5257">
            <w:pPr>
              <w:rPr>
                <w:rFonts w:eastAsia="Calibri" w:cs="Arial"/>
                <w:color w:val="373737"/>
                <w:sz w:val="16"/>
                <w:szCs w:val="16"/>
              </w:rPr>
            </w:pPr>
            <w:r>
              <w:rPr>
                <w:color w:val="373737"/>
                <w:sz w:val="16"/>
              </w:rPr>
              <w:t>y</w:t>
            </w:r>
          </w:p>
        </w:tc>
        <w:tc>
          <w:tcPr>
            <w:tcW w:w="549" w:type="dxa"/>
            <w:tcBorders>
              <w:top w:val="single" w:sz="4" w:space="0" w:color="FFFFFF"/>
            </w:tcBorders>
            <w:shd w:val="clear" w:color="auto" w:fill="auto"/>
          </w:tcPr>
          <w:p w:rsidR="00DB5257" w:rsidRPr="006F5B0F" w:rsidRDefault="00DB5257" w:rsidP="00DB5257">
            <w:pPr>
              <w:rPr>
                <w:rFonts w:eastAsia="Calibri" w:cs="Arial"/>
                <w:color w:val="373737"/>
                <w:sz w:val="16"/>
                <w:szCs w:val="16"/>
              </w:rPr>
            </w:pPr>
          </w:p>
        </w:tc>
        <w:tc>
          <w:tcPr>
            <w:tcW w:w="550" w:type="dxa"/>
            <w:tcBorders>
              <w:top w:val="single" w:sz="4" w:space="0" w:color="FFFFFF"/>
              <w:right w:val="single" w:sz="4" w:space="0" w:color="6E8967"/>
            </w:tcBorders>
            <w:shd w:val="clear" w:color="auto" w:fill="D0DDCC"/>
          </w:tcPr>
          <w:p w:rsidR="00DB5257" w:rsidRPr="006F5B0F" w:rsidRDefault="00AD2E14" w:rsidP="00DB5257">
            <w:pPr>
              <w:rPr>
                <w:rFonts w:eastAsia="Calibri" w:cs="Arial"/>
                <w:color w:val="373737"/>
                <w:sz w:val="16"/>
                <w:szCs w:val="16"/>
              </w:rPr>
            </w:pPr>
            <w:r>
              <w:rPr>
                <w:color w:val="373737"/>
                <w:sz w:val="16"/>
              </w:rPr>
              <w:t>y</w:t>
            </w:r>
          </w:p>
        </w:tc>
      </w:tr>
      <w:tr w:rsidR="00DB5257" w:rsidRPr="001C6ACF" w:rsidTr="00DB5257">
        <w:trPr>
          <w:trHeight w:val="200"/>
          <w:jc w:val="center"/>
        </w:trPr>
        <w:tc>
          <w:tcPr>
            <w:tcW w:w="562" w:type="dxa"/>
            <w:vMerge/>
            <w:tcBorders>
              <w:left w:val="single" w:sz="4" w:space="0" w:color="6E8967"/>
            </w:tcBorders>
            <w:shd w:val="clear" w:color="auto" w:fill="8BAB80"/>
            <w:textDirection w:val="btLr"/>
          </w:tcPr>
          <w:p w:rsidR="00DB5257" w:rsidRPr="006F5B0F" w:rsidRDefault="00DB5257" w:rsidP="00DB5257">
            <w:pPr>
              <w:spacing w:line="280" w:lineRule="atLeast"/>
              <w:ind w:left="113" w:right="113"/>
              <w:jc w:val="right"/>
              <w:rPr>
                <w:rFonts w:eastAsia="Calibri" w:cs="Arial"/>
                <w:b/>
                <w:bCs/>
                <w:i/>
                <w:color w:val="FFFFFF"/>
                <w:sz w:val="16"/>
                <w:szCs w:val="16"/>
              </w:rPr>
            </w:pPr>
          </w:p>
        </w:tc>
        <w:tc>
          <w:tcPr>
            <w:tcW w:w="3402" w:type="dxa"/>
            <w:shd w:val="clear" w:color="auto" w:fill="D0DDCC"/>
          </w:tcPr>
          <w:p w:rsidR="00DB5257" w:rsidRPr="006F5B0F" w:rsidRDefault="00AD2E14" w:rsidP="00DB5257">
            <w:pPr>
              <w:rPr>
                <w:rFonts w:eastAsia="Calibri" w:cs="Arial"/>
                <w:color w:val="373737"/>
                <w:sz w:val="16"/>
                <w:szCs w:val="16"/>
              </w:rPr>
            </w:pPr>
            <w:r>
              <w:rPr>
                <w:color w:val="373737"/>
                <w:sz w:val="16"/>
              </w:rPr>
              <w:t xml:space="preserve">Diskutera möjliga utvärderingsmetoder för att bedöma/tillämpa nettometod för effektindikatorerna enligt befintliga uppgifter. </w:t>
            </w:r>
          </w:p>
        </w:tc>
        <w:tc>
          <w:tcPr>
            <w:tcW w:w="1061" w:type="dxa"/>
            <w:shd w:val="clear" w:color="auto" w:fill="D0DDCC"/>
          </w:tcPr>
          <w:p w:rsidR="00DB5257" w:rsidRPr="006F5B0F" w:rsidRDefault="00AD2E14" w:rsidP="00DB5257">
            <w:pPr>
              <w:jc w:val="left"/>
              <w:rPr>
                <w:rFonts w:eastAsia="Calibri" w:cs="Arial"/>
                <w:color w:val="373737"/>
                <w:sz w:val="16"/>
                <w:szCs w:val="16"/>
              </w:rPr>
            </w:pPr>
            <w:r>
              <w:rPr>
                <w:color w:val="373737"/>
                <w:sz w:val="16"/>
              </w:rPr>
              <w:t>Tidigt under programperioden och före utvärderingen</w:t>
            </w:r>
          </w:p>
        </w:tc>
        <w:tc>
          <w:tcPr>
            <w:tcW w:w="622" w:type="dxa"/>
            <w:shd w:val="clear" w:color="auto" w:fill="95B89B"/>
          </w:tcPr>
          <w:p w:rsidR="00DB5257" w:rsidRPr="006F5B0F" w:rsidRDefault="00AD2E14" w:rsidP="00DB5257">
            <w:pPr>
              <w:rPr>
                <w:rFonts w:eastAsia="Calibri" w:cs="Arial"/>
                <w:color w:val="373737"/>
                <w:sz w:val="16"/>
                <w:szCs w:val="16"/>
              </w:rPr>
            </w:pPr>
            <w:r>
              <w:rPr>
                <w:color w:val="373737"/>
                <w:sz w:val="16"/>
              </w:rPr>
              <w:t>x</w:t>
            </w:r>
          </w:p>
        </w:tc>
        <w:tc>
          <w:tcPr>
            <w:tcW w:w="549" w:type="dxa"/>
            <w:shd w:val="clear" w:color="auto" w:fill="auto"/>
          </w:tcPr>
          <w:p w:rsidR="00DB5257" w:rsidRPr="006F5B0F" w:rsidRDefault="00DB5257" w:rsidP="00DB5257">
            <w:pPr>
              <w:rPr>
                <w:rFonts w:eastAsia="Calibri" w:cs="Arial"/>
                <w:color w:val="373737"/>
                <w:sz w:val="16"/>
                <w:szCs w:val="16"/>
              </w:rPr>
            </w:pPr>
          </w:p>
        </w:tc>
        <w:tc>
          <w:tcPr>
            <w:tcW w:w="549" w:type="dxa"/>
            <w:shd w:val="clear" w:color="auto" w:fill="auto"/>
          </w:tcPr>
          <w:p w:rsidR="00DB5257" w:rsidRPr="006F5B0F" w:rsidRDefault="00DB5257" w:rsidP="00DB5257">
            <w:pPr>
              <w:rPr>
                <w:rFonts w:eastAsia="Calibri" w:cs="Arial"/>
                <w:color w:val="373737"/>
                <w:sz w:val="16"/>
                <w:szCs w:val="16"/>
              </w:rPr>
            </w:pPr>
          </w:p>
        </w:tc>
        <w:tc>
          <w:tcPr>
            <w:tcW w:w="550" w:type="dxa"/>
            <w:shd w:val="clear" w:color="auto" w:fill="95B89B"/>
          </w:tcPr>
          <w:p w:rsidR="00DB5257" w:rsidRPr="006F5B0F" w:rsidRDefault="00AD2E14" w:rsidP="00DB5257">
            <w:pPr>
              <w:rPr>
                <w:rFonts w:eastAsia="Calibri" w:cs="Arial"/>
                <w:color w:val="373737"/>
                <w:sz w:val="16"/>
                <w:szCs w:val="16"/>
              </w:rPr>
            </w:pPr>
            <w:r>
              <w:rPr>
                <w:color w:val="373737"/>
                <w:sz w:val="16"/>
              </w:rPr>
              <w:t>x</w:t>
            </w:r>
          </w:p>
        </w:tc>
        <w:tc>
          <w:tcPr>
            <w:tcW w:w="593" w:type="dxa"/>
            <w:shd w:val="clear" w:color="auto" w:fill="95B89B"/>
          </w:tcPr>
          <w:p w:rsidR="00DB5257" w:rsidRPr="006F5B0F" w:rsidRDefault="00AD2E14" w:rsidP="00DB5257">
            <w:pPr>
              <w:rPr>
                <w:rFonts w:eastAsia="Calibri" w:cs="Arial"/>
                <w:color w:val="373737"/>
                <w:sz w:val="16"/>
                <w:szCs w:val="16"/>
              </w:rPr>
            </w:pPr>
            <w:r>
              <w:rPr>
                <w:color w:val="373737"/>
                <w:sz w:val="16"/>
              </w:rPr>
              <w:t>x</w:t>
            </w:r>
          </w:p>
        </w:tc>
        <w:tc>
          <w:tcPr>
            <w:tcW w:w="505" w:type="dxa"/>
            <w:shd w:val="clear" w:color="auto" w:fill="D0DDCC"/>
          </w:tcPr>
          <w:p w:rsidR="00DB5257" w:rsidRPr="006F5B0F" w:rsidRDefault="00AD2E14" w:rsidP="00DB5257">
            <w:pPr>
              <w:rPr>
                <w:rFonts w:eastAsia="Calibri" w:cs="Arial"/>
                <w:color w:val="373737"/>
                <w:sz w:val="16"/>
                <w:szCs w:val="16"/>
              </w:rPr>
            </w:pPr>
            <w:r>
              <w:rPr>
                <w:color w:val="373737"/>
                <w:sz w:val="16"/>
              </w:rPr>
              <w:t>y</w:t>
            </w:r>
          </w:p>
        </w:tc>
        <w:tc>
          <w:tcPr>
            <w:tcW w:w="549" w:type="dxa"/>
            <w:shd w:val="clear" w:color="auto" w:fill="auto"/>
          </w:tcPr>
          <w:p w:rsidR="00DB5257" w:rsidRPr="006F5B0F" w:rsidRDefault="00DB5257" w:rsidP="00DB5257">
            <w:pPr>
              <w:rPr>
                <w:rFonts w:eastAsia="Calibri" w:cs="Arial"/>
                <w:color w:val="373737"/>
                <w:sz w:val="16"/>
                <w:szCs w:val="16"/>
              </w:rPr>
            </w:pPr>
          </w:p>
        </w:tc>
        <w:tc>
          <w:tcPr>
            <w:tcW w:w="550" w:type="dxa"/>
            <w:tcBorders>
              <w:right w:val="single" w:sz="4" w:space="0" w:color="6E8967"/>
            </w:tcBorders>
            <w:shd w:val="clear" w:color="auto" w:fill="auto"/>
          </w:tcPr>
          <w:p w:rsidR="00DB5257" w:rsidRPr="006F5B0F" w:rsidRDefault="00DB5257" w:rsidP="00DB5257">
            <w:pPr>
              <w:rPr>
                <w:rFonts w:eastAsia="Calibri" w:cs="Arial"/>
                <w:color w:val="373737"/>
                <w:sz w:val="16"/>
                <w:szCs w:val="16"/>
              </w:rPr>
            </w:pPr>
          </w:p>
        </w:tc>
      </w:tr>
      <w:tr w:rsidR="00DB5257" w:rsidRPr="001C6ACF" w:rsidTr="00DB5257">
        <w:trPr>
          <w:trHeight w:val="240"/>
          <w:jc w:val="center"/>
        </w:trPr>
        <w:tc>
          <w:tcPr>
            <w:tcW w:w="562" w:type="dxa"/>
            <w:vMerge/>
            <w:tcBorders>
              <w:left w:val="single" w:sz="4" w:space="0" w:color="6E8967"/>
            </w:tcBorders>
            <w:shd w:val="clear" w:color="auto" w:fill="8BAB80"/>
            <w:textDirection w:val="btLr"/>
          </w:tcPr>
          <w:p w:rsidR="00DB5257" w:rsidRPr="006F5B0F" w:rsidRDefault="00DB5257" w:rsidP="00DB5257">
            <w:pPr>
              <w:spacing w:line="280" w:lineRule="atLeast"/>
              <w:ind w:left="113" w:right="113"/>
              <w:jc w:val="right"/>
              <w:rPr>
                <w:rFonts w:eastAsia="Calibri" w:cs="Arial"/>
                <w:b/>
                <w:bCs/>
                <w:i/>
                <w:color w:val="FFFFFF"/>
                <w:sz w:val="16"/>
                <w:szCs w:val="16"/>
              </w:rPr>
            </w:pPr>
          </w:p>
        </w:tc>
        <w:tc>
          <w:tcPr>
            <w:tcW w:w="3402" w:type="dxa"/>
            <w:shd w:val="clear" w:color="auto" w:fill="E7EEE5"/>
          </w:tcPr>
          <w:p w:rsidR="00DB5257" w:rsidRPr="006F5B0F" w:rsidRDefault="00AD2E14" w:rsidP="00DB5257">
            <w:pPr>
              <w:rPr>
                <w:rFonts w:eastAsia="Calibri" w:cs="Arial"/>
                <w:color w:val="373737"/>
                <w:sz w:val="16"/>
                <w:szCs w:val="16"/>
              </w:rPr>
            </w:pPr>
            <w:r>
              <w:rPr>
                <w:color w:val="373737"/>
                <w:sz w:val="16"/>
              </w:rPr>
              <w:t xml:space="preserve">Göra ett utkast till referensvillkoren och upphandla utvärderingen (som pågående utvärdering eller enskilda utvärderingsavtal för 2017 och 2019). </w:t>
            </w:r>
          </w:p>
        </w:tc>
        <w:tc>
          <w:tcPr>
            <w:tcW w:w="1061" w:type="dxa"/>
            <w:shd w:val="clear" w:color="auto" w:fill="E7EEE5"/>
          </w:tcPr>
          <w:p w:rsidR="00DB5257" w:rsidRPr="006F5B0F" w:rsidRDefault="00AD2E14" w:rsidP="00DB5257">
            <w:pPr>
              <w:jc w:val="left"/>
              <w:rPr>
                <w:rFonts w:eastAsia="Calibri" w:cs="Arial"/>
                <w:color w:val="373737"/>
                <w:sz w:val="16"/>
                <w:szCs w:val="16"/>
              </w:rPr>
            </w:pPr>
            <w:r>
              <w:rPr>
                <w:color w:val="373737"/>
                <w:sz w:val="16"/>
              </w:rPr>
              <w:t>Tidigt under programperioden eller 2016 och 2018.</w:t>
            </w:r>
          </w:p>
        </w:tc>
        <w:tc>
          <w:tcPr>
            <w:tcW w:w="622" w:type="dxa"/>
            <w:shd w:val="clear" w:color="auto" w:fill="95B89B"/>
          </w:tcPr>
          <w:p w:rsidR="00DB5257" w:rsidRPr="006F5B0F" w:rsidRDefault="00AD2E14" w:rsidP="00DB5257">
            <w:pPr>
              <w:rPr>
                <w:rFonts w:eastAsia="Calibri" w:cs="Arial"/>
                <w:color w:val="373737"/>
                <w:sz w:val="16"/>
                <w:szCs w:val="16"/>
              </w:rPr>
            </w:pPr>
            <w:r>
              <w:rPr>
                <w:color w:val="373737"/>
                <w:sz w:val="16"/>
              </w:rPr>
              <w:t>x</w:t>
            </w:r>
          </w:p>
        </w:tc>
        <w:tc>
          <w:tcPr>
            <w:tcW w:w="549" w:type="dxa"/>
            <w:shd w:val="clear" w:color="auto" w:fill="auto"/>
          </w:tcPr>
          <w:p w:rsidR="00DB5257" w:rsidRPr="006F5B0F" w:rsidRDefault="00DB5257" w:rsidP="00DB5257">
            <w:pPr>
              <w:rPr>
                <w:rFonts w:eastAsia="Calibri" w:cs="Arial"/>
                <w:color w:val="373737"/>
                <w:sz w:val="16"/>
                <w:szCs w:val="16"/>
              </w:rPr>
            </w:pPr>
          </w:p>
        </w:tc>
        <w:tc>
          <w:tcPr>
            <w:tcW w:w="549" w:type="dxa"/>
            <w:shd w:val="clear" w:color="auto" w:fill="auto"/>
          </w:tcPr>
          <w:p w:rsidR="00DB5257" w:rsidRPr="006F5B0F" w:rsidRDefault="00DB5257" w:rsidP="00DB5257">
            <w:pPr>
              <w:rPr>
                <w:rFonts w:eastAsia="Calibri" w:cs="Arial"/>
                <w:color w:val="373737"/>
                <w:sz w:val="16"/>
                <w:szCs w:val="16"/>
              </w:rPr>
            </w:pPr>
          </w:p>
        </w:tc>
        <w:tc>
          <w:tcPr>
            <w:tcW w:w="550" w:type="dxa"/>
            <w:shd w:val="clear" w:color="auto" w:fill="D0DDCC"/>
          </w:tcPr>
          <w:p w:rsidR="00DB5257" w:rsidRPr="006F5B0F" w:rsidRDefault="00AD2E14" w:rsidP="00DB5257">
            <w:pPr>
              <w:rPr>
                <w:rFonts w:eastAsia="Calibri" w:cs="Arial"/>
                <w:color w:val="373737"/>
                <w:sz w:val="16"/>
                <w:szCs w:val="16"/>
              </w:rPr>
            </w:pPr>
            <w:r>
              <w:rPr>
                <w:color w:val="373737"/>
                <w:sz w:val="16"/>
              </w:rPr>
              <w:t>y</w:t>
            </w:r>
          </w:p>
        </w:tc>
        <w:tc>
          <w:tcPr>
            <w:tcW w:w="593" w:type="dxa"/>
            <w:shd w:val="clear" w:color="auto" w:fill="D0DDCC"/>
          </w:tcPr>
          <w:p w:rsidR="00DB5257" w:rsidRPr="006F5B0F" w:rsidRDefault="00AD2E14" w:rsidP="00DB5257">
            <w:pPr>
              <w:rPr>
                <w:rFonts w:eastAsia="Calibri" w:cs="Arial"/>
                <w:color w:val="373737"/>
                <w:sz w:val="16"/>
                <w:szCs w:val="16"/>
              </w:rPr>
            </w:pPr>
            <w:r>
              <w:rPr>
                <w:color w:val="373737"/>
                <w:sz w:val="16"/>
              </w:rPr>
              <w:t>y</w:t>
            </w:r>
          </w:p>
        </w:tc>
        <w:tc>
          <w:tcPr>
            <w:tcW w:w="505" w:type="dxa"/>
            <w:shd w:val="clear" w:color="auto" w:fill="auto"/>
          </w:tcPr>
          <w:p w:rsidR="00DB5257" w:rsidRPr="006F5B0F" w:rsidRDefault="00DB5257" w:rsidP="00DB5257">
            <w:pPr>
              <w:rPr>
                <w:rFonts w:eastAsia="Calibri" w:cs="Arial"/>
                <w:color w:val="373737"/>
                <w:sz w:val="16"/>
                <w:szCs w:val="16"/>
              </w:rPr>
            </w:pPr>
          </w:p>
        </w:tc>
        <w:tc>
          <w:tcPr>
            <w:tcW w:w="549" w:type="dxa"/>
            <w:shd w:val="clear" w:color="auto" w:fill="auto"/>
          </w:tcPr>
          <w:p w:rsidR="00DB5257" w:rsidRPr="006F5B0F" w:rsidRDefault="00DB5257" w:rsidP="00DB5257">
            <w:pPr>
              <w:rPr>
                <w:rFonts w:eastAsia="Calibri" w:cs="Arial"/>
                <w:color w:val="373737"/>
                <w:sz w:val="16"/>
                <w:szCs w:val="16"/>
              </w:rPr>
            </w:pPr>
          </w:p>
        </w:tc>
        <w:tc>
          <w:tcPr>
            <w:tcW w:w="550" w:type="dxa"/>
            <w:tcBorders>
              <w:right w:val="single" w:sz="4" w:space="0" w:color="6E8967"/>
            </w:tcBorders>
            <w:shd w:val="clear" w:color="auto" w:fill="auto"/>
          </w:tcPr>
          <w:p w:rsidR="00DB5257" w:rsidRPr="006F5B0F" w:rsidRDefault="00DB5257" w:rsidP="00DB5257">
            <w:pPr>
              <w:rPr>
                <w:rFonts w:eastAsia="Calibri" w:cs="Arial"/>
                <w:color w:val="373737"/>
                <w:sz w:val="16"/>
                <w:szCs w:val="16"/>
              </w:rPr>
            </w:pPr>
          </w:p>
        </w:tc>
      </w:tr>
      <w:tr w:rsidR="00DB5257" w:rsidRPr="001C6ACF" w:rsidTr="00DB5257">
        <w:trPr>
          <w:jc w:val="center"/>
        </w:trPr>
        <w:tc>
          <w:tcPr>
            <w:tcW w:w="562" w:type="dxa"/>
            <w:vMerge w:val="restart"/>
            <w:tcBorders>
              <w:left w:val="single" w:sz="4" w:space="0" w:color="6E8967"/>
            </w:tcBorders>
            <w:shd w:val="clear" w:color="auto" w:fill="8BAB80"/>
            <w:textDirection w:val="btLr"/>
          </w:tcPr>
          <w:p w:rsidR="00DB5257" w:rsidRPr="006F5B0F" w:rsidRDefault="00AD2E14" w:rsidP="00DB5257">
            <w:pPr>
              <w:spacing w:line="280" w:lineRule="atLeast"/>
              <w:ind w:left="113" w:right="113"/>
              <w:jc w:val="right"/>
              <w:rPr>
                <w:rFonts w:eastAsia="Calibri" w:cs="Arial"/>
                <w:b/>
                <w:bCs/>
                <w:i/>
                <w:color w:val="FFFFFF"/>
                <w:sz w:val="16"/>
                <w:szCs w:val="16"/>
              </w:rPr>
            </w:pPr>
            <w:r>
              <w:rPr>
                <w:b/>
                <w:i/>
                <w:color w:val="FFFFFF"/>
                <w:sz w:val="16"/>
              </w:rPr>
              <w:t>Strukturering</w:t>
            </w:r>
          </w:p>
        </w:tc>
        <w:tc>
          <w:tcPr>
            <w:tcW w:w="3402" w:type="dxa"/>
            <w:shd w:val="clear" w:color="auto" w:fill="D0DDCC"/>
          </w:tcPr>
          <w:p w:rsidR="00DB5257" w:rsidRPr="006F5B0F" w:rsidRDefault="00AD2E14" w:rsidP="00DB5257">
            <w:pPr>
              <w:rPr>
                <w:rFonts w:eastAsia="Calibri" w:cs="Arial"/>
                <w:color w:val="373737"/>
                <w:sz w:val="16"/>
                <w:szCs w:val="16"/>
              </w:rPr>
            </w:pPr>
            <w:r>
              <w:rPr>
                <w:color w:val="373737"/>
                <w:sz w:val="16"/>
              </w:rPr>
              <w:t xml:space="preserve">Diskutera befintliga uppgiftskällor och uppgiftsluckor med utvärderarna. Hitta lösningar på hur uppgiftsluckorna kan åtgärdas. </w:t>
            </w:r>
          </w:p>
        </w:tc>
        <w:tc>
          <w:tcPr>
            <w:tcW w:w="1061" w:type="dxa"/>
            <w:shd w:val="clear" w:color="auto" w:fill="D0DDCC"/>
          </w:tcPr>
          <w:p w:rsidR="00DB5257" w:rsidRPr="006F5B0F" w:rsidRDefault="00AD2E14" w:rsidP="00DB5257">
            <w:pPr>
              <w:jc w:val="left"/>
              <w:rPr>
                <w:rFonts w:eastAsia="Calibri" w:cs="Arial"/>
                <w:color w:val="373737"/>
                <w:sz w:val="16"/>
                <w:szCs w:val="16"/>
              </w:rPr>
            </w:pPr>
            <w:r>
              <w:rPr>
                <w:color w:val="373737"/>
                <w:sz w:val="16"/>
              </w:rPr>
              <w:t>2016 och kvartal 2 – kvartal 3 2018</w:t>
            </w:r>
          </w:p>
        </w:tc>
        <w:tc>
          <w:tcPr>
            <w:tcW w:w="622" w:type="dxa"/>
            <w:shd w:val="clear" w:color="auto" w:fill="95B89B"/>
          </w:tcPr>
          <w:p w:rsidR="00DB5257" w:rsidRPr="006F5B0F" w:rsidRDefault="00AD2E14" w:rsidP="00DB5257">
            <w:pPr>
              <w:rPr>
                <w:rFonts w:eastAsia="Calibri" w:cs="Arial"/>
                <w:color w:val="373737"/>
                <w:sz w:val="16"/>
                <w:szCs w:val="16"/>
              </w:rPr>
            </w:pPr>
            <w:r>
              <w:rPr>
                <w:color w:val="373737"/>
                <w:sz w:val="16"/>
              </w:rPr>
              <w:t>x</w:t>
            </w:r>
          </w:p>
        </w:tc>
        <w:tc>
          <w:tcPr>
            <w:tcW w:w="549" w:type="dxa"/>
            <w:shd w:val="clear" w:color="auto" w:fill="D0DDCC"/>
          </w:tcPr>
          <w:p w:rsidR="00DB5257" w:rsidRPr="006F5B0F" w:rsidRDefault="00AD2E14" w:rsidP="00DB5257">
            <w:pPr>
              <w:rPr>
                <w:rFonts w:eastAsia="Calibri" w:cs="Arial"/>
                <w:color w:val="373737"/>
                <w:sz w:val="16"/>
                <w:szCs w:val="16"/>
              </w:rPr>
            </w:pPr>
            <w:r>
              <w:rPr>
                <w:color w:val="373737"/>
                <w:sz w:val="16"/>
              </w:rPr>
              <w:t>y</w:t>
            </w:r>
          </w:p>
        </w:tc>
        <w:tc>
          <w:tcPr>
            <w:tcW w:w="549" w:type="dxa"/>
            <w:shd w:val="clear" w:color="auto" w:fill="D0DDCC"/>
          </w:tcPr>
          <w:p w:rsidR="00DB5257" w:rsidRPr="006F5B0F" w:rsidRDefault="00AD2E14" w:rsidP="00DB5257">
            <w:pPr>
              <w:rPr>
                <w:rFonts w:eastAsia="Calibri" w:cs="Arial"/>
                <w:color w:val="373737"/>
                <w:sz w:val="16"/>
                <w:szCs w:val="16"/>
              </w:rPr>
            </w:pPr>
            <w:r>
              <w:rPr>
                <w:color w:val="373737"/>
                <w:sz w:val="16"/>
              </w:rPr>
              <w:t>y</w:t>
            </w:r>
          </w:p>
        </w:tc>
        <w:tc>
          <w:tcPr>
            <w:tcW w:w="550" w:type="dxa"/>
            <w:shd w:val="clear" w:color="auto" w:fill="95B89B"/>
          </w:tcPr>
          <w:p w:rsidR="00DB5257" w:rsidRPr="006F5B0F" w:rsidRDefault="00AD2E14" w:rsidP="00DB5257">
            <w:pPr>
              <w:rPr>
                <w:rFonts w:eastAsia="Calibri" w:cs="Arial"/>
                <w:color w:val="373737"/>
                <w:sz w:val="16"/>
                <w:szCs w:val="16"/>
              </w:rPr>
            </w:pPr>
            <w:r>
              <w:rPr>
                <w:color w:val="373737"/>
                <w:sz w:val="16"/>
              </w:rPr>
              <w:t>x</w:t>
            </w:r>
          </w:p>
        </w:tc>
        <w:tc>
          <w:tcPr>
            <w:tcW w:w="593" w:type="dxa"/>
            <w:shd w:val="clear" w:color="auto" w:fill="D0DDCC"/>
          </w:tcPr>
          <w:p w:rsidR="00DB5257" w:rsidRPr="006F5B0F" w:rsidRDefault="00AD2E14" w:rsidP="00DB5257">
            <w:pPr>
              <w:rPr>
                <w:rFonts w:eastAsia="Calibri" w:cs="Arial"/>
                <w:color w:val="373737"/>
                <w:sz w:val="16"/>
                <w:szCs w:val="16"/>
              </w:rPr>
            </w:pPr>
            <w:r>
              <w:rPr>
                <w:color w:val="373737"/>
                <w:sz w:val="16"/>
              </w:rPr>
              <w:t>y</w:t>
            </w:r>
          </w:p>
        </w:tc>
        <w:tc>
          <w:tcPr>
            <w:tcW w:w="505" w:type="dxa"/>
            <w:shd w:val="clear" w:color="auto" w:fill="95B89B"/>
          </w:tcPr>
          <w:p w:rsidR="00DB5257" w:rsidRPr="006F5B0F" w:rsidRDefault="00AD2E14" w:rsidP="00DB5257">
            <w:pPr>
              <w:rPr>
                <w:rFonts w:eastAsia="Calibri" w:cs="Arial"/>
                <w:color w:val="373737"/>
                <w:sz w:val="16"/>
                <w:szCs w:val="16"/>
              </w:rPr>
            </w:pPr>
            <w:r>
              <w:rPr>
                <w:color w:val="373737"/>
                <w:sz w:val="16"/>
              </w:rPr>
              <w:t>x</w:t>
            </w:r>
          </w:p>
        </w:tc>
        <w:tc>
          <w:tcPr>
            <w:tcW w:w="549" w:type="dxa"/>
            <w:shd w:val="clear" w:color="auto" w:fill="auto"/>
          </w:tcPr>
          <w:p w:rsidR="00DB5257" w:rsidRPr="006F5B0F" w:rsidRDefault="00DB5257" w:rsidP="00DB5257">
            <w:pPr>
              <w:rPr>
                <w:rFonts w:eastAsia="Calibri" w:cs="Arial"/>
                <w:color w:val="373737"/>
                <w:sz w:val="16"/>
                <w:szCs w:val="16"/>
              </w:rPr>
            </w:pPr>
          </w:p>
        </w:tc>
        <w:tc>
          <w:tcPr>
            <w:tcW w:w="550" w:type="dxa"/>
            <w:tcBorders>
              <w:right w:val="single" w:sz="4" w:space="0" w:color="6E8967"/>
            </w:tcBorders>
            <w:shd w:val="clear" w:color="auto" w:fill="D0DDCC"/>
          </w:tcPr>
          <w:p w:rsidR="00DB5257" w:rsidRPr="006F5B0F" w:rsidRDefault="00AD2E14" w:rsidP="00DB5257">
            <w:pPr>
              <w:rPr>
                <w:rFonts w:eastAsia="Calibri" w:cs="Arial"/>
                <w:color w:val="373737"/>
                <w:sz w:val="16"/>
                <w:szCs w:val="16"/>
              </w:rPr>
            </w:pPr>
            <w:r>
              <w:rPr>
                <w:color w:val="373737"/>
                <w:sz w:val="16"/>
              </w:rPr>
              <w:t>y</w:t>
            </w:r>
          </w:p>
        </w:tc>
      </w:tr>
      <w:tr w:rsidR="00DB5257" w:rsidRPr="001C6ACF" w:rsidTr="00DB5257">
        <w:trPr>
          <w:jc w:val="center"/>
        </w:trPr>
        <w:tc>
          <w:tcPr>
            <w:tcW w:w="562" w:type="dxa"/>
            <w:vMerge/>
            <w:tcBorders>
              <w:left w:val="single" w:sz="4" w:space="0" w:color="6E8967"/>
            </w:tcBorders>
            <w:shd w:val="clear" w:color="auto" w:fill="8BAB80"/>
            <w:textDirection w:val="btLr"/>
          </w:tcPr>
          <w:p w:rsidR="00DB5257" w:rsidRPr="006F5B0F" w:rsidRDefault="00DB5257" w:rsidP="00DB5257">
            <w:pPr>
              <w:spacing w:line="280" w:lineRule="atLeast"/>
              <w:ind w:left="113" w:right="113"/>
              <w:jc w:val="right"/>
              <w:rPr>
                <w:rFonts w:eastAsia="Calibri" w:cs="Arial"/>
                <w:b/>
                <w:bCs/>
                <w:i/>
                <w:color w:val="FFFFFF"/>
                <w:sz w:val="16"/>
                <w:szCs w:val="16"/>
              </w:rPr>
            </w:pPr>
          </w:p>
        </w:tc>
        <w:tc>
          <w:tcPr>
            <w:tcW w:w="3402" w:type="dxa"/>
            <w:shd w:val="clear" w:color="auto" w:fill="E7EEE5"/>
          </w:tcPr>
          <w:p w:rsidR="00DB5257" w:rsidRPr="006F5B0F" w:rsidRDefault="00AD2E14" w:rsidP="00DB5257">
            <w:pPr>
              <w:rPr>
                <w:rFonts w:eastAsia="Calibri" w:cs="Arial"/>
                <w:color w:val="373737"/>
                <w:sz w:val="16"/>
                <w:szCs w:val="16"/>
              </w:rPr>
            </w:pPr>
            <w:r>
              <w:rPr>
                <w:color w:val="373737"/>
                <w:sz w:val="16"/>
              </w:rPr>
              <w:t xml:space="preserve">Diskutera med utvärderarna om metoder för bedömning av effekter av landsbygdsprogrammen och för att tillämpa nettometoder för de gemensamma (och kompletterande) effektindikatorerna. </w:t>
            </w:r>
          </w:p>
        </w:tc>
        <w:tc>
          <w:tcPr>
            <w:tcW w:w="1061" w:type="dxa"/>
            <w:shd w:val="clear" w:color="auto" w:fill="E7EEE5"/>
          </w:tcPr>
          <w:p w:rsidR="00DB5257" w:rsidRPr="006F5B0F" w:rsidRDefault="00AD2E14" w:rsidP="00DB5257">
            <w:pPr>
              <w:jc w:val="left"/>
              <w:rPr>
                <w:rFonts w:eastAsia="Calibri" w:cs="Arial"/>
                <w:color w:val="373737"/>
                <w:sz w:val="16"/>
                <w:szCs w:val="16"/>
              </w:rPr>
            </w:pPr>
            <w:r>
              <w:rPr>
                <w:color w:val="373737"/>
                <w:sz w:val="16"/>
              </w:rPr>
              <w:t>2016 och kvartal 2 – kvartal 3 2018</w:t>
            </w:r>
          </w:p>
        </w:tc>
        <w:tc>
          <w:tcPr>
            <w:tcW w:w="622" w:type="dxa"/>
            <w:shd w:val="clear" w:color="auto" w:fill="95B89B"/>
          </w:tcPr>
          <w:p w:rsidR="00DB5257" w:rsidRPr="006F5B0F" w:rsidRDefault="00AD2E14" w:rsidP="00DB5257">
            <w:pPr>
              <w:rPr>
                <w:rFonts w:eastAsia="Calibri" w:cs="Arial"/>
                <w:color w:val="373737"/>
                <w:sz w:val="16"/>
                <w:szCs w:val="16"/>
              </w:rPr>
            </w:pPr>
            <w:r>
              <w:rPr>
                <w:color w:val="373737"/>
                <w:sz w:val="16"/>
              </w:rPr>
              <w:t>x</w:t>
            </w:r>
          </w:p>
        </w:tc>
        <w:tc>
          <w:tcPr>
            <w:tcW w:w="549" w:type="dxa"/>
            <w:shd w:val="clear" w:color="auto" w:fill="auto"/>
          </w:tcPr>
          <w:p w:rsidR="00DB5257" w:rsidRPr="006F5B0F" w:rsidRDefault="00DB5257" w:rsidP="00DB5257">
            <w:pPr>
              <w:rPr>
                <w:rFonts w:eastAsia="Calibri" w:cs="Arial"/>
                <w:color w:val="373737"/>
                <w:sz w:val="16"/>
                <w:szCs w:val="16"/>
              </w:rPr>
            </w:pPr>
          </w:p>
        </w:tc>
        <w:tc>
          <w:tcPr>
            <w:tcW w:w="549" w:type="dxa"/>
            <w:shd w:val="clear" w:color="auto" w:fill="auto"/>
          </w:tcPr>
          <w:p w:rsidR="00DB5257" w:rsidRPr="006F5B0F" w:rsidRDefault="00DB5257" w:rsidP="00DB5257">
            <w:pPr>
              <w:rPr>
                <w:rFonts w:eastAsia="Calibri" w:cs="Arial"/>
                <w:color w:val="373737"/>
                <w:sz w:val="16"/>
                <w:szCs w:val="16"/>
              </w:rPr>
            </w:pPr>
          </w:p>
        </w:tc>
        <w:tc>
          <w:tcPr>
            <w:tcW w:w="550" w:type="dxa"/>
            <w:shd w:val="clear" w:color="auto" w:fill="95B89B"/>
          </w:tcPr>
          <w:p w:rsidR="00DB5257" w:rsidRPr="006F5B0F" w:rsidRDefault="00AD2E14" w:rsidP="00DB5257">
            <w:pPr>
              <w:rPr>
                <w:rFonts w:eastAsia="Calibri" w:cs="Arial"/>
                <w:color w:val="373737"/>
                <w:sz w:val="16"/>
                <w:szCs w:val="16"/>
              </w:rPr>
            </w:pPr>
            <w:r>
              <w:rPr>
                <w:color w:val="373737"/>
                <w:sz w:val="16"/>
              </w:rPr>
              <w:t>x</w:t>
            </w:r>
          </w:p>
        </w:tc>
        <w:tc>
          <w:tcPr>
            <w:tcW w:w="593" w:type="dxa"/>
            <w:shd w:val="clear" w:color="auto" w:fill="auto"/>
          </w:tcPr>
          <w:p w:rsidR="00DB5257" w:rsidRPr="006F5B0F" w:rsidRDefault="00DB5257" w:rsidP="00DB5257">
            <w:pPr>
              <w:rPr>
                <w:rFonts w:eastAsia="Calibri" w:cs="Arial"/>
                <w:color w:val="373737"/>
                <w:sz w:val="16"/>
                <w:szCs w:val="16"/>
              </w:rPr>
            </w:pPr>
          </w:p>
        </w:tc>
        <w:tc>
          <w:tcPr>
            <w:tcW w:w="505" w:type="dxa"/>
            <w:shd w:val="clear" w:color="auto" w:fill="95B89B"/>
          </w:tcPr>
          <w:p w:rsidR="00DB5257" w:rsidRPr="006F5B0F" w:rsidRDefault="00AD2E14" w:rsidP="00DB5257">
            <w:pPr>
              <w:rPr>
                <w:rFonts w:eastAsia="Calibri" w:cs="Arial"/>
                <w:color w:val="373737"/>
                <w:sz w:val="16"/>
                <w:szCs w:val="16"/>
              </w:rPr>
            </w:pPr>
            <w:r>
              <w:rPr>
                <w:color w:val="373737"/>
                <w:sz w:val="16"/>
              </w:rPr>
              <w:t>x</w:t>
            </w:r>
          </w:p>
        </w:tc>
        <w:tc>
          <w:tcPr>
            <w:tcW w:w="549" w:type="dxa"/>
            <w:shd w:val="clear" w:color="auto" w:fill="auto"/>
          </w:tcPr>
          <w:p w:rsidR="00DB5257" w:rsidRPr="006F5B0F" w:rsidRDefault="00DB5257" w:rsidP="00DB5257">
            <w:pPr>
              <w:rPr>
                <w:rFonts w:eastAsia="Calibri" w:cs="Arial"/>
                <w:color w:val="373737"/>
                <w:sz w:val="16"/>
                <w:szCs w:val="16"/>
              </w:rPr>
            </w:pPr>
          </w:p>
        </w:tc>
        <w:tc>
          <w:tcPr>
            <w:tcW w:w="550" w:type="dxa"/>
            <w:tcBorders>
              <w:right w:val="single" w:sz="4" w:space="0" w:color="6E8967"/>
            </w:tcBorders>
            <w:shd w:val="clear" w:color="auto" w:fill="auto"/>
          </w:tcPr>
          <w:p w:rsidR="00DB5257" w:rsidRPr="006F5B0F" w:rsidRDefault="00DB5257" w:rsidP="00DB5257">
            <w:pPr>
              <w:rPr>
                <w:rFonts w:eastAsia="Calibri" w:cs="Arial"/>
                <w:color w:val="373737"/>
                <w:sz w:val="16"/>
                <w:szCs w:val="16"/>
              </w:rPr>
            </w:pPr>
          </w:p>
        </w:tc>
      </w:tr>
      <w:tr w:rsidR="00DB5257" w:rsidRPr="001C6ACF" w:rsidTr="00DB5257">
        <w:trPr>
          <w:jc w:val="center"/>
        </w:trPr>
        <w:tc>
          <w:tcPr>
            <w:tcW w:w="562" w:type="dxa"/>
            <w:vMerge w:val="restart"/>
            <w:tcBorders>
              <w:left w:val="single" w:sz="4" w:space="0" w:color="6E8967"/>
            </w:tcBorders>
            <w:shd w:val="clear" w:color="auto" w:fill="8BAB80"/>
            <w:textDirection w:val="btLr"/>
          </w:tcPr>
          <w:p w:rsidR="00DB5257" w:rsidRPr="006F5B0F" w:rsidRDefault="00AD2E14" w:rsidP="00DB5257">
            <w:pPr>
              <w:spacing w:line="280" w:lineRule="atLeast"/>
              <w:ind w:left="113" w:right="113"/>
              <w:jc w:val="right"/>
              <w:rPr>
                <w:rFonts w:eastAsia="Calibri" w:cs="Arial"/>
                <w:b/>
                <w:bCs/>
                <w:i/>
                <w:color w:val="FFFFFF"/>
                <w:sz w:val="16"/>
                <w:szCs w:val="16"/>
              </w:rPr>
            </w:pPr>
            <w:r>
              <w:rPr>
                <w:b/>
                <w:i/>
                <w:color w:val="FFFFFF"/>
                <w:sz w:val="16"/>
              </w:rPr>
              <w:t>Observation</w:t>
            </w:r>
          </w:p>
        </w:tc>
        <w:tc>
          <w:tcPr>
            <w:tcW w:w="3402" w:type="dxa"/>
            <w:shd w:val="clear" w:color="auto" w:fill="D0DDCC"/>
          </w:tcPr>
          <w:p w:rsidR="00DB5257" w:rsidRPr="006F5B0F" w:rsidRDefault="00AD2E14" w:rsidP="00DB5257">
            <w:pPr>
              <w:rPr>
                <w:rFonts w:eastAsia="Calibri" w:cs="Arial"/>
                <w:color w:val="373737"/>
                <w:sz w:val="16"/>
                <w:szCs w:val="16"/>
              </w:rPr>
            </w:pPr>
            <w:r>
              <w:rPr>
                <w:color w:val="373737"/>
                <w:sz w:val="16"/>
              </w:rPr>
              <w:t xml:space="preserve">Samla in uppgifter och information om stödmottagare enligt koppling till de gemensamma (och kompletterande) effektindikatorerna och enligt de föreslagna metoderna. </w:t>
            </w:r>
          </w:p>
        </w:tc>
        <w:tc>
          <w:tcPr>
            <w:tcW w:w="1061" w:type="dxa"/>
            <w:shd w:val="clear" w:color="auto" w:fill="D0DDCC"/>
          </w:tcPr>
          <w:p w:rsidR="00DB5257" w:rsidRPr="006F5B0F" w:rsidRDefault="00AD2E14" w:rsidP="00DB5257">
            <w:pPr>
              <w:jc w:val="left"/>
              <w:rPr>
                <w:rFonts w:eastAsia="Calibri" w:cs="Arial"/>
                <w:color w:val="373737"/>
                <w:sz w:val="16"/>
                <w:szCs w:val="16"/>
              </w:rPr>
            </w:pPr>
            <w:r>
              <w:rPr>
                <w:color w:val="373737"/>
                <w:sz w:val="16"/>
              </w:rPr>
              <w:t>Från början av landsbygdsprogrammet till slutet av 2018.</w:t>
            </w:r>
          </w:p>
        </w:tc>
        <w:tc>
          <w:tcPr>
            <w:tcW w:w="622" w:type="dxa"/>
            <w:shd w:val="clear" w:color="auto" w:fill="D0DDCC"/>
          </w:tcPr>
          <w:p w:rsidR="00DB5257" w:rsidRPr="006F5B0F" w:rsidRDefault="00AD2E14" w:rsidP="00DB5257">
            <w:pPr>
              <w:rPr>
                <w:rFonts w:eastAsia="Calibri" w:cs="Arial"/>
                <w:color w:val="373737"/>
                <w:sz w:val="16"/>
                <w:szCs w:val="16"/>
              </w:rPr>
            </w:pPr>
            <w:r>
              <w:rPr>
                <w:color w:val="373737"/>
                <w:sz w:val="16"/>
              </w:rPr>
              <w:t>y</w:t>
            </w:r>
          </w:p>
        </w:tc>
        <w:tc>
          <w:tcPr>
            <w:tcW w:w="549" w:type="dxa"/>
            <w:shd w:val="clear" w:color="auto" w:fill="95B89B"/>
          </w:tcPr>
          <w:p w:rsidR="00DB5257" w:rsidRPr="006F5B0F" w:rsidRDefault="00AD2E14" w:rsidP="00DB5257">
            <w:pPr>
              <w:rPr>
                <w:rFonts w:eastAsia="Calibri" w:cs="Arial"/>
                <w:color w:val="373737"/>
                <w:sz w:val="16"/>
                <w:szCs w:val="16"/>
              </w:rPr>
            </w:pPr>
            <w:r>
              <w:rPr>
                <w:color w:val="373737"/>
                <w:sz w:val="16"/>
              </w:rPr>
              <w:t>x</w:t>
            </w:r>
          </w:p>
        </w:tc>
        <w:tc>
          <w:tcPr>
            <w:tcW w:w="549" w:type="dxa"/>
            <w:shd w:val="clear" w:color="auto" w:fill="D0DDCC"/>
          </w:tcPr>
          <w:p w:rsidR="00DB5257" w:rsidRPr="006F5B0F" w:rsidRDefault="00AD2E14" w:rsidP="00DB5257">
            <w:pPr>
              <w:rPr>
                <w:rFonts w:eastAsia="Calibri" w:cs="Arial"/>
                <w:color w:val="373737"/>
                <w:sz w:val="16"/>
                <w:szCs w:val="16"/>
              </w:rPr>
            </w:pPr>
            <w:r>
              <w:rPr>
                <w:color w:val="373737"/>
                <w:sz w:val="16"/>
              </w:rPr>
              <w:t>y</w:t>
            </w:r>
          </w:p>
        </w:tc>
        <w:tc>
          <w:tcPr>
            <w:tcW w:w="550" w:type="dxa"/>
            <w:shd w:val="clear" w:color="auto" w:fill="D0DDCC"/>
          </w:tcPr>
          <w:p w:rsidR="00DB5257" w:rsidRPr="006F5B0F" w:rsidRDefault="00AD2E14" w:rsidP="00DB5257">
            <w:pPr>
              <w:rPr>
                <w:rFonts w:eastAsia="Calibri" w:cs="Arial"/>
                <w:color w:val="373737"/>
                <w:sz w:val="16"/>
                <w:szCs w:val="16"/>
              </w:rPr>
            </w:pPr>
            <w:r>
              <w:rPr>
                <w:color w:val="373737"/>
                <w:sz w:val="16"/>
              </w:rPr>
              <w:t>y</w:t>
            </w:r>
          </w:p>
        </w:tc>
        <w:tc>
          <w:tcPr>
            <w:tcW w:w="593" w:type="dxa"/>
            <w:shd w:val="clear" w:color="auto" w:fill="auto"/>
          </w:tcPr>
          <w:p w:rsidR="00DB5257" w:rsidRPr="006F5B0F" w:rsidRDefault="00DB5257" w:rsidP="00DB5257">
            <w:pPr>
              <w:rPr>
                <w:rFonts w:eastAsia="Calibri" w:cs="Arial"/>
                <w:color w:val="373737"/>
                <w:sz w:val="16"/>
                <w:szCs w:val="16"/>
              </w:rPr>
            </w:pPr>
          </w:p>
        </w:tc>
        <w:tc>
          <w:tcPr>
            <w:tcW w:w="505" w:type="dxa"/>
            <w:shd w:val="clear" w:color="auto" w:fill="95B89B"/>
          </w:tcPr>
          <w:p w:rsidR="00DB5257" w:rsidRPr="006F5B0F" w:rsidRDefault="00AD2E14" w:rsidP="00DB5257">
            <w:pPr>
              <w:rPr>
                <w:rFonts w:eastAsia="Calibri" w:cs="Arial"/>
                <w:color w:val="373737"/>
                <w:sz w:val="16"/>
                <w:szCs w:val="16"/>
              </w:rPr>
            </w:pPr>
            <w:r>
              <w:rPr>
                <w:color w:val="373737"/>
                <w:sz w:val="16"/>
              </w:rPr>
              <w:t>x</w:t>
            </w:r>
          </w:p>
        </w:tc>
        <w:tc>
          <w:tcPr>
            <w:tcW w:w="549" w:type="dxa"/>
            <w:shd w:val="clear" w:color="auto" w:fill="auto"/>
          </w:tcPr>
          <w:p w:rsidR="00DB5257" w:rsidRPr="006F5B0F" w:rsidRDefault="00DB5257" w:rsidP="00DB5257">
            <w:pPr>
              <w:rPr>
                <w:rFonts w:eastAsia="Calibri" w:cs="Arial"/>
                <w:color w:val="373737"/>
                <w:sz w:val="16"/>
                <w:szCs w:val="16"/>
              </w:rPr>
            </w:pPr>
          </w:p>
        </w:tc>
        <w:tc>
          <w:tcPr>
            <w:tcW w:w="550" w:type="dxa"/>
            <w:tcBorders>
              <w:right w:val="single" w:sz="4" w:space="0" w:color="6E8967"/>
            </w:tcBorders>
            <w:shd w:val="clear" w:color="auto" w:fill="D0DDCC"/>
          </w:tcPr>
          <w:p w:rsidR="00DB5257" w:rsidRPr="006F5B0F" w:rsidRDefault="00AD2E14" w:rsidP="00DB5257">
            <w:pPr>
              <w:rPr>
                <w:rFonts w:eastAsia="Calibri" w:cs="Arial"/>
                <w:color w:val="373737"/>
                <w:sz w:val="16"/>
                <w:szCs w:val="16"/>
              </w:rPr>
            </w:pPr>
            <w:r>
              <w:rPr>
                <w:color w:val="373737"/>
                <w:sz w:val="16"/>
              </w:rPr>
              <w:t>y</w:t>
            </w:r>
          </w:p>
        </w:tc>
      </w:tr>
      <w:tr w:rsidR="00DB5257" w:rsidRPr="001C6ACF" w:rsidTr="00DB5257">
        <w:trPr>
          <w:jc w:val="center"/>
        </w:trPr>
        <w:tc>
          <w:tcPr>
            <w:tcW w:w="562" w:type="dxa"/>
            <w:vMerge/>
            <w:tcBorders>
              <w:left w:val="single" w:sz="4" w:space="0" w:color="6E8967"/>
            </w:tcBorders>
            <w:shd w:val="clear" w:color="auto" w:fill="8BAB80"/>
            <w:textDirection w:val="btLr"/>
          </w:tcPr>
          <w:p w:rsidR="00DB5257" w:rsidRPr="006F5B0F" w:rsidRDefault="00DB5257" w:rsidP="00DB5257">
            <w:pPr>
              <w:spacing w:line="280" w:lineRule="atLeast"/>
              <w:ind w:left="113" w:right="113"/>
              <w:jc w:val="right"/>
              <w:rPr>
                <w:rFonts w:eastAsia="Calibri" w:cs="Arial"/>
                <w:b/>
                <w:bCs/>
                <w:i/>
                <w:color w:val="FFFFFF"/>
                <w:sz w:val="16"/>
                <w:szCs w:val="16"/>
              </w:rPr>
            </w:pPr>
          </w:p>
        </w:tc>
        <w:tc>
          <w:tcPr>
            <w:tcW w:w="3402" w:type="dxa"/>
            <w:shd w:val="clear" w:color="auto" w:fill="E7EEE5"/>
          </w:tcPr>
          <w:p w:rsidR="00DB5257" w:rsidRPr="006F5B0F" w:rsidRDefault="00AD2E14" w:rsidP="00DB5257">
            <w:pPr>
              <w:rPr>
                <w:rFonts w:eastAsia="Calibri" w:cs="Arial"/>
                <w:color w:val="373737"/>
                <w:sz w:val="16"/>
                <w:szCs w:val="16"/>
              </w:rPr>
            </w:pPr>
            <w:r>
              <w:rPr>
                <w:color w:val="373737"/>
                <w:sz w:val="16"/>
              </w:rPr>
              <w:t xml:space="preserve">Samla in uppgifter och information om icke stödmottagare enligt koppling till de gemensamma (och kompletterande) effektindikatorerna och enligt de föreslagna metoderna. </w:t>
            </w:r>
          </w:p>
        </w:tc>
        <w:tc>
          <w:tcPr>
            <w:tcW w:w="1061" w:type="dxa"/>
            <w:shd w:val="clear" w:color="auto" w:fill="E7EEE5"/>
          </w:tcPr>
          <w:p w:rsidR="00DB5257" w:rsidRPr="006F5B0F" w:rsidRDefault="00AD2E14" w:rsidP="00DB5257">
            <w:pPr>
              <w:jc w:val="left"/>
              <w:rPr>
                <w:rFonts w:eastAsia="Calibri" w:cs="Arial"/>
                <w:color w:val="373737"/>
                <w:sz w:val="16"/>
                <w:szCs w:val="16"/>
              </w:rPr>
            </w:pPr>
            <w:r>
              <w:rPr>
                <w:color w:val="373737"/>
                <w:sz w:val="16"/>
              </w:rPr>
              <w:t>Från början av landsbygdsprogrammet till slutet av 2018.</w:t>
            </w:r>
          </w:p>
        </w:tc>
        <w:tc>
          <w:tcPr>
            <w:tcW w:w="622" w:type="dxa"/>
            <w:shd w:val="clear" w:color="auto" w:fill="95B89B"/>
          </w:tcPr>
          <w:p w:rsidR="00DB5257" w:rsidRPr="006F5B0F" w:rsidRDefault="00AD2E14" w:rsidP="00DB5257">
            <w:pPr>
              <w:rPr>
                <w:rFonts w:eastAsia="Calibri" w:cs="Arial"/>
                <w:color w:val="373737"/>
                <w:sz w:val="16"/>
                <w:szCs w:val="16"/>
              </w:rPr>
            </w:pPr>
            <w:r>
              <w:rPr>
                <w:color w:val="373737"/>
                <w:sz w:val="16"/>
              </w:rPr>
              <w:t>x</w:t>
            </w:r>
          </w:p>
        </w:tc>
        <w:tc>
          <w:tcPr>
            <w:tcW w:w="549" w:type="dxa"/>
            <w:shd w:val="clear" w:color="auto" w:fill="auto"/>
          </w:tcPr>
          <w:p w:rsidR="00DB5257" w:rsidRPr="006F5B0F" w:rsidRDefault="00DB5257" w:rsidP="00DB5257">
            <w:pPr>
              <w:rPr>
                <w:rFonts w:eastAsia="Calibri" w:cs="Arial"/>
                <w:color w:val="373737"/>
                <w:sz w:val="16"/>
                <w:szCs w:val="16"/>
              </w:rPr>
            </w:pPr>
          </w:p>
        </w:tc>
        <w:tc>
          <w:tcPr>
            <w:tcW w:w="549" w:type="dxa"/>
            <w:shd w:val="clear" w:color="auto" w:fill="D0DDCC"/>
          </w:tcPr>
          <w:p w:rsidR="00DB5257" w:rsidRPr="006F5B0F" w:rsidRDefault="00AD2E14" w:rsidP="00DB5257">
            <w:pPr>
              <w:rPr>
                <w:rFonts w:eastAsia="Calibri" w:cs="Arial"/>
                <w:color w:val="373737"/>
                <w:sz w:val="16"/>
                <w:szCs w:val="16"/>
              </w:rPr>
            </w:pPr>
            <w:r>
              <w:rPr>
                <w:color w:val="373737"/>
                <w:sz w:val="16"/>
              </w:rPr>
              <w:t>y</w:t>
            </w:r>
          </w:p>
        </w:tc>
        <w:tc>
          <w:tcPr>
            <w:tcW w:w="550" w:type="dxa"/>
            <w:shd w:val="clear" w:color="auto" w:fill="D0DDCC"/>
          </w:tcPr>
          <w:p w:rsidR="00DB5257" w:rsidRPr="006F5B0F" w:rsidRDefault="00AD2E14" w:rsidP="00DB5257">
            <w:pPr>
              <w:rPr>
                <w:rFonts w:eastAsia="Calibri" w:cs="Arial"/>
                <w:color w:val="373737"/>
                <w:sz w:val="16"/>
                <w:szCs w:val="16"/>
              </w:rPr>
            </w:pPr>
            <w:r>
              <w:rPr>
                <w:color w:val="373737"/>
                <w:sz w:val="16"/>
              </w:rPr>
              <w:t>y</w:t>
            </w:r>
          </w:p>
        </w:tc>
        <w:tc>
          <w:tcPr>
            <w:tcW w:w="593" w:type="dxa"/>
            <w:shd w:val="clear" w:color="auto" w:fill="auto"/>
          </w:tcPr>
          <w:p w:rsidR="00DB5257" w:rsidRPr="006F5B0F" w:rsidRDefault="00DB5257" w:rsidP="00DB5257">
            <w:pPr>
              <w:rPr>
                <w:rFonts w:eastAsia="Calibri" w:cs="Arial"/>
                <w:color w:val="373737"/>
                <w:sz w:val="16"/>
                <w:szCs w:val="16"/>
              </w:rPr>
            </w:pPr>
          </w:p>
        </w:tc>
        <w:tc>
          <w:tcPr>
            <w:tcW w:w="505" w:type="dxa"/>
            <w:shd w:val="clear" w:color="auto" w:fill="95B89B"/>
          </w:tcPr>
          <w:p w:rsidR="00DB5257" w:rsidRPr="006F5B0F" w:rsidRDefault="00AD2E14" w:rsidP="00DB5257">
            <w:pPr>
              <w:rPr>
                <w:rFonts w:eastAsia="Calibri" w:cs="Arial"/>
                <w:color w:val="373737"/>
                <w:sz w:val="16"/>
                <w:szCs w:val="16"/>
              </w:rPr>
            </w:pPr>
            <w:r>
              <w:rPr>
                <w:color w:val="373737"/>
                <w:sz w:val="16"/>
              </w:rPr>
              <w:t>x</w:t>
            </w:r>
          </w:p>
        </w:tc>
        <w:tc>
          <w:tcPr>
            <w:tcW w:w="549" w:type="dxa"/>
            <w:shd w:val="clear" w:color="auto" w:fill="auto"/>
          </w:tcPr>
          <w:p w:rsidR="00DB5257" w:rsidRPr="006F5B0F" w:rsidRDefault="00DB5257" w:rsidP="00DB5257">
            <w:pPr>
              <w:rPr>
                <w:rFonts w:eastAsia="Calibri" w:cs="Arial"/>
                <w:color w:val="373737"/>
                <w:sz w:val="16"/>
                <w:szCs w:val="16"/>
              </w:rPr>
            </w:pPr>
          </w:p>
        </w:tc>
        <w:tc>
          <w:tcPr>
            <w:tcW w:w="550" w:type="dxa"/>
            <w:tcBorders>
              <w:right w:val="single" w:sz="4" w:space="0" w:color="6E8967"/>
            </w:tcBorders>
            <w:shd w:val="clear" w:color="auto" w:fill="D0DDCC"/>
          </w:tcPr>
          <w:p w:rsidR="00DB5257" w:rsidRPr="006F5B0F" w:rsidRDefault="00AD2E14" w:rsidP="00DB5257">
            <w:pPr>
              <w:rPr>
                <w:rFonts w:eastAsia="Calibri" w:cs="Arial"/>
                <w:color w:val="373737"/>
                <w:sz w:val="16"/>
                <w:szCs w:val="16"/>
              </w:rPr>
            </w:pPr>
            <w:r>
              <w:rPr>
                <w:color w:val="373737"/>
                <w:sz w:val="16"/>
              </w:rPr>
              <w:t>y</w:t>
            </w:r>
          </w:p>
        </w:tc>
      </w:tr>
      <w:tr w:rsidR="00DB5257" w:rsidRPr="001C6ACF" w:rsidTr="00DB5257">
        <w:trPr>
          <w:jc w:val="center"/>
        </w:trPr>
        <w:tc>
          <w:tcPr>
            <w:tcW w:w="562" w:type="dxa"/>
            <w:vMerge/>
            <w:tcBorders>
              <w:left w:val="single" w:sz="4" w:space="0" w:color="6E8967"/>
            </w:tcBorders>
            <w:shd w:val="clear" w:color="auto" w:fill="8BAB80"/>
            <w:textDirection w:val="btLr"/>
          </w:tcPr>
          <w:p w:rsidR="00DB5257" w:rsidRPr="006F5B0F" w:rsidRDefault="00DB5257" w:rsidP="00DB5257">
            <w:pPr>
              <w:spacing w:line="280" w:lineRule="atLeast"/>
              <w:ind w:left="113" w:right="113"/>
              <w:jc w:val="right"/>
              <w:rPr>
                <w:rFonts w:eastAsia="Calibri" w:cs="Arial"/>
                <w:b/>
                <w:bCs/>
                <w:i/>
                <w:color w:val="FFFFFF"/>
                <w:sz w:val="16"/>
                <w:szCs w:val="16"/>
              </w:rPr>
            </w:pPr>
          </w:p>
        </w:tc>
        <w:tc>
          <w:tcPr>
            <w:tcW w:w="3402" w:type="dxa"/>
            <w:shd w:val="clear" w:color="auto" w:fill="D0DDCC"/>
          </w:tcPr>
          <w:p w:rsidR="00DB5257" w:rsidRPr="006F5B0F" w:rsidRDefault="00AD2E14" w:rsidP="00DB5257">
            <w:pPr>
              <w:rPr>
                <w:rFonts w:eastAsia="Calibri" w:cs="Arial"/>
                <w:color w:val="373737"/>
                <w:sz w:val="16"/>
                <w:szCs w:val="16"/>
              </w:rPr>
            </w:pPr>
            <w:r>
              <w:rPr>
                <w:color w:val="373737"/>
                <w:sz w:val="16"/>
              </w:rPr>
              <w:t xml:space="preserve">Säkerställa kvaliteten på de uppgifter som samlats in både från verksamhetsdatabasen och från andra källor (t.ex. informationssystemet för jordbruksföretagens redovisningsuppgifter, statistikkontor, miljöövervakning etc.). </w:t>
            </w:r>
          </w:p>
        </w:tc>
        <w:tc>
          <w:tcPr>
            <w:tcW w:w="1061" w:type="dxa"/>
            <w:shd w:val="clear" w:color="auto" w:fill="D0DDCC"/>
          </w:tcPr>
          <w:p w:rsidR="00DB5257" w:rsidRPr="006F5B0F" w:rsidRDefault="00AD2E14" w:rsidP="00DB5257">
            <w:pPr>
              <w:jc w:val="left"/>
              <w:rPr>
                <w:rFonts w:eastAsia="Calibri" w:cs="Arial"/>
                <w:color w:val="373737"/>
                <w:sz w:val="16"/>
                <w:szCs w:val="16"/>
              </w:rPr>
            </w:pPr>
            <w:r>
              <w:rPr>
                <w:color w:val="373737"/>
                <w:sz w:val="16"/>
              </w:rPr>
              <w:t>Pågående</w:t>
            </w:r>
          </w:p>
        </w:tc>
        <w:tc>
          <w:tcPr>
            <w:tcW w:w="622" w:type="dxa"/>
            <w:shd w:val="clear" w:color="auto" w:fill="95B89B"/>
          </w:tcPr>
          <w:p w:rsidR="00DB5257" w:rsidRPr="006F5B0F" w:rsidRDefault="00AD2E14" w:rsidP="00DB5257">
            <w:pPr>
              <w:rPr>
                <w:rFonts w:eastAsia="Calibri" w:cs="Arial"/>
                <w:color w:val="373737"/>
                <w:sz w:val="16"/>
                <w:szCs w:val="16"/>
              </w:rPr>
            </w:pPr>
            <w:r>
              <w:rPr>
                <w:color w:val="373737"/>
                <w:sz w:val="16"/>
              </w:rPr>
              <w:t>x</w:t>
            </w:r>
          </w:p>
        </w:tc>
        <w:tc>
          <w:tcPr>
            <w:tcW w:w="549" w:type="dxa"/>
            <w:shd w:val="clear" w:color="auto" w:fill="95B89B"/>
          </w:tcPr>
          <w:p w:rsidR="00DB5257" w:rsidRPr="006F5B0F" w:rsidRDefault="00AD2E14" w:rsidP="00DB5257">
            <w:pPr>
              <w:rPr>
                <w:rFonts w:eastAsia="Calibri" w:cs="Arial"/>
                <w:color w:val="373737"/>
                <w:sz w:val="16"/>
                <w:szCs w:val="16"/>
              </w:rPr>
            </w:pPr>
            <w:r>
              <w:rPr>
                <w:color w:val="373737"/>
                <w:sz w:val="16"/>
              </w:rPr>
              <w:t>x</w:t>
            </w:r>
          </w:p>
        </w:tc>
        <w:tc>
          <w:tcPr>
            <w:tcW w:w="549" w:type="dxa"/>
            <w:shd w:val="clear" w:color="auto" w:fill="95B89B"/>
          </w:tcPr>
          <w:p w:rsidR="00DB5257" w:rsidRPr="006F5B0F" w:rsidRDefault="00AD2E14" w:rsidP="00DB5257">
            <w:pPr>
              <w:rPr>
                <w:rFonts w:eastAsia="Calibri" w:cs="Arial"/>
                <w:color w:val="373737"/>
                <w:sz w:val="16"/>
                <w:szCs w:val="16"/>
              </w:rPr>
            </w:pPr>
            <w:r>
              <w:rPr>
                <w:color w:val="373737"/>
                <w:sz w:val="16"/>
              </w:rPr>
              <w:t>x</w:t>
            </w:r>
          </w:p>
        </w:tc>
        <w:tc>
          <w:tcPr>
            <w:tcW w:w="550" w:type="dxa"/>
            <w:shd w:val="clear" w:color="auto" w:fill="95B89B"/>
          </w:tcPr>
          <w:p w:rsidR="00DB5257" w:rsidRPr="006F5B0F" w:rsidRDefault="00AD2E14" w:rsidP="00DB5257">
            <w:pPr>
              <w:rPr>
                <w:rFonts w:eastAsia="Calibri" w:cs="Arial"/>
                <w:color w:val="373737"/>
                <w:sz w:val="16"/>
                <w:szCs w:val="16"/>
              </w:rPr>
            </w:pPr>
            <w:r>
              <w:rPr>
                <w:color w:val="373737"/>
                <w:sz w:val="16"/>
              </w:rPr>
              <w:t>x</w:t>
            </w:r>
          </w:p>
        </w:tc>
        <w:tc>
          <w:tcPr>
            <w:tcW w:w="593" w:type="dxa"/>
            <w:shd w:val="clear" w:color="auto" w:fill="D0DDCC"/>
          </w:tcPr>
          <w:p w:rsidR="00DB5257" w:rsidRPr="006F5B0F" w:rsidRDefault="00AD2E14" w:rsidP="00DB5257">
            <w:pPr>
              <w:rPr>
                <w:rFonts w:eastAsia="Calibri" w:cs="Arial"/>
                <w:color w:val="373737"/>
                <w:sz w:val="16"/>
                <w:szCs w:val="16"/>
              </w:rPr>
            </w:pPr>
            <w:r>
              <w:rPr>
                <w:color w:val="373737"/>
                <w:sz w:val="16"/>
              </w:rPr>
              <w:t>y</w:t>
            </w:r>
          </w:p>
        </w:tc>
        <w:tc>
          <w:tcPr>
            <w:tcW w:w="505" w:type="dxa"/>
            <w:shd w:val="clear" w:color="auto" w:fill="95B89B"/>
          </w:tcPr>
          <w:p w:rsidR="00DB5257" w:rsidRPr="006F5B0F" w:rsidRDefault="00AD2E14" w:rsidP="00DB5257">
            <w:pPr>
              <w:rPr>
                <w:rFonts w:eastAsia="Calibri" w:cs="Arial"/>
                <w:color w:val="373737"/>
                <w:sz w:val="16"/>
                <w:szCs w:val="16"/>
              </w:rPr>
            </w:pPr>
            <w:r>
              <w:rPr>
                <w:color w:val="373737"/>
                <w:sz w:val="16"/>
              </w:rPr>
              <w:t>x</w:t>
            </w:r>
          </w:p>
        </w:tc>
        <w:tc>
          <w:tcPr>
            <w:tcW w:w="549" w:type="dxa"/>
            <w:shd w:val="clear" w:color="auto" w:fill="auto"/>
          </w:tcPr>
          <w:p w:rsidR="00DB5257" w:rsidRPr="006F5B0F" w:rsidRDefault="00DB5257" w:rsidP="00DB5257">
            <w:pPr>
              <w:rPr>
                <w:rFonts w:eastAsia="Calibri" w:cs="Arial"/>
                <w:color w:val="373737"/>
                <w:sz w:val="16"/>
                <w:szCs w:val="16"/>
              </w:rPr>
            </w:pPr>
          </w:p>
        </w:tc>
        <w:tc>
          <w:tcPr>
            <w:tcW w:w="550" w:type="dxa"/>
            <w:tcBorders>
              <w:right w:val="single" w:sz="4" w:space="0" w:color="6E8967"/>
            </w:tcBorders>
            <w:shd w:val="clear" w:color="auto" w:fill="auto"/>
          </w:tcPr>
          <w:p w:rsidR="00DB5257" w:rsidRPr="006F5B0F" w:rsidRDefault="00DB5257" w:rsidP="00DB5257">
            <w:pPr>
              <w:rPr>
                <w:rFonts w:eastAsia="Calibri" w:cs="Arial"/>
                <w:color w:val="373737"/>
                <w:sz w:val="16"/>
                <w:szCs w:val="16"/>
              </w:rPr>
            </w:pPr>
          </w:p>
        </w:tc>
      </w:tr>
      <w:tr w:rsidR="00DB5257" w:rsidRPr="001C6ACF" w:rsidTr="00DB5257">
        <w:trPr>
          <w:jc w:val="center"/>
        </w:trPr>
        <w:tc>
          <w:tcPr>
            <w:tcW w:w="562" w:type="dxa"/>
            <w:vMerge w:val="restart"/>
            <w:tcBorders>
              <w:left w:val="single" w:sz="4" w:space="0" w:color="6E8967"/>
            </w:tcBorders>
            <w:shd w:val="clear" w:color="auto" w:fill="8BAB80"/>
            <w:textDirection w:val="btLr"/>
          </w:tcPr>
          <w:p w:rsidR="00DB5257" w:rsidRPr="006F5B0F" w:rsidRDefault="00AD2E14" w:rsidP="00DB5257">
            <w:pPr>
              <w:spacing w:line="280" w:lineRule="atLeast"/>
              <w:ind w:left="113" w:right="113"/>
              <w:jc w:val="right"/>
              <w:rPr>
                <w:rFonts w:eastAsia="Calibri" w:cs="Arial"/>
                <w:b/>
                <w:bCs/>
                <w:i/>
                <w:color w:val="FFFFFF"/>
                <w:sz w:val="16"/>
                <w:szCs w:val="16"/>
              </w:rPr>
            </w:pPr>
            <w:r>
              <w:rPr>
                <w:b/>
                <w:i/>
                <w:color w:val="FFFFFF"/>
                <w:sz w:val="16"/>
              </w:rPr>
              <w:t>Analys</w:t>
            </w:r>
          </w:p>
        </w:tc>
        <w:tc>
          <w:tcPr>
            <w:tcW w:w="3402" w:type="dxa"/>
            <w:shd w:val="clear" w:color="auto" w:fill="E7EEE5"/>
          </w:tcPr>
          <w:p w:rsidR="00DB5257" w:rsidRPr="006F5B0F" w:rsidRDefault="00AD2E14" w:rsidP="00DB5257">
            <w:pPr>
              <w:rPr>
                <w:rFonts w:eastAsia="Calibri" w:cs="Arial"/>
                <w:color w:val="373737"/>
                <w:sz w:val="16"/>
                <w:szCs w:val="16"/>
              </w:rPr>
            </w:pPr>
            <w:r>
              <w:rPr>
                <w:color w:val="373737"/>
                <w:sz w:val="16"/>
              </w:rPr>
              <w:t xml:space="preserve">Genomföra bedömningen och tillämpa nettometod för effektindikatorerna enligt den föreslagna utvärderingsmetoden och valda utvärderingsmetoder. </w:t>
            </w:r>
          </w:p>
        </w:tc>
        <w:tc>
          <w:tcPr>
            <w:tcW w:w="1061" w:type="dxa"/>
            <w:shd w:val="clear" w:color="auto" w:fill="E7EEE5"/>
          </w:tcPr>
          <w:p w:rsidR="00DB5257" w:rsidRPr="006F5B0F" w:rsidRDefault="00AD2E14" w:rsidP="00DB5257">
            <w:pPr>
              <w:jc w:val="left"/>
              <w:rPr>
                <w:rFonts w:eastAsia="Calibri" w:cs="Arial"/>
                <w:color w:val="373737"/>
                <w:sz w:val="16"/>
                <w:szCs w:val="16"/>
              </w:rPr>
            </w:pPr>
            <w:r>
              <w:rPr>
                <w:color w:val="373737"/>
                <w:sz w:val="16"/>
              </w:rPr>
              <w:t>Kv 1 2019</w:t>
            </w:r>
          </w:p>
        </w:tc>
        <w:tc>
          <w:tcPr>
            <w:tcW w:w="622" w:type="dxa"/>
            <w:shd w:val="clear" w:color="auto" w:fill="auto"/>
          </w:tcPr>
          <w:p w:rsidR="00DB5257" w:rsidRPr="006F5B0F" w:rsidRDefault="00DB5257" w:rsidP="00DB5257">
            <w:pPr>
              <w:rPr>
                <w:rFonts w:eastAsia="Calibri" w:cs="Arial"/>
                <w:color w:val="373737"/>
                <w:sz w:val="16"/>
                <w:szCs w:val="16"/>
              </w:rPr>
            </w:pPr>
          </w:p>
        </w:tc>
        <w:tc>
          <w:tcPr>
            <w:tcW w:w="549" w:type="dxa"/>
            <w:shd w:val="clear" w:color="auto" w:fill="auto"/>
          </w:tcPr>
          <w:p w:rsidR="00DB5257" w:rsidRPr="006F5B0F" w:rsidRDefault="00DB5257" w:rsidP="00DB5257">
            <w:pPr>
              <w:rPr>
                <w:rFonts w:eastAsia="Calibri" w:cs="Arial"/>
                <w:color w:val="373737"/>
                <w:sz w:val="16"/>
                <w:szCs w:val="16"/>
              </w:rPr>
            </w:pPr>
          </w:p>
        </w:tc>
        <w:tc>
          <w:tcPr>
            <w:tcW w:w="549" w:type="dxa"/>
            <w:shd w:val="clear" w:color="auto" w:fill="auto"/>
          </w:tcPr>
          <w:p w:rsidR="00DB5257" w:rsidRPr="006F5B0F" w:rsidRDefault="00DB5257" w:rsidP="00DB5257">
            <w:pPr>
              <w:rPr>
                <w:rFonts w:eastAsia="Calibri" w:cs="Arial"/>
                <w:color w:val="373737"/>
                <w:sz w:val="16"/>
                <w:szCs w:val="16"/>
              </w:rPr>
            </w:pPr>
          </w:p>
        </w:tc>
        <w:tc>
          <w:tcPr>
            <w:tcW w:w="550" w:type="dxa"/>
            <w:shd w:val="clear" w:color="auto" w:fill="D0DDCC"/>
          </w:tcPr>
          <w:p w:rsidR="00DB5257" w:rsidRPr="006F5B0F" w:rsidRDefault="00AD2E14" w:rsidP="00DB5257">
            <w:pPr>
              <w:rPr>
                <w:rFonts w:eastAsia="Calibri" w:cs="Arial"/>
                <w:color w:val="373737"/>
                <w:sz w:val="16"/>
                <w:szCs w:val="16"/>
              </w:rPr>
            </w:pPr>
            <w:r>
              <w:rPr>
                <w:color w:val="373737"/>
                <w:sz w:val="16"/>
              </w:rPr>
              <w:t>y</w:t>
            </w:r>
          </w:p>
        </w:tc>
        <w:tc>
          <w:tcPr>
            <w:tcW w:w="593" w:type="dxa"/>
            <w:shd w:val="clear" w:color="auto" w:fill="auto"/>
          </w:tcPr>
          <w:p w:rsidR="00DB5257" w:rsidRPr="006F5B0F" w:rsidRDefault="00DB5257" w:rsidP="00DB5257">
            <w:pPr>
              <w:rPr>
                <w:rFonts w:eastAsia="Calibri" w:cs="Arial"/>
                <w:color w:val="373737"/>
                <w:sz w:val="16"/>
                <w:szCs w:val="16"/>
              </w:rPr>
            </w:pPr>
          </w:p>
        </w:tc>
        <w:tc>
          <w:tcPr>
            <w:tcW w:w="505" w:type="dxa"/>
            <w:shd w:val="clear" w:color="auto" w:fill="95B89B"/>
          </w:tcPr>
          <w:p w:rsidR="00DB5257" w:rsidRPr="006F5B0F" w:rsidRDefault="00AD2E14" w:rsidP="00DB5257">
            <w:pPr>
              <w:rPr>
                <w:rFonts w:eastAsia="Calibri" w:cs="Arial"/>
                <w:color w:val="373737"/>
                <w:sz w:val="16"/>
                <w:szCs w:val="16"/>
              </w:rPr>
            </w:pPr>
            <w:r>
              <w:rPr>
                <w:color w:val="373737"/>
                <w:sz w:val="16"/>
              </w:rPr>
              <w:t>x</w:t>
            </w:r>
          </w:p>
        </w:tc>
        <w:tc>
          <w:tcPr>
            <w:tcW w:w="549" w:type="dxa"/>
            <w:shd w:val="clear" w:color="auto" w:fill="auto"/>
          </w:tcPr>
          <w:p w:rsidR="00DB5257" w:rsidRPr="006F5B0F" w:rsidRDefault="00DB5257" w:rsidP="00DB5257">
            <w:pPr>
              <w:rPr>
                <w:rFonts w:eastAsia="Calibri" w:cs="Arial"/>
                <w:color w:val="373737"/>
                <w:sz w:val="16"/>
                <w:szCs w:val="16"/>
              </w:rPr>
            </w:pPr>
          </w:p>
        </w:tc>
        <w:tc>
          <w:tcPr>
            <w:tcW w:w="550" w:type="dxa"/>
            <w:tcBorders>
              <w:right w:val="single" w:sz="4" w:space="0" w:color="6E8967"/>
            </w:tcBorders>
            <w:shd w:val="clear" w:color="auto" w:fill="auto"/>
          </w:tcPr>
          <w:p w:rsidR="00DB5257" w:rsidRPr="006F5B0F" w:rsidRDefault="00DB5257" w:rsidP="00DB5257">
            <w:pPr>
              <w:rPr>
                <w:rFonts w:eastAsia="Calibri" w:cs="Arial"/>
                <w:color w:val="373737"/>
                <w:sz w:val="16"/>
                <w:szCs w:val="16"/>
              </w:rPr>
            </w:pPr>
          </w:p>
        </w:tc>
      </w:tr>
      <w:tr w:rsidR="00DB5257" w:rsidRPr="001C6ACF" w:rsidTr="00DB5257">
        <w:trPr>
          <w:jc w:val="center"/>
        </w:trPr>
        <w:tc>
          <w:tcPr>
            <w:tcW w:w="562" w:type="dxa"/>
            <w:vMerge/>
            <w:tcBorders>
              <w:left w:val="single" w:sz="4" w:space="0" w:color="6E8967"/>
            </w:tcBorders>
            <w:shd w:val="clear" w:color="auto" w:fill="8BAB80"/>
            <w:textDirection w:val="btLr"/>
          </w:tcPr>
          <w:p w:rsidR="00DB5257" w:rsidRPr="006F5B0F" w:rsidRDefault="00DB5257" w:rsidP="00DB5257">
            <w:pPr>
              <w:spacing w:line="280" w:lineRule="atLeast"/>
              <w:ind w:left="113" w:right="113"/>
              <w:jc w:val="right"/>
              <w:rPr>
                <w:rFonts w:eastAsia="Calibri" w:cs="Arial"/>
                <w:b/>
                <w:bCs/>
                <w:i/>
                <w:color w:val="FFFFFF"/>
                <w:sz w:val="16"/>
                <w:szCs w:val="16"/>
              </w:rPr>
            </w:pPr>
          </w:p>
        </w:tc>
        <w:tc>
          <w:tcPr>
            <w:tcW w:w="3402" w:type="dxa"/>
            <w:shd w:val="clear" w:color="auto" w:fill="D0DDCC"/>
          </w:tcPr>
          <w:p w:rsidR="00DB5257" w:rsidRPr="006F5B0F" w:rsidRDefault="00AD2E14" w:rsidP="00DB5257">
            <w:pPr>
              <w:rPr>
                <w:rFonts w:eastAsia="Calibri" w:cs="Arial"/>
                <w:color w:val="373737"/>
                <w:sz w:val="16"/>
                <w:szCs w:val="16"/>
              </w:rPr>
            </w:pPr>
            <w:r>
              <w:rPr>
                <w:color w:val="373737"/>
                <w:sz w:val="16"/>
              </w:rPr>
              <w:t xml:space="preserve">Säkerställa analysens kvalitet. </w:t>
            </w:r>
          </w:p>
        </w:tc>
        <w:tc>
          <w:tcPr>
            <w:tcW w:w="1061" w:type="dxa"/>
            <w:shd w:val="clear" w:color="auto" w:fill="D0DDCC"/>
          </w:tcPr>
          <w:p w:rsidR="00DB5257" w:rsidRPr="006F5B0F" w:rsidRDefault="00AD2E14" w:rsidP="00DB5257">
            <w:pPr>
              <w:jc w:val="left"/>
              <w:rPr>
                <w:rFonts w:eastAsia="Calibri" w:cs="Arial"/>
                <w:color w:val="373737"/>
                <w:sz w:val="16"/>
                <w:szCs w:val="16"/>
              </w:rPr>
            </w:pPr>
            <w:r>
              <w:rPr>
                <w:color w:val="373737"/>
                <w:sz w:val="16"/>
              </w:rPr>
              <w:t>Kv 1 2019</w:t>
            </w:r>
          </w:p>
        </w:tc>
        <w:tc>
          <w:tcPr>
            <w:tcW w:w="622" w:type="dxa"/>
            <w:shd w:val="clear" w:color="auto" w:fill="D0DDCC"/>
          </w:tcPr>
          <w:p w:rsidR="00DB5257" w:rsidRPr="006F5B0F" w:rsidRDefault="00AD2E14" w:rsidP="00DB5257">
            <w:pPr>
              <w:rPr>
                <w:rFonts w:eastAsia="Calibri" w:cs="Arial"/>
                <w:color w:val="373737"/>
                <w:sz w:val="16"/>
                <w:szCs w:val="16"/>
              </w:rPr>
            </w:pPr>
            <w:r>
              <w:rPr>
                <w:color w:val="373737"/>
                <w:sz w:val="16"/>
              </w:rPr>
              <w:t>y</w:t>
            </w:r>
          </w:p>
        </w:tc>
        <w:tc>
          <w:tcPr>
            <w:tcW w:w="549" w:type="dxa"/>
            <w:shd w:val="clear" w:color="auto" w:fill="auto"/>
          </w:tcPr>
          <w:p w:rsidR="00DB5257" w:rsidRPr="006F5B0F" w:rsidRDefault="00DB5257" w:rsidP="00DB5257">
            <w:pPr>
              <w:rPr>
                <w:rFonts w:eastAsia="Calibri" w:cs="Arial"/>
                <w:color w:val="373737"/>
                <w:sz w:val="16"/>
                <w:szCs w:val="16"/>
              </w:rPr>
            </w:pPr>
          </w:p>
        </w:tc>
        <w:tc>
          <w:tcPr>
            <w:tcW w:w="549" w:type="dxa"/>
            <w:shd w:val="clear" w:color="auto" w:fill="auto"/>
          </w:tcPr>
          <w:p w:rsidR="00DB5257" w:rsidRPr="006F5B0F" w:rsidRDefault="00DB5257" w:rsidP="00DB5257">
            <w:pPr>
              <w:rPr>
                <w:rFonts w:eastAsia="Calibri" w:cs="Arial"/>
                <w:color w:val="373737"/>
                <w:sz w:val="16"/>
                <w:szCs w:val="16"/>
              </w:rPr>
            </w:pPr>
          </w:p>
        </w:tc>
        <w:tc>
          <w:tcPr>
            <w:tcW w:w="550" w:type="dxa"/>
            <w:shd w:val="clear" w:color="auto" w:fill="95B89B"/>
          </w:tcPr>
          <w:p w:rsidR="00DB5257" w:rsidRPr="006F5B0F" w:rsidRDefault="00AD2E14" w:rsidP="00DB5257">
            <w:pPr>
              <w:rPr>
                <w:rFonts w:eastAsia="Calibri" w:cs="Arial"/>
                <w:color w:val="373737"/>
                <w:sz w:val="16"/>
                <w:szCs w:val="16"/>
              </w:rPr>
            </w:pPr>
            <w:r>
              <w:rPr>
                <w:color w:val="373737"/>
                <w:sz w:val="16"/>
              </w:rPr>
              <w:t>x</w:t>
            </w:r>
          </w:p>
        </w:tc>
        <w:tc>
          <w:tcPr>
            <w:tcW w:w="593" w:type="dxa"/>
            <w:shd w:val="clear" w:color="auto" w:fill="D0DDCC"/>
          </w:tcPr>
          <w:p w:rsidR="00DB5257" w:rsidRPr="006F5B0F" w:rsidRDefault="00AD2E14" w:rsidP="00DB5257">
            <w:pPr>
              <w:rPr>
                <w:rFonts w:eastAsia="Calibri" w:cs="Arial"/>
                <w:color w:val="373737"/>
                <w:sz w:val="16"/>
                <w:szCs w:val="16"/>
              </w:rPr>
            </w:pPr>
            <w:r>
              <w:rPr>
                <w:color w:val="373737"/>
                <w:sz w:val="16"/>
              </w:rPr>
              <w:t>y</w:t>
            </w:r>
          </w:p>
        </w:tc>
        <w:tc>
          <w:tcPr>
            <w:tcW w:w="505" w:type="dxa"/>
            <w:shd w:val="clear" w:color="auto" w:fill="95B89B"/>
          </w:tcPr>
          <w:p w:rsidR="00DB5257" w:rsidRPr="006F5B0F" w:rsidRDefault="00AD2E14" w:rsidP="00DB5257">
            <w:pPr>
              <w:rPr>
                <w:rFonts w:eastAsia="Calibri" w:cs="Arial"/>
                <w:color w:val="373737"/>
                <w:sz w:val="16"/>
                <w:szCs w:val="16"/>
              </w:rPr>
            </w:pPr>
            <w:r>
              <w:rPr>
                <w:color w:val="373737"/>
                <w:sz w:val="16"/>
              </w:rPr>
              <w:t>x</w:t>
            </w:r>
          </w:p>
        </w:tc>
        <w:tc>
          <w:tcPr>
            <w:tcW w:w="549" w:type="dxa"/>
            <w:shd w:val="clear" w:color="auto" w:fill="auto"/>
          </w:tcPr>
          <w:p w:rsidR="00DB5257" w:rsidRPr="006F5B0F" w:rsidRDefault="00DB5257" w:rsidP="00DB5257">
            <w:pPr>
              <w:rPr>
                <w:rFonts w:eastAsia="Calibri" w:cs="Arial"/>
                <w:color w:val="373737"/>
                <w:sz w:val="16"/>
                <w:szCs w:val="16"/>
              </w:rPr>
            </w:pPr>
          </w:p>
        </w:tc>
        <w:tc>
          <w:tcPr>
            <w:tcW w:w="550" w:type="dxa"/>
            <w:tcBorders>
              <w:right w:val="single" w:sz="4" w:space="0" w:color="6E8967"/>
            </w:tcBorders>
            <w:shd w:val="clear" w:color="auto" w:fill="auto"/>
          </w:tcPr>
          <w:p w:rsidR="00DB5257" w:rsidRPr="006F5B0F" w:rsidRDefault="00DB5257" w:rsidP="00DB5257">
            <w:pPr>
              <w:rPr>
                <w:rFonts w:eastAsia="Calibri" w:cs="Arial"/>
                <w:color w:val="373737"/>
                <w:sz w:val="16"/>
                <w:szCs w:val="16"/>
              </w:rPr>
            </w:pPr>
          </w:p>
        </w:tc>
      </w:tr>
      <w:tr w:rsidR="00DB5257" w:rsidRPr="001C6ACF" w:rsidTr="00DB5257">
        <w:trPr>
          <w:jc w:val="center"/>
        </w:trPr>
        <w:tc>
          <w:tcPr>
            <w:tcW w:w="562" w:type="dxa"/>
            <w:vMerge w:val="restart"/>
            <w:tcBorders>
              <w:left w:val="single" w:sz="4" w:space="0" w:color="6E8967"/>
            </w:tcBorders>
            <w:shd w:val="clear" w:color="auto" w:fill="8BAB80"/>
            <w:textDirection w:val="btLr"/>
          </w:tcPr>
          <w:p w:rsidR="00DB5257" w:rsidRPr="006F5B0F" w:rsidRDefault="00AD2E14" w:rsidP="00DB5257">
            <w:pPr>
              <w:spacing w:line="280" w:lineRule="atLeast"/>
              <w:ind w:left="113" w:right="113"/>
              <w:jc w:val="right"/>
              <w:rPr>
                <w:rFonts w:eastAsia="Calibri" w:cs="Arial"/>
                <w:b/>
                <w:bCs/>
                <w:i/>
                <w:color w:val="FFFFFF"/>
                <w:sz w:val="16"/>
                <w:szCs w:val="16"/>
              </w:rPr>
            </w:pPr>
            <w:r>
              <w:rPr>
                <w:b/>
                <w:i/>
                <w:color w:val="FFFFFF"/>
                <w:sz w:val="16"/>
              </w:rPr>
              <w:t>Bedömning</w:t>
            </w:r>
          </w:p>
        </w:tc>
        <w:tc>
          <w:tcPr>
            <w:tcW w:w="3402" w:type="dxa"/>
            <w:shd w:val="clear" w:color="auto" w:fill="E7EEE5"/>
          </w:tcPr>
          <w:p w:rsidR="00DB5257" w:rsidRPr="006F5B0F" w:rsidRDefault="00AD2E14" w:rsidP="00DB5257">
            <w:pPr>
              <w:rPr>
                <w:rFonts w:eastAsia="Calibri" w:cs="Arial"/>
                <w:color w:val="373737"/>
                <w:sz w:val="16"/>
                <w:szCs w:val="16"/>
              </w:rPr>
            </w:pPr>
            <w:r>
              <w:rPr>
                <w:color w:val="373737"/>
                <w:sz w:val="16"/>
              </w:rPr>
              <w:t xml:space="preserve">Tolka utvärderingsresultat från analysen, </w:t>
            </w:r>
            <w:r>
              <w:rPr>
                <w:color w:val="373737"/>
                <w:sz w:val="16"/>
              </w:rPr>
              <w:lastRenderedPageBreak/>
              <w:t xml:space="preserve">utveckla bedömningar mot bakgrund av bedömningskriterier och besvara utvärderingsfrågorna. </w:t>
            </w:r>
          </w:p>
        </w:tc>
        <w:tc>
          <w:tcPr>
            <w:tcW w:w="1061" w:type="dxa"/>
            <w:shd w:val="clear" w:color="auto" w:fill="E7EEE5"/>
          </w:tcPr>
          <w:p w:rsidR="00DB5257" w:rsidRPr="006F5B0F" w:rsidRDefault="00AD2E14" w:rsidP="00DB5257">
            <w:pPr>
              <w:jc w:val="left"/>
              <w:rPr>
                <w:rFonts w:eastAsia="Calibri" w:cs="Arial"/>
                <w:color w:val="373737"/>
                <w:sz w:val="16"/>
                <w:szCs w:val="16"/>
              </w:rPr>
            </w:pPr>
            <w:r>
              <w:rPr>
                <w:color w:val="373737"/>
                <w:sz w:val="16"/>
              </w:rPr>
              <w:lastRenderedPageBreak/>
              <w:t>Kv 1 2019</w:t>
            </w:r>
          </w:p>
        </w:tc>
        <w:tc>
          <w:tcPr>
            <w:tcW w:w="622" w:type="dxa"/>
            <w:shd w:val="clear" w:color="auto" w:fill="auto"/>
          </w:tcPr>
          <w:p w:rsidR="00DB5257" w:rsidRPr="006F5B0F" w:rsidRDefault="00DB5257" w:rsidP="00DB5257">
            <w:pPr>
              <w:rPr>
                <w:rFonts w:eastAsia="Calibri" w:cs="Arial"/>
                <w:color w:val="373737"/>
                <w:sz w:val="16"/>
                <w:szCs w:val="16"/>
              </w:rPr>
            </w:pPr>
          </w:p>
        </w:tc>
        <w:tc>
          <w:tcPr>
            <w:tcW w:w="549" w:type="dxa"/>
            <w:shd w:val="clear" w:color="auto" w:fill="auto"/>
          </w:tcPr>
          <w:p w:rsidR="00DB5257" w:rsidRPr="006F5B0F" w:rsidRDefault="00DB5257" w:rsidP="00DB5257">
            <w:pPr>
              <w:rPr>
                <w:rFonts w:eastAsia="Calibri" w:cs="Arial"/>
                <w:color w:val="373737"/>
                <w:sz w:val="16"/>
                <w:szCs w:val="16"/>
              </w:rPr>
            </w:pPr>
          </w:p>
        </w:tc>
        <w:tc>
          <w:tcPr>
            <w:tcW w:w="549" w:type="dxa"/>
            <w:shd w:val="clear" w:color="auto" w:fill="auto"/>
          </w:tcPr>
          <w:p w:rsidR="00DB5257" w:rsidRPr="006F5B0F" w:rsidRDefault="00DB5257" w:rsidP="00DB5257">
            <w:pPr>
              <w:rPr>
                <w:rFonts w:eastAsia="Calibri" w:cs="Arial"/>
                <w:color w:val="373737"/>
                <w:sz w:val="16"/>
                <w:szCs w:val="16"/>
              </w:rPr>
            </w:pPr>
          </w:p>
        </w:tc>
        <w:tc>
          <w:tcPr>
            <w:tcW w:w="550" w:type="dxa"/>
            <w:shd w:val="clear" w:color="auto" w:fill="D0DDCC"/>
          </w:tcPr>
          <w:p w:rsidR="00DB5257" w:rsidRPr="006F5B0F" w:rsidRDefault="00AD2E14" w:rsidP="00DB5257">
            <w:pPr>
              <w:rPr>
                <w:rFonts w:eastAsia="Calibri" w:cs="Arial"/>
                <w:color w:val="373737"/>
                <w:sz w:val="16"/>
                <w:szCs w:val="16"/>
              </w:rPr>
            </w:pPr>
            <w:r>
              <w:rPr>
                <w:color w:val="373737"/>
                <w:sz w:val="16"/>
              </w:rPr>
              <w:t>y</w:t>
            </w:r>
          </w:p>
        </w:tc>
        <w:tc>
          <w:tcPr>
            <w:tcW w:w="593" w:type="dxa"/>
            <w:shd w:val="clear" w:color="auto" w:fill="auto"/>
          </w:tcPr>
          <w:p w:rsidR="00DB5257" w:rsidRPr="006F5B0F" w:rsidRDefault="00DB5257" w:rsidP="00DB5257">
            <w:pPr>
              <w:rPr>
                <w:rFonts w:eastAsia="Calibri" w:cs="Arial"/>
                <w:color w:val="373737"/>
                <w:sz w:val="16"/>
                <w:szCs w:val="16"/>
              </w:rPr>
            </w:pPr>
          </w:p>
        </w:tc>
        <w:tc>
          <w:tcPr>
            <w:tcW w:w="505" w:type="dxa"/>
            <w:shd w:val="clear" w:color="auto" w:fill="95B89B"/>
          </w:tcPr>
          <w:p w:rsidR="00DB5257" w:rsidRPr="006F5B0F" w:rsidRDefault="00AD2E14" w:rsidP="00DB5257">
            <w:pPr>
              <w:rPr>
                <w:rFonts w:eastAsia="Calibri" w:cs="Arial"/>
                <w:color w:val="373737"/>
                <w:sz w:val="16"/>
                <w:szCs w:val="16"/>
              </w:rPr>
            </w:pPr>
            <w:r>
              <w:rPr>
                <w:color w:val="373737"/>
                <w:sz w:val="16"/>
              </w:rPr>
              <w:t>x</w:t>
            </w:r>
          </w:p>
        </w:tc>
        <w:tc>
          <w:tcPr>
            <w:tcW w:w="549" w:type="dxa"/>
            <w:shd w:val="clear" w:color="auto" w:fill="auto"/>
          </w:tcPr>
          <w:p w:rsidR="00DB5257" w:rsidRPr="006F5B0F" w:rsidRDefault="00DB5257" w:rsidP="00DB5257">
            <w:pPr>
              <w:rPr>
                <w:rFonts w:eastAsia="Calibri" w:cs="Arial"/>
                <w:color w:val="373737"/>
                <w:sz w:val="16"/>
                <w:szCs w:val="16"/>
              </w:rPr>
            </w:pPr>
          </w:p>
        </w:tc>
        <w:tc>
          <w:tcPr>
            <w:tcW w:w="550" w:type="dxa"/>
            <w:tcBorders>
              <w:right w:val="single" w:sz="4" w:space="0" w:color="6E8967"/>
            </w:tcBorders>
            <w:shd w:val="clear" w:color="auto" w:fill="auto"/>
          </w:tcPr>
          <w:p w:rsidR="00DB5257" w:rsidRPr="006F5B0F" w:rsidRDefault="00DB5257" w:rsidP="00DB5257">
            <w:pPr>
              <w:rPr>
                <w:rFonts w:eastAsia="Calibri" w:cs="Arial"/>
                <w:color w:val="373737"/>
                <w:sz w:val="16"/>
                <w:szCs w:val="16"/>
              </w:rPr>
            </w:pPr>
          </w:p>
        </w:tc>
      </w:tr>
      <w:tr w:rsidR="00DB5257" w:rsidRPr="001C6ACF" w:rsidTr="00DB5257">
        <w:trPr>
          <w:jc w:val="center"/>
        </w:trPr>
        <w:tc>
          <w:tcPr>
            <w:tcW w:w="562" w:type="dxa"/>
            <w:vMerge/>
            <w:tcBorders>
              <w:left w:val="single" w:sz="4" w:space="0" w:color="6E8967"/>
            </w:tcBorders>
            <w:shd w:val="clear" w:color="auto" w:fill="8BAB80"/>
            <w:textDirection w:val="btLr"/>
          </w:tcPr>
          <w:p w:rsidR="00DB5257" w:rsidRPr="006F5B0F" w:rsidRDefault="00DB5257" w:rsidP="00DB5257">
            <w:pPr>
              <w:spacing w:line="280" w:lineRule="atLeast"/>
              <w:ind w:left="113" w:right="113"/>
              <w:jc w:val="right"/>
              <w:rPr>
                <w:rFonts w:eastAsia="Calibri" w:cs="Arial"/>
                <w:b/>
                <w:bCs/>
                <w:i/>
                <w:color w:val="FFFFFF"/>
                <w:sz w:val="16"/>
                <w:szCs w:val="16"/>
              </w:rPr>
            </w:pPr>
          </w:p>
        </w:tc>
        <w:tc>
          <w:tcPr>
            <w:tcW w:w="3402" w:type="dxa"/>
            <w:shd w:val="clear" w:color="auto" w:fill="D0DDCC"/>
          </w:tcPr>
          <w:p w:rsidR="00DB5257" w:rsidRPr="006F5B0F" w:rsidRDefault="00AD2E14" w:rsidP="00DB5257">
            <w:pPr>
              <w:rPr>
                <w:rFonts w:eastAsia="Calibri" w:cs="Arial"/>
                <w:color w:val="373737"/>
                <w:sz w:val="16"/>
                <w:szCs w:val="16"/>
              </w:rPr>
            </w:pPr>
            <w:r>
              <w:rPr>
                <w:color w:val="373737"/>
                <w:sz w:val="16"/>
              </w:rPr>
              <w:t>Formulera slutsatser kopplade till bedömningarna och formulera rekommendationer vid behov.</w:t>
            </w:r>
          </w:p>
        </w:tc>
        <w:tc>
          <w:tcPr>
            <w:tcW w:w="1061" w:type="dxa"/>
            <w:shd w:val="clear" w:color="auto" w:fill="D0DDCC"/>
          </w:tcPr>
          <w:p w:rsidR="00DB5257" w:rsidRPr="006F5B0F" w:rsidRDefault="00AD2E14" w:rsidP="00DB5257">
            <w:pPr>
              <w:jc w:val="left"/>
              <w:rPr>
                <w:rFonts w:eastAsia="Calibri" w:cs="Arial"/>
                <w:color w:val="373737"/>
                <w:sz w:val="16"/>
                <w:szCs w:val="16"/>
              </w:rPr>
            </w:pPr>
            <w:r>
              <w:rPr>
                <w:color w:val="373737"/>
                <w:sz w:val="16"/>
              </w:rPr>
              <w:t>Kv 1 och 2 2019</w:t>
            </w:r>
          </w:p>
        </w:tc>
        <w:tc>
          <w:tcPr>
            <w:tcW w:w="622" w:type="dxa"/>
            <w:shd w:val="clear" w:color="auto" w:fill="auto"/>
          </w:tcPr>
          <w:p w:rsidR="00DB5257" w:rsidRPr="006F5B0F" w:rsidRDefault="00DB5257" w:rsidP="00DB5257">
            <w:pPr>
              <w:rPr>
                <w:rFonts w:eastAsia="Calibri" w:cs="Arial"/>
                <w:color w:val="373737"/>
                <w:sz w:val="16"/>
                <w:szCs w:val="16"/>
              </w:rPr>
            </w:pPr>
          </w:p>
        </w:tc>
        <w:tc>
          <w:tcPr>
            <w:tcW w:w="549" w:type="dxa"/>
            <w:shd w:val="clear" w:color="auto" w:fill="auto"/>
          </w:tcPr>
          <w:p w:rsidR="00DB5257" w:rsidRPr="006F5B0F" w:rsidRDefault="00DB5257" w:rsidP="00DB5257">
            <w:pPr>
              <w:rPr>
                <w:rFonts w:eastAsia="Calibri" w:cs="Arial"/>
                <w:color w:val="373737"/>
                <w:sz w:val="16"/>
                <w:szCs w:val="16"/>
              </w:rPr>
            </w:pPr>
          </w:p>
        </w:tc>
        <w:tc>
          <w:tcPr>
            <w:tcW w:w="549" w:type="dxa"/>
            <w:shd w:val="clear" w:color="auto" w:fill="auto"/>
          </w:tcPr>
          <w:p w:rsidR="00DB5257" w:rsidRPr="006F5B0F" w:rsidRDefault="00DB5257" w:rsidP="00DB5257">
            <w:pPr>
              <w:rPr>
                <w:rFonts w:eastAsia="Calibri" w:cs="Arial"/>
                <w:color w:val="373737"/>
                <w:sz w:val="16"/>
                <w:szCs w:val="16"/>
              </w:rPr>
            </w:pPr>
          </w:p>
        </w:tc>
        <w:tc>
          <w:tcPr>
            <w:tcW w:w="550" w:type="dxa"/>
            <w:shd w:val="clear" w:color="auto" w:fill="D0DDCC"/>
          </w:tcPr>
          <w:p w:rsidR="00DB5257" w:rsidRPr="006F5B0F" w:rsidRDefault="00AD2E14" w:rsidP="00DB5257">
            <w:pPr>
              <w:rPr>
                <w:rFonts w:eastAsia="Calibri" w:cs="Arial"/>
                <w:color w:val="373737"/>
                <w:sz w:val="16"/>
                <w:szCs w:val="16"/>
              </w:rPr>
            </w:pPr>
            <w:r>
              <w:rPr>
                <w:color w:val="373737"/>
                <w:sz w:val="16"/>
              </w:rPr>
              <w:t>y</w:t>
            </w:r>
          </w:p>
        </w:tc>
        <w:tc>
          <w:tcPr>
            <w:tcW w:w="593" w:type="dxa"/>
            <w:shd w:val="clear" w:color="auto" w:fill="auto"/>
          </w:tcPr>
          <w:p w:rsidR="00DB5257" w:rsidRPr="006F5B0F" w:rsidRDefault="00DB5257" w:rsidP="00DB5257">
            <w:pPr>
              <w:rPr>
                <w:rFonts w:eastAsia="Calibri" w:cs="Arial"/>
                <w:color w:val="373737"/>
                <w:sz w:val="16"/>
                <w:szCs w:val="16"/>
              </w:rPr>
            </w:pPr>
          </w:p>
        </w:tc>
        <w:tc>
          <w:tcPr>
            <w:tcW w:w="505" w:type="dxa"/>
            <w:shd w:val="clear" w:color="auto" w:fill="95B89B"/>
          </w:tcPr>
          <w:p w:rsidR="00DB5257" w:rsidRPr="006F5B0F" w:rsidRDefault="00AD2E14" w:rsidP="00DB5257">
            <w:pPr>
              <w:rPr>
                <w:rFonts w:eastAsia="Calibri" w:cs="Arial"/>
                <w:color w:val="373737"/>
                <w:sz w:val="16"/>
                <w:szCs w:val="16"/>
              </w:rPr>
            </w:pPr>
            <w:r>
              <w:rPr>
                <w:color w:val="373737"/>
                <w:sz w:val="16"/>
              </w:rPr>
              <w:t>x</w:t>
            </w:r>
          </w:p>
        </w:tc>
        <w:tc>
          <w:tcPr>
            <w:tcW w:w="549" w:type="dxa"/>
            <w:shd w:val="clear" w:color="auto" w:fill="auto"/>
          </w:tcPr>
          <w:p w:rsidR="00DB5257" w:rsidRPr="006F5B0F" w:rsidRDefault="00DB5257" w:rsidP="00DB5257">
            <w:pPr>
              <w:rPr>
                <w:rFonts w:eastAsia="Calibri" w:cs="Arial"/>
                <w:color w:val="373737"/>
                <w:sz w:val="16"/>
                <w:szCs w:val="16"/>
              </w:rPr>
            </w:pPr>
          </w:p>
        </w:tc>
        <w:tc>
          <w:tcPr>
            <w:tcW w:w="550" w:type="dxa"/>
            <w:tcBorders>
              <w:right w:val="single" w:sz="4" w:space="0" w:color="6E8967"/>
            </w:tcBorders>
            <w:shd w:val="clear" w:color="auto" w:fill="auto"/>
          </w:tcPr>
          <w:p w:rsidR="00DB5257" w:rsidRPr="006F5B0F" w:rsidRDefault="00DB5257" w:rsidP="00DB5257">
            <w:pPr>
              <w:rPr>
                <w:rFonts w:eastAsia="Calibri" w:cs="Arial"/>
                <w:color w:val="373737"/>
                <w:sz w:val="16"/>
                <w:szCs w:val="16"/>
              </w:rPr>
            </w:pPr>
          </w:p>
        </w:tc>
      </w:tr>
      <w:tr w:rsidR="00DB5257" w:rsidRPr="001C6ACF" w:rsidTr="00DB5257">
        <w:trPr>
          <w:jc w:val="center"/>
        </w:trPr>
        <w:tc>
          <w:tcPr>
            <w:tcW w:w="562" w:type="dxa"/>
            <w:vMerge/>
            <w:tcBorders>
              <w:left w:val="single" w:sz="4" w:space="0" w:color="6E8967"/>
            </w:tcBorders>
            <w:shd w:val="clear" w:color="auto" w:fill="8BAB80"/>
            <w:textDirection w:val="btLr"/>
          </w:tcPr>
          <w:p w:rsidR="00DB5257" w:rsidRPr="006F5B0F" w:rsidRDefault="00DB5257" w:rsidP="00DB5257">
            <w:pPr>
              <w:spacing w:line="280" w:lineRule="atLeast"/>
              <w:ind w:left="113" w:right="113"/>
              <w:jc w:val="right"/>
              <w:rPr>
                <w:rFonts w:eastAsia="Calibri" w:cs="Arial"/>
                <w:b/>
                <w:bCs/>
                <w:i/>
                <w:color w:val="FFFFFF"/>
                <w:sz w:val="16"/>
                <w:szCs w:val="16"/>
              </w:rPr>
            </w:pPr>
          </w:p>
        </w:tc>
        <w:tc>
          <w:tcPr>
            <w:tcW w:w="3402" w:type="dxa"/>
            <w:shd w:val="clear" w:color="auto" w:fill="E7EEE5"/>
          </w:tcPr>
          <w:p w:rsidR="00DB5257" w:rsidRPr="006F5B0F" w:rsidRDefault="00AD2E14" w:rsidP="00DB5257">
            <w:pPr>
              <w:rPr>
                <w:rFonts w:eastAsia="Calibri" w:cs="Arial"/>
                <w:color w:val="373737"/>
                <w:sz w:val="16"/>
                <w:szCs w:val="16"/>
              </w:rPr>
            </w:pPr>
            <w:r>
              <w:rPr>
                <w:color w:val="373737"/>
                <w:sz w:val="16"/>
              </w:rPr>
              <w:t xml:space="preserve">Säkerställa bedömningarnas kvalitet. </w:t>
            </w:r>
          </w:p>
        </w:tc>
        <w:tc>
          <w:tcPr>
            <w:tcW w:w="1061" w:type="dxa"/>
            <w:shd w:val="clear" w:color="auto" w:fill="E7EEE5"/>
          </w:tcPr>
          <w:p w:rsidR="00DB5257" w:rsidRPr="006F5B0F" w:rsidRDefault="00AD2E14" w:rsidP="00DB5257">
            <w:pPr>
              <w:jc w:val="left"/>
              <w:rPr>
                <w:rFonts w:eastAsia="Calibri" w:cs="Arial"/>
                <w:color w:val="373737"/>
                <w:sz w:val="16"/>
                <w:szCs w:val="16"/>
              </w:rPr>
            </w:pPr>
            <w:r>
              <w:rPr>
                <w:color w:val="373737"/>
                <w:sz w:val="16"/>
              </w:rPr>
              <w:t>Kv 1 och 2 2019</w:t>
            </w:r>
          </w:p>
        </w:tc>
        <w:tc>
          <w:tcPr>
            <w:tcW w:w="622" w:type="dxa"/>
            <w:shd w:val="clear" w:color="auto" w:fill="D0DDCC"/>
          </w:tcPr>
          <w:p w:rsidR="00DB5257" w:rsidRPr="006F5B0F" w:rsidRDefault="00AD2E14" w:rsidP="00DB5257">
            <w:pPr>
              <w:rPr>
                <w:rFonts w:eastAsia="Calibri" w:cs="Arial"/>
                <w:color w:val="373737"/>
                <w:sz w:val="16"/>
                <w:szCs w:val="16"/>
              </w:rPr>
            </w:pPr>
            <w:r>
              <w:rPr>
                <w:color w:val="373737"/>
                <w:sz w:val="16"/>
              </w:rPr>
              <w:t>y</w:t>
            </w:r>
          </w:p>
        </w:tc>
        <w:tc>
          <w:tcPr>
            <w:tcW w:w="549" w:type="dxa"/>
            <w:shd w:val="clear" w:color="auto" w:fill="auto"/>
          </w:tcPr>
          <w:p w:rsidR="00DB5257" w:rsidRPr="006F5B0F" w:rsidRDefault="00DB5257" w:rsidP="00DB5257">
            <w:pPr>
              <w:rPr>
                <w:rFonts w:eastAsia="Calibri" w:cs="Arial"/>
                <w:color w:val="373737"/>
                <w:sz w:val="16"/>
                <w:szCs w:val="16"/>
              </w:rPr>
            </w:pPr>
          </w:p>
        </w:tc>
        <w:tc>
          <w:tcPr>
            <w:tcW w:w="549" w:type="dxa"/>
            <w:shd w:val="clear" w:color="auto" w:fill="auto"/>
          </w:tcPr>
          <w:p w:rsidR="00DB5257" w:rsidRPr="006F5B0F" w:rsidRDefault="00DB5257" w:rsidP="00DB5257">
            <w:pPr>
              <w:rPr>
                <w:rFonts w:eastAsia="Calibri" w:cs="Arial"/>
                <w:color w:val="373737"/>
                <w:sz w:val="16"/>
                <w:szCs w:val="16"/>
              </w:rPr>
            </w:pPr>
          </w:p>
        </w:tc>
        <w:tc>
          <w:tcPr>
            <w:tcW w:w="550" w:type="dxa"/>
            <w:shd w:val="clear" w:color="auto" w:fill="95B89B"/>
          </w:tcPr>
          <w:p w:rsidR="00DB5257" w:rsidRPr="006F5B0F" w:rsidRDefault="00AD2E14" w:rsidP="00DB5257">
            <w:pPr>
              <w:rPr>
                <w:rFonts w:eastAsia="Calibri" w:cs="Arial"/>
                <w:color w:val="373737"/>
                <w:sz w:val="16"/>
                <w:szCs w:val="16"/>
              </w:rPr>
            </w:pPr>
            <w:r>
              <w:rPr>
                <w:color w:val="373737"/>
                <w:sz w:val="16"/>
              </w:rPr>
              <w:t>x</w:t>
            </w:r>
          </w:p>
        </w:tc>
        <w:tc>
          <w:tcPr>
            <w:tcW w:w="593" w:type="dxa"/>
            <w:shd w:val="clear" w:color="auto" w:fill="D0DDCC"/>
          </w:tcPr>
          <w:p w:rsidR="00DB5257" w:rsidRPr="006F5B0F" w:rsidRDefault="00AD2E14" w:rsidP="00DB5257">
            <w:pPr>
              <w:rPr>
                <w:rFonts w:eastAsia="Calibri" w:cs="Arial"/>
                <w:color w:val="373737"/>
                <w:sz w:val="16"/>
                <w:szCs w:val="16"/>
              </w:rPr>
            </w:pPr>
            <w:r>
              <w:rPr>
                <w:color w:val="373737"/>
                <w:sz w:val="16"/>
              </w:rPr>
              <w:t>y</w:t>
            </w:r>
          </w:p>
        </w:tc>
        <w:tc>
          <w:tcPr>
            <w:tcW w:w="505" w:type="dxa"/>
            <w:shd w:val="clear" w:color="auto" w:fill="95B89B"/>
          </w:tcPr>
          <w:p w:rsidR="00DB5257" w:rsidRPr="006F5B0F" w:rsidRDefault="00AD2E14" w:rsidP="00DB5257">
            <w:pPr>
              <w:rPr>
                <w:rFonts w:eastAsia="Calibri" w:cs="Arial"/>
                <w:color w:val="373737"/>
                <w:sz w:val="16"/>
                <w:szCs w:val="16"/>
              </w:rPr>
            </w:pPr>
            <w:r>
              <w:rPr>
                <w:color w:val="373737"/>
                <w:sz w:val="16"/>
              </w:rPr>
              <w:t>x</w:t>
            </w:r>
          </w:p>
        </w:tc>
        <w:tc>
          <w:tcPr>
            <w:tcW w:w="549" w:type="dxa"/>
            <w:shd w:val="clear" w:color="auto" w:fill="auto"/>
          </w:tcPr>
          <w:p w:rsidR="00DB5257" w:rsidRPr="006F5B0F" w:rsidRDefault="00DB5257" w:rsidP="00DB5257">
            <w:pPr>
              <w:rPr>
                <w:rFonts w:eastAsia="Calibri" w:cs="Arial"/>
                <w:color w:val="373737"/>
                <w:sz w:val="16"/>
                <w:szCs w:val="16"/>
              </w:rPr>
            </w:pPr>
          </w:p>
        </w:tc>
        <w:tc>
          <w:tcPr>
            <w:tcW w:w="550" w:type="dxa"/>
            <w:tcBorders>
              <w:right w:val="single" w:sz="4" w:space="0" w:color="6E8967"/>
            </w:tcBorders>
            <w:shd w:val="clear" w:color="auto" w:fill="auto"/>
          </w:tcPr>
          <w:p w:rsidR="00DB5257" w:rsidRPr="006F5B0F" w:rsidRDefault="00DB5257" w:rsidP="00DB5257">
            <w:pPr>
              <w:rPr>
                <w:rFonts w:eastAsia="Calibri" w:cs="Arial"/>
                <w:color w:val="373737"/>
                <w:sz w:val="16"/>
                <w:szCs w:val="16"/>
              </w:rPr>
            </w:pPr>
          </w:p>
        </w:tc>
      </w:tr>
      <w:tr w:rsidR="00DB5257" w:rsidRPr="001C6ACF" w:rsidTr="00DB5257">
        <w:trPr>
          <w:jc w:val="center"/>
        </w:trPr>
        <w:tc>
          <w:tcPr>
            <w:tcW w:w="562" w:type="dxa"/>
            <w:vMerge w:val="restart"/>
            <w:tcBorders>
              <w:left w:val="single" w:sz="4" w:space="0" w:color="6E8967"/>
            </w:tcBorders>
            <w:shd w:val="clear" w:color="auto" w:fill="8BAB80"/>
            <w:textDirection w:val="btLr"/>
          </w:tcPr>
          <w:p w:rsidR="00DB5257" w:rsidRPr="006F5B0F" w:rsidRDefault="00AD2E14" w:rsidP="00DB5257">
            <w:pPr>
              <w:spacing w:line="280" w:lineRule="atLeast"/>
              <w:ind w:left="113" w:right="113"/>
              <w:jc w:val="right"/>
              <w:rPr>
                <w:rFonts w:eastAsia="Calibri" w:cs="Arial"/>
                <w:b/>
                <w:bCs/>
                <w:i/>
                <w:color w:val="FFFFFF"/>
                <w:sz w:val="16"/>
                <w:szCs w:val="16"/>
              </w:rPr>
            </w:pPr>
            <w:r>
              <w:rPr>
                <w:b/>
                <w:i/>
                <w:color w:val="FFFFFF"/>
                <w:sz w:val="16"/>
              </w:rPr>
              <w:t>Rapportering</w:t>
            </w:r>
          </w:p>
        </w:tc>
        <w:tc>
          <w:tcPr>
            <w:tcW w:w="3402" w:type="dxa"/>
            <w:shd w:val="clear" w:color="auto" w:fill="D0DDCC"/>
          </w:tcPr>
          <w:p w:rsidR="00DB5257" w:rsidRPr="006F5B0F" w:rsidRDefault="00AD2E14" w:rsidP="00DB5257">
            <w:pPr>
              <w:rPr>
                <w:rFonts w:eastAsia="Calibri" w:cs="Arial"/>
                <w:color w:val="373737"/>
                <w:sz w:val="16"/>
                <w:szCs w:val="16"/>
              </w:rPr>
            </w:pPr>
            <w:r>
              <w:rPr>
                <w:color w:val="373737"/>
                <w:sz w:val="16"/>
              </w:rPr>
              <w:t>Göra ett utkast till utvärderingsrapporten.</w:t>
            </w:r>
          </w:p>
        </w:tc>
        <w:tc>
          <w:tcPr>
            <w:tcW w:w="1061" w:type="dxa"/>
            <w:shd w:val="clear" w:color="auto" w:fill="D0DDCC"/>
          </w:tcPr>
          <w:p w:rsidR="00DB5257" w:rsidRPr="006F5B0F" w:rsidRDefault="00AD2E14" w:rsidP="00DB5257">
            <w:pPr>
              <w:jc w:val="left"/>
              <w:rPr>
                <w:rFonts w:eastAsia="Calibri" w:cs="Arial"/>
                <w:color w:val="373737"/>
                <w:sz w:val="16"/>
                <w:szCs w:val="16"/>
              </w:rPr>
            </w:pPr>
            <w:r>
              <w:rPr>
                <w:color w:val="373737"/>
                <w:sz w:val="16"/>
              </w:rPr>
              <w:t>Kv 2 2019</w:t>
            </w:r>
          </w:p>
        </w:tc>
        <w:tc>
          <w:tcPr>
            <w:tcW w:w="622" w:type="dxa"/>
            <w:shd w:val="clear" w:color="auto" w:fill="95B89B"/>
          </w:tcPr>
          <w:p w:rsidR="00DB5257" w:rsidRPr="006F5B0F" w:rsidRDefault="00AD2E14" w:rsidP="00DB5257">
            <w:pPr>
              <w:rPr>
                <w:rFonts w:eastAsia="Calibri" w:cs="Arial"/>
                <w:color w:val="373737"/>
                <w:sz w:val="16"/>
                <w:szCs w:val="16"/>
              </w:rPr>
            </w:pPr>
            <w:r>
              <w:rPr>
                <w:color w:val="373737"/>
                <w:sz w:val="16"/>
              </w:rPr>
              <w:t>x</w:t>
            </w:r>
          </w:p>
        </w:tc>
        <w:tc>
          <w:tcPr>
            <w:tcW w:w="549" w:type="dxa"/>
            <w:shd w:val="clear" w:color="auto" w:fill="D0DDCC"/>
          </w:tcPr>
          <w:p w:rsidR="00DB5257" w:rsidRPr="006F5B0F" w:rsidRDefault="00AD2E14" w:rsidP="00DB5257">
            <w:pPr>
              <w:rPr>
                <w:rFonts w:eastAsia="Calibri" w:cs="Arial"/>
                <w:color w:val="373737"/>
                <w:sz w:val="16"/>
                <w:szCs w:val="16"/>
              </w:rPr>
            </w:pPr>
            <w:r>
              <w:rPr>
                <w:color w:val="373737"/>
                <w:sz w:val="16"/>
              </w:rPr>
              <w:t>y</w:t>
            </w:r>
          </w:p>
        </w:tc>
        <w:tc>
          <w:tcPr>
            <w:tcW w:w="549" w:type="dxa"/>
            <w:shd w:val="clear" w:color="auto" w:fill="auto"/>
          </w:tcPr>
          <w:p w:rsidR="00DB5257" w:rsidRPr="006F5B0F" w:rsidRDefault="00DB5257" w:rsidP="00DB5257">
            <w:pPr>
              <w:rPr>
                <w:rFonts w:eastAsia="Calibri" w:cs="Arial"/>
                <w:color w:val="373737"/>
                <w:sz w:val="16"/>
                <w:szCs w:val="16"/>
              </w:rPr>
            </w:pPr>
          </w:p>
        </w:tc>
        <w:tc>
          <w:tcPr>
            <w:tcW w:w="550" w:type="dxa"/>
            <w:shd w:val="clear" w:color="auto" w:fill="95B89B"/>
          </w:tcPr>
          <w:p w:rsidR="00DB5257" w:rsidRPr="006F5B0F" w:rsidRDefault="00AD2E14" w:rsidP="00DB5257">
            <w:pPr>
              <w:rPr>
                <w:rFonts w:eastAsia="Calibri" w:cs="Arial"/>
                <w:color w:val="373737"/>
                <w:sz w:val="16"/>
                <w:szCs w:val="16"/>
              </w:rPr>
            </w:pPr>
            <w:r>
              <w:rPr>
                <w:color w:val="373737"/>
                <w:sz w:val="16"/>
              </w:rPr>
              <w:t>x</w:t>
            </w:r>
          </w:p>
        </w:tc>
        <w:tc>
          <w:tcPr>
            <w:tcW w:w="593" w:type="dxa"/>
            <w:shd w:val="clear" w:color="auto" w:fill="D0DDCC"/>
          </w:tcPr>
          <w:p w:rsidR="00DB5257" w:rsidRPr="006F5B0F" w:rsidRDefault="00AD2E14" w:rsidP="00DB5257">
            <w:pPr>
              <w:rPr>
                <w:rFonts w:eastAsia="Calibri" w:cs="Arial"/>
                <w:color w:val="373737"/>
                <w:sz w:val="16"/>
                <w:szCs w:val="16"/>
              </w:rPr>
            </w:pPr>
            <w:r>
              <w:rPr>
                <w:color w:val="373737"/>
                <w:sz w:val="16"/>
              </w:rPr>
              <w:t>y</w:t>
            </w:r>
          </w:p>
        </w:tc>
        <w:tc>
          <w:tcPr>
            <w:tcW w:w="505" w:type="dxa"/>
            <w:shd w:val="clear" w:color="auto" w:fill="95B89B"/>
          </w:tcPr>
          <w:p w:rsidR="00DB5257" w:rsidRPr="006F5B0F" w:rsidRDefault="00AD2E14" w:rsidP="00DB5257">
            <w:pPr>
              <w:rPr>
                <w:rFonts w:eastAsia="Calibri" w:cs="Arial"/>
                <w:color w:val="373737"/>
                <w:sz w:val="16"/>
                <w:szCs w:val="16"/>
              </w:rPr>
            </w:pPr>
            <w:r>
              <w:rPr>
                <w:color w:val="373737"/>
                <w:sz w:val="16"/>
              </w:rPr>
              <w:t>x</w:t>
            </w:r>
          </w:p>
        </w:tc>
        <w:tc>
          <w:tcPr>
            <w:tcW w:w="549" w:type="dxa"/>
            <w:shd w:val="clear" w:color="auto" w:fill="auto"/>
          </w:tcPr>
          <w:p w:rsidR="00DB5257" w:rsidRPr="006F5B0F" w:rsidRDefault="00DB5257" w:rsidP="00DB5257">
            <w:pPr>
              <w:rPr>
                <w:rFonts w:eastAsia="Calibri" w:cs="Arial"/>
                <w:color w:val="373737"/>
                <w:sz w:val="16"/>
                <w:szCs w:val="16"/>
              </w:rPr>
            </w:pPr>
          </w:p>
        </w:tc>
        <w:tc>
          <w:tcPr>
            <w:tcW w:w="550" w:type="dxa"/>
            <w:tcBorders>
              <w:right w:val="single" w:sz="4" w:space="0" w:color="6E8967"/>
            </w:tcBorders>
            <w:shd w:val="clear" w:color="auto" w:fill="auto"/>
          </w:tcPr>
          <w:p w:rsidR="00DB5257" w:rsidRPr="006F5B0F" w:rsidRDefault="00DB5257" w:rsidP="00DB5257">
            <w:pPr>
              <w:rPr>
                <w:rFonts w:eastAsia="Calibri" w:cs="Arial"/>
                <w:color w:val="373737"/>
                <w:sz w:val="16"/>
                <w:szCs w:val="16"/>
              </w:rPr>
            </w:pPr>
          </w:p>
        </w:tc>
      </w:tr>
      <w:tr w:rsidR="00DB5257" w:rsidRPr="001C6ACF" w:rsidTr="00DB5257">
        <w:trPr>
          <w:jc w:val="center"/>
        </w:trPr>
        <w:tc>
          <w:tcPr>
            <w:tcW w:w="562" w:type="dxa"/>
            <w:vMerge/>
            <w:tcBorders>
              <w:left w:val="single" w:sz="4" w:space="0" w:color="6E8967"/>
            </w:tcBorders>
            <w:shd w:val="clear" w:color="auto" w:fill="8BAB80"/>
            <w:textDirection w:val="btLr"/>
          </w:tcPr>
          <w:p w:rsidR="00DB5257" w:rsidRPr="006F5B0F" w:rsidRDefault="00DB5257" w:rsidP="00DB5257">
            <w:pPr>
              <w:spacing w:line="280" w:lineRule="atLeast"/>
              <w:ind w:left="113" w:right="113"/>
              <w:jc w:val="right"/>
              <w:rPr>
                <w:rFonts w:eastAsia="Calibri" w:cs="Arial"/>
                <w:b/>
                <w:bCs/>
                <w:i/>
                <w:color w:val="FFFFFF"/>
                <w:sz w:val="16"/>
                <w:szCs w:val="16"/>
              </w:rPr>
            </w:pPr>
          </w:p>
        </w:tc>
        <w:tc>
          <w:tcPr>
            <w:tcW w:w="3402" w:type="dxa"/>
            <w:shd w:val="clear" w:color="auto" w:fill="E7EEE5"/>
          </w:tcPr>
          <w:p w:rsidR="00DB5257" w:rsidRPr="006F5B0F" w:rsidRDefault="00AD2E14" w:rsidP="00DB5257">
            <w:pPr>
              <w:rPr>
                <w:rFonts w:eastAsia="Calibri" w:cs="Arial"/>
                <w:color w:val="373737"/>
                <w:sz w:val="16"/>
                <w:szCs w:val="16"/>
              </w:rPr>
            </w:pPr>
            <w:r>
              <w:rPr>
                <w:color w:val="373737"/>
                <w:sz w:val="16"/>
              </w:rPr>
              <w:t>Presentera utvärderingsresultaten för övervakningskommittén.</w:t>
            </w:r>
          </w:p>
        </w:tc>
        <w:tc>
          <w:tcPr>
            <w:tcW w:w="1061" w:type="dxa"/>
            <w:shd w:val="clear" w:color="auto" w:fill="E7EEE5"/>
          </w:tcPr>
          <w:p w:rsidR="00DB5257" w:rsidRPr="006F5B0F" w:rsidRDefault="00AD2E14" w:rsidP="00DB5257">
            <w:pPr>
              <w:jc w:val="left"/>
              <w:rPr>
                <w:rFonts w:eastAsia="Calibri" w:cs="Arial"/>
                <w:color w:val="373737"/>
                <w:sz w:val="16"/>
                <w:szCs w:val="16"/>
              </w:rPr>
            </w:pPr>
            <w:r>
              <w:rPr>
                <w:color w:val="373737"/>
                <w:sz w:val="16"/>
              </w:rPr>
              <w:t>Kv 2 2019</w:t>
            </w:r>
          </w:p>
        </w:tc>
        <w:tc>
          <w:tcPr>
            <w:tcW w:w="622" w:type="dxa"/>
            <w:shd w:val="clear" w:color="auto" w:fill="95B89B"/>
          </w:tcPr>
          <w:p w:rsidR="00DB5257" w:rsidRPr="006F5B0F" w:rsidRDefault="00AD2E14" w:rsidP="00DB5257">
            <w:pPr>
              <w:rPr>
                <w:rFonts w:eastAsia="Calibri" w:cs="Arial"/>
                <w:color w:val="373737"/>
                <w:sz w:val="16"/>
                <w:szCs w:val="16"/>
              </w:rPr>
            </w:pPr>
            <w:r>
              <w:rPr>
                <w:color w:val="373737"/>
                <w:sz w:val="16"/>
              </w:rPr>
              <w:t>x</w:t>
            </w:r>
          </w:p>
        </w:tc>
        <w:tc>
          <w:tcPr>
            <w:tcW w:w="549" w:type="dxa"/>
            <w:shd w:val="clear" w:color="auto" w:fill="auto"/>
          </w:tcPr>
          <w:p w:rsidR="00DB5257" w:rsidRPr="006F5B0F" w:rsidRDefault="00DB5257" w:rsidP="00DB5257">
            <w:pPr>
              <w:rPr>
                <w:rFonts w:eastAsia="Calibri" w:cs="Arial"/>
                <w:color w:val="373737"/>
                <w:sz w:val="16"/>
                <w:szCs w:val="16"/>
              </w:rPr>
            </w:pPr>
          </w:p>
        </w:tc>
        <w:tc>
          <w:tcPr>
            <w:tcW w:w="549" w:type="dxa"/>
            <w:shd w:val="clear" w:color="auto" w:fill="auto"/>
          </w:tcPr>
          <w:p w:rsidR="00DB5257" w:rsidRPr="006F5B0F" w:rsidRDefault="00DB5257" w:rsidP="00DB5257">
            <w:pPr>
              <w:rPr>
                <w:rFonts w:eastAsia="Calibri" w:cs="Arial"/>
                <w:color w:val="373737"/>
                <w:sz w:val="16"/>
                <w:szCs w:val="16"/>
              </w:rPr>
            </w:pPr>
          </w:p>
        </w:tc>
        <w:tc>
          <w:tcPr>
            <w:tcW w:w="550" w:type="dxa"/>
            <w:shd w:val="clear" w:color="auto" w:fill="D0DDCC"/>
          </w:tcPr>
          <w:p w:rsidR="00DB5257" w:rsidRPr="006F5B0F" w:rsidRDefault="00AD2E14" w:rsidP="00DB5257">
            <w:pPr>
              <w:rPr>
                <w:rFonts w:eastAsia="Calibri" w:cs="Arial"/>
                <w:color w:val="373737"/>
                <w:sz w:val="16"/>
                <w:szCs w:val="16"/>
              </w:rPr>
            </w:pPr>
            <w:r>
              <w:rPr>
                <w:color w:val="373737"/>
                <w:sz w:val="16"/>
              </w:rPr>
              <w:t>y</w:t>
            </w:r>
          </w:p>
        </w:tc>
        <w:tc>
          <w:tcPr>
            <w:tcW w:w="593" w:type="dxa"/>
            <w:shd w:val="clear" w:color="auto" w:fill="D0DDCC"/>
          </w:tcPr>
          <w:p w:rsidR="00DB5257" w:rsidRPr="006F5B0F" w:rsidRDefault="00AD2E14" w:rsidP="00DB5257">
            <w:pPr>
              <w:rPr>
                <w:rFonts w:eastAsia="Calibri" w:cs="Arial"/>
                <w:color w:val="373737"/>
                <w:sz w:val="16"/>
                <w:szCs w:val="16"/>
              </w:rPr>
            </w:pPr>
            <w:r>
              <w:rPr>
                <w:color w:val="373737"/>
                <w:sz w:val="16"/>
              </w:rPr>
              <w:t>y</w:t>
            </w:r>
          </w:p>
        </w:tc>
        <w:tc>
          <w:tcPr>
            <w:tcW w:w="505" w:type="dxa"/>
            <w:shd w:val="clear" w:color="auto" w:fill="95B89B"/>
          </w:tcPr>
          <w:p w:rsidR="00DB5257" w:rsidRPr="006F5B0F" w:rsidRDefault="00AD2E14" w:rsidP="00DB5257">
            <w:pPr>
              <w:rPr>
                <w:rFonts w:eastAsia="Calibri" w:cs="Arial"/>
                <w:color w:val="373737"/>
                <w:sz w:val="16"/>
                <w:szCs w:val="16"/>
              </w:rPr>
            </w:pPr>
            <w:r>
              <w:rPr>
                <w:color w:val="373737"/>
                <w:sz w:val="16"/>
              </w:rPr>
              <w:t>x</w:t>
            </w:r>
          </w:p>
        </w:tc>
        <w:tc>
          <w:tcPr>
            <w:tcW w:w="549" w:type="dxa"/>
            <w:shd w:val="clear" w:color="auto" w:fill="D0DDCC"/>
          </w:tcPr>
          <w:p w:rsidR="00DB5257" w:rsidRPr="006F5B0F" w:rsidRDefault="00AD2E14" w:rsidP="00DB5257">
            <w:pPr>
              <w:rPr>
                <w:rFonts w:eastAsia="Calibri" w:cs="Arial"/>
                <w:color w:val="373737"/>
                <w:sz w:val="16"/>
                <w:szCs w:val="16"/>
              </w:rPr>
            </w:pPr>
            <w:r>
              <w:rPr>
                <w:color w:val="373737"/>
                <w:sz w:val="16"/>
              </w:rPr>
              <w:t>y</w:t>
            </w:r>
          </w:p>
        </w:tc>
        <w:tc>
          <w:tcPr>
            <w:tcW w:w="550" w:type="dxa"/>
            <w:tcBorders>
              <w:right w:val="single" w:sz="4" w:space="0" w:color="6E8967"/>
            </w:tcBorders>
            <w:shd w:val="clear" w:color="auto" w:fill="auto"/>
          </w:tcPr>
          <w:p w:rsidR="00DB5257" w:rsidRPr="006F5B0F" w:rsidRDefault="00DB5257" w:rsidP="00DB5257">
            <w:pPr>
              <w:rPr>
                <w:rFonts w:eastAsia="Calibri" w:cs="Arial"/>
                <w:color w:val="373737"/>
                <w:sz w:val="16"/>
                <w:szCs w:val="16"/>
              </w:rPr>
            </w:pPr>
          </w:p>
        </w:tc>
      </w:tr>
      <w:tr w:rsidR="00DB5257" w:rsidRPr="001C6ACF" w:rsidTr="00DB5257">
        <w:trPr>
          <w:jc w:val="center"/>
        </w:trPr>
        <w:tc>
          <w:tcPr>
            <w:tcW w:w="562" w:type="dxa"/>
            <w:vMerge/>
            <w:tcBorders>
              <w:left w:val="single" w:sz="4" w:space="0" w:color="6E8967"/>
            </w:tcBorders>
            <w:shd w:val="clear" w:color="auto" w:fill="8BAB80"/>
            <w:textDirection w:val="btLr"/>
          </w:tcPr>
          <w:p w:rsidR="00DB5257" w:rsidRPr="006F5B0F" w:rsidRDefault="00DB5257" w:rsidP="00DB5257">
            <w:pPr>
              <w:spacing w:line="280" w:lineRule="atLeast"/>
              <w:ind w:left="113" w:right="113"/>
              <w:jc w:val="right"/>
              <w:rPr>
                <w:rFonts w:eastAsia="Calibri" w:cs="Arial"/>
                <w:b/>
                <w:bCs/>
                <w:i/>
                <w:color w:val="FFFFFF"/>
                <w:sz w:val="16"/>
                <w:szCs w:val="16"/>
              </w:rPr>
            </w:pPr>
          </w:p>
        </w:tc>
        <w:tc>
          <w:tcPr>
            <w:tcW w:w="3402" w:type="dxa"/>
            <w:shd w:val="clear" w:color="auto" w:fill="D0DDCC"/>
          </w:tcPr>
          <w:p w:rsidR="00DB5257" w:rsidRPr="006F5B0F" w:rsidRDefault="00AD2E14" w:rsidP="00DB5257">
            <w:pPr>
              <w:rPr>
                <w:rFonts w:eastAsia="Calibri" w:cs="Arial"/>
                <w:color w:val="373737"/>
                <w:sz w:val="16"/>
                <w:szCs w:val="16"/>
              </w:rPr>
            </w:pPr>
            <w:r>
              <w:rPr>
                <w:color w:val="373737"/>
                <w:sz w:val="16"/>
              </w:rPr>
              <w:t>Fylla i ständiga kommittén för skogsbruks mall i den årliga genomförandeplanen (inklusive kapitel 2 och 7) och skicka till Europeiska kommissionen.</w:t>
            </w:r>
          </w:p>
        </w:tc>
        <w:tc>
          <w:tcPr>
            <w:tcW w:w="1061" w:type="dxa"/>
            <w:shd w:val="clear" w:color="auto" w:fill="D0DDCC"/>
          </w:tcPr>
          <w:p w:rsidR="00DB5257" w:rsidRPr="006F5B0F" w:rsidRDefault="00AD2E14" w:rsidP="00DB5257">
            <w:pPr>
              <w:jc w:val="left"/>
              <w:rPr>
                <w:rFonts w:eastAsia="Calibri" w:cs="Arial"/>
                <w:color w:val="373737"/>
                <w:sz w:val="16"/>
                <w:szCs w:val="16"/>
              </w:rPr>
            </w:pPr>
            <w:r>
              <w:rPr>
                <w:color w:val="373737"/>
                <w:sz w:val="16"/>
              </w:rPr>
              <w:t>Kv 2 2019</w:t>
            </w:r>
          </w:p>
        </w:tc>
        <w:tc>
          <w:tcPr>
            <w:tcW w:w="622" w:type="dxa"/>
            <w:shd w:val="clear" w:color="auto" w:fill="95B89B"/>
          </w:tcPr>
          <w:p w:rsidR="00DB5257" w:rsidRPr="006F5B0F" w:rsidRDefault="00AD2E14" w:rsidP="00DB5257">
            <w:pPr>
              <w:rPr>
                <w:rFonts w:eastAsia="Calibri" w:cs="Arial"/>
                <w:color w:val="373737"/>
                <w:sz w:val="16"/>
                <w:szCs w:val="16"/>
              </w:rPr>
            </w:pPr>
            <w:r>
              <w:rPr>
                <w:color w:val="373737"/>
                <w:sz w:val="16"/>
              </w:rPr>
              <w:t>x</w:t>
            </w:r>
          </w:p>
        </w:tc>
        <w:tc>
          <w:tcPr>
            <w:tcW w:w="549" w:type="dxa"/>
            <w:shd w:val="clear" w:color="auto" w:fill="auto"/>
          </w:tcPr>
          <w:p w:rsidR="00DB5257" w:rsidRPr="006F5B0F" w:rsidRDefault="00DB5257" w:rsidP="00DB5257">
            <w:pPr>
              <w:rPr>
                <w:rFonts w:eastAsia="Calibri" w:cs="Arial"/>
                <w:color w:val="373737"/>
                <w:sz w:val="16"/>
                <w:szCs w:val="16"/>
              </w:rPr>
            </w:pPr>
          </w:p>
        </w:tc>
        <w:tc>
          <w:tcPr>
            <w:tcW w:w="549" w:type="dxa"/>
            <w:shd w:val="clear" w:color="auto" w:fill="auto"/>
          </w:tcPr>
          <w:p w:rsidR="00DB5257" w:rsidRPr="006F5B0F" w:rsidRDefault="00DB5257" w:rsidP="00DB5257">
            <w:pPr>
              <w:rPr>
                <w:rFonts w:eastAsia="Calibri" w:cs="Arial"/>
                <w:color w:val="373737"/>
                <w:sz w:val="16"/>
                <w:szCs w:val="16"/>
              </w:rPr>
            </w:pPr>
          </w:p>
        </w:tc>
        <w:tc>
          <w:tcPr>
            <w:tcW w:w="550" w:type="dxa"/>
            <w:shd w:val="clear" w:color="auto" w:fill="95B89B"/>
          </w:tcPr>
          <w:p w:rsidR="00DB5257" w:rsidRPr="006F5B0F" w:rsidRDefault="00AD2E14" w:rsidP="00DB5257">
            <w:pPr>
              <w:rPr>
                <w:rFonts w:eastAsia="Calibri" w:cs="Arial"/>
                <w:color w:val="373737"/>
                <w:sz w:val="16"/>
                <w:szCs w:val="16"/>
              </w:rPr>
            </w:pPr>
            <w:r>
              <w:rPr>
                <w:color w:val="373737"/>
                <w:sz w:val="16"/>
              </w:rPr>
              <w:t>x</w:t>
            </w:r>
          </w:p>
        </w:tc>
        <w:tc>
          <w:tcPr>
            <w:tcW w:w="593" w:type="dxa"/>
            <w:shd w:val="clear" w:color="auto" w:fill="auto"/>
          </w:tcPr>
          <w:p w:rsidR="00DB5257" w:rsidRPr="006F5B0F" w:rsidRDefault="00DB5257" w:rsidP="00DB5257">
            <w:pPr>
              <w:rPr>
                <w:rFonts w:eastAsia="Calibri" w:cs="Arial"/>
                <w:color w:val="373737"/>
                <w:sz w:val="16"/>
                <w:szCs w:val="16"/>
              </w:rPr>
            </w:pPr>
          </w:p>
        </w:tc>
        <w:tc>
          <w:tcPr>
            <w:tcW w:w="505" w:type="dxa"/>
            <w:shd w:val="clear" w:color="auto" w:fill="D0DDCC"/>
          </w:tcPr>
          <w:p w:rsidR="00DB5257" w:rsidRPr="006F5B0F" w:rsidRDefault="00AD2E14" w:rsidP="00DB5257">
            <w:pPr>
              <w:rPr>
                <w:rFonts w:eastAsia="Calibri" w:cs="Arial"/>
                <w:color w:val="373737"/>
                <w:sz w:val="16"/>
                <w:szCs w:val="16"/>
              </w:rPr>
            </w:pPr>
            <w:r>
              <w:rPr>
                <w:color w:val="373737"/>
                <w:sz w:val="16"/>
              </w:rPr>
              <w:t>y</w:t>
            </w:r>
          </w:p>
        </w:tc>
        <w:tc>
          <w:tcPr>
            <w:tcW w:w="549" w:type="dxa"/>
            <w:shd w:val="clear" w:color="auto" w:fill="auto"/>
          </w:tcPr>
          <w:p w:rsidR="00DB5257" w:rsidRPr="006F5B0F" w:rsidRDefault="00DB5257" w:rsidP="00DB5257">
            <w:pPr>
              <w:rPr>
                <w:rFonts w:eastAsia="Calibri" w:cs="Arial"/>
                <w:color w:val="373737"/>
                <w:sz w:val="16"/>
                <w:szCs w:val="16"/>
              </w:rPr>
            </w:pPr>
          </w:p>
        </w:tc>
        <w:tc>
          <w:tcPr>
            <w:tcW w:w="550" w:type="dxa"/>
            <w:tcBorders>
              <w:right w:val="single" w:sz="4" w:space="0" w:color="6E8967"/>
            </w:tcBorders>
            <w:shd w:val="clear" w:color="auto" w:fill="auto"/>
          </w:tcPr>
          <w:p w:rsidR="00DB5257" w:rsidRPr="006F5B0F" w:rsidRDefault="00DB5257" w:rsidP="00DB5257">
            <w:pPr>
              <w:rPr>
                <w:rFonts w:eastAsia="Calibri" w:cs="Arial"/>
                <w:color w:val="373737"/>
                <w:sz w:val="16"/>
                <w:szCs w:val="16"/>
              </w:rPr>
            </w:pPr>
          </w:p>
        </w:tc>
      </w:tr>
      <w:tr w:rsidR="00DB5257" w:rsidRPr="001C6ACF" w:rsidTr="00DB5257">
        <w:trPr>
          <w:jc w:val="center"/>
        </w:trPr>
        <w:tc>
          <w:tcPr>
            <w:tcW w:w="562" w:type="dxa"/>
            <w:vMerge/>
            <w:tcBorders>
              <w:left w:val="single" w:sz="4" w:space="0" w:color="6E8967"/>
            </w:tcBorders>
            <w:shd w:val="clear" w:color="auto" w:fill="8BAB80"/>
            <w:textDirection w:val="btLr"/>
          </w:tcPr>
          <w:p w:rsidR="00DB5257" w:rsidRPr="006F5B0F" w:rsidRDefault="00DB5257" w:rsidP="00DB5257">
            <w:pPr>
              <w:spacing w:line="280" w:lineRule="atLeast"/>
              <w:ind w:left="113" w:right="113"/>
              <w:jc w:val="right"/>
              <w:rPr>
                <w:rFonts w:eastAsia="Calibri" w:cs="Arial"/>
                <w:b/>
                <w:bCs/>
                <w:i/>
                <w:color w:val="FFFFFF"/>
                <w:sz w:val="16"/>
                <w:szCs w:val="16"/>
              </w:rPr>
            </w:pPr>
          </w:p>
        </w:tc>
        <w:tc>
          <w:tcPr>
            <w:tcW w:w="3402" w:type="dxa"/>
            <w:shd w:val="clear" w:color="auto" w:fill="E7EEE5"/>
          </w:tcPr>
          <w:p w:rsidR="00DB5257" w:rsidRPr="006F5B0F" w:rsidRDefault="00AD2E14" w:rsidP="00DB5257">
            <w:pPr>
              <w:rPr>
                <w:rFonts w:eastAsia="Calibri" w:cs="Arial"/>
                <w:color w:val="373737"/>
                <w:sz w:val="16"/>
                <w:szCs w:val="16"/>
              </w:rPr>
            </w:pPr>
            <w:r>
              <w:rPr>
                <w:color w:val="373737"/>
                <w:sz w:val="16"/>
              </w:rPr>
              <w:t>Offentliggöra den årliga genomförandeplanen och utvärderingsrapporterna (inte bara kapitel 7 i den årliga genomförandeplanen) på den offentliga webbplatsen.</w:t>
            </w:r>
          </w:p>
        </w:tc>
        <w:tc>
          <w:tcPr>
            <w:tcW w:w="1061" w:type="dxa"/>
            <w:shd w:val="clear" w:color="auto" w:fill="E7EEE5"/>
          </w:tcPr>
          <w:p w:rsidR="00DB5257" w:rsidRPr="006F5B0F" w:rsidRDefault="00AD2E14" w:rsidP="00DB5257">
            <w:pPr>
              <w:jc w:val="left"/>
              <w:rPr>
                <w:rFonts w:eastAsia="Calibri" w:cs="Arial"/>
                <w:color w:val="373737"/>
                <w:sz w:val="16"/>
                <w:szCs w:val="16"/>
              </w:rPr>
            </w:pPr>
            <w:r>
              <w:rPr>
                <w:color w:val="373737"/>
                <w:sz w:val="16"/>
              </w:rPr>
              <w:t>Kv 2, 3 och 4 2019</w:t>
            </w:r>
          </w:p>
        </w:tc>
        <w:tc>
          <w:tcPr>
            <w:tcW w:w="622" w:type="dxa"/>
            <w:shd w:val="clear" w:color="auto" w:fill="95B89B"/>
          </w:tcPr>
          <w:p w:rsidR="00DB5257" w:rsidRPr="006F5B0F" w:rsidRDefault="00AD2E14" w:rsidP="00DB5257">
            <w:pPr>
              <w:rPr>
                <w:rFonts w:eastAsia="Calibri" w:cs="Arial"/>
                <w:color w:val="373737"/>
                <w:sz w:val="16"/>
                <w:szCs w:val="16"/>
              </w:rPr>
            </w:pPr>
            <w:r>
              <w:rPr>
                <w:color w:val="373737"/>
                <w:sz w:val="16"/>
              </w:rPr>
              <w:t>x</w:t>
            </w:r>
          </w:p>
        </w:tc>
        <w:tc>
          <w:tcPr>
            <w:tcW w:w="549" w:type="dxa"/>
            <w:shd w:val="clear" w:color="auto" w:fill="auto"/>
          </w:tcPr>
          <w:p w:rsidR="00DB5257" w:rsidRPr="006F5B0F" w:rsidRDefault="00DB5257" w:rsidP="00DB5257">
            <w:pPr>
              <w:rPr>
                <w:rFonts w:eastAsia="Calibri" w:cs="Arial"/>
                <w:color w:val="373737"/>
                <w:sz w:val="16"/>
                <w:szCs w:val="16"/>
              </w:rPr>
            </w:pPr>
          </w:p>
        </w:tc>
        <w:tc>
          <w:tcPr>
            <w:tcW w:w="549" w:type="dxa"/>
            <w:shd w:val="clear" w:color="auto" w:fill="auto"/>
          </w:tcPr>
          <w:p w:rsidR="00DB5257" w:rsidRPr="006F5B0F" w:rsidRDefault="00DB5257" w:rsidP="00DB5257">
            <w:pPr>
              <w:rPr>
                <w:rFonts w:eastAsia="Calibri" w:cs="Arial"/>
                <w:color w:val="373737"/>
                <w:sz w:val="16"/>
                <w:szCs w:val="16"/>
              </w:rPr>
            </w:pPr>
          </w:p>
        </w:tc>
        <w:tc>
          <w:tcPr>
            <w:tcW w:w="550" w:type="dxa"/>
            <w:shd w:val="clear" w:color="auto" w:fill="95B89B"/>
          </w:tcPr>
          <w:p w:rsidR="00DB5257" w:rsidRPr="006F5B0F" w:rsidRDefault="00AD2E14" w:rsidP="00DB5257">
            <w:pPr>
              <w:rPr>
                <w:rFonts w:eastAsia="Calibri" w:cs="Arial"/>
                <w:color w:val="373737"/>
                <w:sz w:val="16"/>
                <w:szCs w:val="16"/>
              </w:rPr>
            </w:pPr>
            <w:r>
              <w:rPr>
                <w:color w:val="373737"/>
                <w:sz w:val="16"/>
              </w:rPr>
              <w:t>x</w:t>
            </w:r>
          </w:p>
        </w:tc>
        <w:tc>
          <w:tcPr>
            <w:tcW w:w="593" w:type="dxa"/>
            <w:shd w:val="clear" w:color="auto" w:fill="auto"/>
          </w:tcPr>
          <w:p w:rsidR="00DB5257" w:rsidRPr="006F5B0F" w:rsidRDefault="00DB5257" w:rsidP="00DB5257">
            <w:pPr>
              <w:rPr>
                <w:rFonts w:eastAsia="Calibri" w:cs="Arial"/>
                <w:color w:val="373737"/>
                <w:sz w:val="16"/>
                <w:szCs w:val="16"/>
              </w:rPr>
            </w:pPr>
          </w:p>
        </w:tc>
        <w:tc>
          <w:tcPr>
            <w:tcW w:w="505" w:type="dxa"/>
            <w:shd w:val="clear" w:color="auto" w:fill="auto"/>
          </w:tcPr>
          <w:p w:rsidR="00DB5257" w:rsidRPr="006F5B0F" w:rsidRDefault="00DB5257" w:rsidP="00DB5257">
            <w:pPr>
              <w:rPr>
                <w:rFonts w:eastAsia="Calibri" w:cs="Arial"/>
                <w:color w:val="373737"/>
                <w:sz w:val="16"/>
                <w:szCs w:val="16"/>
              </w:rPr>
            </w:pPr>
          </w:p>
        </w:tc>
        <w:tc>
          <w:tcPr>
            <w:tcW w:w="549" w:type="dxa"/>
            <w:shd w:val="clear" w:color="auto" w:fill="auto"/>
          </w:tcPr>
          <w:p w:rsidR="00DB5257" w:rsidRPr="006F5B0F" w:rsidRDefault="00DB5257" w:rsidP="00DB5257">
            <w:pPr>
              <w:rPr>
                <w:rFonts w:eastAsia="Calibri" w:cs="Arial"/>
                <w:color w:val="373737"/>
                <w:sz w:val="16"/>
                <w:szCs w:val="16"/>
              </w:rPr>
            </w:pPr>
          </w:p>
        </w:tc>
        <w:tc>
          <w:tcPr>
            <w:tcW w:w="550" w:type="dxa"/>
            <w:tcBorders>
              <w:right w:val="single" w:sz="4" w:space="0" w:color="6E8967"/>
            </w:tcBorders>
            <w:shd w:val="clear" w:color="auto" w:fill="auto"/>
          </w:tcPr>
          <w:p w:rsidR="00DB5257" w:rsidRPr="006F5B0F" w:rsidRDefault="00DB5257" w:rsidP="00DB5257">
            <w:pPr>
              <w:rPr>
                <w:rFonts w:eastAsia="Calibri" w:cs="Arial"/>
                <w:color w:val="373737"/>
                <w:sz w:val="16"/>
                <w:szCs w:val="16"/>
              </w:rPr>
            </w:pPr>
          </w:p>
        </w:tc>
      </w:tr>
      <w:tr w:rsidR="00DB5257" w:rsidRPr="001C6ACF" w:rsidTr="00DB5257">
        <w:trPr>
          <w:jc w:val="center"/>
        </w:trPr>
        <w:tc>
          <w:tcPr>
            <w:tcW w:w="562" w:type="dxa"/>
            <w:vMerge/>
            <w:tcBorders>
              <w:left w:val="single" w:sz="4" w:space="0" w:color="6E8967"/>
            </w:tcBorders>
            <w:shd w:val="clear" w:color="auto" w:fill="8BAB80"/>
            <w:textDirection w:val="btLr"/>
          </w:tcPr>
          <w:p w:rsidR="00DB5257" w:rsidRPr="006F5B0F" w:rsidRDefault="00DB5257" w:rsidP="00DB5257">
            <w:pPr>
              <w:spacing w:line="280" w:lineRule="atLeast"/>
              <w:ind w:left="113" w:right="113"/>
              <w:jc w:val="right"/>
              <w:rPr>
                <w:rFonts w:eastAsia="Calibri" w:cs="Arial"/>
                <w:b/>
                <w:bCs/>
                <w:i/>
                <w:color w:val="FFFFFF"/>
                <w:sz w:val="16"/>
                <w:szCs w:val="16"/>
              </w:rPr>
            </w:pPr>
          </w:p>
        </w:tc>
        <w:tc>
          <w:tcPr>
            <w:tcW w:w="3402" w:type="dxa"/>
            <w:shd w:val="clear" w:color="auto" w:fill="D0DDCC"/>
          </w:tcPr>
          <w:p w:rsidR="00DB5257" w:rsidRPr="006F5B0F" w:rsidRDefault="00AD2E14" w:rsidP="00DB5257">
            <w:pPr>
              <w:rPr>
                <w:rFonts w:eastAsia="Calibri" w:cs="Arial"/>
                <w:color w:val="373737"/>
                <w:sz w:val="16"/>
                <w:szCs w:val="16"/>
              </w:rPr>
            </w:pPr>
            <w:r>
              <w:rPr>
                <w:color w:val="373737"/>
                <w:sz w:val="16"/>
              </w:rPr>
              <w:t>Förbereda utvärderingsresultaten med andra lämpliga format (t.ex. medborgarsammanfattning) för olika målgrupper.</w:t>
            </w:r>
          </w:p>
        </w:tc>
        <w:tc>
          <w:tcPr>
            <w:tcW w:w="1061" w:type="dxa"/>
            <w:shd w:val="clear" w:color="auto" w:fill="D0DDCC"/>
          </w:tcPr>
          <w:p w:rsidR="00DB5257" w:rsidRPr="006F5B0F" w:rsidRDefault="00AD2E14" w:rsidP="00DB5257">
            <w:pPr>
              <w:jc w:val="left"/>
              <w:rPr>
                <w:rFonts w:eastAsia="Calibri" w:cs="Arial"/>
                <w:color w:val="373737"/>
                <w:sz w:val="16"/>
                <w:szCs w:val="16"/>
              </w:rPr>
            </w:pPr>
            <w:r>
              <w:rPr>
                <w:color w:val="373737"/>
                <w:sz w:val="16"/>
              </w:rPr>
              <w:t>Kv 3 och 4 2019</w:t>
            </w:r>
          </w:p>
        </w:tc>
        <w:tc>
          <w:tcPr>
            <w:tcW w:w="622" w:type="dxa"/>
            <w:shd w:val="clear" w:color="auto" w:fill="95B89B"/>
          </w:tcPr>
          <w:p w:rsidR="00DB5257" w:rsidRPr="006F5B0F" w:rsidRDefault="00AD2E14" w:rsidP="00DB5257">
            <w:pPr>
              <w:rPr>
                <w:rFonts w:eastAsia="Calibri" w:cs="Arial"/>
                <w:color w:val="373737"/>
                <w:sz w:val="16"/>
                <w:szCs w:val="16"/>
              </w:rPr>
            </w:pPr>
            <w:r>
              <w:rPr>
                <w:color w:val="373737"/>
                <w:sz w:val="16"/>
              </w:rPr>
              <w:t>x</w:t>
            </w:r>
          </w:p>
        </w:tc>
        <w:tc>
          <w:tcPr>
            <w:tcW w:w="549" w:type="dxa"/>
            <w:shd w:val="clear" w:color="auto" w:fill="auto"/>
          </w:tcPr>
          <w:p w:rsidR="00DB5257" w:rsidRPr="006F5B0F" w:rsidRDefault="00DB5257" w:rsidP="00DB5257">
            <w:pPr>
              <w:rPr>
                <w:rFonts w:eastAsia="Calibri" w:cs="Arial"/>
                <w:color w:val="373737"/>
                <w:sz w:val="16"/>
                <w:szCs w:val="16"/>
              </w:rPr>
            </w:pPr>
          </w:p>
        </w:tc>
        <w:tc>
          <w:tcPr>
            <w:tcW w:w="549" w:type="dxa"/>
            <w:shd w:val="clear" w:color="auto" w:fill="auto"/>
          </w:tcPr>
          <w:p w:rsidR="00DB5257" w:rsidRPr="006F5B0F" w:rsidRDefault="00DB5257" w:rsidP="00DB5257">
            <w:pPr>
              <w:rPr>
                <w:rFonts w:eastAsia="Calibri" w:cs="Arial"/>
                <w:color w:val="373737"/>
                <w:sz w:val="16"/>
                <w:szCs w:val="16"/>
              </w:rPr>
            </w:pPr>
          </w:p>
        </w:tc>
        <w:tc>
          <w:tcPr>
            <w:tcW w:w="550" w:type="dxa"/>
            <w:shd w:val="clear" w:color="auto" w:fill="95B89B"/>
          </w:tcPr>
          <w:p w:rsidR="00DB5257" w:rsidRPr="006F5B0F" w:rsidRDefault="00AD2E14" w:rsidP="00DB5257">
            <w:pPr>
              <w:rPr>
                <w:rFonts w:eastAsia="Calibri" w:cs="Arial"/>
                <w:color w:val="373737"/>
                <w:sz w:val="16"/>
                <w:szCs w:val="16"/>
              </w:rPr>
            </w:pPr>
            <w:r>
              <w:rPr>
                <w:color w:val="373737"/>
                <w:sz w:val="16"/>
              </w:rPr>
              <w:t>x</w:t>
            </w:r>
          </w:p>
        </w:tc>
        <w:tc>
          <w:tcPr>
            <w:tcW w:w="593" w:type="dxa"/>
            <w:shd w:val="clear" w:color="auto" w:fill="D0DDCC"/>
          </w:tcPr>
          <w:p w:rsidR="00DB5257" w:rsidRPr="006F5B0F" w:rsidRDefault="00AD2E14" w:rsidP="00DB5257">
            <w:pPr>
              <w:rPr>
                <w:rFonts w:eastAsia="Calibri" w:cs="Arial"/>
                <w:color w:val="373737"/>
                <w:sz w:val="16"/>
                <w:szCs w:val="16"/>
              </w:rPr>
            </w:pPr>
            <w:r>
              <w:rPr>
                <w:color w:val="373737"/>
                <w:sz w:val="16"/>
              </w:rPr>
              <w:t>y</w:t>
            </w:r>
          </w:p>
        </w:tc>
        <w:tc>
          <w:tcPr>
            <w:tcW w:w="505" w:type="dxa"/>
            <w:shd w:val="clear" w:color="auto" w:fill="D0DDCC"/>
          </w:tcPr>
          <w:p w:rsidR="00DB5257" w:rsidRPr="006F5B0F" w:rsidRDefault="00AD2E14" w:rsidP="00DB5257">
            <w:pPr>
              <w:rPr>
                <w:rFonts w:eastAsia="Calibri" w:cs="Arial"/>
                <w:color w:val="373737"/>
                <w:sz w:val="16"/>
                <w:szCs w:val="16"/>
              </w:rPr>
            </w:pPr>
            <w:r>
              <w:rPr>
                <w:color w:val="373737"/>
                <w:sz w:val="16"/>
              </w:rPr>
              <w:t>y</w:t>
            </w:r>
          </w:p>
        </w:tc>
        <w:tc>
          <w:tcPr>
            <w:tcW w:w="549" w:type="dxa"/>
            <w:shd w:val="clear" w:color="auto" w:fill="auto"/>
          </w:tcPr>
          <w:p w:rsidR="00DB5257" w:rsidRPr="006F5B0F" w:rsidRDefault="00DB5257" w:rsidP="00DB5257">
            <w:pPr>
              <w:rPr>
                <w:rFonts w:eastAsia="Calibri" w:cs="Arial"/>
                <w:color w:val="373737"/>
                <w:sz w:val="16"/>
                <w:szCs w:val="16"/>
              </w:rPr>
            </w:pPr>
          </w:p>
        </w:tc>
        <w:tc>
          <w:tcPr>
            <w:tcW w:w="550" w:type="dxa"/>
            <w:tcBorders>
              <w:right w:val="single" w:sz="4" w:space="0" w:color="6E8967"/>
            </w:tcBorders>
            <w:shd w:val="clear" w:color="auto" w:fill="auto"/>
          </w:tcPr>
          <w:p w:rsidR="00DB5257" w:rsidRPr="006F5B0F" w:rsidRDefault="00DB5257" w:rsidP="00DB5257">
            <w:pPr>
              <w:rPr>
                <w:rFonts w:eastAsia="Calibri" w:cs="Arial"/>
                <w:color w:val="373737"/>
                <w:sz w:val="16"/>
                <w:szCs w:val="16"/>
              </w:rPr>
            </w:pPr>
          </w:p>
        </w:tc>
      </w:tr>
      <w:tr w:rsidR="00DB5257" w:rsidRPr="001C6ACF" w:rsidTr="00DB5257">
        <w:trPr>
          <w:jc w:val="center"/>
        </w:trPr>
        <w:tc>
          <w:tcPr>
            <w:tcW w:w="562" w:type="dxa"/>
            <w:vMerge/>
            <w:tcBorders>
              <w:left w:val="single" w:sz="4" w:space="0" w:color="6E8967"/>
            </w:tcBorders>
            <w:shd w:val="clear" w:color="auto" w:fill="8BAB80"/>
            <w:textDirection w:val="btLr"/>
          </w:tcPr>
          <w:p w:rsidR="00DB5257" w:rsidRPr="006F5B0F" w:rsidRDefault="00DB5257" w:rsidP="00DB5257">
            <w:pPr>
              <w:spacing w:line="280" w:lineRule="atLeast"/>
              <w:ind w:left="113" w:right="113"/>
              <w:jc w:val="right"/>
              <w:rPr>
                <w:rFonts w:eastAsia="Calibri" w:cs="Arial"/>
                <w:b/>
                <w:bCs/>
                <w:i/>
                <w:color w:val="FFFFFF"/>
                <w:sz w:val="16"/>
                <w:szCs w:val="16"/>
              </w:rPr>
            </w:pPr>
          </w:p>
        </w:tc>
        <w:tc>
          <w:tcPr>
            <w:tcW w:w="3402" w:type="dxa"/>
            <w:shd w:val="clear" w:color="auto" w:fill="E7EEE5"/>
          </w:tcPr>
          <w:p w:rsidR="00DB5257" w:rsidRPr="006F5B0F" w:rsidRDefault="00AD2E14" w:rsidP="00DB5257">
            <w:pPr>
              <w:rPr>
                <w:rFonts w:eastAsia="Calibri" w:cs="Arial"/>
                <w:color w:val="373737"/>
                <w:sz w:val="16"/>
                <w:szCs w:val="16"/>
              </w:rPr>
            </w:pPr>
            <w:r>
              <w:rPr>
                <w:color w:val="373737"/>
                <w:sz w:val="16"/>
              </w:rPr>
              <w:t xml:space="preserve">Presentera utvärderingsresultaten för målgrupperna. </w:t>
            </w:r>
          </w:p>
        </w:tc>
        <w:tc>
          <w:tcPr>
            <w:tcW w:w="1061" w:type="dxa"/>
            <w:shd w:val="clear" w:color="auto" w:fill="E7EEE5"/>
          </w:tcPr>
          <w:p w:rsidR="00DB5257" w:rsidRPr="006F5B0F" w:rsidRDefault="00AD2E14" w:rsidP="00DB5257">
            <w:pPr>
              <w:jc w:val="left"/>
              <w:rPr>
                <w:rFonts w:eastAsia="Calibri" w:cs="Arial"/>
                <w:color w:val="373737"/>
                <w:sz w:val="16"/>
                <w:szCs w:val="16"/>
              </w:rPr>
            </w:pPr>
            <w:r>
              <w:rPr>
                <w:color w:val="373737"/>
                <w:sz w:val="16"/>
              </w:rPr>
              <w:t>Kv 3 och 4 2019</w:t>
            </w:r>
          </w:p>
        </w:tc>
        <w:tc>
          <w:tcPr>
            <w:tcW w:w="622" w:type="dxa"/>
            <w:shd w:val="clear" w:color="auto" w:fill="95B89B"/>
          </w:tcPr>
          <w:p w:rsidR="00DB5257" w:rsidRPr="006F5B0F" w:rsidRDefault="00AD2E14" w:rsidP="00DB5257">
            <w:pPr>
              <w:rPr>
                <w:rFonts w:eastAsia="Calibri" w:cs="Arial"/>
                <w:color w:val="373737"/>
                <w:sz w:val="16"/>
                <w:szCs w:val="16"/>
              </w:rPr>
            </w:pPr>
            <w:r>
              <w:rPr>
                <w:color w:val="373737"/>
                <w:sz w:val="16"/>
              </w:rPr>
              <w:t>x</w:t>
            </w:r>
          </w:p>
        </w:tc>
        <w:tc>
          <w:tcPr>
            <w:tcW w:w="549" w:type="dxa"/>
            <w:shd w:val="clear" w:color="auto" w:fill="auto"/>
          </w:tcPr>
          <w:p w:rsidR="00DB5257" w:rsidRPr="006F5B0F" w:rsidRDefault="00DB5257" w:rsidP="00DB5257">
            <w:pPr>
              <w:rPr>
                <w:rFonts w:eastAsia="Calibri" w:cs="Arial"/>
                <w:color w:val="373737"/>
                <w:sz w:val="16"/>
                <w:szCs w:val="16"/>
              </w:rPr>
            </w:pPr>
          </w:p>
        </w:tc>
        <w:tc>
          <w:tcPr>
            <w:tcW w:w="549" w:type="dxa"/>
            <w:shd w:val="clear" w:color="auto" w:fill="auto"/>
          </w:tcPr>
          <w:p w:rsidR="00DB5257" w:rsidRPr="006F5B0F" w:rsidRDefault="00DB5257" w:rsidP="00DB5257">
            <w:pPr>
              <w:rPr>
                <w:rFonts w:eastAsia="Calibri" w:cs="Arial"/>
                <w:color w:val="373737"/>
                <w:sz w:val="16"/>
                <w:szCs w:val="16"/>
              </w:rPr>
            </w:pPr>
          </w:p>
        </w:tc>
        <w:tc>
          <w:tcPr>
            <w:tcW w:w="550" w:type="dxa"/>
            <w:shd w:val="clear" w:color="auto" w:fill="95B89B"/>
          </w:tcPr>
          <w:p w:rsidR="00DB5257" w:rsidRPr="006F5B0F" w:rsidRDefault="00AD2E14" w:rsidP="00DB5257">
            <w:pPr>
              <w:rPr>
                <w:rFonts w:eastAsia="Calibri" w:cs="Arial"/>
                <w:color w:val="373737"/>
                <w:sz w:val="16"/>
                <w:szCs w:val="16"/>
              </w:rPr>
            </w:pPr>
            <w:r>
              <w:rPr>
                <w:color w:val="373737"/>
                <w:sz w:val="16"/>
              </w:rPr>
              <w:t>x</w:t>
            </w:r>
          </w:p>
        </w:tc>
        <w:tc>
          <w:tcPr>
            <w:tcW w:w="593" w:type="dxa"/>
            <w:shd w:val="clear" w:color="auto" w:fill="D0DDCC"/>
          </w:tcPr>
          <w:p w:rsidR="00DB5257" w:rsidRPr="006F5B0F" w:rsidRDefault="00AD2E14" w:rsidP="00DB5257">
            <w:pPr>
              <w:rPr>
                <w:rFonts w:eastAsia="Calibri" w:cs="Arial"/>
                <w:color w:val="373737"/>
                <w:sz w:val="16"/>
                <w:szCs w:val="16"/>
              </w:rPr>
            </w:pPr>
            <w:r>
              <w:rPr>
                <w:color w:val="373737"/>
                <w:sz w:val="16"/>
              </w:rPr>
              <w:t>y</w:t>
            </w:r>
          </w:p>
        </w:tc>
        <w:tc>
          <w:tcPr>
            <w:tcW w:w="505" w:type="dxa"/>
            <w:shd w:val="clear" w:color="auto" w:fill="D0DDCC"/>
          </w:tcPr>
          <w:p w:rsidR="00DB5257" w:rsidRPr="006F5B0F" w:rsidRDefault="00AD2E14" w:rsidP="00DB5257">
            <w:pPr>
              <w:rPr>
                <w:rFonts w:eastAsia="Calibri" w:cs="Arial"/>
                <w:color w:val="373737"/>
                <w:sz w:val="16"/>
                <w:szCs w:val="16"/>
              </w:rPr>
            </w:pPr>
            <w:r>
              <w:rPr>
                <w:color w:val="373737"/>
                <w:sz w:val="16"/>
              </w:rPr>
              <w:t>y</w:t>
            </w:r>
          </w:p>
        </w:tc>
        <w:tc>
          <w:tcPr>
            <w:tcW w:w="549" w:type="dxa"/>
            <w:shd w:val="clear" w:color="auto" w:fill="D0DDCC"/>
          </w:tcPr>
          <w:p w:rsidR="00DB5257" w:rsidRPr="006F5B0F" w:rsidRDefault="00AD2E14" w:rsidP="00DB5257">
            <w:pPr>
              <w:rPr>
                <w:rFonts w:eastAsia="Calibri" w:cs="Arial"/>
                <w:color w:val="373737"/>
                <w:sz w:val="16"/>
                <w:szCs w:val="16"/>
              </w:rPr>
            </w:pPr>
            <w:r>
              <w:rPr>
                <w:color w:val="373737"/>
                <w:sz w:val="16"/>
              </w:rPr>
              <w:t>y</w:t>
            </w:r>
          </w:p>
        </w:tc>
        <w:tc>
          <w:tcPr>
            <w:tcW w:w="550" w:type="dxa"/>
            <w:tcBorders>
              <w:right w:val="single" w:sz="4" w:space="0" w:color="6E8967"/>
            </w:tcBorders>
            <w:shd w:val="clear" w:color="auto" w:fill="D0DDCC"/>
          </w:tcPr>
          <w:p w:rsidR="00DB5257" w:rsidRPr="006F5B0F" w:rsidRDefault="00AD2E14" w:rsidP="00DB5257">
            <w:pPr>
              <w:rPr>
                <w:rFonts w:eastAsia="Calibri" w:cs="Arial"/>
                <w:color w:val="373737"/>
                <w:sz w:val="16"/>
                <w:szCs w:val="16"/>
              </w:rPr>
            </w:pPr>
            <w:r>
              <w:rPr>
                <w:color w:val="373737"/>
                <w:sz w:val="16"/>
              </w:rPr>
              <w:t>y</w:t>
            </w:r>
          </w:p>
        </w:tc>
      </w:tr>
      <w:tr w:rsidR="00DB5257" w:rsidRPr="001C6ACF" w:rsidTr="00DB5257">
        <w:trPr>
          <w:cantSplit/>
          <w:trHeight w:val="1134"/>
          <w:jc w:val="center"/>
        </w:trPr>
        <w:tc>
          <w:tcPr>
            <w:tcW w:w="562" w:type="dxa"/>
            <w:tcBorders>
              <w:left w:val="single" w:sz="4" w:space="0" w:color="6E8967"/>
              <w:bottom w:val="single" w:sz="4" w:space="0" w:color="6E8967"/>
            </w:tcBorders>
            <w:shd w:val="clear" w:color="auto" w:fill="8BAB80"/>
            <w:textDirection w:val="btLr"/>
          </w:tcPr>
          <w:p w:rsidR="00DB5257" w:rsidRPr="006F5B0F" w:rsidRDefault="00AD2E14" w:rsidP="00DB5257">
            <w:pPr>
              <w:spacing w:line="280" w:lineRule="atLeast"/>
              <w:ind w:left="113" w:right="113"/>
              <w:jc w:val="right"/>
              <w:rPr>
                <w:rFonts w:eastAsia="Calibri" w:cs="Arial"/>
                <w:b/>
                <w:bCs/>
                <w:i/>
                <w:color w:val="FFFFFF"/>
                <w:sz w:val="16"/>
                <w:szCs w:val="16"/>
              </w:rPr>
            </w:pPr>
            <w:r>
              <w:rPr>
                <w:b/>
                <w:i/>
                <w:color w:val="FFFFFF"/>
                <w:sz w:val="16"/>
              </w:rPr>
              <w:t>Uppföljning</w:t>
            </w:r>
          </w:p>
        </w:tc>
        <w:tc>
          <w:tcPr>
            <w:tcW w:w="3402" w:type="dxa"/>
            <w:tcBorders>
              <w:bottom w:val="single" w:sz="4" w:space="0" w:color="6E8967"/>
            </w:tcBorders>
            <w:shd w:val="clear" w:color="auto" w:fill="D0DDCC"/>
          </w:tcPr>
          <w:p w:rsidR="00DB5257" w:rsidRPr="006F5B0F" w:rsidRDefault="00AD2E14" w:rsidP="00DB5257">
            <w:pPr>
              <w:rPr>
                <w:rFonts w:eastAsia="Calibri" w:cs="Arial"/>
                <w:color w:val="373737"/>
                <w:sz w:val="16"/>
                <w:szCs w:val="16"/>
              </w:rPr>
            </w:pPr>
            <w:r>
              <w:rPr>
                <w:color w:val="373737"/>
                <w:sz w:val="16"/>
              </w:rPr>
              <w:t xml:space="preserve">Hantera och följa upp slutsatser och rekommendationer från utvärderingen för att förbättra landsbygdsprogrammets utformning och genomförande. </w:t>
            </w:r>
          </w:p>
        </w:tc>
        <w:tc>
          <w:tcPr>
            <w:tcW w:w="1061" w:type="dxa"/>
            <w:tcBorders>
              <w:bottom w:val="single" w:sz="4" w:space="0" w:color="6E8967"/>
            </w:tcBorders>
            <w:shd w:val="clear" w:color="auto" w:fill="D0DDCC"/>
          </w:tcPr>
          <w:p w:rsidR="00DB5257" w:rsidRPr="006F5B0F" w:rsidRDefault="00AD2E14" w:rsidP="00DB5257">
            <w:pPr>
              <w:jc w:val="left"/>
              <w:rPr>
                <w:rFonts w:eastAsia="Calibri" w:cs="Arial"/>
                <w:color w:val="373737"/>
                <w:sz w:val="16"/>
                <w:szCs w:val="16"/>
              </w:rPr>
            </w:pPr>
            <w:r>
              <w:rPr>
                <w:color w:val="373737"/>
                <w:sz w:val="16"/>
              </w:rPr>
              <w:t xml:space="preserve">Från och med kv 2 2019 </w:t>
            </w:r>
          </w:p>
        </w:tc>
        <w:tc>
          <w:tcPr>
            <w:tcW w:w="622" w:type="dxa"/>
            <w:tcBorders>
              <w:bottom w:val="single" w:sz="4" w:space="0" w:color="6E8967"/>
            </w:tcBorders>
            <w:shd w:val="clear" w:color="auto" w:fill="95B89B"/>
          </w:tcPr>
          <w:p w:rsidR="00DB5257" w:rsidRPr="006F5B0F" w:rsidRDefault="00AD2E14" w:rsidP="00DB5257">
            <w:pPr>
              <w:rPr>
                <w:rFonts w:eastAsia="Calibri" w:cs="Arial"/>
                <w:color w:val="373737"/>
                <w:sz w:val="16"/>
                <w:szCs w:val="16"/>
              </w:rPr>
            </w:pPr>
            <w:r>
              <w:rPr>
                <w:color w:val="373737"/>
                <w:sz w:val="16"/>
              </w:rPr>
              <w:t>x</w:t>
            </w:r>
          </w:p>
        </w:tc>
        <w:tc>
          <w:tcPr>
            <w:tcW w:w="549" w:type="dxa"/>
            <w:tcBorders>
              <w:bottom w:val="single" w:sz="4" w:space="0" w:color="6E8967"/>
            </w:tcBorders>
            <w:shd w:val="clear" w:color="auto" w:fill="auto"/>
          </w:tcPr>
          <w:p w:rsidR="00DB5257" w:rsidRPr="006F5B0F" w:rsidRDefault="00DB5257" w:rsidP="00DB5257">
            <w:pPr>
              <w:rPr>
                <w:rFonts w:eastAsia="Calibri" w:cs="Arial"/>
                <w:color w:val="373737"/>
                <w:sz w:val="16"/>
                <w:szCs w:val="16"/>
              </w:rPr>
            </w:pPr>
          </w:p>
        </w:tc>
        <w:tc>
          <w:tcPr>
            <w:tcW w:w="549" w:type="dxa"/>
            <w:tcBorders>
              <w:bottom w:val="single" w:sz="4" w:space="0" w:color="6E8967"/>
            </w:tcBorders>
            <w:shd w:val="clear" w:color="auto" w:fill="auto"/>
          </w:tcPr>
          <w:p w:rsidR="00DB5257" w:rsidRPr="006F5B0F" w:rsidRDefault="00DB5257" w:rsidP="00DB5257">
            <w:pPr>
              <w:rPr>
                <w:rFonts w:eastAsia="Calibri" w:cs="Arial"/>
                <w:color w:val="373737"/>
                <w:sz w:val="16"/>
                <w:szCs w:val="16"/>
              </w:rPr>
            </w:pPr>
          </w:p>
        </w:tc>
        <w:tc>
          <w:tcPr>
            <w:tcW w:w="550" w:type="dxa"/>
            <w:tcBorders>
              <w:bottom w:val="single" w:sz="4" w:space="0" w:color="6E8967"/>
            </w:tcBorders>
            <w:shd w:val="clear" w:color="auto" w:fill="auto"/>
          </w:tcPr>
          <w:p w:rsidR="00DB5257" w:rsidRPr="006F5B0F" w:rsidRDefault="00DB5257" w:rsidP="00DB5257">
            <w:pPr>
              <w:rPr>
                <w:rFonts w:eastAsia="Calibri" w:cs="Arial"/>
                <w:color w:val="373737"/>
                <w:sz w:val="16"/>
                <w:szCs w:val="16"/>
              </w:rPr>
            </w:pPr>
          </w:p>
        </w:tc>
        <w:tc>
          <w:tcPr>
            <w:tcW w:w="593" w:type="dxa"/>
            <w:tcBorders>
              <w:bottom w:val="single" w:sz="4" w:space="0" w:color="6E8967"/>
            </w:tcBorders>
            <w:shd w:val="clear" w:color="auto" w:fill="auto"/>
          </w:tcPr>
          <w:p w:rsidR="00DB5257" w:rsidRPr="006F5B0F" w:rsidRDefault="00DB5257" w:rsidP="00DB5257">
            <w:pPr>
              <w:rPr>
                <w:rFonts w:eastAsia="Calibri" w:cs="Arial"/>
                <w:color w:val="373737"/>
                <w:sz w:val="16"/>
                <w:szCs w:val="16"/>
              </w:rPr>
            </w:pPr>
          </w:p>
        </w:tc>
        <w:tc>
          <w:tcPr>
            <w:tcW w:w="505" w:type="dxa"/>
            <w:tcBorders>
              <w:bottom w:val="single" w:sz="4" w:space="0" w:color="6E8967"/>
            </w:tcBorders>
            <w:shd w:val="clear" w:color="auto" w:fill="auto"/>
          </w:tcPr>
          <w:p w:rsidR="00DB5257" w:rsidRPr="006F5B0F" w:rsidRDefault="00DB5257" w:rsidP="00DB5257">
            <w:pPr>
              <w:rPr>
                <w:rFonts w:eastAsia="Calibri" w:cs="Arial"/>
                <w:color w:val="373737"/>
                <w:sz w:val="16"/>
                <w:szCs w:val="16"/>
              </w:rPr>
            </w:pPr>
          </w:p>
        </w:tc>
        <w:tc>
          <w:tcPr>
            <w:tcW w:w="549" w:type="dxa"/>
            <w:tcBorders>
              <w:bottom w:val="single" w:sz="4" w:space="0" w:color="6E8967"/>
            </w:tcBorders>
            <w:shd w:val="clear" w:color="auto" w:fill="D0DDCC"/>
          </w:tcPr>
          <w:p w:rsidR="00DB5257" w:rsidRPr="006F5B0F" w:rsidRDefault="00AD2E14" w:rsidP="00DB5257">
            <w:pPr>
              <w:rPr>
                <w:rFonts w:eastAsia="Calibri" w:cs="Arial"/>
                <w:color w:val="373737"/>
                <w:sz w:val="16"/>
                <w:szCs w:val="16"/>
              </w:rPr>
            </w:pPr>
            <w:r>
              <w:rPr>
                <w:color w:val="373737"/>
                <w:sz w:val="16"/>
              </w:rPr>
              <w:t>y</w:t>
            </w:r>
          </w:p>
        </w:tc>
        <w:tc>
          <w:tcPr>
            <w:tcW w:w="550" w:type="dxa"/>
            <w:tcBorders>
              <w:bottom w:val="single" w:sz="4" w:space="0" w:color="6E8967"/>
              <w:right w:val="single" w:sz="4" w:space="0" w:color="6E8967"/>
            </w:tcBorders>
            <w:shd w:val="clear" w:color="auto" w:fill="D0DDCC"/>
          </w:tcPr>
          <w:p w:rsidR="00DB5257" w:rsidRPr="006F5B0F" w:rsidRDefault="00AD2E14" w:rsidP="00DB5257">
            <w:pPr>
              <w:rPr>
                <w:rFonts w:eastAsia="Calibri" w:cs="Arial"/>
                <w:color w:val="373737"/>
                <w:sz w:val="16"/>
                <w:szCs w:val="16"/>
              </w:rPr>
            </w:pPr>
            <w:r>
              <w:rPr>
                <w:color w:val="373737"/>
                <w:sz w:val="16"/>
              </w:rPr>
              <w:t>y</w:t>
            </w:r>
          </w:p>
        </w:tc>
      </w:tr>
    </w:tbl>
    <w:p w:rsidR="00DB5257" w:rsidRPr="001C6ACF" w:rsidRDefault="00DB5257" w:rsidP="00DB5257">
      <w:pPr>
        <w:pStyle w:val="HStandard"/>
      </w:pPr>
    </w:p>
    <w:p w:rsidR="00D27C24" w:rsidRDefault="00D27C24" w:rsidP="00DB5257">
      <w:pPr>
        <w:pStyle w:val="HStandard"/>
        <w:sectPr w:rsidR="00D27C24" w:rsidSect="00DB5257">
          <w:footerReference w:type="default" r:id="rId30"/>
          <w:footerReference w:type="first" r:id="rId31"/>
          <w:pgSz w:w="11906" w:h="16838" w:code="9"/>
          <w:pgMar w:top="1440" w:right="1440" w:bottom="1134" w:left="1440" w:header="567" w:footer="737" w:gutter="0"/>
          <w:pgNumType w:start="1"/>
          <w:cols w:space="708"/>
          <w:titlePg/>
          <w:docGrid w:linePitch="360"/>
        </w:sectPr>
      </w:pPr>
    </w:p>
    <w:p w:rsidR="00DB5257" w:rsidRPr="001C6ACF" w:rsidRDefault="00AD2E14" w:rsidP="00DB5257">
      <w:pPr>
        <w:pStyle w:val="HHeading1"/>
        <w:tabs>
          <w:tab w:val="clear" w:pos="474"/>
          <w:tab w:val="clear" w:pos="567"/>
        </w:tabs>
        <w:rPr>
          <w:sz w:val="28"/>
        </w:rPr>
      </w:pPr>
      <w:r>
        <w:rPr>
          <w:sz w:val="28"/>
        </w:rPr>
        <w:lastRenderedPageBreak/>
        <w:t xml:space="preserve">Metoder för att bedöma landsbygdsprogrammens effekter 2019 </w:t>
      </w:r>
      <w:r>
        <w:br/>
      </w:r>
      <w:r>
        <w:rPr>
          <w:sz w:val="28"/>
        </w:rPr>
        <w:t>(DEL II)</w:t>
      </w:r>
    </w:p>
    <w:p w:rsidR="00DB5257" w:rsidRPr="00571D58" w:rsidRDefault="00F02B64" w:rsidP="00DB5257">
      <w:pPr>
        <w:pStyle w:val="HStandard"/>
      </w:pPr>
      <w:r>
        <w:rPr>
          <w:b/>
          <w:noProof/>
          <w:lang w:val="en-GB" w:eastAsia="en-GB"/>
        </w:rPr>
        <mc:AlternateContent>
          <mc:Choice Requires="wps">
            <w:drawing>
              <wp:inline distT="0" distB="0" distL="0" distR="0">
                <wp:extent cx="5695950" cy="1582309"/>
                <wp:effectExtent l="0" t="0" r="19050" b="18415"/>
                <wp:docPr id="44" name="Rectangle: Diagonal Corners Rounded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5950" cy="1582309"/>
                        </a:xfrm>
                        <a:custGeom>
                          <a:avLst/>
                          <a:gdLst>
                            <a:gd name="T0" fmla="*/ 254411 w 5695950"/>
                            <a:gd name="T1" fmla="*/ 0 h 1464319"/>
                            <a:gd name="T2" fmla="*/ 5695950 w 5695950"/>
                            <a:gd name="T3" fmla="*/ 0 h 1464319"/>
                            <a:gd name="T4" fmla="*/ 5695950 w 5695950"/>
                            <a:gd name="T5" fmla="*/ 0 h 1464319"/>
                            <a:gd name="T6" fmla="*/ 5695950 w 5695950"/>
                            <a:gd name="T7" fmla="*/ 1209901 h 1464319"/>
                            <a:gd name="T8" fmla="*/ 5441539 w 5695950"/>
                            <a:gd name="T9" fmla="*/ 1464310 h 1464319"/>
                            <a:gd name="T10" fmla="*/ 0 w 5695950"/>
                            <a:gd name="T11" fmla="*/ 1464310 h 1464319"/>
                            <a:gd name="T12" fmla="*/ 0 w 5695950"/>
                            <a:gd name="T13" fmla="*/ 1464310 h 1464319"/>
                            <a:gd name="T14" fmla="*/ 0 w 5695950"/>
                            <a:gd name="T15" fmla="*/ 254409 h 1464319"/>
                            <a:gd name="T16" fmla="*/ 254411 w 5695950"/>
                            <a:gd name="T17" fmla="*/ 0 h 14643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695950"/>
                            <a:gd name="T28" fmla="*/ 0 h 1464319"/>
                            <a:gd name="T29" fmla="*/ 5695950 w 5695950"/>
                            <a:gd name="T30" fmla="*/ 1464319 h 146431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695950" h="1464319">
                              <a:moveTo>
                                <a:pt x="254411" y="0"/>
                              </a:moveTo>
                              <a:lnTo>
                                <a:pt x="5695950" y="0"/>
                              </a:lnTo>
                              <a:lnTo>
                                <a:pt x="5695950" y="1209908"/>
                              </a:lnTo>
                              <a:cubicBezTo>
                                <a:pt x="5695950" y="1350415"/>
                                <a:pt x="5582046" y="1464319"/>
                                <a:pt x="5441539" y="1464319"/>
                              </a:cubicBezTo>
                              <a:lnTo>
                                <a:pt x="0" y="1464319"/>
                              </a:lnTo>
                              <a:lnTo>
                                <a:pt x="0" y="254411"/>
                              </a:lnTo>
                              <a:cubicBezTo>
                                <a:pt x="0" y="113904"/>
                                <a:pt x="113904" y="0"/>
                                <a:pt x="254411" y="0"/>
                              </a:cubicBezTo>
                              <a:close/>
                            </a:path>
                          </a:pathLst>
                        </a:custGeom>
                        <a:noFill/>
                        <a:ln w="25400">
                          <a:solidFill>
                            <a:srgbClr val="8BAB80"/>
                          </a:solidFill>
                          <a:miter lim="800000"/>
                          <a:headEnd/>
                          <a:tailEnd/>
                        </a:ln>
                        <a:extLst>
                          <a:ext uri="{909E8E84-426E-40DD-AFC4-6F175D3DCCD1}">
                            <a14:hiddenFill xmlns:a14="http://schemas.microsoft.com/office/drawing/2010/main">
                              <a:solidFill>
                                <a:srgbClr val="FFFFFF"/>
                              </a:solidFill>
                            </a14:hiddenFill>
                          </a:ext>
                        </a:extLst>
                      </wps:spPr>
                      <wps:txbx>
                        <w:txbxContent>
                          <w:p w:rsidR="00DB5257" w:rsidRPr="006F5B0F" w:rsidRDefault="00DB5257" w:rsidP="00DB5257">
                            <w:pPr>
                              <w:pStyle w:val="Normal12PTcouleurgris"/>
                              <w:rPr>
                                <w:rStyle w:val="HStandardCar"/>
                                <w:color w:val="292929"/>
                              </w:rPr>
                            </w:pPr>
                            <w:r>
                              <w:rPr>
                                <w:noProof/>
                                <w:sz w:val="18"/>
                                <w:lang w:val="en-GB" w:eastAsia="en-GB"/>
                              </w:rPr>
                              <w:drawing>
                                <wp:inline distT="0" distB="0" distL="0" distR="0">
                                  <wp:extent cx="581025" cy="542925"/>
                                  <wp:effectExtent l="0" t="0" r="9525"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l="12991" r="21271"/>
                                          <a:stretch>
                                            <a:fillRect/>
                                          </a:stretch>
                                        </pic:blipFill>
                                        <pic:spPr bwMode="auto">
                                          <a:xfrm>
                                            <a:off x="0" y="0"/>
                                            <a:ext cx="581025" cy="542925"/>
                                          </a:xfrm>
                                          <a:prstGeom prst="rect">
                                            <a:avLst/>
                                          </a:prstGeom>
                                          <a:noFill/>
                                          <a:ln>
                                            <a:noFill/>
                                          </a:ln>
                                        </pic:spPr>
                                      </pic:pic>
                                    </a:graphicData>
                                  </a:graphic>
                                </wp:inline>
                              </w:drawing>
                            </w:r>
                            <w:r>
                              <w:rPr>
                                <w:rStyle w:val="HStandardCar"/>
                                <w:b/>
                                <w:color w:val="F07E31"/>
                                <w:sz w:val="20"/>
                              </w:rPr>
                              <w:t xml:space="preserve">DEL </w:t>
                            </w:r>
                            <w:r>
                              <w:rPr>
                                <w:rStyle w:val="HStandardCar"/>
                                <w:b/>
                                <w:color w:val="F07E31"/>
                                <w:sz w:val="20"/>
                              </w:rPr>
                              <w:t>II</w:t>
                            </w:r>
                            <w:r>
                              <w:rPr>
                                <w:rStyle w:val="HStandardCar"/>
                                <w:color w:val="F07E31"/>
                                <w:sz w:val="20"/>
                              </w:rPr>
                              <w:t xml:space="preserve"> </w:t>
                            </w:r>
                            <w:r>
                              <w:rPr>
                                <w:rStyle w:val="HStandardCar"/>
                                <w:color w:val="292929"/>
                                <w:sz w:val="20"/>
                              </w:rPr>
                              <w:t xml:space="preserve">av de icke-bindande riktlinjerna </w:t>
                            </w:r>
                            <w:r w:rsidR="007F553D">
                              <w:rPr>
                                <w:rStyle w:val="HStandardCar"/>
                                <w:color w:val="292929"/>
                                <w:sz w:val="20"/>
                              </w:rPr>
                              <w:t xml:space="preserve">Bedömning av resultat och effekter av landsbygdsprogrammet </w:t>
                            </w:r>
                            <w:r>
                              <w:rPr>
                                <w:rStyle w:val="HStandardCar"/>
                                <w:color w:val="292929"/>
                                <w:sz w:val="20"/>
                              </w:rPr>
                              <w:t xml:space="preserve">2019 ska läsas tillsammans med </w:t>
                            </w:r>
                            <w:r>
                              <w:rPr>
                                <w:rStyle w:val="HStandardCar"/>
                                <w:b/>
                                <w:color w:val="F07E31"/>
                                <w:sz w:val="20"/>
                              </w:rPr>
                              <w:t>DEL III</w:t>
                            </w:r>
                            <w:r>
                              <w:rPr>
                                <w:rStyle w:val="HStandardCar"/>
                                <w:color w:val="F07E31"/>
                                <w:sz w:val="20"/>
                              </w:rPr>
                              <w:t xml:space="preserve"> </w:t>
                            </w:r>
                            <w:r>
                              <w:rPr>
                                <w:rStyle w:val="HStandardCar"/>
                                <w:color w:val="292929"/>
                                <w:sz w:val="20"/>
                              </w:rPr>
                              <w:t xml:space="preserve">(Informationsblad för att svara på de gemensamma utvärderingsfrågorna 22–30) och </w:t>
                            </w:r>
                            <w:r>
                              <w:rPr>
                                <w:rStyle w:val="HStandardCar"/>
                                <w:b/>
                                <w:color w:val="F07E31"/>
                                <w:sz w:val="20"/>
                              </w:rPr>
                              <w:t xml:space="preserve">DEL IV </w:t>
                            </w:r>
                            <w:r>
                              <w:rPr>
                                <w:rStyle w:val="HStandardCar"/>
                                <w:color w:val="292929"/>
                                <w:sz w:val="20"/>
                              </w:rPr>
                              <w:t xml:space="preserve">(teknisk bilaga) som innehåller kompletterande information för föreslagna utvärderingsmetoder, exempel på kompletterande indikatorer, detaljerad beskrivning av arbetssteg, de föreslagna utvärderingsmetodernas </w:t>
                            </w:r>
                            <w:r w:rsidR="00B663C6">
                              <w:rPr>
                                <w:rStyle w:val="HStandardCar"/>
                                <w:color w:val="292929"/>
                                <w:sz w:val="20"/>
                              </w:rPr>
                              <w:t>lämplighet</w:t>
                            </w:r>
                            <w:r>
                              <w:rPr>
                                <w:rStyle w:val="HStandardCar"/>
                                <w:color w:val="292929"/>
                                <w:sz w:val="20"/>
                              </w:rPr>
                              <w:t xml:space="preserve">, </w:t>
                            </w:r>
                            <w:r w:rsidR="00F5678E">
                              <w:rPr>
                                <w:rStyle w:val="HStandardCar"/>
                                <w:color w:val="292929"/>
                                <w:sz w:val="20"/>
                              </w:rPr>
                              <w:t xml:space="preserve">vad man bör göra och inte göra </w:t>
                            </w:r>
                            <w:r>
                              <w:rPr>
                                <w:rStyle w:val="HStandardCar"/>
                                <w:color w:val="292929"/>
                                <w:sz w:val="20"/>
                              </w:rPr>
                              <w:t xml:space="preserve">samt </w:t>
                            </w:r>
                            <w:r w:rsidR="00F5678E">
                              <w:rPr>
                                <w:rStyle w:val="HStandardCar"/>
                                <w:color w:val="292929"/>
                                <w:sz w:val="20"/>
                              </w:rPr>
                              <w:t xml:space="preserve">en </w:t>
                            </w:r>
                            <w:r>
                              <w:rPr>
                                <w:rStyle w:val="HStandardCar"/>
                                <w:color w:val="292929"/>
                                <w:sz w:val="20"/>
                              </w:rPr>
                              <w:t>ordlista.</w:t>
                            </w:r>
                          </w:p>
                        </w:txbxContent>
                      </wps:txbx>
                      <wps:bodyPr rot="0" vert="horz" wrap="square" lIns="91440" tIns="45720" rIns="91440" bIns="45720" anchor="ctr" anchorCtr="0" upright="1">
                        <a:noAutofit/>
                      </wps:bodyPr>
                    </wps:wsp>
                  </a:graphicData>
                </a:graphic>
              </wp:inline>
            </w:drawing>
          </mc:Choice>
          <mc:Fallback>
            <w:pict>
              <v:shape id="Rectangle: Diagonal Corners Rounded 48" o:spid="_x0000_s1029" style="width:448.5pt;height:124.6pt;visibility:visible;mso-wrap-style:square;mso-left-percent:-10001;mso-top-percent:-10001;mso-position-horizontal:absolute;mso-position-horizontal-relative:char;mso-position-vertical:absolute;mso-position-vertical-relative:line;mso-left-percent:-10001;mso-top-percent:-10001;v-text-anchor:middle" coordsize="5695950,14643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" adj="-11796480,,5400" path="m254411,l5695950,r,1209908c5695950,1350415,5582046,1464319,5441539,1464319l,1464319,,254411c,113904,113904,,254411,xe" filled="f" strokecolor="#8bab80" strokeweight="2pt">
                <v:stroke joinstyle="miter"/>
                <v:formulas/>
                <v:path arrowok="t" o:connecttype="custom" o:connectlocs="254411,0;5695950,0;5695950,0;5695950,1307391;5441539,1582299;0,1582299;0,1582299;0,274908;254411,0" o:connectangles="0,0,0,0,0,0,0,0,0" textboxrect="0,0,5695950,1464319"/>
                <v:textbox>
                  <w:txbxContent>
                    <w:p w:rsidR="00DB5257" w:rsidRPr="006F5B0F" w:rsidRDefault="00DB5257" w:rsidP="00DB5257">
                      <w:pPr>
                        <w:pStyle w:val="Normal12PTcouleurgris"/>
                        <w:rPr>
                          <w:rStyle w:val="HStandardCar"/>
                          <w:color w:val="292929"/>
                        </w:rPr>
                      </w:pPr>
                      <w:r>
                        <w:rPr>
                          <w:noProof/>
                          <w:sz w:val="18"/>
                          <w:lang w:val="en-GB" w:eastAsia="en-GB"/>
                        </w:rPr>
                        <w:drawing>
                          <wp:inline distT="0" distB="0" distL="0" distR="0">
                            <wp:extent cx="581025" cy="542925"/>
                            <wp:effectExtent l="0" t="0" r="9525"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l="12991" r="21271"/>
                                    <a:stretch>
                                      <a:fillRect/>
                                    </a:stretch>
                                  </pic:blipFill>
                                  <pic:spPr bwMode="auto">
                                    <a:xfrm>
                                      <a:off x="0" y="0"/>
                                      <a:ext cx="581025" cy="542925"/>
                                    </a:xfrm>
                                    <a:prstGeom prst="rect">
                                      <a:avLst/>
                                    </a:prstGeom>
                                    <a:noFill/>
                                    <a:ln>
                                      <a:noFill/>
                                    </a:ln>
                                  </pic:spPr>
                                </pic:pic>
                              </a:graphicData>
                            </a:graphic>
                          </wp:inline>
                        </w:drawing>
                      </w:r>
                      <w:r>
                        <w:rPr>
                          <w:rStyle w:val="HStandardCar"/>
                          <w:b/>
                          <w:color w:val="F07E31"/>
                          <w:sz w:val="20"/>
                        </w:rPr>
                        <w:t xml:space="preserve">DEL </w:t>
                      </w:r>
                      <w:r>
                        <w:rPr>
                          <w:rStyle w:val="HStandardCar"/>
                          <w:b/>
                          <w:color w:val="F07E31"/>
                          <w:sz w:val="20"/>
                        </w:rPr>
                        <w:t>II</w:t>
                      </w:r>
                      <w:r>
                        <w:rPr>
                          <w:rStyle w:val="HStandardCar"/>
                          <w:color w:val="F07E31"/>
                          <w:sz w:val="20"/>
                        </w:rPr>
                        <w:t xml:space="preserve"> </w:t>
                      </w:r>
                      <w:r>
                        <w:rPr>
                          <w:rStyle w:val="HStandardCar"/>
                          <w:color w:val="292929"/>
                          <w:sz w:val="20"/>
                        </w:rPr>
                        <w:t xml:space="preserve">av de icke-bindande riktlinjerna </w:t>
                      </w:r>
                      <w:r w:rsidR="007F553D">
                        <w:rPr>
                          <w:rStyle w:val="HStandardCar"/>
                          <w:color w:val="292929"/>
                          <w:sz w:val="20"/>
                        </w:rPr>
                        <w:t xml:space="preserve">Bedömning av resultat och effekter av landsbygdsprogrammet </w:t>
                      </w:r>
                      <w:r>
                        <w:rPr>
                          <w:rStyle w:val="HStandardCar"/>
                          <w:color w:val="292929"/>
                          <w:sz w:val="20"/>
                        </w:rPr>
                        <w:t xml:space="preserve">2019 ska läsas tillsammans med </w:t>
                      </w:r>
                      <w:r>
                        <w:rPr>
                          <w:rStyle w:val="HStandardCar"/>
                          <w:b/>
                          <w:color w:val="F07E31"/>
                          <w:sz w:val="20"/>
                        </w:rPr>
                        <w:t>DEL III</w:t>
                      </w:r>
                      <w:r>
                        <w:rPr>
                          <w:rStyle w:val="HStandardCar"/>
                          <w:color w:val="F07E31"/>
                          <w:sz w:val="20"/>
                        </w:rPr>
                        <w:t xml:space="preserve"> </w:t>
                      </w:r>
                      <w:r>
                        <w:rPr>
                          <w:rStyle w:val="HStandardCar"/>
                          <w:color w:val="292929"/>
                          <w:sz w:val="20"/>
                        </w:rPr>
                        <w:t xml:space="preserve">(Informationsblad för att svara på de gemensamma utvärderingsfrågorna 22–30) och </w:t>
                      </w:r>
                      <w:r>
                        <w:rPr>
                          <w:rStyle w:val="HStandardCar"/>
                          <w:b/>
                          <w:color w:val="F07E31"/>
                          <w:sz w:val="20"/>
                        </w:rPr>
                        <w:t xml:space="preserve">DEL IV </w:t>
                      </w:r>
                      <w:r>
                        <w:rPr>
                          <w:rStyle w:val="HStandardCar"/>
                          <w:color w:val="292929"/>
                          <w:sz w:val="20"/>
                        </w:rPr>
                        <w:t xml:space="preserve">(teknisk bilaga) som innehåller kompletterande information för föreslagna utvärderingsmetoder, exempel på kompletterande indikatorer, detaljerad beskrivning av arbetssteg, de föreslagna utvärderingsmetodernas </w:t>
                      </w:r>
                      <w:r w:rsidR="00B663C6">
                        <w:rPr>
                          <w:rStyle w:val="HStandardCar"/>
                          <w:color w:val="292929"/>
                          <w:sz w:val="20"/>
                        </w:rPr>
                        <w:t>lämplighet</w:t>
                      </w:r>
                      <w:r>
                        <w:rPr>
                          <w:rStyle w:val="HStandardCar"/>
                          <w:color w:val="292929"/>
                          <w:sz w:val="20"/>
                        </w:rPr>
                        <w:t xml:space="preserve">, </w:t>
                      </w:r>
                      <w:r w:rsidR="00F5678E">
                        <w:rPr>
                          <w:rStyle w:val="HStandardCar"/>
                          <w:color w:val="292929"/>
                          <w:sz w:val="20"/>
                        </w:rPr>
                        <w:t xml:space="preserve">vad man bör göra och inte göra </w:t>
                      </w:r>
                      <w:r>
                        <w:rPr>
                          <w:rStyle w:val="HStandardCar"/>
                          <w:color w:val="292929"/>
                          <w:sz w:val="20"/>
                        </w:rPr>
                        <w:t xml:space="preserve">samt </w:t>
                      </w:r>
                      <w:r w:rsidR="00F5678E">
                        <w:rPr>
                          <w:rStyle w:val="HStandardCar"/>
                          <w:color w:val="292929"/>
                          <w:sz w:val="20"/>
                        </w:rPr>
                        <w:t xml:space="preserve">en </w:t>
                      </w:r>
                      <w:r>
                        <w:rPr>
                          <w:rStyle w:val="HStandardCar"/>
                          <w:color w:val="292929"/>
                          <w:sz w:val="20"/>
                        </w:rPr>
                        <w:t>ordlista.</w:t>
                      </w:r>
                    </w:p>
                  </w:txbxContent>
                </v:textbox>
                <w10:anchorlock/>
              </v:shape>
            </w:pict>
          </mc:Fallback>
        </mc:AlternateContent>
      </w:r>
    </w:p>
    <w:p w:rsidR="00DB5257" w:rsidRPr="007645B4" w:rsidRDefault="00AD2E14" w:rsidP="00DB5257">
      <w:pPr>
        <w:pStyle w:val="HHeading2"/>
        <w:tabs>
          <w:tab w:val="clear" w:pos="360"/>
          <w:tab w:val="clear" w:pos="567"/>
        </w:tabs>
      </w:pPr>
      <w:r>
        <w:t>Välja lämpliga utvärderingsmetoder för bedömningen av effekterna av landsbygdsprogrammen</w:t>
      </w:r>
    </w:p>
    <w:p w:rsidR="00DB5257" w:rsidRPr="001C6ACF" w:rsidRDefault="00AD2E14" w:rsidP="00DB5257">
      <w:pPr>
        <w:pStyle w:val="HStandard"/>
        <w:rPr>
          <w:rFonts w:cs="Arial"/>
        </w:rPr>
      </w:pPr>
      <w:r>
        <w:t xml:space="preserve">Bedömningen och beräkningen av nettobidraget för de gemensamma effektindikatorerna i GJP:s pelare II under 2019 är en utmaning som leder till </w:t>
      </w:r>
      <w:r>
        <w:rPr>
          <w:b/>
        </w:rPr>
        <w:t>flera frågor</w:t>
      </w:r>
      <w:r>
        <w:t xml:space="preserve">: </w:t>
      </w:r>
    </w:p>
    <w:p w:rsidR="00DB5257" w:rsidRPr="001C6ACF" w:rsidRDefault="00AD2E14" w:rsidP="00DB5257">
      <w:pPr>
        <w:pStyle w:val="Hlistbullet"/>
      </w:pPr>
      <w:r>
        <w:t xml:space="preserve">Hur kan förändringarna som observerats på landsbygden hänföras till landsbygdsprogrammets </w:t>
      </w:r>
      <w:r w:rsidR="00EE21E1">
        <w:t xml:space="preserve">insatser </w:t>
      </w:r>
      <w:r>
        <w:t xml:space="preserve">och vilka utvärderingsmetoder ska användas i detta syfte? </w:t>
      </w:r>
    </w:p>
    <w:p w:rsidR="00DB5257" w:rsidRPr="001C6ACF" w:rsidRDefault="00AD2E14" w:rsidP="00DB5257">
      <w:pPr>
        <w:pStyle w:val="Hlistbullet"/>
      </w:pPr>
      <w:r>
        <w:t xml:space="preserve">Vilka uppgifter från befintliga källor (t.ex. övervakning, EU, nationella och regionala databaser) ska användas </w:t>
      </w:r>
      <w:r w:rsidR="00920AAC">
        <w:t xml:space="preserve">som underlag för </w:t>
      </w:r>
      <w:r>
        <w:t xml:space="preserve">den föreslagna utvärderingsmetoden? </w:t>
      </w:r>
    </w:p>
    <w:p w:rsidR="00DB5257" w:rsidRPr="001C6ACF" w:rsidRDefault="00AD2E14" w:rsidP="00DB5257">
      <w:pPr>
        <w:pStyle w:val="Hlistbullet"/>
      </w:pPr>
      <w:r>
        <w:t xml:space="preserve">Hur ska arbetet samordnas med olika uppgiftslämnare? </w:t>
      </w:r>
    </w:p>
    <w:p w:rsidR="00DB5257" w:rsidRPr="001C6ACF" w:rsidRDefault="00AD2E14" w:rsidP="00DB5257">
      <w:pPr>
        <w:pStyle w:val="Hlistbullet"/>
      </w:pPr>
      <w:r>
        <w:t xml:space="preserve">Hur kan uppgifternas kvalitet säkerställas och hur överbryggas bristande uppgifter? </w:t>
      </w:r>
    </w:p>
    <w:p w:rsidR="00DB5257" w:rsidRPr="001C6ACF" w:rsidRDefault="00AD2E14" w:rsidP="00DB5257">
      <w:pPr>
        <w:pStyle w:val="HHeading3"/>
      </w:pPr>
      <w:r>
        <w:t>Hur kan logiska modeller användas för att fastställa vilka utvärderingsmetoder som är lämpliga?</w:t>
      </w:r>
    </w:p>
    <w:p w:rsidR="00DB5257" w:rsidRPr="001C6ACF" w:rsidRDefault="00F02B64" w:rsidP="00DB5257">
      <w:pPr>
        <w:pStyle w:val="HStandard"/>
      </w:pPr>
      <w:r>
        <w:rPr>
          <w:noProof/>
          <w:lang w:val="en-GB" w:eastAsia="en-GB"/>
        </w:rPr>
        <mc:AlternateContent>
          <mc:Choice Requires="wps">
            <w:drawing>
              <wp:anchor distT="0" distB="0" distL="114300" distR="114300" simplePos="0" relativeHeight="251663872" behindDoc="1" locked="0" layoutInCell="1" allowOverlap="1">
                <wp:simplePos x="0" y="0"/>
                <wp:positionH relativeFrom="margin">
                  <wp:align>right</wp:align>
                </wp:positionH>
                <wp:positionV relativeFrom="paragraph">
                  <wp:posOffset>35560</wp:posOffset>
                </wp:positionV>
                <wp:extent cx="2447925" cy="1987550"/>
                <wp:effectExtent l="0" t="0" r="28575" b="12700"/>
                <wp:wrapTight wrapText="bothSides">
                  <wp:wrapPolygon edited="0">
                    <wp:start x="672" y="0"/>
                    <wp:lineTo x="0" y="828"/>
                    <wp:lineTo x="0" y="21531"/>
                    <wp:lineTo x="21180" y="21531"/>
                    <wp:lineTo x="21684" y="20703"/>
                    <wp:lineTo x="21684" y="0"/>
                    <wp:lineTo x="672" y="0"/>
                  </wp:wrapPolygon>
                </wp:wrapTight>
                <wp:docPr id="933"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1987826"/>
                        </a:xfrm>
                        <a:prstGeom prst="round2DiagRect">
                          <a:avLst>
                            <a:gd name="adj1" fmla="val 8733"/>
                            <a:gd name="adj2" fmla="val 0"/>
                          </a:avLst>
                        </a:prstGeom>
                        <a:noFill/>
                        <a:ln w="25400" cap="flat" cmpd="sng" algn="ctr">
                          <a:solidFill>
                            <a:srgbClr val="BE4A35"/>
                          </a:solidFill>
                          <a:prstDash val="solid"/>
                        </a:ln>
                        <a:effectLst/>
                      </wps:spPr>
                      <wps:txbx>
                        <w:txbxContent>
                          <w:p w:rsidR="00DB5257" w:rsidRPr="006F5B0F" w:rsidRDefault="00DB5257" w:rsidP="00DB5257">
                            <w:pPr>
                              <w:pStyle w:val="HHeading4"/>
                              <w:spacing w:before="0"/>
                              <w:jc w:val="both"/>
                              <w:rPr>
                                <w:i/>
                                <w:color w:val="F07E31"/>
                                <w:sz w:val="18"/>
                              </w:rPr>
                            </w:pPr>
                            <w:r>
                              <w:rPr>
                                <w:b w:val="0"/>
                                <w:noProof/>
                                <w:lang w:val="en-GB" w:eastAsia="en-GB"/>
                              </w:rPr>
                              <w:drawing>
                                <wp:inline distT="0" distB="0" distL="0" distR="0">
                                  <wp:extent cx="666750" cy="485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750" cy="485775"/>
                                          </a:xfrm>
                                          <a:prstGeom prst="rect">
                                            <a:avLst/>
                                          </a:prstGeom>
                                          <a:noFill/>
                                          <a:ln>
                                            <a:noFill/>
                                          </a:ln>
                                        </pic:spPr>
                                      </pic:pic>
                                    </a:graphicData>
                                  </a:graphic>
                                </wp:inline>
                              </w:drawing>
                            </w:r>
                            <w:r>
                              <w:t xml:space="preserve"> </w:t>
                            </w:r>
                            <w:r>
                              <w:rPr>
                                <w:color w:val="373737"/>
                              </w:rPr>
                              <w:t xml:space="preserve">Logiska modeller </w:t>
                            </w:r>
                            <w:r>
                              <w:rPr>
                                <w:b w:val="0"/>
                                <w:color w:val="373737"/>
                              </w:rPr>
                              <w:t>är beslutsträd som kan fungera som hjälp för aktörer i utformningen av en (kontrafaktisk) utvärderingsmetod och för att välja de lämpligaste metoderna sett till tillgängliga uppgifter och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0" style="position:absolute;left:0;text-align:left;margin-left:141.55pt;margin-top:2.8pt;width:192.75pt;height:156.5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coordsize="2447925,198782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" adj="-11796480,,5400" path="m173597,l2447925,r,l2447925,1814229v,95875,-77722,173597,-173597,173597l,1987826r,l,173597c,77722,77722,,173597,xe" filled="f" strokecolor="#be4a35" strokeweight="2pt">
                <v:stroke joinstyle="miter"/>
                <v:formulas/>
                <v:path arrowok="t" o:connecttype="custom" o:connectlocs="173597,0;2447925,0;2447925,0;2447925,1814229;2274328,1987826;0,1987826;0,1987826;0,173597;173597,0" o:connectangles="0,0,0,0,0,0,0,0,0" textboxrect="0,0,2447925,1987826"/>
                <v:textbox>
                  <w:txbxContent>
                    <w:p w:rsidR="00DB5257" w:rsidRPr="006F5B0F" w:rsidRDefault="00DB5257" w:rsidP="00DB5257">
                      <w:pPr>
                        <w:pStyle w:val="HHeading4"/>
                        <w:spacing w:before="0"/>
                        <w:jc w:val="both"/>
                        <w:rPr>
                          <w:i/>
                          <w:color w:val="F07E31"/>
                          <w:sz w:val="18"/>
                        </w:rPr>
                      </w:pPr>
                      <w:r>
                        <w:rPr>
                          <w:b w:val="0"/>
                          <w:noProof/>
                          <w:lang w:val="en-GB" w:eastAsia="en-GB"/>
                        </w:rPr>
                        <w:drawing>
                          <wp:inline distT="0" distB="0" distL="0" distR="0">
                            <wp:extent cx="666750" cy="485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750" cy="485775"/>
                                    </a:xfrm>
                                    <a:prstGeom prst="rect">
                                      <a:avLst/>
                                    </a:prstGeom>
                                    <a:noFill/>
                                    <a:ln>
                                      <a:noFill/>
                                    </a:ln>
                                  </pic:spPr>
                                </pic:pic>
                              </a:graphicData>
                            </a:graphic>
                          </wp:inline>
                        </w:drawing>
                      </w:r>
                      <w:r>
                        <w:t xml:space="preserve"> </w:t>
                      </w:r>
                      <w:r>
                        <w:rPr>
                          <w:color w:val="373737"/>
                        </w:rPr>
                        <w:t xml:space="preserve">Logiska modeller </w:t>
                      </w:r>
                      <w:r>
                        <w:rPr>
                          <w:b w:val="0"/>
                          <w:color w:val="373737"/>
                        </w:rPr>
                        <w:t>är beslutsträd som kan fungera som hjälp för aktörer i utformningen av en (kontrafaktisk) utvärderingsmetod och för att välja de lämpligaste metoderna sett till tillgängliga uppgifter och information.</w:t>
                      </w:r>
                    </w:p>
                  </w:txbxContent>
                </v:textbox>
                <w10:wrap type="tight" anchorx="margin"/>
              </v:shape>
            </w:pict>
          </mc:Fallback>
        </mc:AlternateContent>
      </w:r>
      <w:r w:rsidR="00AD2E14">
        <w:t xml:space="preserve">Logiska modeller kan leda utvärderaren till nya metoder, bättre planering för insamling av uppgifter och för att inleda ett handläggningsförfarande med metoder som inte är lika beroende av tillgängliga uppgifter (t.ex. kvalitativa metoder). Logiska modeller kan även hjälpa förvaltningsmyndigheterna att på ett bättre sätt planera och förutspå utvärderingsresultaten i sammanhanget (uppgifter, utvärderingsbudget och tidsplan). </w:t>
      </w:r>
    </w:p>
    <w:p w:rsidR="00DB5257" w:rsidRPr="001C6ACF" w:rsidRDefault="00AD2E14" w:rsidP="00DB5257">
      <w:pPr>
        <w:pStyle w:val="HStandard"/>
        <w:spacing w:after="0"/>
        <w:rPr>
          <w:rFonts w:cs="Arial"/>
          <w:szCs w:val="18"/>
        </w:rPr>
      </w:pPr>
      <w:r>
        <w:t>De logiska modellerna ger en stegvis vägledning för utformningen av utvärderingsmetoderna för att skapa en bättre förståelse för</w:t>
      </w:r>
    </w:p>
    <w:p w:rsidR="00DB5257" w:rsidRPr="001C6ACF" w:rsidRDefault="00AD2E14" w:rsidP="00DB5257">
      <w:pPr>
        <w:pStyle w:val="Hlistbullet"/>
        <w:spacing w:before="0" w:after="0" w:line="280" w:lineRule="atLeast"/>
        <w:ind w:left="502"/>
        <w:rPr>
          <w:rFonts w:cs="Arial"/>
          <w:szCs w:val="18"/>
        </w:rPr>
      </w:pPr>
      <w:r>
        <w:rPr>
          <w:b/>
        </w:rPr>
        <w:t>MÖJLIGHETER:</w:t>
      </w:r>
      <w:r>
        <w:t xml:space="preserve"> vilka kombinationer av uppgifter/indikatorer/metoder som finns och om de är lämpliga för att kunna besvara utvärderingsfrågorna. </w:t>
      </w:r>
    </w:p>
    <w:p w:rsidR="00DB5257" w:rsidRPr="001C6ACF" w:rsidRDefault="00AD2E14" w:rsidP="00DB5257">
      <w:pPr>
        <w:pStyle w:val="Hlistbullet"/>
        <w:spacing w:before="0" w:after="0" w:line="280" w:lineRule="atLeast"/>
        <w:ind w:left="502"/>
        <w:rPr>
          <w:sz w:val="22"/>
        </w:rPr>
      </w:pPr>
      <w:r>
        <w:rPr>
          <w:b/>
        </w:rPr>
        <w:t>KRAV:</w:t>
      </w:r>
      <w:r>
        <w:t xml:space="preserve"> vilka uppgifter/indikatorer/metoder som krävs för att bedöma nettoeffekter och besvara utvärderingsfrågan.</w:t>
      </w:r>
    </w:p>
    <w:p w:rsidR="00DB5257" w:rsidRPr="001C6ACF" w:rsidRDefault="00AD2E14" w:rsidP="00DB5257">
      <w:pPr>
        <w:pStyle w:val="Hlistbullet"/>
        <w:spacing w:before="0" w:after="0" w:line="280" w:lineRule="atLeast"/>
        <w:ind w:left="502"/>
        <w:rPr>
          <w:sz w:val="22"/>
        </w:rPr>
      </w:pPr>
      <w:r>
        <w:rPr>
          <w:b/>
        </w:rPr>
        <w:t>KONSEKVENSER:</w:t>
      </w:r>
      <w:r>
        <w:t xml:space="preserve"> vilka hinder som finns för besluten i olika skeden sett till utvärderingens kostnad och effektivitet.</w:t>
      </w:r>
    </w:p>
    <w:p w:rsidR="00DB5257" w:rsidRPr="00571D58" w:rsidRDefault="00AD2E14" w:rsidP="00DB5257">
      <w:pPr>
        <w:pStyle w:val="HStandard"/>
      </w:pPr>
      <w:r>
        <w:lastRenderedPageBreak/>
        <w:t xml:space="preserve">De logiska modellerna som presenteras i dessa riktlinjer följer metoden som utvecklats av </w:t>
      </w:r>
      <w:r w:rsidR="004077A5">
        <w:fldChar w:fldCharType="begin"/>
      </w:r>
      <w:r w:rsidR="004077A5">
        <w:instrText xml:space="preserve"> HYPERLINK "https://www.envieval.eu/" </w:instrText>
      </w:r>
      <w:r w:rsidR="004077A5">
        <w:fldChar w:fldCharType="separate"/>
      </w:r>
      <w:r>
        <w:rPr>
          <w:rStyle w:val="Hyperlink"/>
          <w:u w:val="none"/>
        </w:rPr>
        <w:t>ENVIEVAL</w:t>
      </w:r>
      <w:r w:rsidR="004077A5">
        <w:rPr>
          <w:rStyle w:val="Hyperlink"/>
          <w:u w:val="none"/>
        </w:rPr>
        <w:fldChar w:fldCharType="end"/>
      </w:r>
      <w:r>
        <w:rPr>
          <w:rStyle w:val="FootnoteReference"/>
          <w:i w:val="0"/>
          <w:color w:val="F07E31"/>
          <w:u w:val="single"/>
        </w:rPr>
        <w:footnoteReference w:id="26"/>
      </w:r>
      <w:r>
        <w:t xml:space="preserve"> i </w:t>
      </w:r>
      <w:r w:rsidR="004077A5">
        <w:fldChar w:fldCharType="begin"/>
      </w:r>
      <w:r w:rsidR="004077A5">
        <w:instrText xml:space="preserve"> HYPERLINK "https://www.envieval.eu/fileadmin/envieval/dissemination/deliverables/D9.5_Handbook_for_the_evaluation_of_environmental_impacts_of_</w:instrText>
      </w:r>
      <w:r w:rsidR="004077A5">
        <w:instrText xml:space="preserve">RDPs.pdf" </w:instrText>
      </w:r>
      <w:r w:rsidR="004077A5">
        <w:fldChar w:fldCharType="separate"/>
      </w:r>
      <w:r>
        <w:rPr>
          <w:rStyle w:val="Hyperlink"/>
          <w:i/>
          <w:u w:val="none"/>
        </w:rPr>
        <w:t>Methodological Handbook for the evaluation of environmental impacts of RDPs.</w:t>
      </w:r>
      <w:r>
        <w:rPr>
          <w:rStyle w:val="Hyperlink"/>
          <w:u w:val="none"/>
        </w:rPr>
        <w:t xml:space="preserve"> </w:t>
      </w:r>
      <w:r w:rsidR="004077A5">
        <w:rPr>
          <w:rStyle w:val="Hyperlink"/>
          <w:u w:val="none"/>
        </w:rPr>
        <w:fldChar w:fldCharType="end"/>
      </w:r>
      <w:r>
        <w:t>ENVIEVAL utvecklade och testade dessa förbättrade verktyg för att utvärdera miljöeffekterna av landsbygdsåtgärder och -program i EU:s medlemsstater.</w:t>
      </w:r>
      <w:r>
        <w:rPr>
          <w:rStyle w:val="FootnoteReference"/>
          <w:i w:val="0"/>
        </w:rPr>
        <w:footnoteReference w:id="27"/>
      </w:r>
      <w:r>
        <w:t xml:space="preserve"> </w:t>
      </w:r>
    </w:p>
    <w:p w:rsidR="00DB5257" w:rsidRPr="00FB6C06" w:rsidRDefault="00AD2E14" w:rsidP="00DB5257">
      <w:pPr>
        <w:pStyle w:val="HHeading4"/>
      </w:pPr>
      <w:r>
        <w:t>Den logiska modellens lager</w:t>
      </w:r>
    </w:p>
    <w:p w:rsidR="00DB5257" w:rsidRPr="001C6ACF" w:rsidRDefault="00AD2E14" w:rsidP="00DB5257">
      <w:pPr>
        <w:pStyle w:val="HStandard"/>
        <w:rPr>
          <w:rFonts w:cs="Arial"/>
        </w:rPr>
      </w:pPr>
      <w:r>
        <w:t xml:space="preserve">En översikt av den </w:t>
      </w:r>
      <w:r>
        <w:rPr>
          <w:b/>
        </w:rPr>
        <w:t>logiska modellens fyra lager</w:t>
      </w:r>
      <w:r>
        <w:t xml:space="preserve"> visas i bild 2. Bilden visar det </w:t>
      </w:r>
      <w:r>
        <w:rPr>
          <w:b/>
        </w:rPr>
        <w:t>första lagret</w:t>
      </w:r>
      <w:r>
        <w:t xml:space="preserve"> och hur man inrättar en ram för bedömningen. Detta ställer krav på att man förstår effekternas betydelse för interventionslogiken, tillgängliga indikatorer och bedömningsenheter. I det </w:t>
      </w:r>
      <w:r>
        <w:rPr>
          <w:b/>
        </w:rPr>
        <w:t>andra lagret</w:t>
      </w:r>
      <w:r>
        <w:t xml:space="preserve"> identifieras alternativen för de kontrafaktiska situationerna genom att beakta de begränsande faktorerna. I det </w:t>
      </w:r>
      <w:r>
        <w:rPr>
          <w:b/>
        </w:rPr>
        <w:t>tredje lagret</w:t>
      </w:r>
      <w:r>
        <w:t xml:space="preserve"> anges alternativen på mikro- och makronivåer för att bedöma nettoeffekterna. I det </w:t>
      </w:r>
      <w:r>
        <w:rPr>
          <w:b/>
        </w:rPr>
        <w:t>fjärde lagret</w:t>
      </w:r>
      <w:r>
        <w:t xml:space="preserve"> kontrolleras överensstämmelsen mellan analyserna av mikro- och makronivåerna för att resultaten ska kunna valideras. </w:t>
      </w:r>
    </w:p>
    <w:p w:rsidR="00DB5257" w:rsidRPr="001C6ACF" w:rsidRDefault="00AD2E14" w:rsidP="00DB5257">
      <w:pPr>
        <w:pStyle w:val="HHeadingfigures"/>
        <w:tabs>
          <w:tab w:val="clear" w:pos="2666"/>
        </w:tabs>
      </w:pPr>
      <w:r>
        <w:t>Förenklat flödesschema av den logiska modellens lager</w:t>
      </w:r>
    </w:p>
    <w:p w:rsidR="00DB5257" w:rsidRPr="00571D58" w:rsidRDefault="00F02B64" w:rsidP="00DB5257">
      <w:pPr>
        <w:pStyle w:val="HStandard"/>
        <w:jc w:val="center"/>
      </w:pPr>
      <w:r>
        <w:rPr>
          <w:noProof/>
          <w:lang w:val="en-GB" w:eastAsia="en-GB"/>
        </w:rPr>
        <w:drawing>
          <wp:inline distT="0" distB="0" distL="0" distR="0">
            <wp:extent cx="5734050" cy="32099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4050" cy="3209925"/>
                    </a:xfrm>
                    <a:prstGeom prst="rect">
                      <a:avLst/>
                    </a:prstGeom>
                    <a:noFill/>
                    <a:ln>
                      <a:noFill/>
                    </a:ln>
                  </pic:spPr>
                </pic:pic>
              </a:graphicData>
            </a:graphic>
          </wp:inline>
        </w:drawing>
      </w:r>
    </w:p>
    <w:p w:rsidR="00DB5257" w:rsidRPr="001C6ACF" w:rsidRDefault="00AD2E14" w:rsidP="00DB5257">
      <w:pPr>
        <w:pStyle w:val="HSource"/>
        <w:rPr>
          <w:i w:val="0"/>
        </w:rPr>
      </w:pPr>
      <w:r>
        <w:t xml:space="preserve">Källa: Europeiska helpdesken för utvärdering av landsbygdsutveckling (2018), anpassat från ENVIEVAL (2015). </w:t>
      </w:r>
      <w:r w:rsidRPr="00013DFC">
        <w:rPr>
          <w:lang w:val="en-GB"/>
        </w:rPr>
        <w:t xml:space="preserve">Methodological Handbook for the evaluation of environmental impacts of RDPs: Rapport </w:t>
      </w:r>
      <w:proofErr w:type="spellStart"/>
      <w:r w:rsidRPr="00013DFC">
        <w:rPr>
          <w:lang w:val="en-GB"/>
        </w:rPr>
        <w:t>D9.5</w:t>
      </w:r>
      <w:proofErr w:type="spellEnd"/>
      <w:r w:rsidRPr="00013DFC">
        <w:rPr>
          <w:lang w:val="en-GB"/>
        </w:rPr>
        <w:t xml:space="preserve">. </w:t>
      </w:r>
      <w:r>
        <w:t xml:space="preserve">Bryssel: Europeiska kommissionen. </w:t>
      </w:r>
    </w:p>
    <w:p w:rsidR="00DB5257" w:rsidRDefault="00DB5257" w:rsidP="00DB5257">
      <w:pPr>
        <w:pStyle w:val="HStandard"/>
        <w:rPr>
          <w:rFonts w:cs="Arial"/>
        </w:rPr>
      </w:pPr>
    </w:p>
    <w:p w:rsidR="00DB5257" w:rsidRPr="001C6ACF" w:rsidRDefault="00AD2E14" w:rsidP="00DB5257">
      <w:pPr>
        <w:pStyle w:val="HStandard"/>
        <w:rPr>
          <w:rFonts w:cs="Arial"/>
        </w:rPr>
      </w:pPr>
      <w:r>
        <w:t xml:space="preserve">Den logiska modellens lager används som referenspunkt för beskrivningen av den föreslagna utvärderingsmetoden för GJP:s effektindikatorer (se kapitel 2.2–2.9). </w:t>
      </w:r>
    </w:p>
    <w:p w:rsidR="00DB5257" w:rsidRPr="001C6ACF" w:rsidRDefault="00AD2E14">
      <w:pPr>
        <w:spacing w:before="0" w:after="0" w:line="240" w:lineRule="auto"/>
        <w:jc w:val="left"/>
        <w:rPr>
          <w:b/>
          <w:color w:val="57825E"/>
          <w:sz w:val="20"/>
          <w:szCs w:val="20"/>
        </w:rPr>
      </w:pPr>
      <w:r>
        <w:br w:type="page"/>
      </w:r>
    </w:p>
    <w:p w:rsidR="00DB5257" w:rsidRPr="001C6ACF" w:rsidRDefault="00AD2E14" w:rsidP="00DB5257">
      <w:pPr>
        <w:pStyle w:val="HHeading4"/>
      </w:pPr>
      <w:r>
        <w:lastRenderedPageBreak/>
        <w:t>Inrättande av ramen för bedömningen (första lagret)</w:t>
      </w:r>
    </w:p>
    <w:p w:rsidR="00DB5257" w:rsidRPr="007645B4" w:rsidRDefault="00F02B64" w:rsidP="00DB5257">
      <w:pPr>
        <w:pStyle w:val="HStandard"/>
        <w:rPr>
          <w:rFonts w:cs="Arial"/>
        </w:rPr>
      </w:pPr>
      <w:r>
        <w:rPr>
          <w:noProof/>
          <w:lang w:val="en-GB" w:eastAsia="en-GB"/>
        </w:rPr>
        <mc:AlternateContent>
          <mc:Choice Requires="wps">
            <w:drawing>
              <wp:anchor distT="0" distB="0" distL="114300" distR="114300" simplePos="0" relativeHeight="251645440" behindDoc="0" locked="0" layoutInCell="1" allowOverlap="1">
                <wp:simplePos x="0" y="0"/>
                <wp:positionH relativeFrom="margin">
                  <wp:posOffset>-40005</wp:posOffset>
                </wp:positionH>
                <wp:positionV relativeFrom="paragraph">
                  <wp:posOffset>90805</wp:posOffset>
                </wp:positionV>
                <wp:extent cx="2286000" cy="2512060"/>
                <wp:effectExtent l="0" t="0" r="19050" b="21590"/>
                <wp:wrapThrough wrapText="bothSides">
                  <wp:wrapPolygon edited="0">
                    <wp:start x="900" y="0"/>
                    <wp:lineTo x="0" y="819"/>
                    <wp:lineTo x="0" y="21622"/>
                    <wp:lineTo x="20880" y="21622"/>
                    <wp:lineTo x="21060" y="21622"/>
                    <wp:lineTo x="21600" y="20803"/>
                    <wp:lineTo x="21600" y="0"/>
                    <wp:lineTo x="900" y="0"/>
                  </wp:wrapPolygon>
                </wp:wrapThrough>
                <wp:docPr id="43"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2512060"/>
                        </a:xfrm>
                        <a:prstGeom prst="round2DiagRect">
                          <a:avLst>
                            <a:gd name="adj1" fmla="val 8733"/>
                            <a:gd name="adj2" fmla="val 0"/>
                          </a:avLst>
                        </a:prstGeom>
                        <a:noFill/>
                        <a:ln w="25400" cap="flat" cmpd="sng" algn="ctr">
                          <a:solidFill>
                            <a:srgbClr val="BE4A35"/>
                          </a:solidFill>
                          <a:prstDash val="solid"/>
                        </a:ln>
                        <a:effectLst/>
                      </wps:spPr>
                      <wps:txbx>
                        <w:txbxContent>
                          <w:p w:rsidR="00DB5257" w:rsidRPr="006F5B0F" w:rsidRDefault="00DB5257" w:rsidP="00DB5257">
                            <w:pPr>
                              <w:pStyle w:val="HHeading4"/>
                              <w:spacing w:before="0"/>
                              <w:jc w:val="both"/>
                              <w:rPr>
                                <w:b w:val="0"/>
                                <w:i/>
                                <w:color w:val="F07E31"/>
                                <w:sz w:val="18"/>
                              </w:rPr>
                            </w:pPr>
                            <w:r>
                              <w:rPr>
                                <w:b w:val="0"/>
                                <w:noProof/>
                                <w:lang w:val="en-GB" w:eastAsia="en-GB"/>
                              </w:rPr>
                              <w:drawing>
                                <wp:inline distT="0" distB="0" distL="0" distR="0">
                                  <wp:extent cx="666750" cy="4857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750" cy="485775"/>
                                          </a:xfrm>
                                          <a:prstGeom prst="rect">
                                            <a:avLst/>
                                          </a:prstGeom>
                                          <a:noFill/>
                                          <a:ln>
                                            <a:noFill/>
                                          </a:ln>
                                        </pic:spPr>
                                      </pic:pic>
                                    </a:graphicData>
                                  </a:graphic>
                                </wp:inline>
                              </w:drawing>
                            </w:r>
                            <w:r>
                              <w:t xml:space="preserve"> </w:t>
                            </w:r>
                            <w:r>
                              <w:rPr>
                                <w:color w:val="373737"/>
                              </w:rPr>
                              <w:t xml:space="preserve">Bedömningen </w:t>
                            </w:r>
                            <w:r>
                              <w:rPr>
                                <w:color w:val="373737"/>
                              </w:rPr>
                              <w:t xml:space="preserve">av en viss effekt </w:t>
                            </w:r>
                            <w:r>
                              <w:rPr>
                                <w:b w:val="0"/>
                                <w:color w:val="373737"/>
                              </w:rPr>
                              <w:t>(</w:t>
                            </w:r>
                            <w:r w:rsidR="00742641">
                              <w:rPr>
                                <w:b w:val="0"/>
                                <w:color w:val="373737"/>
                              </w:rPr>
                              <w:t>sektoriell</w:t>
                            </w:r>
                            <w:r>
                              <w:rPr>
                                <w:b w:val="0"/>
                                <w:color w:val="373737"/>
                              </w:rPr>
                              <w:t>, miljö</w:t>
                            </w:r>
                            <w:r w:rsidR="00742641">
                              <w:rPr>
                                <w:b w:val="0"/>
                                <w:color w:val="373737"/>
                              </w:rPr>
                              <w:t xml:space="preserve">relaterad </w:t>
                            </w:r>
                            <w:r>
                              <w:rPr>
                                <w:b w:val="0"/>
                                <w:color w:val="373737"/>
                              </w:rPr>
                              <w:t xml:space="preserve">eller socioekonomisk) börjar med en enhetlig utvärderingsram. Detta gör det enklare att skapa tydlighet kring effektens placering </w:t>
                            </w:r>
                            <w:r w:rsidR="00742641">
                              <w:rPr>
                                <w:b w:val="0"/>
                                <w:color w:val="373737"/>
                              </w:rPr>
                              <w:t xml:space="preserve">i </w:t>
                            </w:r>
                            <w:r>
                              <w:rPr>
                                <w:b w:val="0"/>
                                <w:color w:val="373737"/>
                              </w:rPr>
                              <w:t>interventionslogiken och visar tillgängliga indikatorer och analysenheter för mätning.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31" style="position:absolute;left:0;text-align:left;margin-left:-3.15pt;margin-top:7.15pt;width:180pt;height:197.8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coordsize="2286000,2512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" adj="-11796480,,5400" path="m199636,l2286000,r,l2286000,2312424v,110256,-89380,199636,-199636,199636l,2512060r,l,199636c,89380,89380,,199636,xe" filled="f" strokecolor="#be4a35" strokeweight="2pt">
                <v:stroke joinstyle="miter"/>
                <v:formulas/>
                <v:path arrowok="t" o:connecttype="custom" o:connectlocs="199636,0;2286000,0;2286000,0;2286000,2312424;2086364,2512060;0,2512060;0,2512060;0,199636;199636,0" o:connectangles="0,0,0,0,0,0,0,0,0" textboxrect="0,0,2286000,2512060"/>
                <v:textbox>
                  <w:txbxContent>
                    <w:p w:rsidR="00DB5257" w:rsidRPr="006F5B0F" w:rsidRDefault="00DB5257" w:rsidP="00DB5257">
                      <w:pPr>
                        <w:pStyle w:val="HHeading4"/>
                        <w:spacing w:before="0"/>
                        <w:jc w:val="both"/>
                        <w:rPr>
                          <w:b w:val="0"/>
                          <w:i/>
                          <w:color w:val="F07E31"/>
                          <w:sz w:val="18"/>
                        </w:rPr>
                      </w:pPr>
                      <w:r>
                        <w:rPr>
                          <w:b w:val="0"/>
                          <w:noProof/>
                          <w:lang w:val="en-GB" w:eastAsia="en-GB"/>
                        </w:rPr>
                        <w:drawing>
                          <wp:inline distT="0" distB="0" distL="0" distR="0">
                            <wp:extent cx="666750" cy="4857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750" cy="485775"/>
                                    </a:xfrm>
                                    <a:prstGeom prst="rect">
                                      <a:avLst/>
                                    </a:prstGeom>
                                    <a:noFill/>
                                    <a:ln>
                                      <a:noFill/>
                                    </a:ln>
                                  </pic:spPr>
                                </pic:pic>
                              </a:graphicData>
                            </a:graphic>
                          </wp:inline>
                        </w:drawing>
                      </w:r>
                      <w:r>
                        <w:t xml:space="preserve"> </w:t>
                      </w:r>
                      <w:r>
                        <w:rPr>
                          <w:color w:val="373737"/>
                        </w:rPr>
                        <w:t xml:space="preserve">Bedömningen </w:t>
                      </w:r>
                      <w:r>
                        <w:rPr>
                          <w:color w:val="373737"/>
                        </w:rPr>
                        <w:t xml:space="preserve">av en viss effekt </w:t>
                      </w:r>
                      <w:r>
                        <w:rPr>
                          <w:b w:val="0"/>
                          <w:color w:val="373737"/>
                        </w:rPr>
                        <w:t>(</w:t>
                      </w:r>
                      <w:r w:rsidR="00742641">
                        <w:rPr>
                          <w:b w:val="0"/>
                          <w:color w:val="373737"/>
                        </w:rPr>
                        <w:t>sektoriell</w:t>
                      </w:r>
                      <w:r>
                        <w:rPr>
                          <w:b w:val="0"/>
                          <w:color w:val="373737"/>
                        </w:rPr>
                        <w:t>, miljö</w:t>
                      </w:r>
                      <w:r w:rsidR="00742641">
                        <w:rPr>
                          <w:b w:val="0"/>
                          <w:color w:val="373737"/>
                        </w:rPr>
                        <w:t xml:space="preserve">relaterad </w:t>
                      </w:r>
                      <w:r>
                        <w:rPr>
                          <w:b w:val="0"/>
                          <w:color w:val="373737"/>
                        </w:rPr>
                        <w:t xml:space="preserve">eller socioekonomisk) börjar med en enhetlig utvärderingsram. Detta gör det enklare att skapa tydlighet kring effektens placering </w:t>
                      </w:r>
                      <w:r w:rsidR="00742641">
                        <w:rPr>
                          <w:b w:val="0"/>
                          <w:color w:val="373737"/>
                        </w:rPr>
                        <w:t xml:space="preserve">i </w:t>
                      </w:r>
                      <w:r>
                        <w:rPr>
                          <w:b w:val="0"/>
                          <w:color w:val="373737"/>
                        </w:rPr>
                        <w:t>interventionslogiken och visar tillgängliga indikatorer och analysenheter för mätning.</w:t>
                      </w:r>
                    </w:p>
                  </w:txbxContent>
                </v:textbox>
                <w10:wrap type="through" anchorx="margin"/>
              </v:shape>
            </w:pict>
          </mc:Fallback>
        </mc:AlternateContent>
      </w:r>
      <w:r w:rsidR="00AD2E14">
        <w:t>Ramen för bedömningen kan förberedas enligt följande steg:</w:t>
      </w:r>
    </w:p>
    <w:p w:rsidR="00DB5257" w:rsidRPr="001C6ACF" w:rsidRDefault="00AD2E14" w:rsidP="00DB5257">
      <w:pPr>
        <w:pStyle w:val="HStandard"/>
        <w:rPr>
          <w:rFonts w:cs="Arial"/>
        </w:rPr>
      </w:pPr>
      <w:r>
        <w:rPr>
          <w:b/>
          <w:color w:val="F07E31"/>
        </w:rPr>
        <w:t>Steg 1 -</w:t>
      </w:r>
      <w:r>
        <w:rPr>
          <w:i/>
        </w:rPr>
        <w:t xml:space="preserve"> </w:t>
      </w:r>
      <w:r>
        <w:rPr>
          <w:b/>
          <w:color w:val="F07E31"/>
        </w:rPr>
        <w:t>Förklaring av interventionslogiken i det gemensamma övervaknings- och utvärderingssystemet:</w:t>
      </w:r>
      <w:r>
        <w:t xml:space="preserve"> Interventionslogiken visar hierarkin med politiska mål med hänsyn till relevanta utvärderingsfrågor, åtgärder och fokusområden, samt </w:t>
      </w:r>
      <w:r>
        <w:rPr>
          <w:b/>
        </w:rPr>
        <w:t>med tillhörande effekter för det gemensamma övervaknings- och utvärderingssystemet, resultat- och effektindikatorer.</w:t>
      </w:r>
      <w:r>
        <w:t xml:space="preserve"> Indikatorerna granskas sett till tillgängliga uppgifter.</w:t>
      </w:r>
    </w:p>
    <w:p w:rsidR="00DB5257" w:rsidRPr="001C6ACF" w:rsidRDefault="00AD2E14" w:rsidP="00DB5257">
      <w:pPr>
        <w:pStyle w:val="HStandard"/>
        <w:rPr>
          <w:rFonts w:cs="Arial"/>
          <w:bCs/>
        </w:rPr>
      </w:pPr>
      <w:r>
        <w:rPr>
          <w:b/>
          <w:color w:val="F07E31"/>
        </w:rPr>
        <w:t xml:space="preserve">Steg 2 - Välja ytterligare (resultat- och/eller effekt-) indikatorer: </w:t>
      </w:r>
      <w:r>
        <w:t xml:space="preserve">Dessa indikatorer kan komplettera de obligatoriska indikatorerna för det gemensamma övervaknings- och utvärderingssystemet. </w:t>
      </w:r>
      <w:r>
        <w:rPr>
          <w:b/>
        </w:rPr>
        <w:t>Användningen av kompletterande indikatorer är frivillig</w:t>
      </w:r>
      <w:r>
        <w:t xml:space="preserve"> och bör beaktas med varsamhet, med hänsyn till kostnader, tillgängliga uppgifter samt lämplighet och mervärde för bedömningen. Kompletterande indikatorer kan vara till hjälp för att kvantifiera nettoresultat och effekter om uppgifterna för de gemensamma indikatorerna inte räcker till eller om det finns klyftor mellan det gemensamma resultatet och effektindikatorerna som måste fyllas upp. Kompletterande indikatorer kan även vara kvantitativa (t.ex. grad av upplevd förändring hos aktörerna med utgångspunkt från Likert-skalan) för att komplettera det kvantitativa beviset eller vid avsaknad av eventuella alternativa kvantifierbara bevis. </w:t>
      </w:r>
    </w:p>
    <w:p w:rsidR="00DB5257" w:rsidRPr="001C6ACF" w:rsidRDefault="00AD2E14" w:rsidP="00DB5257">
      <w:pPr>
        <w:pStyle w:val="HStandard"/>
        <w:rPr>
          <w:rFonts w:cs="Arial"/>
        </w:rPr>
      </w:pPr>
      <w:r>
        <w:rPr>
          <w:b/>
          <w:color w:val="F07E31"/>
        </w:rPr>
        <w:t xml:space="preserve">Steg 3 - Ange analysenhet (= den ”minsta delen i ett organiserat system”) för bedömningar på mikro- och makronivå (om tillämpligt): </w:t>
      </w:r>
      <w:r>
        <w:t>Analysenheten på mikronivå kan vara lantbruk, skiften, samhällen eller regioner medan det på makronivå kan vara ett upptagningsområde, en regional enhet eller ett helt landsbygdsprogramområde. Med en fastställd analysenhet kan indikatorn mäta förändringar i markförvaltning och miljö</w:t>
      </w:r>
      <w:r w:rsidR="000C190D">
        <w:t>relaterade</w:t>
      </w:r>
      <w:r>
        <w:t xml:space="preserve">, </w:t>
      </w:r>
      <w:r w:rsidR="000C190D">
        <w:t xml:space="preserve">sektoriella </w:t>
      </w:r>
      <w:r>
        <w:t>eller socioekonomiska förändringar som orsakats av åtgärder inom landsbygdsprogrammet. Respektive uppgifter bör samlas in för samma enhetskategori och inkludera programmets stödmottagare och icke stödmottagare.</w:t>
      </w:r>
    </w:p>
    <w:p w:rsidR="00DB5257" w:rsidRPr="001C6ACF" w:rsidRDefault="00AD2E14" w:rsidP="00DB5257">
      <w:pPr>
        <w:pStyle w:val="HHeading4"/>
      </w:pPr>
      <w:r>
        <w:t>Inrätta en kontrafaktisk situation (det andra lagret)</w:t>
      </w:r>
    </w:p>
    <w:p w:rsidR="00DB5257" w:rsidRPr="001C6ACF" w:rsidRDefault="00F02B64" w:rsidP="00DB5257">
      <w:pPr>
        <w:pStyle w:val="HStandard"/>
        <w:rPr>
          <w:rFonts w:cs="Arial"/>
        </w:rPr>
      </w:pPr>
      <w:r>
        <w:rPr>
          <w:noProof/>
          <w:lang w:val="en-GB" w:eastAsia="en-GB"/>
        </w:rPr>
        <mc:AlternateContent>
          <mc:Choice Requires="wps">
            <w:drawing>
              <wp:anchor distT="0" distB="0" distL="114300" distR="114300" simplePos="0" relativeHeight="251646464" behindDoc="0" locked="0" layoutInCell="1" allowOverlap="1">
                <wp:simplePos x="0" y="0"/>
                <wp:positionH relativeFrom="column">
                  <wp:posOffset>3235960</wp:posOffset>
                </wp:positionH>
                <wp:positionV relativeFrom="paragraph">
                  <wp:posOffset>43815</wp:posOffset>
                </wp:positionV>
                <wp:extent cx="2447925" cy="1653540"/>
                <wp:effectExtent l="0" t="0" r="28575" b="22860"/>
                <wp:wrapThrough wrapText="bothSides">
                  <wp:wrapPolygon edited="0">
                    <wp:start x="504" y="0"/>
                    <wp:lineTo x="0" y="747"/>
                    <wp:lineTo x="0" y="21650"/>
                    <wp:lineTo x="21348" y="21650"/>
                    <wp:lineTo x="21684" y="21152"/>
                    <wp:lineTo x="21684" y="0"/>
                    <wp:lineTo x="504" y="0"/>
                  </wp:wrapPolygon>
                </wp:wrapThrough>
                <wp:docPr id="42"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1653540"/>
                        </a:xfrm>
                        <a:prstGeom prst="round2DiagRect">
                          <a:avLst>
                            <a:gd name="adj1" fmla="val 8733"/>
                            <a:gd name="adj2" fmla="val 0"/>
                          </a:avLst>
                        </a:prstGeom>
                        <a:noFill/>
                        <a:ln w="25400" cap="flat" cmpd="sng" algn="ctr">
                          <a:solidFill>
                            <a:srgbClr val="BE4A35"/>
                          </a:solidFill>
                          <a:prstDash val="solid"/>
                        </a:ln>
                        <a:effectLst/>
                      </wps:spPr>
                      <wps:txbx>
                        <w:txbxContent>
                          <w:p w:rsidR="00DB5257" w:rsidRPr="006F5B0F" w:rsidRDefault="00DB5257" w:rsidP="00DB5257">
                            <w:pPr>
                              <w:pStyle w:val="HHeading4"/>
                              <w:spacing w:before="0"/>
                              <w:jc w:val="both"/>
                              <w:rPr>
                                <w:b w:val="0"/>
                                <w:i/>
                                <w:color w:val="373737"/>
                                <w:sz w:val="18"/>
                              </w:rPr>
                            </w:pPr>
                            <w:r>
                              <w:rPr>
                                <w:b w:val="0"/>
                                <w:noProof/>
                                <w:lang w:val="en-GB" w:eastAsia="en-GB"/>
                              </w:rPr>
                              <w:drawing>
                                <wp:inline distT="0" distB="0" distL="0" distR="0">
                                  <wp:extent cx="666750" cy="4857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750" cy="485775"/>
                                          </a:xfrm>
                                          <a:prstGeom prst="rect">
                                            <a:avLst/>
                                          </a:prstGeom>
                                          <a:noFill/>
                                          <a:ln>
                                            <a:noFill/>
                                          </a:ln>
                                        </pic:spPr>
                                      </pic:pic>
                                    </a:graphicData>
                                  </a:graphic>
                                </wp:inline>
                              </w:drawing>
                            </w:r>
                            <w:r>
                              <w:rPr>
                                <w:color w:val="373737"/>
                              </w:rPr>
                              <w:t xml:space="preserve"> </w:t>
                            </w:r>
                            <w:r>
                              <w:rPr>
                                <w:color w:val="373737"/>
                              </w:rPr>
                              <w:t xml:space="preserve">Programeffekterna </w:t>
                            </w:r>
                            <w:r>
                              <w:rPr>
                                <w:b w:val="0"/>
                                <w:color w:val="373737"/>
                              </w:rPr>
                              <w:t>kan aldrig observeras direkt på grund av andra faktorer och därför krävs det kontrafaktiska analyser för att bedöma dessa.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2" style="position:absolute;left:0;text-align:left;margin-left:254.8pt;margin-top:3.45pt;width:192.75pt;height:130.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47925,1653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" adj="-11796480,,5400" path="m144404,l2447925,r,l2447925,1509136v,79752,-64652,144404,-144404,144404l,1653540r,l,144404c,64652,64652,,144404,xe" filled="f" strokecolor="#be4a35" strokeweight="2pt">
                <v:stroke joinstyle="miter"/>
                <v:formulas/>
                <v:path arrowok="t" o:connecttype="custom" o:connectlocs="144404,0;2447925,0;2447925,0;2447925,1509136;2303521,1653540;0,1653540;0,1653540;0,144404;144404,0" o:connectangles="0,0,0,0,0,0,0,0,0" textboxrect="0,0,2447925,1653540"/>
                <v:textbox>
                  <w:txbxContent>
                    <w:p w:rsidR="00DB5257" w:rsidRPr="006F5B0F" w:rsidRDefault="00DB5257" w:rsidP="00DB5257">
                      <w:pPr>
                        <w:pStyle w:val="HHeading4"/>
                        <w:spacing w:before="0"/>
                        <w:jc w:val="both"/>
                        <w:rPr>
                          <w:b w:val="0"/>
                          <w:i/>
                          <w:color w:val="373737"/>
                          <w:sz w:val="18"/>
                        </w:rPr>
                      </w:pPr>
                      <w:r>
                        <w:rPr>
                          <w:b w:val="0"/>
                          <w:noProof/>
                          <w:lang w:val="en-GB" w:eastAsia="en-GB"/>
                        </w:rPr>
                        <w:drawing>
                          <wp:inline distT="0" distB="0" distL="0" distR="0">
                            <wp:extent cx="666750" cy="4857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750" cy="485775"/>
                                    </a:xfrm>
                                    <a:prstGeom prst="rect">
                                      <a:avLst/>
                                    </a:prstGeom>
                                    <a:noFill/>
                                    <a:ln>
                                      <a:noFill/>
                                    </a:ln>
                                  </pic:spPr>
                                </pic:pic>
                              </a:graphicData>
                            </a:graphic>
                          </wp:inline>
                        </w:drawing>
                      </w:r>
                      <w:r>
                        <w:rPr>
                          <w:color w:val="373737"/>
                        </w:rPr>
                        <w:t xml:space="preserve"> </w:t>
                      </w:r>
                      <w:r>
                        <w:rPr>
                          <w:color w:val="373737"/>
                        </w:rPr>
                        <w:t xml:space="preserve">Programeffekterna </w:t>
                      </w:r>
                      <w:r>
                        <w:rPr>
                          <w:b w:val="0"/>
                          <w:color w:val="373737"/>
                        </w:rPr>
                        <w:t>kan aldrig observeras direkt på grund av andra faktorer och därför krävs det kontrafaktiska analyser för att bedöma dessa.</w:t>
                      </w:r>
                    </w:p>
                  </w:txbxContent>
                </v:textbox>
                <w10:wrap type="through"/>
              </v:shape>
            </w:pict>
          </mc:Fallback>
        </mc:AlternateContent>
      </w:r>
      <w:r w:rsidR="00AD2E14">
        <w:t>Programeffekten är skillnaden i värde mellan det specifika resultatet (t.ex. bruttovärde eller arbetsproduktivitet) för samma enhet med programmet och utan programmet. Definitionen gäller för alla typer av analysenheter (t.ex. person, jordbruk, företag, landområde, samhälle, by, region, programområde eller land) och alla resultat (i form av sektorsindikatorer, miljö</w:t>
      </w:r>
      <w:r w:rsidR="00A3652D">
        <w:t xml:space="preserve">indikatorer </w:t>
      </w:r>
      <w:r w:rsidR="00AD2E14">
        <w:t>eller socioekonomiska indikatorer) som möjligen kan hänföras till programmet.</w:t>
      </w:r>
    </w:p>
    <w:p w:rsidR="00DB5257" w:rsidRPr="001C6ACF" w:rsidRDefault="00AD2E14" w:rsidP="00DB5257">
      <w:pPr>
        <w:pStyle w:val="HStandard"/>
        <w:rPr>
          <w:rFonts w:cs="Arial"/>
        </w:rPr>
      </w:pPr>
      <w:r>
        <w:t xml:space="preserve">Det andra lagret hjälper utvärderaren att identifiera de kontrafaktiska typerna som kan konstrueras med tillgängliga uppgifter. Man beaktar flera begränsande faktorer (t.ex. bristfälliga tillgängliga uppgifter, kortsiktiga utvärderingskontrakt, begränsad utvärderingskapacitet) och hjälper även till för att identifiera möjliga andrahandslösningar (t.ex. för bedömning av </w:t>
      </w:r>
      <w:r w:rsidR="00A3652D">
        <w:t>miljö</w:t>
      </w:r>
      <w:r w:rsidR="003E5351">
        <w:t>effekter</w:t>
      </w:r>
      <w:r>
        <w:t xml:space="preserve">). En systematisk undersökning av möjliga alternativ för att utforma en kontrafaktisk situation är viktig, även om det </w:t>
      </w:r>
      <w:r>
        <w:lastRenderedPageBreak/>
        <w:t xml:space="preserve">saknas uppgifter. Den ger värdefull information om vilka förhållanden som måste uppfyllas för att tillämpa ett tydligt kontrafaktiskt scenario och visar alternativ (t.ex. naiva gruppjämförelser, kvalitativa bedömningar). </w:t>
      </w:r>
    </w:p>
    <w:p w:rsidR="00DB5257" w:rsidRPr="001C6ACF" w:rsidRDefault="00AD2E14" w:rsidP="00DB5257">
      <w:pPr>
        <w:pStyle w:val="HStandard"/>
      </w:pPr>
      <w:r>
        <w:t xml:space="preserve">I den logiska modellen kan det kontrafaktiska lagret tillämpas för bedömningar på mikro- och makronivå och är kopplat till val av utvärderingsmetoder. </w:t>
      </w:r>
      <w:r>
        <w:rPr>
          <w:b/>
        </w:rPr>
        <w:t>Det är programutvärderaren som beslutar på vilken nivå (mikro/makro) som analysen av programmets effekter ska genomföras.</w:t>
      </w:r>
      <w:r>
        <w:t xml:space="preserve"> Beslutet beror på tillgängliga uppgifter och föregås av val av analysenhet för vilka uppgifter (ekonomiska, miljö</w:t>
      </w:r>
      <w:r w:rsidR="00A3652D">
        <w:t xml:space="preserve">relaterade </w:t>
      </w:r>
      <w:r>
        <w:t xml:space="preserve">eller socioekonomiska) som ska samlas in. </w:t>
      </w:r>
    </w:p>
    <w:p w:rsidR="00DB5257" w:rsidRPr="00571D58" w:rsidRDefault="00F02B64">
      <w:pPr>
        <w:spacing w:before="0" w:after="0" w:line="240" w:lineRule="auto"/>
        <w:jc w:val="left"/>
        <w:rPr>
          <w:color w:val="373737"/>
          <w:sz w:val="20"/>
          <w:szCs w:val="20"/>
        </w:rPr>
      </w:pPr>
      <w:r>
        <w:rPr>
          <w:noProof/>
          <w:lang w:val="en-GB" w:eastAsia="en-GB"/>
        </w:rPr>
        <mc:AlternateContent>
          <mc:Choice Requires="wps">
            <w:drawing>
              <wp:anchor distT="0" distB="0" distL="114300" distR="114300" simplePos="0" relativeHeight="251647488" behindDoc="0" locked="0" layoutInCell="1" allowOverlap="1">
                <wp:simplePos x="0" y="0"/>
                <wp:positionH relativeFrom="margin">
                  <wp:align>right</wp:align>
                </wp:positionH>
                <wp:positionV relativeFrom="paragraph">
                  <wp:posOffset>86360</wp:posOffset>
                </wp:positionV>
                <wp:extent cx="5731510" cy="1804946"/>
                <wp:effectExtent l="0" t="0" r="21590" b="24130"/>
                <wp:wrapNone/>
                <wp:docPr id="46"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1804946"/>
                        </a:xfrm>
                        <a:prstGeom prst="round2DiagRect">
                          <a:avLst>
                            <a:gd name="adj1" fmla="val 8733"/>
                            <a:gd name="adj2" fmla="val 0"/>
                          </a:avLst>
                        </a:prstGeom>
                        <a:noFill/>
                        <a:ln w="25400" cap="flat" cmpd="sng" algn="ctr">
                          <a:solidFill>
                            <a:srgbClr val="BE4A35"/>
                          </a:solidFill>
                          <a:prstDash val="solid"/>
                        </a:ln>
                        <a:effectLst/>
                      </wps:spPr>
                      <wps:txbx>
                        <w:txbxContent>
                          <w:p w:rsidR="00DB5257" w:rsidRPr="006F5B0F" w:rsidRDefault="00DB5257" w:rsidP="00DB5257">
                            <w:pPr>
                              <w:pStyle w:val="HHeading4"/>
                              <w:spacing w:before="0"/>
                              <w:jc w:val="both"/>
                              <w:rPr>
                                <w:rFonts w:cs="Arial"/>
                                <w:b w:val="0"/>
                                <w:color w:val="373737"/>
                              </w:rPr>
                            </w:pPr>
                            <w:r>
                              <w:rPr>
                                <w:b w:val="0"/>
                                <w:noProof/>
                                <w:color w:val="373737"/>
                                <w:lang w:val="en-GB" w:eastAsia="en-GB"/>
                              </w:rPr>
                              <w:drawing>
                                <wp:inline distT="0" distB="0" distL="0" distR="0">
                                  <wp:extent cx="666750" cy="4857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750" cy="485775"/>
                                          </a:xfrm>
                                          <a:prstGeom prst="rect">
                                            <a:avLst/>
                                          </a:prstGeom>
                                          <a:noFill/>
                                          <a:ln>
                                            <a:noFill/>
                                          </a:ln>
                                        </pic:spPr>
                                      </pic:pic>
                                    </a:graphicData>
                                  </a:graphic>
                                </wp:inline>
                              </w:drawing>
                            </w:r>
                            <w:r>
                              <w:rPr>
                                <w:color w:val="373737"/>
                              </w:rPr>
                              <w:t xml:space="preserve">Medlemsstater </w:t>
                            </w:r>
                            <w:r>
                              <w:rPr>
                                <w:color w:val="373737"/>
                              </w:rPr>
                              <w:t>med flera landsbygdsprogram</w:t>
                            </w:r>
                            <w:r>
                              <w:rPr>
                                <w:b w:val="0"/>
                                <w:color w:val="373737"/>
                              </w:rPr>
                              <w:t xml:space="preserve"> kan stå inför utmaningen att EU:s uppgiftskällor (t.ex. Eurostat) inte tillhandahåller värden för gemensamma effektindikatorer för GJP på nivån för flera av de regionala landsbygdsprogrammen. I sådana fall ska det regionala värdet för indikatorn (NUTS 2) beräknas genom nationella uppgifter, eller, om så är möjligt, genom att summera uppgifterna som baseras på enheterna som samlats in inom respektive region (I.01, I.02, I.03).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3" style="position:absolute;margin-left:400.1pt;margin-top:6.8pt;width:451.3pt;height:142.1pt;z-index:25164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coordsize="5731510,180494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" adj="-11796480,,5400" path="m157626,l5731510,r,l5731510,1647320v,87054,-70572,157626,-157626,157626l,1804946r,l,157626c,70572,70572,,157626,xe" filled="f" strokecolor="#be4a35" strokeweight="2pt">
                <v:stroke joinstyle="miter"/>
                <v:formulas/>
                <v:path arrowok="t" o:connecttype="custom" o:connectlocs="157626,0;5731510,0;5731510,0;5731510,1647320;5573884,1804946;0,1804946;0,1804946;0,157626;157626,0" o:connectangles="0,0,0,0,0,0,0,0,0" textboxrect="0,0,5731510,1804946"/>
                <v:textbox>
                  <w:txbxContent>
                    <w:p w:rsidR="00DB5257" w:rsidRPr="006F5B0F" w:rsidRDefault="00DB5257" w:rsidP="00DB5257">
                      <w:pPr>
                        <w:pStyle w:val="HHeading4"/>
                        <w:spacing w:before="0"/>
                        <w:jc w:val="both"/>
                        <w:rPr>
                          <w:rFonts w:cs="Arial"/>
                          <w:b w:val="0"/>
                          <w:color w:val="373737"/>
                        </w:rPr>
                      </w:pPr>
                      <w:r>
                        <w:rPr>
                          <w:b w:val="0"/>
                          <w:noProof/>
                          <w:color w:val="373737"/>
                          <w:lang w:val="en-GB" w:eastAsia="en-GB"/>
                        </w:rPr>
                        <w:drawing>
                          <wp:inline distT="0" distB="0" distL="0" distR="0">
                            <wp:extent cx="666750" cy="4857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750" cy="485775"/>
                                    </a:xfrm>
                                    <a:prstGeom prst="rect">
                                      <a:avLst/>
                                    </a:prstGeom>
                                    <a:noFill/>
                                    <a:ln>
                                      <a:noFill/>
                                    </a:ln>
                                  </pic:spPr>
                                </pic:pic>
                              </a:graphicData>
                            </a:graphic>
                          </wp:inline>
                        </w:drawing>
                      </w:r>
                      <w:r>
                        <w:rPr>
                          <w:color w:val="373737"/>
                        </w:rPr>
                        <w:t xml:space="preserve">Medlemsstater </w:t>
                      </w:r>
                      <w:r>
                        <w:rPr>
                          <w:color w:val="373737"/>
                        </w:rPr>
                        <w:t>med flera landsbygdsprogram</w:t>
                      </w:r>
                      <w:r>
                        <w:rPr>
                          <w:b w:val="0"/>
                          <w:color w:val="373737"/>
                        </w:rPr>
                        <w:t xml:space="preserve"> kan stå inför utmaningen att EU:s uppgiftskällor (t.ex. Eurostat) inte tillhandahåller värden för gemensamma effektindikatorer för GJP på nivån för flera av de regionala landsbygdsprogrammen. I sådana fall ska det regionala värdet för indikatorn (NUTS 2) beräknas genom nationella uppgifter, eller, om så är möjligt, genom att summera uppgifterna som baseras på enheterna som samlats in inom respektive region (I.01, I.02, I.03).</w:t>
                      </w:r>
                    </w:p>
                  </w:txbxContent>
                </v:textbox>
                <w10:wrap anchorx="margin"/>
              </v:shape>
            </w:pict>
          </mc:Fallback>
        </mc:AlternateContent>
      </w:r>
      <w:r w:rsidR="00AD2E14">
        <w:br w:type="page"/>
      </w:r>
    </w:p>
    <w:p w:rsidR="00DB5257" w:rsidRPr="00571D58" w:rsidRDefault="00F02B64" w:rsidP="00DB5257">
      <w:pPr>
        <w:pStyle w:val="HStandard"/>
        <w:rPr>
          <w:rFonts w:cs="Arial"/>
        </w:rPr>
      </w:pPr>
      <w:r>
        <w:rPr>
          <w:noProof/>
          <w:lang w:val="en-GB" w:eastAsia="en-GB"/>
        </w:rPr>
        <w:lastRenderedPageBreak/>
        <mc:AlternateContent>
          <mc:Choice Requires="wps">
            <w:drawing>
              <wp:anchor distT="0" distB="0" distL="114300" distR="114300" simplePos="0" relativeHeight="251648512" behindDoc="0" locked="0" layoutInCell="1" allowOverlap="1">
                <wp:simplePos x="0" y="0"/>
                <wp:positionH relativeFrom="column">
                  <wp:posOffset>-119270</wp:posOffset>
                </wp:positionH>
                <wp:positionV relativeFrom="paragraph">
                  <wp:posOffset>-111318</wp:posOffset>
                </wp:positionV>
                <wp:extent cx="6229350" cy="8778240"/>
                <wp:effectExtent l="0" t="0" r="19050" b="22860"/>
                <wp:wrapNone/>
                <wp:docPr id="40" name="Rectangle: Rounded Corners 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9350" cy="8778240"/>
                        </a:xfrm>
                        <a:prstGeom prst="roundRect">
                          <a:avLst>
                            <a:gd name="adj" fmla="val 4565"/>
                          </a:avLst>
                        </a:prstGeom>
                        <a:noFill/>
                        <a:ln w="25400">
                          <a:solidFill>
                            <a:srgbClr val="BE4A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AD21D8E" id="Rectangle: Rounded Corners 946" o:spid="_x0000_s1026" style="position:absolute;margin-left:-9.4pt;margin-top:-8.75pt;width:490.5pt;height:691.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" filled="f" strokecolor="#be4a35" strokeweight="2pt">
                <v:path arrowok="t"/>
              </v:roundrect>
            </w:pict>
          </mc:Fallback>
        </mc:AlternateContent>
      </w:r>
      <w:r>
        <w:rPr>
          <w:b/>
          <w:i/>
          <w:noProof/>
          <w:color w:val="F07E31"/>
          <w:lang w:val="en-GB" w:eastAsia="en-GB"/>
        </w:rPr>
        <mc:AlternateContent>
          <mc:Choice Requires="wps">
            <w:drawing>
              <wp:inline distT="0" distB="0" distL="0" distR="0">
                <wp:extent cx="6093460" cy="2609850"/>
                <wp:effectExtent l="0" t="0" r="2540" b="0"/>
                <wp:docPr id="37"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3460" cy="2609850"/>
                        </a:xfrm>
                        <a:custGeom>
                          <a:avLst/>
                          <a:gdLst>
                            <a:gd name="T0" fmla="*/ 150406 w 6093460"/>
                            <a:gd name="T1" fmla="*/ 0 h 2609850"/>
                            <a:gd name="T2" fmla="*/ 6093460 w 6093460"/>
                            <a:gd name="T3" fmla="*/ 0 h 2609850"/>
                            <a:gd name="T4" fmla="*/ 6093460 w 6093460"/>
                            <a:gd name="T5" fmla="*/ 0 h 2609850"/>
                            <a:gd name="T6" fmla="*/ 6093460 w 6093460"/>
                            <a:gd name="T7" fmla="*/ 2459444 h 2609850"/>
                            <a:gd name="T8" fmla="*/ 5943054 w 6093460"/>
                            <a:gd name="T9" fmla="*/ 2609850 h 2609850"/>
                            <a:gd name="T10" fmla="*/ 0 w 6093460"/>
                            <a:gd name="T11" fmla="*/ 2609850 h 2609850"/>
                            <a:gd name="T12" fmla="*/ 0 w 6093460"/>
                            <a:gd name="T13" fmla="*/ 2609850 h 2609850"/>
                            <a:gd name="T14" fmla="*/ 0 w 6093460"/>
                            <a:gd name="T15" fmla="*/ 150406 h 2609850"/>
                            <a:gd name="T16" fmla="*/ 150406 w 6093460"/>
                            <a:gd name="T17" fmla="*/ 0 h 26098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093460"/>
                            <a:gd name="T28" fmla="*/ 0 h 2609850"/>
                            <a:gd name="T29" fmla="*/ 6093460 w 6093460"/>
                            <a:gd name="T30" fmla="*/ 2609850 h 26098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093460" h="2609850">
                              <a:moveTo>
                                <a:pt x="150406" y="0"/>
                              </a:moveTo>
                              <a:lnTo>
                                <a:pt x="6093460" y="0"/>
                              </a:lnTo>
                              <a:lnTo>
                                <a:pt x="6093460" y="2459444"/>
                              </a:lnTo>
                              <a:cubicBezTo>
                                <a:pt x="6093460" y="2542511"/>
                                <a:pt x="6026121" y="2609850"/>
                                <a:pt x="5943054" y="2609850"/>
                              </a:cubicBezTo>
                              <a:lnTo>
                                <a:pt x="0" y="2609850"/>
                              </a:lnTo>
                              <a:lnTo>
                                <a:pt x="0" y="150406"/>
                              </a:lnTo>
                              <a:cubicBezTo>
                                <a:pt x="0" y="67339"/>
                                <a:pt x="67339" y="0"/>
                                <a:pt x="150406" y="0"/>
                              </a:cubicBez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DB5257" w:rsidRDefault="00DB5257" w:rsidP="00DB5257">
                            <w:pPr>
                              <w:pStyle w:val="HHeading4"/>
                              <w:spacing w:before="0"/>
                              <w:jc w:val="both"/>
                              <w:rPr>
                                <w:rFonts w:cs="Arial"/>
                                <w:color w:val="373737"/>
                                <w:sz w:val="18"/>
                                <w:szCs w:val="18"/>
                              </w:rPr>
                            </w:pPr>
                            <w:r>
                              <w:rPr>
                                <w:b w:val="0"/>
                                <w:noProof/>
                                <w:lang w:val="en-GB" w:eastAsia="en-GB"/>
                              </w:rPr>
                              <w:drawing>
                                <wp:inline distT="0" distB="0" distL="0" distR="0">
                                  <wp:extent cx="666750" cy="4857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750" cy="485775"/>
                                          </a:xfrm>
                                          <a:prstGeom prst="rect">
                                            <a:avLst/>
                                          </a:prstGeom>
                                          <a:noFill/>
                                          <a:ln>
                                            <a:noFill/>
                                          </a:ln>
                                        </pic:spPr>
                                      </pic:pic>
                                    </a:graphicData>
                                  </a:graphic>
                                </wp:inline>
                              </w:drawing>
                            </w:r>
                            <w:r>
                              <w:t xml:space="preserve"> </w:t>
                            </w:r>
                            <w:r>
                              <w:t xml:space="preserve">SNABBGUIDE </w:t>
                            </w:r>
                            <w:r>
                              <w:t>#1: Hur ska den logiska modellen användas för att identifiera olika alternativ för att skapa den kontrafaktiska utformningen och fatta beslut om utvärderingsmetod?</w:t>
                            </w:r>
                          </w:p>
                          <w:p w:rsidR="00DB5257" w:rsidRPr="005D575A" w:rsidRDefault="00DB5257" w:rsidP="00DB5257">
                            <w:pPr>
                              <w:pStyle w:val="HStandard"/>
                              <w:spacing w:after="0"/>
                              <w:rPr>
                                <w:rFonts w:cs="Arial"/>
                                <w:sz w:val="18"/>
                              </w:rPr>
                            </w:pPr>
                            <w:r>
                              <w:rPr>
                                <w:sz w:val="18"/>
                              </w:rPr>
                              <w:t xml:space="preserve">Tillämpningen av stegen i beslutsträdet i det kontrafaktiska lagret ger vägledning för hur följande nyckelfrågor ska besvaras för utformningen av den kontrafaktiska situationen: </w:t>
                            </w:r>
                          </w:p>
                          <w:p w:rsidR="00DB5257" w:rsidRPr="005D575A" w:rsidRDefault="00DB5257" w:rsidP="00DB5257">
                            <w:pPr>
                              <w:pStyle w:val="Hlistbullet"/>
                              <w:rPr>
                                <w:sz w:val="18"/>
                              </w:rPr>
                            </w:pPr>
                            <w:r>
                              <w:rPr>
                                <w:sz w:val="18"/>
                              </w:rPr>
                              <w:t>Vilka alternativ finns för att skapa en kontrafaktisk situation?</w:t>
                            </w:r>
                          </w:p>
                          <w:p w:rsidR="00DB5257" w:rsidRPr="005D575A" w:rsidRDefault="00DB5257" w:rsidP="00DB5257">
                            <w:pPr>
                              <w:pStyle w:val="Hlistbullet"/>
                              <w:rPr>
                                <w:sz w:val="18"/>
                              </w:rPr>
                            </w:pPr>
                            <w:r>
                              <w:rPr>
                                <w:sz w:val="18"/>
                              </w:rPr>
                              <w:t>Gör genomförandet och tillämpningen av åtgärder det möjligt att skapa en kontrollgrupp?</w:t>
                            </w:r>
                          </w:p>
                          <w:p w:rsidR="00DB5257" w:rsidRPr="005D575A" w:rsidRDefault="00DB5257" w:rsidP="00DB5257">
                            <w:pPr>
                              <w:pStyle w:val="Hlistbullet"/>
                              <w:rPr>
                                <w:sz w:val="18"/>
                              </w:rPr>
                            </w:pPr>
                            <w:r>
                              <w:rPr>
                                <w:sz w:val="18"/>
                              </w:rPr>
                              <w:t>I vilken utsträckning har jag uppgifter om andra faktorer som påverkar de valda indikatorerna?</w:t>
                            </w:r>
                          </w:p>
                          <w:p w:rsidR="00DB5257" w:rsidRPr="005D575A" w:rsidRDefault="00DB5257" w:rsidP="00DB5257">
                            <w:pPr>
                              <w:pStyle w:val="Hlistbullet"/>
                              <w:rPr>
                                <w:sz w:val="18"/>
                              </w:rPr>
                            </w:pPr>
                            <w:r>
                              <w:rPr>
                                <w:sz w:val="18"/>
                              </w:rPr>
                              <w:t>Finns det uppgifter för de valda indikatorerna för olika tidpunkter (före och efter) för stödmottagare och icke stödmottagare?</w:t>
                            </w:r>
                          </w:p>
                          <w:p w:rsidR="00DB5257" w:rsidRPr="00A41C7D" w:rsidRDefault="00DB5257" w:rsidP="00DB5257">
                            <w:pPr>
                              <w:pStyle w:val="Hlistbullet"/>
                              <w:rPr>
                                <w:sz w:val="18"/>
                              </w:rPr>
                            </w:pPr>
                            <w:r>
                              <w:rPr>
                                <w:sz w:val="18"/>
                              </w:rPr>
                              <w:t>Kan jag använda gedigna statistik-baserade metoder för att kvantifiera nettoeffekterna av de utvärderade åtgärderna på ett kostnadseffektivt sätt?</w:t>
                            </w:r>
                          </w:p>
                          <w:p w:rsidR="00DB5257" w:rsidRPr="006F5B0F" w:rsidRDefault="00DB5257" w:rsidP="00DB5257">
                            <w:pPr>
                              <w:pStyle w:val="Hlistbullet"/>
                              <w:numPr>
                                <w:ilvl w:val="0"/>
                                <w:numId w:val="0"/>
                              </w:numPr>
                              <w:spacing w:before="0" w:after="0" w:line="280" w:lineRule="atLeast"/>
                              <w:jc w:val="right"/>
                              <w:rPr>
                                <w:i/>
                                <w:color w:val="F07E31"/>
                                <w:sz w:val="18"/>
                              </w:rPr>
                            </w:pPr>
                          </w:p>
                        </w:txbxContent>
                      </wps:txbx>
                      <wps:bodyPr rot="0" vert="horz" wrap="square" lIns="91440" tIns="45720" rIns="91440" bIns="45720" anchor="ctr" anchorCtr="0" upright="1">
                        <a:noAutofit/>
                      </wps:bodyPr>
                    </wps:wsp>
                  </a:graphicData>
                </a:graphic>
              </wp:inline>
            </w:drawing>
          </mc:Choice>
          <mc:Fallback>
            <w:pict>
              <v:shape id="Rectangle: Diagonal Corners Rounded 90" o:spid="_x0000_s1034" style="width:479.8pt;height:205.5pt;visibility:visible;mso-wrap-style:square;mso-left-percent:-10001;mso-top-percent:-10001;mso-position-horizontal:absolute;mso-position-horizontal-relative:char;mso-position-vertical:absolute;mso-position-vertical-relative:line;mso-left-percent:-10001;mso-top-percent:-10001;v-text-anchor:middle" coordsize="6093460,2609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" adj="-11796480,,5400" path="m150406,l6093460,r,2459444c6093460,2542511,6026121,2609850,5943054,2609850l,2609850,,150406c,67339,67339,,150406,xe" filled="f" stroked="f" strokeweight="2pt">
                <v:stroke joinstyle="miter"/>
                <v:formulas/>
                <v:path arrowok="t" o:connecttype="custom" o:connectlocs="150406,0;6093460,0;6093460,0;6093460,2459444;5943054,2609850;0,2609850;0,2609850;0,150406;150406,0" o:connectangles="0,0,0,0,0,0,0,0,0" textboxrect="0,0,6093460,2609850"/>
                <v:textbox>
                  <w:txbxContent>
                    <w:p w:rsidR="00DB5257" w:rsidRDefault="00DB5257" w:rsidP="00DB5257">
                      <w:pPr>
                        <w:pStyle w:val="HHeading4"/>
                        <w:spacing w:before="0"/>
                        <w:jc w:val="both"/>
                        <w:rPr>
                          <w:rFonts w:cs="Arial"/>
                          <w:color w:val="373737"/>
                          <w:sz w:val="18"/>
                          <w:szCs w:val="18"/>
                        </w:rPr>
                      </w:pPr>
                      <w:r>
                        <w:rPr>
                          <w:b w:val="0"/>
                          <w:noProof/>
                          <w:lang w:val="en-GB" w:eastAsia="en-GB"/>
                        </w:rPr>
                        <w:drawing>
                          <wp:inline distT="0" distB="0" distL="0" distR="0">
                            <wp:extent cx="666750" cy="4857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750" cy="485775"/>
                                    </a:xfrm>
                                    <a:prstGeom prst="rect">
                                      <a:avLst/>
                                    </a:prstGeom>
                                    <a:noFill/>
                                    <a:ln>
                                      <a:noFill/>
                                    </a:ln>
                                  </pic:spPr>
                                </pic:pic>
                              </a:graphicData>
                            </a:graphic>
                          </wp:inline>
                        </w:drawing>
                      </w:r>
                      <w:r>
                        <w:t xml:space="preserve"> </w:t>
                      </w:r>
                      <w:r>
                        <w:t xml:space="preserve">SNABBGUIDE </w:t>
                      </w:r>
                      <w:r>
                        <w:t>#1: Hur ska den logiska modellen användas för att identifiera olika alternativ för att skapa den kontrafaktiska utformningen och fatta beslut om utvärderingsmetod?</w:t>
                      </w:r>
                    </w:p>
                    <w:p w:rsidR="00DB5257" w:rsidRPr="005D575A" w:rsidRDefault="00DB5257" w:rsidP="00DB5257">
                      <w:pPr>
                        <w:pStyle w:val="HStandard"/>
                        <w:spacing w:after="0"/>
                        <w:rPr>
                          <w:rFonts w:cs="Arial"/>
                          <w:sz w:val="18"/>
                        </w:rPr>
                      </w:pPr>
                      <w:r>
                        <w:rPr>
                          <w:sz w:val="18"/>
                        </w:rPr>
                        <w:t xml:space="preserve">Tillämpningen av stegen i beslutsträdet i det kontrafaktiska lagret ger vägledning för hur följande nyckelfrågor ska besvaras för utformningen av den kontrafaktiska situationen: </w:t>
                      </w:r>
                    </w:p>
                    <w:p w:rsidR="00DB5257" w:rsidRPr="005D575A" w:rsidRDefault="00DB5257" w:rsidP="00DB5257">
                      <w:pPr>
                        <w:pStyle w:val="Hlistbullet"/>
                        <w:rPr>
                          <w:sz w:val="18"/>
                        </w:rPr>
                      </w:pPr>
                      <w:r>
                        <w:rPr>
                          <w:sz w:val="18"/>
                        </w:rPr>
                        <w:t>Vilka alternativ finns för att skapa en kontrafaktisk situation?</w:t>
                      </w:r>
                    </w:p>
                    <w:p w:rsidR="00DB5257" w:rsidRPr="005D575A" w:rsidRDefault="00DB5257" w:rsidP="00DB5257">
                      <w:pPr>
                        <w:pStyle w:val="Hlistbullet"/>
                        <w:rPr>
                          <w:sz w:val="18"/>
                        </w:rPr>
                      </w:pPr>
                      <w:r>
                        <w:rPr>
                          <w:sz w:val="18"/>
                        </w:rPr>
                        <w:t>Gör genomförandet och tillämpningen av åtgärder det möjligt att skapa en kontrollgrupp?</w:t>
                      </w:r>
                    </w:p>
                    <w:p w:rsidR="00DB5257" w:rsidRPr="005D575A" w:rsidRDefault="00DB5257" w:rsidP="00DB5257">
                      <w:pPr>
                        <w:pStyle w:val="Hlistbullet"/>
                        <w:rPr>
                          <w:sz w:val="18"/>
                        </w:rPr>
                      </w:pPr>
                      <w:r>
                        <w:rPr>
                          <w:sz w:val="18"/>
                        </w:rPr>
                        <w:t>I vilken utsträckning har jag uppgifter om andra faktorer som påverkar de valda indikatorerna?</w:t>
                      </w:r>
                    </w:p>
                    <w:p w:rsidR="00DB5257" w:rsidRPr="005D575A" w:rsidRDefault="00DB5257" w:rsidP="00DB5257">
                      <w:pPr>
                        <w:pStyle w:val="Hlistbullet"/>
                        <w:rPr>
                          <w:sz w:val="18"/>
                        </w:rPr>
                      </w:pPr>
                      <w:r>
                        <w:rPr>
                          <w:sz w:val="18"/>
                        </w:rPr>
                        <w:t>Finns det uppgifter för de valda indikatorerna för olika tidpunkter (före och efter) för stödmottagare och icke stödmottagare?</w:t>
                      </w:r>
                    </w:p>
                    <w:p w:rsidR="00DB5257" w:rsidRPr="00A41C7D" w:rsidRDefault="00DB5257" w:rsidP="00DB5257">
                      <w:pPr>
                        <w:pStyle w:val="Hlistbullet"/>
                        <w:rPr>
                          <w:sz w:val="18"/>
                        </w:rPr>
                      </w:pPr>
                      <w:r>
                        <w:rPr>
                          <w:sz w:val="18"/>
                        </w:rPr>
                        <w:t>Kan jag använda gedigna statistik-baserade metoder för att kvantifiera nettoeffekterna av de utvärderade åtgärderna på ett kostnadseffektivt sätt?</w:t>
                      </w:r>
                    </w:p>
                    <w:p w:rsidR="00DB5257" w:rsidRPr="006F5B0F" w:rsidRDefault="00DB5257" w:rsidP="00DB5257">
                      <w:pPr>
                        <w:pStyle w:val="Hlistbullet"/>
                        <w:numPr>
                          <w:ilvl w:val="0"/>
                          <w:numId w:val="0"/>
                        </w:numPr>
                        <w:spacing w:before="0" w:after="0" w:line="280" w:lineRule="atLeast"/>
                        <w:jc w:val="right"/>
                        <w:rPr>
                          <w:i/>
                          <w:color w:val="F07E31"/>
                          <w:sz w:val="18"/>
                        </w:rPr>
                      </w:pPr>
                    </w:p>
                  </w:txbxContent>
                </v:textbox>
                <w10:anchorlock/>
              </v:shape>
            </w:pict>
          </mc:Fallback>
        </mc:AlternateContent>
      </w:r>
    </w:p>
    <w:p w:rsidR="00DB5257" w:rsidRDefault="00AD2E14" w:rsidP="00DB5257">
      <w:pPr>
        <w:pStyle w:val="HHeadingfigures"/>
        <w:tabs>
          <w:tab w:val="clear" w:pos="2666"/>
        </w:tabs>
      </w:pPr>
      <w:r>
        <w:t>Logisk modell för att identifiera alternativ för att inrätta en kontrafaktisk situation</w:t>
      </w:r>
    </w:p>
    <w:p w:rsidR="006645FF" w:rsidRPr="006645FF" w:rsidRDefault="006645FF" w:rsidP="006645FF">
      <w:pPr>
        <w:pStyle w:val="HStandard"/>
      </w:pPr>
    </w:p>
    <w:p w:rsidR="00DB5257" w:rsidRPr="00571D58" w:rsidRDefault="00F02B64" w:rsidP="00DB5257">
      <w:pPr>
        <w:pStyle w:val="HStandard"/>
      </w:pPr>
      <w:r>
        <w:rPr>
          <w:noProof/>
          <w:lang w:val="en-GB" w:eastAsia="en-GB"/>
        </w:rPr>
        <w:drawing>
          <wp:inline distT="0" distB="0" distL="0" distR="0">
            <wp:extent cx="5734050" cy="36099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4050" cy="3609975"/>
                    </a:xfrm>
                    <a:prstGeom prst="rect">
                      <a:avLst/>
                    </a:prstGeom>
                    <a:noFill/>
                    <a:ln>
                      <a:noFill/>
                    </a:ln>
                  </pic:spPr>
                </pic:pic>
              </a:graphicData>
            </a:graphic>
          </wp:inline>
        </w:drawing>
      </w:r>
      <w:r w:rsidR="00AD2E14">
        <w:rPr>
          <w:color w:val="000000"/>
          <w:sz w:val="18"/>
        </w:rPr>
        <w:t xml:space="preserve"> </w:t>
      </w:r>
    </w:p>
    <w:p w:rsidR="00DB5257" w:rsidRPr="00AC6A80" w:rsidRDefault="00AD2E14" w:rsidP="00DB5257">
      <w:pPr>
        <w:pStyle w:val="HSource"/>
      </w:pPr>
      <w:r>
        <w:t>Källa: anpassad från ENVIEVAL (2015)</w:t>
      </w:r>
    </w:p>
    <w:p w:rsidR="00DB5257" w:rsidRPr="007645B4" w:rsidRDefault="00AD2E14" w:rsidP="00DB5257">
      <w:pPr>
        <w:pStyle w:val="Hlistbullet"/>
        <w:numPr>
          <w:ilvl w:val="0"/>
          <w:numId w:val="0"/>
        </w:numPr>
        <w:spacing w:before="0" w:after="0" w:line="280" w:lineRule="atLeast"/>
        <w:rPr>
          <w:rFonts w:cs="Arial"/>
          <w:sz w:val="18"/>
        </w:rPr>
      </w:pPr>
      <w:r>
        <w:rPr>
          <w:sz w:val="18"/>
        </w:rPr>
        <w:t xml:space="preserve">Den logiska modellen inleds med beskrivningen av landsbygdsprogrammets upptag och uppgiftssituationen när det gäller tillgängliga effektindikatorer (och resultatindikatorer) för det gemensamma övervaknings- och utvärderingssystemet, men även de kompletterande indikatorerna om dessa markerats (fyllda mörkgråa rutor). En uppsättning beslutsfrågor (röda rutor) ger möjliga alternativ för att inrätta en kontrafaktisk situation (fyllda röda rutor). </w:t>
      </w:r>
    </w:p>
    <w:p w:rsidR="00DB5257" w:rsidRPr="00571D58" w:rsidRDefault="00AD2E14" w:rsidP="00DB5257">
      <w:pPr>
        <w:pStyle w:val="Hlistbullet"/>
        <w:numPr>
          <w:ilvl w:val="0"/>
          <w:numId w:val="0"/>
        </w:numPr>
        <w:spacing w:before="0" w:after="0" w:line="280" w:lineRule="atLeast"/>
        <w:jc w:val="center"/>
        <w:rPr>
          <w:i/>
          <w:color w:val="F07E31"/>
          <w:sz w:val="18"/>
        </w:rPr>
      </w:pPr>
      <w:r>
        <w:rPr>
          <w:i/>
          <w:color w:val="F07E31"/>
          <w:sz w:val="18"/>
        </w:rPr>
        <w:t xml:space="preserve">Mer information om användning av logiska modeller från </w:t>
      </w:r>
      <w:r w:rsidR="004077A5">
        <w:fldChar w:fldCharType="begin"/>
      </w:r>
      <w:r w:rsidR="004077A5">
        <w:instrText xml:space="preserve"> HYPERL</w:instrText>
      </w:r>
      <w:r w:rsidR="004077A5">
        <w:instrText xml:space="preserve">INK "https://www.envieval.eu/" </w:instrText>
      </w:r>
      <w:r w:rsidR="004077A5">
        <w:fldChar w:fldCharType="separate"/>
      </w:r>
      <w:r>
        <w:rPr>
          <w:rStyle w:val="Hyperlink"/>
          <w:i/>
          <w:sz w:val="18"/>
        </w:rPr>
        <w:t>forskningsprojektet ENVIEVAL inom det sjunde ramprogrammet</w:t>
      </w:r>
      <w:r w:rsidR="004077A5">
        <w:rPr>
          <w:rStyle w:val="Hyperlink"/>
          <w:i/>
          <w:sz w:val="18"/>
        </w:rPr>
        <w:fldChar w:fldCharType="end"/>
      </w:r>
      <w:r>
        <w:rPr>
          <w:rStyle w:val="Hyperlink"/>
          <w:i/>
          <w:sz w:val="18"/>
        </w:rPr>
        <w:t xml:space="preserve"> </w:t>
      </w:r>
      <w:r>
        <w:rPr>
          <w:rStyle w:val="Hyperlink"/>
          <w:i/>
          <w:sz w:val="18"/>
          <w:u w:val="none"/>
        </w:rPr>
        <w:t>och dess</w:t>
      </w:r>
      <w:r>
        <w:rPr>
          <w:i/>
          <w:color w:val="F07E31"/>
          <w:sz w:val="18"/>
        </w:rPr>
        <w:t xml:space="preserve"> </w:t>
      </w:r>
      <w:hyperlink r:id="rId36" w:history="1">
        <w:r>
          <w:rPr>
            <w:rStyle w:val="Hyperlink"/>
            <w:i/>
            <w:sz w:val="18"/>
          </w:rPr>
          <w:t>Methodological Handbook for the evaluation of environmental impacts of RDPs</w:t>
        </w:r>
      </w:hyperlink>
    </w:p>
    <w:p w:rsidR="00DB5257" w:rsidRPr="00336531" w:rsidRDefault="00DB5257" w:rsidP="00DB5257">
      <w:pPr>
        <w:pStyle w:val="HStandard"/>
      </w:pPr>
    </w:p>
    <w:tbl>
      <w:tblPr>
        <w:tblW w:w="0" w:type="auto"/>
        <w:tblLook w:val="04A0" w:firstRow="1" w:lastRow="0" w:firstColumn="1" w:lastColumn="0" w:noHBand="0" w:noVBand="1"/>
      </w:tblPr>
      <w:tblGrid>
        <w:gridCol w:w="9026"/>
      </w:tblGrid>
      <w:tr w:rsidR="00DB5257" w:rsidRPr="001C6ACF" w:rsidTr="00DB5257">
        <w:tc>
          <w:tcPr>
            <w:tcW w:w="9026" w:type="dxa"/>
            <w:shd w:val="clear" w:color="auto" w:fill="auto"/>
          </w:tcPr>
          <w:p w:rsidR="00DB5257" w:rsidRPr="006F5B0F" w:rsidRDefault="00AD2E14" w:rsidP="00DB5257">
            <w:pPr>
              <w:pStyle w:val="Hlistbullet"/>
              <w:numPr>
                <w:ilvl w:val="0"/>
                <w:numId w:val="0"/>
              </w:numPr>
              <w:spacing w:before="0" w:after="0" w:line="280" w:lineRule="atLeast"/>
              <w:rPr>
                <w:sz w:val="18"/>
                <w:szCs w:val="18"/>
              </w:rPr>
            </w:pPr>
            <w:r>
              <w:lastRenderedPageBreak/>
              <w:br w:type="column"/>
            </w:r>
            <w:r w:rsidR="00F02B64">
              <w:rPr>
                <w:b/>
                <w:i/>
                <w:noProof/>
                <w:color w:val="F07E31"/>
                <w:lang w:val="en-GB" w:eastAsia="en-GB"/>
              </w:rPr>
              <mc:AlternateContent>
                <mc:Choice Requires="wps">
                  <w:drawing>
                    <wp:inline distT="0" distB="0" distL="0" distR="0">
                      <wp:extent cx="5567045" cy="8706678"/>
                      <wp:effectExtent l="0" t="0" r="14605" b="18415"/>
                      <wp:docPr id="22"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7045" cy="8706678"/>
                              </a:xfrm>
                              <a:custGeom>
                                <a:avLst/>
                                <a:gdLst>
                                  <a:gd name="T0" fmla="*/ 276626 w 5567045"/>
                                  <a:gd name="T1" fmla="*/ 0 h 8401050"/>
                                  <a:gd name="T2" fmla="*/ 5567045 w 5567045"/>
                                  <a:gd name="T3" fmla="*/ 0 h 8401050"/>
                                  <a:gd name="T4" fmla="*/ 5567045 w 5567045"/>
                                  <a:gd name="T5" fmla="*/ 0 h 8401050"/>
                                  <a:gd name="T6" fmla="*/ 5567045 w 5567045"/>
                                  <a:gd name="T7" fmla="*/ 8124424 h 8401050"/>
                                  <a:gd name="T8" fmla="*/ 5290419 w 5567045"/>
                                  <a:gd name="T9" fmla="*/ 8401050 h 8401050"/>
                                  <a:gd name="T10" fmla="*/ 0 w 5567045"/>
                                  <a:gd name="T11" fmla="*/ 8401050 h 8401050"/>
                                  <a:gd name="T12" fmla="*/ 0 w 5567045"/>
                                  <a:gd name="T13" fmla="*/ 8401050 h 8401050"/>
                                  <a:gd name="T14" fmla="*/ 0 w 5567045"/>
                                  <a:gd name="T15" fmla="*/ 276626 h 8401050"/>
                                  <a:gd name="T16" fmla="*/ 276626 w 5567045"/>
                                  <a:gd name="T17" fmla="*/ 0 h 84010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567045"/>
                                  <a:gd name="T28" fmla="*/ 0 h 8401050"/>
                                  <a:gd name="T29" fmla="*/ 5567045 w 5567045"/>
                                  <a:gd name="T30" fmla="*/ 8401050 h 84010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567045" h="8401050">
                                    <a:moveTo>
                                      <a:pt x="276626" y="0"/>
                                    </a:moveTo>
                                    <a:lnTo>
                                      <a:pt x="5567045" y="0"/>
                                    </a:lnTo>
                                    <a:lnTo>
                                      <a:pt x="5567045" y="8124424"/>
                                    </a:lnTo>
                                    <a:cubicBezTo>
                                      <a:pt x="5567045" y="8277200"/>
                                      <a:pt x="5443195" y="8401050"/>
                                      <a:pt x="5290419" y="8401050"/>
                                    </a:cubicBezTo>
                                    <a:lnTo>
                                      <a:pt x="0" y="8401050"/>
                                    </a:lnTo>
                                    <a:lnTo>
                                      <a:pt x="0" y="276626"/>
                                    </a:lnTo>
                                    <a:cubicBezTo>
                                      <a:pt x="0" y="123850"/>
                                      <a:pt x="123850" y="0"/>
                                      <a:pt x="276626"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DB5257" w:rsidRPr="00391ECD" w:rsidRDefault="00DB5257" w:rsidP="00DB5257">
                                  <w:pPr>
                                    <w:pStyle w:val="HHeading4"/>
                                  </w:pPr>
                                  <w:r>
                                    <w:rPr>
                                      <w:b w:val="0"/>
                                      <w:noProof/>
                                      <w:lang w:val="en-GB" w:eastAsia="en-GB"/>
                                    </w:rPr>
                                    <w:drawing>
                                      <wp:inline distT="0" distB="0" distL="0" distR="0">
                                        <wp:extent cx="666750" cy="4857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750" cy="485775"/>
                                                </a:xfrm>
                                                <a:prstGeom prst="rect">
                                                  <a:avLst/>
                                                </a:prstGeom>
                                                <a:noFill/>
                                                <a:ln>
                                                  <a:noFill/>
                                                </a:ln>
                                              </pic:spPr>
                                            </pic:pic>
                                          </a:graphicData>
                                        </a:graphic>
                                      </wp:inline>
                                    </w:drawing>
                                  </w:r>
                                  <w:r>
                                    <w:t xml:space="preserve"> </w:t>
                                  </w:r>
                                  <w:r>
                                    <w:t xml:space="preserve">SNABBGUIDE </w:t>
                                  </w:r>
                                  <w:r>
                                    <w:t>#2: Hur skapar man en kontrollgrupp på mikronivå? (gäller det andra lagret)</w:t>
                                  </w:r>
                                </w:p>
                                <w:p w:rsidR="00DB5257" w:rsidRPr="007008C0" w:rsidRDefault="00DB5257" w:rsidP="00DB5257">
                                  <w:pPr>
                                    <w:pStyle w:val="HStandard"/>
                                    <w:spacing w:after="0"/>
                                    <w:rPr>
                                      <w:rFonts w:cs="Arial"/>
                                      <w:sz w:val="18"/>
                                      <w:szCs w:val="18"/>
                                    </w:rPr>
                                  </w:pPr>
                                  <w:r>
                                    <w:rPr>
                                      <w:sz w:val="18"/>
                                    </w:rPr>
                                    <w:t>Den kontrafaktiska analysen på mikronivå bör baseras på jämförelser mellan kontrollgrupper av stödmottagare och icke stödmottagare som är så lika varandra som möjligt (sett till observerbara och icke observerbara dimensioner). Om de både grupperna är tillräckligt lika varandra statistiskt sett (liknande egenskaper) kan man anta att eventuella skillnader i resultaten beror på programmet. Den kontrafaktiska analysen möjliggör användning av kausalitet - genom att tillämpa observerade förändringar i programmets resultat, medan man tar bort andra påverkande faktorer.</w:t>
                                  </w:r>
                                </w:p>
                                <w:p w:rsidR="00DB5257" w:rsidRPr="007008C0" w:rsidRDefault="00DB5257" w:rsidP="00DB5257">
                                  <w:pPr>
                                    <w:pStyle w:val="HStandard"/>
                                    <w:spacing w:after="0"/>
                                    <w:rPr>
                                      <w:rFonts w:cs="Arial"/>
                                      <w:sz w:val="18"/>
                                      <w:szCs w:val="18"/>
                                    </w:rPr>
                                  </w:pPr>
                                </w:p>
                                <w:p w:rsidR="00DB5257" w:rsidRPr="007008C0" w:rsidRDefault="00DB5257" w:rsidP="00DB5257">
                                  <w:pPr>
                                    <w:pStyle w:val="HStandard"/>
                                    <w:spacing w:after="0"/>
                                    <w:rPr>
                                      <w:rFonts w:cs="Arial"/>
                                      <w:sz w:val="18"/>
                                      <w:szCs w:val="18"/>
                                    </w:rPr>
                                  </w:pPr>
                                  <w:r>
                                    <w:rPr>
                                      <w:sz w:val="18"/>
                                    </w:rPr>
                                    <w:t>Inrättandet av en lämplig kontrollgrupp kan vara en utmaning på grund av den tydliga urvalsprocessen för programmet och strikta villkor för stödberättigande inom programmet. Programmets stödmottagare i bedömningen som fick programstöd kan skilja sig mycket från icke stödmottagare både när det gäller strukturella eg</w:t>
                                  </w:r>
                                  <w:r w:rsidR="00A3652D">
                                    <w:rPr>
                                      <w:sz w:val="18"/>
                                    </w:rPr>
                                    <w:t xml:space="preserve">enskaper samt ekonomiska, miljörelaterade </w:t>
                                  </w:r>
                                  <w:r>
                                    <w:rPr>
                                      <w:sz w:val="18"/>
                                    </w:rPr>
                                    <w:t xml:space="preserve">och socioekonomiska faktorer. </w:t>
                                  </w:r>
                                </w:p>
                                <w:p w:rsidR="00DB5257" w:rsidRPr="007008C0" w:rsidRDefault="00DB5257" w:rsidP="00DB5257">
                                  <w:pPr>
                                    <w:pStyle w:val="HStandard"/>
                                    <w:spacing w:after="0"/>
                                    <w:rPr>
                                      <w:rFonts w:cs="Arial"/>
                                      <w:sz w:val="18"/>
                                      <w:szCs w:val="18"/>
                                    </w:rPr>
                                  </w:pPr>
                                </w:p>
                                <w:p w:rsidR="00DB5257" w:rsidRPr="007008C0" w:rsidRDefault="00DB5257" w:rsidP="00DB5257">
                                  <w:pPr>
                                    <w:pStyle w:val="HStandard"/>
                                    <w:spacing w:after="0"/>
                                    <w:rPr>
                                      <w:rFonts w:cs="Arial"/>
                                      <w:sz w:val="18"/>
                                      <w:szCs w:val="18"/>
                                    </w:rPr>
                                  </w:pPr>
                                  <w:r>
                                    <w:rPr>
                                      <w:sz w:val="18"/>
                                    </w:rPr>
                                    <w:t>Inrättandet av en lämplig kontrollgrupp görs enligt följande:</w:t>
                                  </w:r>
                                </w:p>
                                <w:p w:rsidR="00DB5257" w:rsidRPr="007008C0" w:rsidRDefault="00DB5257" w:rsidP="00DB5257">
                                  <w:pPr>
                                    <w:pStyle w:val="Hlistbullet"/>
                                    <w:spacing w:before="0" w:after="0" w:line="280" w:lineRule="atLeast"/>
                                    <w:ind w:left="604" w:hanging="604"/>
                                    <w:rPr>
                                      <w:sz w:val="18"/>
                                      <w:szCs w:val="18"/>
                                    </w:rPr>
                                  </w:pPr>
                                  <w:r>
                                    <w:rPr>
                                      <w:b/>
                                      <w:color w:val="F07E31"/>
                                      <w:sz w:val="18"/>
                                    </w:rPr>
                                    <w:t>Steg 1:</w:t>
                                  </w:r>
                                  <w:r>
                                    <w:rPr>
                                      <w:sz w:val="18"/>
                                    </w:rPr>
                                    <w:t xml:space="preserve"> Hitta ett urval av stödmottagare inom landsbygdsprogrammet (t.ex. jordbruk/jordbrukare/företag utanför jordbrukssektorn/samhällen/områden/regioner) i en tillgänglig databas (t.ex. informationssystemet för jordbruksföretagens redovisningsuppgifter) och använda övervakningssystemet för landsbygdsprogrammet som referenspunkt (t.ex. det utbetalande organets databas). </w:t>
                                  </w:r>
                                </w:p>
                                <w:p w:rsidR="00DB5257" w:rsidRPr="00AF5661" w:rsidRDefault="00DB5257" w:rsidP="00DB5257">
                                  <w:pPr>
                                    <w:pStyle w:val="Hlistbullet"/>
                                    <w:spacing w:before="0" w:after="0" w:line="280" w:lineRule="atLeast"/>
                                    <w:ind w:left="604" w:hanging="604"/>
                                    <w:rPr>
                                      <w:sz w:val="18"/>
                                      <w:szCs w:val="18"/>
                                    </w:rPr>
                                  </w:pPr>
                                  <w:r>
                                    <w:rPr>
                                      <w:b/>
                                      <w:color w:val="F07E31"/>
                                      <w:sz w:val="18"/>
                                    </w:rPr>
                                    <w:t>Steg 2:</w:t>
                                  </w:r>
                                  <w:r>
                                    <w:rPr>
                                      <w:sz w:val="18"/>
                                    </w:rPr>
                                    <w:t xml:space="preserve"> Att bland alla relevanta enheter i databasen välja ut de som under samma period inte fick stöd från åtgärder inom landsbygdsprogrammet (icke stödmottagare).</w:t>
                                  </w:r>
                                </w:p>
                                <w:p w:rsidR="00DB5257" w:rsidRPr="00AF5661" w:rsidRDefault="00DB5257" w:rsidP="00DB5257">
                                  <w:pPr>
                                    <w:pStyle w:val="Hlistbullet"/>
                                    <w:spacing w:before="0" w:after="0" w:line="280" w:lineRule="atLeast"/>
                                    <w:ind w:left="604" w:hanging="604"/>
                                    <w:rPr>
                                      <w:sz w:val="18"/>
                                      <w:szCs w:val="18"/>
                                    </w:rPr>
                                  </w:pPr>
                                  <w:r>
                                    <w:rPr>
                                      <w:b/>
                                      <w:color w:val="F07E31"/>
                                      <w:sz w:val="18"/>
                                    </w:rPr>
                                    <w:t>Steg 3:</w:t>
                                  </w:r>
                                  <w:r>
                                    <w:rPr>
                                      <w:sz w:val="18"/>
                                    </w:rPr>
                                    <w:t xml:space="preserve"> Göra ett förhandsurval från gruppen av icke stödmottagande enheter, som INTE uppfyllde programmets villkor för bidragsberättigande (på grund av hög inkomst, storlek, placering etc.) och ta bort dem från analysen. </w:t>
                                  </w:r>
                                </w:p>
                                <w:p w:rsidR="00DB5257" w:rsidRPr="007008C0" w:rsidRDefault="00DB5257" w:rsidP="00DB5257">
                                  <w:pPr>
                                    <w:pStyle w:val="Hlistbullet"/>
                                    <w:spacing w:before="0" w:after="0" w:line="280" w:lineRule="atLeast"/>
                                    <w:ind w:left="604" w:hanging="604"/>
                                    <w:rPr>
                                      <w:sz w:val="18"/>
                                      <w:szCs w:val="18"/>
                                    </w:rPr>
                                  </w:pPr>
                                  <w:r>
                                    <w:rPr>
                                      <w:b/>
                                      <w:color w:val="F07E31"/>
                                      <w:sz w:val="18"/>
                                    </w:rPr>
                                    <w:t>Steg 4:</w:t>
                                  </w:r>
                                  <w:r>
                                    <w:rPr>
                                      <w:sz w:val="18"/>
                                    </w:rPr>
                                    <w:t xml:space="preserve"> Samla in uppgifter för alla enheter i båda grupperna (stödmottagare och icke stödmottagare) om deras viktigaste egenskaper (variabler) för året 2013 (dvs. före programmet). Observera att variablerna som ingår i analysen bör påverka både valet av en enhet samt de indikatorer som beräknats på mikronivå (gemensamma och kompletterande effektindikatorer). En av de föreslagna variablerna (som används som viktig kontrollvariabel) kan vara i) stödnivån som en viss enhet har haft (”stödmottagare” och ”icke stödmottagare” under den föregående programperioden 2007–2013 och/eller ii) stödnivån som erhållits av en viss enhet (”stödmottagare” och ”icke stödmottagare”) från andra offentliga källor (t.ex. EU:s strukturfonder, pelare I) under den period som analyseras.</w:t>
                                  </w:r>
                                </w:p>
                                <w:p w:rsidR="00DB5257" w:rsidRPr="00AF5661" w:rsidRDefault="00DB5257" w:rsidP="00DB5257">
                                  <w:pPr>
                                    <w:pStyle w:val="Hlistbullet"/>
                                    <w:spacing w:before="0" w:after="0" w:line="280" w:lineRule="atLeast"/>
                                    <w:ind w:left="604" w:hanging="604"/>
                                    <w:rPr>
                                      <w:sz w:val="18"/>
                                      <w:szCs w:val="18"/>
                                    </w:rPr>
                                  </w:pPr>
                                  <w:r>
                                    <w:rPr>
                                      <w:b/>
                                      <w:color w:val="F07E31"/>
                                      <w:sz w:val="18"/>
                                    </w:rPr>
                                    <w:t>Steg 5:</w:t>
                                  </w:r>
                                  <w:r>
                                    <w:rPr>
                                      <w:sz w:val="18"/>
                                    </w:rPr>
                                    <w:t xml:space="preserve"> Tillämpa lämpliga tekniker (t.ex. matchning) som möjliggör att från urvalet av ”icke stödmottagare” (se steg 2–3) identifiera en lämplig ”kontrollgrupp” (vissa av ”icke stödmottagarna” och/eller ”stödmottagarna” kommer att väljas bort från analysen på grund av brist på lämpliga kontrollenheter).</w:t>
                                  </w:r>
                                </w:p>
                                <w:p w:rsidR="00DB5257" w:rsidRPr="0025164E" w:rsidRDefault="00DB5257" w:rsidP="00DB5257">
                                  <w:pPr>
                                    <w:pStyle w:val="Hlistbullet"/>
                                    <w:spacing w:before="0" w:after="0" w:line="280" w:lineRule="atLeast"/>
                                    <w:ind w:left="604" w:hanging="604"/>
                                  </w:pPr>
                                  <w:r>
                                    <w:rPr>
                                      <w:b/>
                                      <w:color w:val="F07E31"/>
                                      <w:sz w:val="18"/>
                                    </w:rPr>
                                    <w:t>Steg 6:</w:t>
                                  </w:r>
                                  <w:r>
                                    <w:rPr>
                                      <w:sz w:val="18"/>
                                    </w:rPr>
                                    <w:t xml:space="preserve"> Kontrollera den statistiska ”likheten” i båda grupperna innan de får stöd från programmet (t.ex. genom att göra statistiska tester på de kovariat som inkluderas i analysen). Medelvärdet för en enhet i gruppen med ”stödmottagare” bör inte skilja sig för mycket från respektive enhet i ”kontrollgruppen”.</w:t>
                                  </w:r>
                                </w:p>
                                <w:p w:rsidR="00DB5257" w:rsidRPr="00013DFC" w:rsidRDefault="00DB5257" w:rsidP="00DB5257">
                                  <w:pPr>
                                    <w:pStyle w:val="Hlistbullet"/>
                                    <w:numPr>
                                      <w:ilvl w:val="0"/>
                                      <w:numId w:val="0"/>
                                    </w:numPr>
                                    <w:jc w:val="center"/>
                                    <w:rPr>
                                      <w:i/>
                                      <w:color w:val="F07E31"/>
                                      <w:sz w:val="18"/>
                                      <w:szCs w:val="18"/>
                                      <w:lang w:val="nb-NO"/>
                                    </w:rPr>
                                  </w:pPr>
                                  <w:r w:rsidRPr="00013DFC">
                                    <w:rPr>
                                      <w:i/>
                                      <w:color w:val="F07E31"/>
                                      <w:sz w:val="18"/>
                                      <w:lang w:val="nb-NO"/>
                                    </w:rPr>
                                    <w:t>Läs mer om utformningen av kontrollgrupper, matchning etc. i</w:t>
                                  </w:r>
                                  <w:r w:rsidRPr="00013DFC">
                                    <w:rPr>
                                      <w:lang w:val="nb-NO"/>
                                    </w:rPr>
                                    <w:br/>
                                  </w:r>
                                  <w:r w:rsidRPr="00013DFC">
                                    <w:rPr>
                                      <w:i/>
                                      <w:color w:val="F07E31"/>
                                      <w:sz w:val="18"/>
                                      <w:lang w:val="nb-NO"/>
                                    </w:rPr>
                                    <w:t xml:space="preserve"> </w:t>
                                  </w:r>
                                  <w:hyperlink r:id="rId37" w:history="1">
                                    <w:r w:rsidRPr="00013DFC">
                                      <w:rPr>
                                        <w:rStyle w:val="Hyperlink"/>
                                        <w:i/>
                                        <w:sz w:val="18"/>
                                        <w:lang w:val="nb-NO"/>
                                      </w:rPr>
                                      <w:t>Guidelines for ex post evaluation of 2007-2013 RDPs</w:t>
                                    </w:r>
                                  </w:hyperlink>
                                  <w:r w:rsidRPr="00013DFC">
                                    <w:rPr>
                                      <w:rStyle w:val="Hyperlink"/>
                                      <w:i/>
                                      <w:sz w:val="18"/>
                                      <w:lang w:val="nb-NO"/>
                                    </w:rPr>
                                    <w:t>, kapitel 4</w:t>
                                  </w:r>
                                </w:p>
                              </w:txbxContent>
                            </wps:txbx>
                            <wps:bodyPr rot="0" vert="horz" wrap="square" lIns="91440" tIns="45720" rIns="91440" bIns="45720" anchor="ctr" anchorCtr="0" upright="1">
                              <a:noAutofit/>
                            </wps:bodyPr>
                          </wps:wsp>
                        </a:graphicData>
                      </a:graphic>
                    </wp:inline>
                  </w:drawing>
                </mc:Choice>
                <mc:Fallback>
                  <w:pict>
                    <v:shape id="AutoShape 67" o:spid="_x0000_s1035" style="width:438.35pt;height:685.55pt;visibility:visible;mso-wrap-style:square;mso-left-percent:-10001;mso-top-percent:-10001;mso-position-horizontal:absolute;mso-position-horizontal-relative:char;mso-position-vertical:absolute;mso-position-vertical-relative:line;mso-left-percent:-10001;mso-top-percent:-10001;v-text-anchor:middle" coordsize="5567045,8401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" adj="-11796480,,5400" path="m276626,l5567045,r,8124424c5567045,8277200,5443195,8401050,5290419,8401050l,8401050,,276626c,123850,123850,,276626,xe" filled="f" strokecolor="#be4a35" strokeweight="2pt">
                      <v:stroke joinstyle="miter"/>
                      <v:formulas/>
                      <v:path arrowok="t" o:connecttype="custom" o:connectlocs="276626,0;5567045,0;5567045,0;5567045,8419988;5290419,8706678;0,8706678;0,8706678;0,286690;276626,0" o:connectangles="0,0,0,0,0,0,0,0,0" textboxrect="0,0,5567045,8401050"/>
                      <v:textbox>
                        <w:txbxContent>
                          <w:p w:rsidR="00DB5257" w:rsidRPr="00391ECD" w:rsidRDefault="00DB5257" w:rsidP="00DB5257">
                            <w:pPr>
                              <w:pStyle w:val="HHeading4"/>
                            </w:pPr>
                            <w:r>
                              <w:rPr>
                                <w:b w:val="0"/>
                                <w:noProof/>
                                <w:lang w:val="en-GB" w:eastAsia="en-GB"/>
                              </w:rPr>
                              <w:drawing>
                                <wp:inline distT="0" distB="0" distL="0" distR="0">
                                  <wp:extent cx="666750" cy="4857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750" cy="485775"/>
                                          </a:xfrm>
                                          <a:prstGeom prst="rect">
                                            <a:avLst/>
                                          </a:prstGeom>
                                          <a:noFill/>
                                          <a:ln>
                                            <a:noFill/>
                                          </a:ln>
                                        </pic:spPr>
                                      </pic:pic>
                                    </a:graphicData>
                                  </a:graphic>
                                </wp:inline>
                              </w:drawing>
                            </w:r>
                            <w:r>
                              <w:t xml:space="preserve"> </w:t>
                            </w:r>
                            <w:r>
                              <w:t xml:space="preserve">SNABBGUIDE </w:t>
                            </w:r>
                            <w:r>
                              <w:t>#2: Hur skapar man en kontrollgrupp på mikronivå? (gäller det andra lagret)</w:t>
                            </w:r>
                          </w:p>
                          <w:p w:rsidR="00DB5257" w:rsidRPr="007008C0" w:rsidRDefault="00DB5257" w:rsidP="00DB5257">
                            <w:pPr>
                              <w:pStyle w:val="HStandard"/>
                              <w:spacing w:after="0"/>
                              <w:rPr>
                                <w:rFonts w:cs="Arial"/>
                                <w:sz w:val="18"/>
                                <w:szCs w:val="18"/>
                              </w:rPr>
                            </w:pPr>
                            <w:r>
                              <w:rPr>
                                <w:sz w:val="18"/>
                              </w:rPr>
                              <w:t>Den kontrafaktiska analysen på mikronivå bör baseras på jämförelser mellan kontrollgrupper av stödmottagare och icke stödmottagare som är så lika varandra som möjligt (sett till observerbara och icke observerbara dimensioner). Om de både grupperna är tillräckligt lika varandra statistiskt sett (liknande egenskaper) kan man anta att eventuella skillnader i resultaten beror på programmet. Den kontrafaktiska analysen möjliggör användning av kausalitet - genom att tillämpa observerade förändringar i programmets resultat, medan man tar bort andra påverkande faktorer.</w:t>
                            </w:r>
                          </w:p>
                          <w:p w:rsidR="00DB5257" w:rsidRPr="007008C0" w:rsidRDefault="00DB5257" w:rsidP="00DB5257">
                            <w:pPr>
                              <w:pStyle w:val="HStandard"/>
                              <w:spacing w:after="0"/>
                              <w:rPr>
                                <w:rFonts w:cs="Arial"/>
                                <w:sz w:val="18"/>
                                <w:szCs w:val="18"/>
                              </w:rPr>
                            </w:pPr>
                          </w:p>
                          <w:p w:rsidR="00DB5257" w:rsidRPr="007008C0" w:rsidRDefault="00DB5257" w:rsidP="00DB5257">
                            <w:pPr>
                              <w:pStyle w:val="HStandard"/>
                              <w:spacing w:after="0"/>
                              <w:rPr>
                                <w:rFonts w:cs="Arial"/>
                                <w:sz w:val="18"/>
                                <w:szCs w:val="18"/>
                              </w:rPr>
                            </w:pPr>
                            <w:r>
                              <w:rPr>
                                <w:sz w:val="18"/>
                              </w:rPr>
                              <w:t>Inrättandet av en lämplig kontrollgrupp kan vara en utmaning på grund av den tydliga urvalsprocessen för programmet och strikta villkor för stödberättigande inom programmet. Programmets stödmottagare i bedömningen som fick programstöd kan skilja sig mycket från icke stödmottagare både när det gäller strukturella eg</w:t>
                            </w:r>
                            <w:r w:rsidR="00A3652D">
                              <w:rPr>
                                <w:sz w:val="18"/>
                              </w:rPr>
                              <w:t xml:space="preserve">enskaper samt ekonomiska, miljörelaterade </w:t>
                            </w:r>
                            <w:r>
                              <w:rPr>
                                <w:sz w:val="18"/>
                              </w:rPr>
                              <w:t xml:space="preserve">och socioekonomiska faktorer. </w:t>
                            </w:r>
                          </w:p>
                          <w:p w:rsidR="00DB5257" w:rsidRPr="007008C0" w:rsidRDefault="00DB5257" w:rsidP="00DB5257">
                            <w:pPr>
                              <w:pStyle w:val="HStandard"/>
                              <w:spacing w:after="0"/>
                              <w:rPr>
                                <w:rFonts w:cs="Arial"/>
                                <w:sz w:val="18"/>
                                <w:szCs w:val="18"/>
                              </w:rPr>
                            </w:pPr>
                          </w:p>
                          <w:p w:rsidR="00DB5257" w:rsidRPr="007008C0" w:rsidRDefault="00DB5257" w:rsidP="00DB5257">
                            <w:pPr>
                              <w:pStyle w:val="HStandard"/>
                              <w:spacing w:after="0"/>
                              <w:rPr>
                                <w:rFonts w:cs="Arial"/>
                                <w:sz w:val="18"/>
                                <w:szCs w:val="18"/>
                              </w:rPr>
                            </w:pPr>
                            <w:r>
                              <w:rPr>
                                <w:sz w:val="18"/>
                              </w:rPr>
                              <w:t>Inrättandet av en lämplig kontrollgrupp görs enligt följande:</w:t>
                            </w:r>
                          </w:p>
                          <w:p w:rsidR="00DB5257" w:rsidRPr="007008C0" w:rsidRDefault="00DB5257" w:rsidP="00DB5257">
                            <w:pPr>
                              <w:pStyle w:val="Hlistbullet"/>
                              <w:spacing w:before="0" w:after="0" w:line="280" w:lineRule="atLeast"/>
                              <w:ind w:left="604" w:hanging="604"/>
                              <w:rPr>
                                <w:sz w:val="18"/>
                                <w:szCs w:val="18"/>
                              </w:rPr>
                            </w:pPr>
                            <w:r>
                              <w:rPr>
                                <w:b/>
                                <w:color w:val="F07E31"/>
                                <w:sz w:val="18"/>
                              </w:rPr>
                              <w:t>Steg 1:</w:t>
                            </w:r>
                            <w:r>
                              <w:rPr>
                                <w:sz w:val="18"/>
                              </w:rPr>
                              <w:t xml:space="preserve"> Hitta ett urval av stödmottagare inom landsbygdsprogrammet (t.ex. jordbruk/jordbrukare/företag utanför jordbrukssektorn/samhällen/områden/regioner) i en tillgänglig databas (t.ex. informationssystemet för jordbruksföretagens redovisningsuppgifter) och använda övervakningssystemet för landsbygdsprogrammet som referenspunkt (t.ex. det utbetalande organets databas). </w:t>
                            </w:r>
                          </w:p>
                          <w:p w:rsidR="00DB5257" w:rsidRPr="00AF5661" w:rsidRDefault="00DB5257" w:rsidP="00DB5257">
                            <w:pPr>
                              <w:pStyle w:val="Hlistbullet"/>
                              <w:spacing w:before="0" w:after="0" w:line="280" w:lineRule="atLeast"/>
                              <w:ind w:left="604" w:hanging="604"/>
                              <w:rPr>
                                <w:sz w:val="18"/>
                                <w:szCs w:val="18"/>
                              </w:rPr>
                            </w:pPr>
                            <w:r>
                              <w:rPr>
                                <w:b/>
                                <w:color w:val="F07E31"/>
                                <w:sz w:val="18"/>
                              </w:rPr>
                              <w:t>Steg 2:</w:t>
                            </w:r>
                            <w:r>
                              <w:rPr>
                                <w:sz w:val="18"/>
                              </w:rPr>
                              <w:t xml:space="preserve"> Att bland alla relevanta enheter i databasen välja ut de som under samma period inte fick stöd från åtgärder inom landsbygdsprogrammet (icke stödmottagare).</w:t>
                            </w:r>
                          </w:p>
                          <w:p w:rsidR="00DB5257" w:rsidRPr="00AF5661" w:rsidRDefault="00DB5257" w:rsidP="00DB5257">
                            <w:pPr>
                              <w:pStyle w:val="Hlistbullet"/>
                              <w:spacing w:before="0" w:after="0" w:line="280" w:lineRule="atLeast"/>
                              <w:ind w:left="604" w:hanging="604"/>
                              <w:rPr>
                                <w:sz w:val="18"/>
                                <w:szCs w:val="18"/>
                              </w:rPr>
                            </w:pPr>
                            <w:r>
                              <w:rPr>
                                <w:b/>
                                <w:color w:val="F07E31"/>
                                <w:sz w:val="18"/>
                              </w:rPr>
                              <w:t>Steg 3:</w:t>
                            </w:r>
                            <w:r>
                              <w:rPr>
                                <w:sz w:val="18"/>
                              </w:rPr>
                              <w:t xml:space="preserve"> Göra ett förhandsurval från gruppen av icke stödmottagande enheter, som INTE uppfyllde programmets villkor för bidragsberättigande (på grund av hög inkomst, storlek, placering etc.) och ta bort dem från analysen. </w:t>
                            </w:r>
                          </w:p>
                          <w:p w:rsidR="00DB5257" w:rsidRPr="007008C0" w:rsidRDefault="00DB5257" w:rsidP="00DB5257">
                            <w:pPr>
                              <w:pStyle w:val="Hlistbullet"/>
                              <w:spacing w:before="0" w:after="0" w:line="280" w:lineRule="atLeast"/>
                              <w:ind w:left="604" w:hanging="604"/>
                              <w:rPr>
                                <w:sz w:val="18"/>
                                <w:szCs w:val="18"/>
                              </w:rPr>
                            </w:pPr>
                            <w:r>
                              <w:rPr>
                                <w:b/>
                                <w:color w:val="F07E31"/>
                                <w:sz w:val="18"/>
                              </w:rPr>
                              <w:t>Steg 4:</w:t>
                            </w:r>
                            <w:r>
                              <w:rPr>
                                <w:sz w:val="18"/>
                              </w:rPr>
                              <w:t xml:space="preserve"> Samla in uppgifter för alla enheter i båda grupperna (stödmottagare och icke stödmottagare) om deras viktigaste egenskaper (variabler) för året 2013 (dvs. före programmet). Observera att variablerna som ingår i analysen bör påverka både valet av en enhet samt de indikatorer som beräknats på mikronivå (gemensamma och kompletterande effektindikatorer). En av de föreslagna variablerna (som används som viktig kontrollvariabel) kan vara i) stödnivån som en viss enhet har haft (”stödmottagare” och ”icke stödmottagare” under den föregående programperioden 2007–2013 och/eller ii) stödnivån som erhållits av en viss enhet (”stödmottagare” och ”icke stödmottagare”) från andra offentliga källor (t.ex. EU:s strukturfonder, pelare I) under den period som analyseras.</w:t>
                            </w:r>
                          </w:p>
                          <w:p w:rsidR="00DB5257" w:rsidRPr="00AF5661" w:rsidRDefault="00DB5257" w:rsidP="00DB5257">
                            <w:pPr>
                              <w:pStyle w:val="Hlistbullet"/>
                              <w:spacing w:before="0" w:after="0" w:line="280" w:lineRule="atLeast"/>
                              <w:ind w:left="604" w:hanging="604"/>
                              <w:rPr>
                                <w:sz w:val="18"/>
                                <w:szCs w:val="18"/>
                              </w:rPr>
                            </w:pPr>
                            <w:r>
                              <w:rPr>
                                <w:b/>
                                <w:color w:val="F07E31"/>
                                <w:sz w:val="18"/>
                              </w:rPr>
                              <w:t>Steg 5:</w:t>
                            </w:r>
                            <w:r>
                              <w:rPr>
                                <w:sz w:val="18"/>
                              </w:rPr>
                              <w:t xml:space="preserve"> Tillämpa lämpliga tekniker (t.ex. matchning) som möjliggör att från urvalet av ”icke stödmottagare” (se steg 2–3) identifiera en lämplig ”kontrollgrupp” (vissa av ”icke stödmottagarna” och/eller ”stödmottagarna” kommer att väljas bort från analysen på grund av brist på lämpliga kontrollenheter).</w:t>
                            </w:r>
                          </w:p>
                          <w:p w:rsidR="00DB5257" w:rsidRPr="0025164E" w:rsidRDefault="00DB5257" w:rsidP="00DB5257">
                            <w:pPr>
                              <w:pStyle w:val="Hlistbullet"/>
                              <w:spacing w:before="0" w:after="0" w:line="280" w:lineRule="atLeast"/>
                              <w:ind w:left="604" w:hanging="604"/>
                            </w:pPr>
                            <w:r>
                              <w:rPr>
                                <w:b/>
                                <w:color w:val="F07E31"/>
                                <w:sz w:val="18"/>
                              </w:rPr>
                              <w:t>Steg 6:</w:t>
                            </w:r>
                            <w:r>
                              <w:rPr>
                                <w:sz w:val="18"/>
                              </w:rPr>
                              <w:t xml:space="preserve"> Kontrollera den statistiska ”likheten” i båda grupperna innan de får stöd från programmet (t.ex. genom att göra statistiska tester på de kovariat som inkluderas i analysen). Medelvärdet för en enhet i gruppen med ”stödmottagare” bör inte skilja sig för mycket från respektive enhet i ”kontrollgruppen”.</w:t>
                            </w:r>
                          </w:p>
                          <w:p w:rsidR="00DB5257" w:rsidRPr="00013DFC" w:rsidRDefault="00DB5257" w:rsidP="00DB5257">
                            <w:pPr>
                              <w:pStyle w:val="Hlistbullet"/>
                              <w:numPr>
                                <w:ilvl w:val="0"/>
                                <w:numId w:val="0"/>
                              </w:numPr>
                              <w:jc w:val="center"/>
                              <w:rPr>
                                <w:i/>
                                <w:color w:val="F07E31"/>
                                <w:sz w:val="18"/>
                                <w:szCs w:val="18"/>
                                <w:lang w:val="nb-NO"/>
                              </w:rPr>
                            </w:pPr>
                            <w:r w:rsidRPr="00013DFC">
                              <w:rPr>
                                <w:i/>
                                <w:color w:val="F07E31"/>
                                <w:sz w:val="18"/>
                                <w:lang w:val="nb-NO"/>
                              </w:rPr>
                              <w:t>Läs mer om utformningen av kontrollgrupper, matchning etc. i</w:t>
                            </w:r>
                            <w:r w:rsidRPr="00013DFC">
                              <w:rPr>
                                <w:lang w:val="nb-NO"/>
                              </w:rPr>
                              <w:br/>
                            </w:r>
                            <w:r w:rsidRPr="00013DFC">
                              <w:rPr>
                                <w:i/>
                                <w:color w:val="F07E31"/>
                                <w:sz w:val="18"/>
                                <w:lang w:val="nb-NO"/>
                              </w:rPr>
                              <w:t xml:space="preserve"> </w:t>
                            </w:r>
                            <w:hyperlink r:id="rId38" w:history="1">
                              <w:r w:rsidRPr="00013DFC">
                                <w:rPr>
                                  <w:rStyle w:val="Hyperlink"/>
                                  <w:i/>
                                  <w:sz w:val="18"/>
                                  <w:lang w:val="nb-NO"/>
                                </w:rPr>
                                <w:t>Guidelines for ex post evaluation of 2007-2013 RDPs</w:t>
                              </w:r>
                            </w:hyperlink>
                            <w:r w:rsidRPr="00013DFC">
                              <w:rPr>
                                <w:rStyle w:val="Hyperlink"/>
                                <w:i/>
                                <w:sz w:val="18"/>
                                <w:lang w:val="nb-NO"/>
                              </w:rPr>
                              <w:t>, kapitel 4</w:t>
                            </w:r>
                          </w:p>
                        </w:txbxContent>
                      </v:textbox>
                      <w10:anchorlock/>
                    </v:shape>
                  </w:pict>
                </mc:Fallback>
              </mc:AlternateContent>
            </w:r>
          </w:p>
        </w:tc>
      </w:tr>
    </w:tbl>
    <w:p w:rsidR="00DB5257" w:rsidRPr="00571D58" w:rsidRDefault="00F02B64" w:rsidP="00DB5257">
      <w:pPr>
        <w:pStyle w:val="HStandard"/>
      </w:pPr>
      <w:r>
        <w:rPr>
          <w:b/>
          <w:i/>
          <w:noProof/>
          <w:color w:val="F07E31"/>
          <w:lang w:val="en-GB" w:eastAsia="en-GB"/>
        </w:rPr>
        <w:lastRenderedPageBreak/>
        <mc:AlternateContent>
          <mc:Choice Requires="wps">
            <w:drawing>
              <wp:inline distT="0" distB="0" distL="0" distR="0">
                <wp:extent cx="5731510" cy="8555603"/>
                <wp:effectExtent l="0" t="0" r="21590" b="17145"/>
                <wp:docPr id="20"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8555603"/>
                        </a:xfrm>
                        <a:custGeom>
                          <a:avLst/>
                          <a:gdLst>
                            <a:gd name="T0" fmla="*/ 290989 w 5731510"/>
                            <a:gd name="T1" fmla="*/ 0 h 8451850"/>
                            <a:gd name="T2" fmla="*/ 5731510 w 5731510"/>
                            <a:gd name="T3" fmla="*/ 0 h 8451850"/>
                            <a:gd name="T4" fmla="*/ 5731510 w 5731510"/>
                            <a:gd name="T5" fmla="*/ 0 h 8451850"/>
                            <a:gd name="T6" fmla="*/ 5731510 w 5731510"/>
                            <a:gd name="T7" fmla="*/ 8160861 h 8451850"/>
                            <a:gd name="T8" fmla="*/ 5440521 w 5731510"/>
                            <a:gd name="T9" fmla="*/ 8451850 h 8451850"/>
                            <a:gd name="T10" fmla="*/ 0 w 5731510"/>
                            <a:gd name="T11" fmla="*/ 8451850 h 8451850"/>
                            <a:gd name="T12" fmla="*/ 0 w 5731510"/>
                            <a:gd name="T13" fmla="*/ 8451850 h 8451850"/>
                            <a:gd name="T14" fmla="*/ 0 w 5731510"/>
                            <a:gd name="T15" fmla="*/ 290989 h 8451850"/>
                            <a:gd name="T16" fmla="*/ 290989 w 5731510"/>
                            <a:gd name="T17" fmla="*/ 0 h 84518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8451850"/>
                            <a:gd name="T29" fmla="*/ 5731510 w 5731510"/>
                            <a:gd name="T30" fmla="*/ 8451850 h 84518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8451850">
                              <a:moveTo>
                                <a:pt x="290989" y="0"/>
                              </a:moveTo>
                              <a:lnTo>
                                <a:pt x="5731510" y="0"/>
                              </a:lnTo>
                              <a:lnTo>
                                <a:pt x="5731510" y="8160861"/>
                              </a:lnTo>
                              <a:cubicBezTo>
                                <a:pt x="5731510" y="8321570"/>
                                <a:pt x="5601230" y="8451850"/>
                                <a:pt x="5440521" y="8451850"/>
                              </a:cubicBezTo>
                              <a:lnTo>
                                <a:pt x="0" y="8451850"/>
                              </a:lnTo>
                              <a:lnTo>
                                <a:pt x="0" y="290989"/>
                              </a:lnTo>
                              <a:cubicBezTo>
                                <a:pt x="0" y="130280"/>
                                <a:pt x="130280" y="0"/>
                                <a:pt x="290989"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DB5257" w:rsidRPr="00DD36A9" w:rsidRDefault="00DB5257" w:rsidP="00DB5257">
                            <w:pPr>
                              <w:pStyle w:val="HHeading4"/>
                            </w:pPr>
                            <w:r>
                              <w:rPr>
                                <w:b w:val="0"/>
                                <w:noProof/>
                                <w:lang w:val="en-GB" w:eastAsia="en-GB"/>
                              </w:rPr>
                              <w:drawing>
                                <wp:inline distT="0" distB="0" distL="0" distR="0">
                                  <wp:extent cx="666750" cy="4857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750" cy="485775"/>
                                          </a:xfrm>
                                          <a:prstGeom prst="rect">
                                            <a:avLst/>
                                          </a:prstGeom>
                                          <a:noFill/>
                                          <a:ln>
                                            <a:noFill/>
                                          </a:ln>
                                        </pic:spPr>
                                      </pic:pic>
                                    </a:graphicData>
                                  </a:graphic>
                                </wp:inline>
                              </w:drawing>
                            </w:r>
                            <w:r>
                              <w:t>SNABBGUIDE #3: Avvägningar vid val av utvärderingsmetoder</w:t>
                            </w:r>
                          </w:p>
                          <w:p w:rsidR="00DB5257" w:rsidRDefault="00DB5257" w:rsidP="00DB5257">
                            <w:pPr>
                              <w:pStyle w:val="HStandard"/>
                              <w:spacing w:after="0"/>
                              <w:rPr>
                                <w:rFonts w:cs="Arial"/>
                                <w:sz w:val="18"/>
                                <w:szCs w:val="18"/>
                              </w:rPr>
                            </w:pPr>
                            <w:r>
                              <w:rPr>
                                <w:sz w:val="18"/>
                              </w:rPr>
                              <w:t>Vid utvärderingar betraktas ofta icke tillgängliga uppgifter som den största begränsningen vid val av utvärderingsmetoder. Om ”naiva” utvärderingstekniker (utom kontrafaktiska) används i sådana fall leder detta till betydande svagheter i metodens grundlighet, trovärdighet och giltighet. Aktörerna uppmuntras därför att beakta avvägningen mellan uppgiftsbehovet och potentiella fel i resultaten som skapats av de svagare metoderna. Utvärderingsmetoderna som säkerställer en högre kvalitet på resultaten ställer ofta högre krav på uppgifterna.</w:t>
                            </w:r>
                          </w:p>
                          <w:p w:rsidR="00DB5257" w:rsidRPr="006D4194" w:rsidRDefault="00DB5257" w:rsidP="00DB5257">
                            <w:pPr>
                              <w:pStyle w:val="HStandard"/>
                              <w:spacing w:after="0"/>
                              <w:rPr>
                                <w:rFonts w:cs="Arial"/>
                                <w:sz w:val="18"/>
                                <w:szCs w:val="18"/>
                              </w:rPr>
                            </w:pPr>
                          </w:p>
                          <w:p w:rsidR="00DB5257" w:rsidRPr="009866F7" w:rsidRDefault="00DB5257" w:rsidP="00DB5257">
                            <w:pPr>
                              <w:spacing w:before="0" w:after="0" w:line="240" w:lineRule="auto"/>
                              <w:rPr>
                                <w:rFonts w:cs="Arial"/>
                                <w:color w:val="373737"/>
                                <w:szCs w:val="18"/>
                                <w:highlight w:val="yellow"/>
                              </w:rPr>
                            </w:pPr>
                            <w:r>
                              <w:rPr>
                                <w:b/>
                              </w:rPr>
                              <w:t>J</w:t>
                            </w:r>
                            <w:r>
                              <w:rPr>
                                <w:b/>
                                <w:color w:val="373737"/>
                              </w:rPr>
                              <w:t>ämförelse av modeller</w:t>
                            </w:r>
                            <w:r>
                              <w:rPr>
                                <w:color w:val="373737"/>
                              </w:rPr>
                              <w:t xml:space="preserve"> (förklaring: +++++ = högst poäng + = lägst poäng): </w:t>
                            </w:r>
                          </w:p>
                          <w:tbl>
                            <w:tblPr>
                              <w:tblW w:w="833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093"/>
                              <w:gridCol w:w="1701"/>
                              <w:gridCol w:w="1701"/>
                              <w:gridCol w:w="1417"/>
                              <w:gridCol w:w="1418"/>
                            </w:tblGrid>
                            <w:tr w:rsidR="00DB5257" w:rsidRPr="009811C2" w:rsidTr="00DB5257">
                              <w:trPr>
                                <w:trHeight w:val="856"/>
                              </w:trPr>
                              <w:tc>
                                <w:tcPr>
                                  <w:tcW w:w="2093" w:type="dxa"/>
                                  <w:tcBorders>
                                    <w:top w:val="single" w:sz="4" w:space="0" w:color="FFFFFF"/>
                                    <w:left w:val="single" w:sz="4" w:space="0" w:color="FFFFFF"/>
                                    <w:right w:val="nil"/>
                                  </w:tcBorders>
                                  <w:shd w:val="clear" w:color="auto" w:fill="F07E31"/>
                                </w:tcPr>
                                <w:p w:rsidR="00DB5257" w:rsidRPr="006F5B0F" w:rsidRDefault="00DB5257" w:rsidP="00DB5257">
                                  <w:pPr>
                                    <w:jc w:val="center"/>
                                    <w:rPr>
                                      <w:rFonts w:cs="Arial"/>
                                      <w:b/>
                                      <w:bCs/>
                                      <w:color w:val="FFFFFF"/>
                                      <w:szCs w:val="18"/>
                                    </w:rPr>
                                  </w:pPr>
                                  <w:r>
                                    <w:rPr>
                                      <w:b/>
                                      <w:color w:val="FFFFFF"/>
                                    </w:rPr>
                                    <w:t>Metod</w:t>
                                  </w:r>
                                </w:p>
                              </w:tc>
                              <w:tc>
                                <w:tcPr>
                                  <w:tcW w:w="1701" w:type="dxa"/>
                                  <w:tcBorders>
                                    <w:top w:val="single" w:sz="4" w:space="0" w:color="FFFFFF"/>
                                    <w:left w:val="nil"/>
                                    <w:right w:val="nil"/>
                                  </w:tcBorders>
                                  <w:shd w:val="clear" w:color="auto" w:fill="F07E31"/>
                                </w:tcPr>
                                <w:p w:rsidR="00DB5257" w:rsidRPr="006F5B0F" w:rsidRDefault="00DB5257" w:rsidP="00DB5257">
                                  <w:pPr>
                                    <w:jc w:val="center"/>
                                    <w:rPr>
                                      <w:rFonts w:cs="Arial"/>
                                      <w:b/>
                                      <w:bCs/>
                                      <w:color w:val="FFFFFF"/>
                                      <w:szCs w:val="18"/>
                                    </w:rPr>
                                  </w:pPr>
                                  <w:r>
                                    <w:rPr>
                                      <w:b/>
                                      <w:color w:val="FFFFFF"/>
                                    </w:rPr>
                                    <w:t>Trovärdighet/noggrannhet, tillförlitlighet etc.</w:t>
                                  </w:r>
                                </w:p>
                              </w:tc>
                              <w:tc>
                                <w:tcPr>
                                  <w:tcW w:w="1701" w:type="dxa"/>
                                  <w:tcBorders>
                                    <w:top w:val="single" w:sz="4" w:space="0" w:color="FFFFFF"/>
                                    <w:left w:val="nil"/>
                                    <w:right w:val="nil"/>
                                  </w:tcBorders>
                                  <w:shd w:val="clear" w:color="auto" w:fill="F07E31"/>
                                </w:tcPr>
                                <w:p w:rsidR="00DB5257" w:rsidRPr="006F5B0F" w:rsidRDefault="00DB5257" w:rsidP="00DB5257">
                                  <w:pPr>
                                    <w:jc w:val="center"/>
                                    <w:rPr>
                                      <w:rFonts w:cs="Arial"/>
                                      <w:b/>
                                      <w:bCs/>
                                      <w:color w:val="FFFFFF"/>
                                      <w:szCs w:val="18"/>
                                    </w:rPr>
                                  </w:pPr>
                                  <w:r>
                                    <w:rPr>
                                      <w:b/>
                                      <w:color w:val="FFFFFF"/>
                                    </w:rPr>
                                    <w:t>Förmåga att minska urvalet och andra systematiska fel</w:t>
                                  </w:r>
                                </w:p>
                              </w:tc>
                              <w:tc>
                                <w:tcPr>
                                  <w:tcW w:w="1417" w:type="dxa"/>
                                  <w:tcBorders>
                                    <w:top w:val="single" w:sz="4" w:space="0" w:color="FFFFFF"/>
                                    <w:left w:val="nil"/>
                                    <w:right w:val="nil"/>
                                  </w:tcBorders>
                                  <w:shd w:val="clear" w:color="auto" w:fill="F07E31"/>
                                </w:tcPr>
                                <w:p w:rsidR="00DB5257" w:rsidRPr="006F5B0F" w:rsidRDefault="00DB5257" w:rsidP="00DB5257">
                                  <w:pPr>
                                    <w:jc w:val="center"/>
                                    <w:rPr>
                                      <w:rFonts w:cs="Arial"/>
                                      <w:b/>
                                      <w:bCs/>
                                      <w:color w:val="FFFFFF"/>
                                      <w:szCs w:val="18"/>
                                    </w:rPr>
                                  </w:pPr>
                                  <w:r>
                                    <w:rPr>
                                      <w:b/>
                                      <w:color w:val="FFFFFF"/>
                                    </w:rPr>
                                    <w:t>Utvärderingskvalitet</w:t>
                                  </w:r>
                                </w:p>
                              </w:tc>
                              <w:tc>
                                <w:tcPr>
                                  <w:tcW w:w="1418" w:type="dxa"/>
                                  <w:tcBorders>
                                    <w:top w:val="single" w:sz="4" w:space="0" w:color="FFFFFF"/>
                                    <w:left w:val="nil"/>
                                    <w:right w:val="single" w:sz="4" w:space="0" w:color="FFFFFF"/>
                                  </w:tcBorders>
                                  <w:shd w:val="clear" w:color="auto" w:fill="F07E31"/>
                                </w:tcPr>
                                <w:p w:rsidR="00DB5257" w:rsidRPr="006F5B0F" w:rsidRDefault="00DB5257" w:rsidP="00DB5257">
                                  <w:pPr>
                                    <w:jc w:val="center"/>
                                    <w:rPr>
                                      <w:rFonts w:cs="Arial"/>
                                      <w:b/>
                                      <w:bCs/>
                                      <w:color w:val="FFFFFF"/>
                                      <w:szCs w:val="18"/>
                                    </w:rPr>
                                  </w:pPr>
                                  <w:r>
                                    <w:rPr>
                                      <w:b/>
                                      <w:color w:val="FFFFFF"/>
                                    </w:rPr>
                                    <w:t>Begärda uppgifter</w:t>
                                  </w:r>
                                </w:p>
                              </w:tc>
                            </w:tr>
                            <w:tr w:rsidR="00DB5257" w:rsidRPr="009811C2" w:rsidTr="00DB5257">
                              <w:trPr>
                                <w:trHeight w:val="511"/>
                              </w:trPr>
                              <w:tc>
                                <w:tcPr>
                                  <w:tcW w:w="2093" w:type="dxa"/>
                                  <w:tcBorders>
                                    <w:left w:val="single" w:sz="4" w:space="0" w:color="FFFFFF"/>
                                  </w:tcBorders>
                                  <w:shd w:val="clear" w:color="auto" w:fill="F07E31"/>
                                </w:tcPr>
                                <w:p w:rsidR="00DB5257" w:rsidRPr="006F5B0F" w:rsidRDefault="00DB5257" w:rsidP="00DB5257">
                                  <w:pPr>
                                    <w:jc w:val="left"/>
                                    <w:rPr>
                                      <w:rFonts w:cs="Arial"/>
                                      <w:b/>
                                      <w:bCs/>
                                      <w:color w:val="FFFFFF"/>
                                      <w:szCs w:val="18"/>
                                    </w:rPr>
                                  </w:pPr>
                                  <w:r>
                                    <w:rPr>
                                      <w:b/>
                                      <w:color w:val="FFFFFF"/>
                                    </w:rPr>
                                    <w:t>Experimentell metod</w:t>
                                  </w:r>
                                </w:p>
                              </w:tc>
                              <w:tc>
                                <w:tcPr>
                                  <w:tcW w:w="1701" w:type="dxa"/>
                                  <w:shd w:val="clear" w:color="auto" w:fill="F9CBAC"/>
                                </w:tcPr>
                                <w:p w:rsidR="00DB5257" w:rsidRPr="006F5B0F" w:rsidRDefault="00DB5257" w:rsidP="00DB5257">
                                  <w:pPr>
                                    <w:jc w:val="center"/>
                                    <w:rPr>
                                      <w:rFonts w:cs="Arial"/>
                                      <w:b/>
                                      <w:color w:val="373737"/>
                                      <w:szCs w:val="18"/>
                                    </w:rPr>
                                  </w:pPr>
                                  <w:r>
                                    <w:rPr>
                                      <w:b/>
                                      <w:color w:val="373737"/>
                                    </w:rPr>
                                    <w:t>+++++</w:t>
                                  </w:r>
                                </w:p>
                              </w:tc>
                              <w:tc>
                                <w:tcPr>
                                  <w:tcW w:w="1701" w:type="dxa"/>
                                  <w:shd w:val="clear" w:color="auto" w:fill="F9CBAC"/>
                                </w:tcPr>
                                <w:p w:rsidR="00DB5257" w:rsidRPr="006F5B0F" w:rsidRDefault="00DB5257" w:rsidP="00DB5257">
                                  <w:pPr>
                                    <w:jc w:val="center"/>
                                    <w:rPr>
                                      <w:rFonts w:cs="Arial"/>
                                      <w:b/>
                                      <w:color w:val="373737"/>
                                      <w:szCs w:val="18"/>
                                    </w:rPr>
                                  </w:pPr>
                                  <w:r>
                                    <w:rPr>
                                      <w:b/>
                                      <w:color w:val="373737"/>
                                    </w:rPr>
                                    <w:t>+++++</w:t>
                                  </w:r>
                                </w:p>
                              </w:tc>
                              <w:tc>
                                <w:tcPr>
                                  <w:tcW w:w="1417" w:type="dxa"/>
                                  <w:shd w:val="clear" w:color="auto" w:fill="F9CBAC"/>
                                </w:tcPr>
                                <w:p w:rsidR="00DB5257" w:rsidRPr="006F5B0F" w:rsidRDefault="00DB5257" w:rsidP="00DB5257">
                                  <w:pPr>
                                    <w:jc w:val="center"/>
                                    <w:rPr>
                                      <w:rFonts w:cs="Arial"/>
                                      <w:b/>
                                      <w:color w:val="373737"/>
                                      <w:szCs w:val="18"/>
                                    </w:rPr>
                                  </w:pPr>
                                  <w:r>
                                    <w:rPr>
                                      <w:b/>
                                      <w:color w:val="373737"/>
                                    </w:rPr>
                                    <w:t>+++++</w:t>
                                  </w:r>
                                </w:p>
                              </w:tc>
                              <w:tc>
                                <w:tcPr>
                                  <w:tcW w:w="1418" w:type="dxa"/>
                                  <w:shd w:val="clear" w:color="auto" w:fill="F9CBAC"/>
                                </w:tcPr>
                                <w:p w:rsidR="00DB5257" w:rsidRPr="006F5B0F" w:rsidRDefault="00DB5257" w:rsidP="00DB5257">
                                  <w:pPr>
                                    <w:jc w:val="center"/>
                                    <w:rPr>
                                      <w:rFonts w:cs="Arial"/>
                                      <w:b/>
                                      <w:color w:val="373737"/>
                                      <w:szCs w:val="18"/>
                                    </w:rPr>
                                  </w:pPr>
                                  <w:r>
                                    <w:rPr>
                                      <w:b/>
                                      <w:color w:val="373737"/>
                                    </w:rPr>
                                    <w:t>+++</w:t>
                                  </w:r>
                                </w:p>
                              </w:tc>
                            </w:tr>
                            <w:tr w:rsidR="00DB5257" w:rsidRPr="009811C2" w:rsidTr="00DB5257">
                              <w:tc>
                                <w:tcPr>
                                  <w:tcW w:w="2093" w:type="dxa"/>
                                  <w:tcBorders>
                                    <w:left w:val="single" w:sz="4" w:space="0" w:color="FFFFFF"/>
                                  </w:tcBorders>
                                  <w:shd w:val="clear" w:color="auto" w:fill="F07E31"/>
                                </w:tcPr>
                                <w:p w:rsidR="00DB5257" w:rsidRPr="006F5B0F" w:rsidRDefault="00DB5257" w:rsidP="00DB5257">
                                  <w:pPr>
                                    <w:jc w:val="left"/>
                                    <w:rPr>
                                      <w:rFonts w:cs="Arial"/>
                                      <w:b/>
                                      <w:bCs/>
                                      <w:color w:val="FFFFFF"/>
                                      <w:szCs w:val="18"/>
                                    </w:rPr>
                                  </w:pPr>
                                  <w:r>
                                    <w:rPr>
                                      <w:b/>
                                      <w:color w:val="FFFFFF"/>
                                    </w:rPr>
                                    <w:t>Kvasi-experimentella metoder</w:t>
                                  </w:r>
                                </w:p>
                              </w:tc>
                              <w:tc>
                                <w:tcPr>
                                  <w:tcW w:w="1701" w:type="dxa"/>
                                  <w:shd w:val="clear" w:color="auto" w:fill="FCE5D5"/>
                                </w:tcPr>
                                <w:p w:rsidR="00DB5257" w:rsidRPr="006F5B0F" w:rsidRDefault="00DB5257" w:rsidP="00DB5257">
                                  <w:pPr>
                                    <w:jc w:val="center"/>
                                    <w:rPr>
                                      <w:rFonts w:cs="Arial"/>
                                      <w:b/>
                                      <w:color w:val="373737"/>
                                      <w:szCs w:val="18"/>
                                    </w:rPr>
                                  </w:pPr>
                                  <w:r>
                                    <w:rPr>
                                      <w:b/>
                                      <w:color w:val="373737"/>
                                    </w:rPr>
                                    <w:t>++++</w:t>
                                  </w:r>
                                </w:p>
                              </w:tc>
                              <w:tc>
                                <w:tcPr>
                                  <w:tcW w:w="1701" w:type="dxa"/>
                                  <w:shd w:val="clear" w:color="auto" w:fill="FCE5D5"/>
                                </w:tcPr>
                                <w:p w:rsidR="00DB5257" w:rsidRPr="006F5B0F" w:rsidRDefault="00DB5257" w:rsidP="00DB5257">
                                  <w:pPr>
                                    <w:jc w:val="center"/>
                                    <w:rPr>
                                      <w:rFonts w:cs="Arial"/>
                                      <w:b/>
                                      <w:color w:val="373737"/>
                                      <w:szCs w:val="18"/>
                                    </w:rPr>
                                  </w:pPr>
                                  <w:r>
                                    <w:rPr>
                                      <w:b/>
                                      <w:color w:val="373737"/>
                                    </w:rPr>
                                    <w:t>++++</w:t>
                                  </w:r>
                                </w:p>
                              </w:tc>
                              <w:tc>
                                <w:tcPr>
                                  <w:tcW w:w="1417" w:type="dxa"/>
                                  <w:shd w:val="clear" w:color="auto" w:fill="FCE5D5"/>
                                </w:tcPr>
                                <w:p w:rsidR="00DB5257" w:rsidRPr="006F5B0F" w:rsidRDefault="00DB5257" w:rsidP="00DB5257">
                                  <w:pPr>
                                    <w:jc w:val="center"/>
                                    <w:rPr>
                                      <w:rFonts w:cs="Arial"/>
                                      <w:b/>
                                      <w:color w:val="373737"/>
                                      <w:szCs w:val="18"/>
                                    </w:rPr>
                                  </w:pPr>
                                  <w:r>
                                    <w:rPr>
                                      <w:b/>
                                      <w:color w:val="373737"/>
                                    </w:rPr>
                                    <w:t>++++</w:t>
                                  </w:r>
                                </w:p>
                              </w:tc>
                              <w:tc>
                                <w:tcPr>
                                  <w:tcW w:w="1418" w:type="dxa"/>
                                  <w:shd w:val="clear" w:color="auto" w:fill="FCE5D5"/>
                                </w:tcPr>
                                <w:p w:rsidR="00DB5257" w:rsidRPr="006F5B0F" w:rsidRDefault="00DB5257" w:rsidP="00DB5257">
                                  <w:pPr>
                                    <w:jc w:val="center"/>
                                    <w:rPr>
                                      <w:rFonts w:cs="Arial"/>
                                      <w:b/>
                                      <w:color w:val="373737"/>
                                      <w:szCs w:val="18"/>
                                    </w:rPr>
                                  </w:pPr>
                                  <w:r>
                                    <w:rPr>
                                      <w:b/>
                                      <w:color w:val="373737"/>
                                    </w:rPr>
                                    <w:t>++++</w:t>
                                  </w:r>
                                </w:p>
                              </w:tc>
                            </w:tr>
                            <w:tr w:rsidR="00DB5257" w:rsidRPr="009811C2" w:rsidTr="00DB5257">
                              <w:tc>
                                <w:tcPr>
                                  <w:tcW w:w="2093" w:type="dxa"/>
                                  <w:tcBorders>
                                    <w:left w:val="single" w:sz="4" w:space="0" w:color="FFFFFF"/>
                                  </w:tcBorders>
                                  <w:shd w:val="clear" w:color="auto" w:fill="F07E31"/>
                                </w:tcPr>
                                <w:p w:rsidR="00DB5257" w:rsidRPr="006F5B0F" w:rsidRDefault="00DB5257" w:rsidP="00DB5257">
                                  <w:pPr>
                                    <w:jc w:val="left"/>
                                    <w:rPr>
                                      <w:rFonts w:cs="Arial"/>
                                      <w:b/>
                                      <w:bCs/>
                                      <w:color w:val="FFFFFF"/>
                                      <w:szCs w:val="18"/>
                                    </w:rPr>
                                  </w:pPr>
                                  <w:r>
                                    <w:rPr>
                                      <w:b/>
                                      <w:color w:val="FFFFFF"/>
                                    </w:rPr>
                                    <w:t>Matchande metoder (kombinerat med difference-in-difference)</w:t>
                                  </w:r>
                                </w:p>
                              </w:tc>
                              <w:tc>
                                <w:tcPr>
                                  <w:tcW w:w="1701" w:type="dxa"/>
                                  <w:shd w:val="clear" w:color="auto" w:fill="F9CBAC"/>
                                </w:tcPr>
                                <w:p w:rsidR="00DB5257" w:rsidRPr="006F5B0F" w:rsidRDefault="00DB5257" w:rsidP="00DB5257">
                                  <w:pPr>
                                    <w:jc w:val="center"/>
                                    <w:rPr>
                                      <w:rFonts w:cs="Arial"/>
                                      <w:b/>
                                      <w:color w:val="373737"/>
                                      <w:szCs w:val="18"/>
                                    </w:rPr>
                                  </w:pPr>
                                  <w:r>
                                    <w:rPr>
                                      <w:b/>
                                      <w:color w:val="373737"/>
                                    </w:rPr>
                                    <w:t>++++</w:t>
                                  </w:r>
                                </w:p>
                              </w:tc>
                              <w:tc>
                                <w:tcPr>
                                  <w:tcW w:w="1701" w:type="dxa"/>
                                  <w:shd w:val="clear" w:color="auto" w:fill="F9CBAC"/>
                                </w:tcPr>
                                <w:p w:rsidR="00DB5257" w:rsidRPr="006F5B0F" w:rsidRDefault="00DB5257" w:rsidP="00DB5257">
                                  <w:pPr>
                                    <w:jc w:val="center"/>
                                    <w:rPr>
                                      <w:rFonts w:cs="Arial"/>
                                      <w:b/>
                                      <w:color w:val="373737"/>
                                      <w:szCs w:val="18"/>
                                    </w:rPr>
                                  </w:pPr>
                                  <w:r>
                                    <w:rPr>
                                      <w:b/>
                                      <w:color w:val="373737"/>
                                    </w:rPr>
                                    <w:t>++++</w:t>
                                  </w:r>
                                </w:p>
                              </w:tc>
                              <w:tc>
                                <w:tcPr>
                                  <w:tcW w:w="1417" w:type="dxa"/>
                                  <w:shd w:val="clear" w:color="auto" w:fill="F9CBAC"/>
                                </w:tcPr>
                                <w:p w:rsidR="00DB5257" w:rsidRPr="006F5B0F" w:rsidRDefault="00DB5257" w:rsidP="00DB5257">
                                  <w:pPr>
                                    <w:jc w:val="center"/>
                                    <w:rPr>
                                      <w:rFonts w:cs="Arial"/>
                                      <w:b/>
                                      <w:color w:val="373737"/>
                                      <w:szCs w:val="18"/>
                                    </w:rPr>
                                  </w:pPr>
                                  <w:r>
                                    <w:rPr>
                                      <w:b/>
                                      <w:color w:val="373737"/>
                                    </w:rPr>
                                    <w:t>++++</w:t>
                                  </w:r>
                                </w:p>
                              </w:tc>
                              <w:tc>
                                <w:tcPr>
                                  <w:tcW w:w="1418" w:type="dxa"/>
                                  <w:shd w:val="clear" w:color="auto" w:fill="F9CBAC"/>
                                </w:tcPr>
                                <w:p w:rsidR="00DB5257" w:rsidRPr="006F5B0F" w:rsidRDefault="00DB5257" w:rsidP="00DB5257">
                                  <w:pPr>
                                    <w:jc w:val="center"/>
                                    <w:rPr>
                                      <w:rFonts w:cs="Arial"/>
                                      <w:b/>
                                      <w:color w:val="373737"/>
                                      <w:szCs w:val="18"/>
                                    </w:rPr>
                                  </w:pPr>
                                  <w:r>
                                    <w:rPr>
                                      <w:b/>
                                      <w:color w:val="373737"/>
                                    </w:rPr>
                                    <w:t>++++</w:t>
                                  </w:r>
                                </w:p>
                              </w:tc>
                            </w:tr>
                            <w:tr w:rsidR="00DB5257" w:rsidRPr="009811C2" w:rsidTr="00DB5257">
                              <w:trPr>
                                <w:trHeight w:val="416"/>
                              </w:trPr>
                              <w:tc>
                                <w:tcPr>
                                  <w:tcW w:w="2093" w:type="dxa"/>
                                  <w:tcBorders>
                                    <w:left w:val="single" w:sz="4" w:space="0" w:color="FFFFFF"/>
                                  </w:tcBorders>
                                  <w:shd w:val="clear" w:color="auto" w:fill="F07E31"/>
                                </w:tcPr>
                                <w:p w:rsidR="00DB5257" w:rsidRPr="006F5B0F" w:rsidRDefault="00DB5257" w:rsidP="00DB5257">
                                  <w:pPr>
                                    <w:jc w:val="left"/>
                                    <w:rPr>
                                      <w:rFonts w:cs="Arial"/>
                                      <w:b/>
                                      <w:bCs/>
                                      <w:color w:val="FFFFFF"/>
                                      <w:szCs w:val="18"/>
                                    </w:rPr>
                                  </w:pPr>
                                  <w:r>
                                    <w:rPr>
                                      <w:b/>
                                      <w:color w:val="FFFFFF"/>
                                    </w:rPr>
                                    <w:t>RDD</w:t>
                                  </w:r>
                                </w:p>
                              </w:tc>
                              <w:tc>
                                <w:tcPr>
                                  <w:tcW w:w="1701" w:type="dxa"/>
                                  <w:shd w:val="clear" w:color="auto" w:fill="FCE5D5"/>
                                </w:tcPr>
                                <w:p w:rsidR="00DB5257" w:rsidRPr="006F5B0F" w:rsidRDefault="00DB5257" w:rsidP="00DB5257">
                                  <w:pPr>
                                    <w:jc w:val="center"/>
                                    <w:rPr>
                                      <w:rFonts w:cs="Arial"/>
                                      <w:b/>
                                      <w:color w:val="373737"/>
                                      <w:szCs w:val="18"/>
                                    </w:rPr>
                                  </w:pPr>
                                  <w:r>
                                    <w:rPr>
                                      <w:b/>
                                      <w:color w:val="373737"/>
                                    </w:rPr>
                                    <w:t>+++</w:t>
                                  </w:r>
                                </w:p>
                              </w:tc>
                              <w:tc>
                                <w:tcPr>
                                  <w:tcW w:w="1701" w:type="dxa"/>
                                  <w:shd w:val="clear" w:color="auto" w:fill="FCE5D5"/>
                                </w:tcPr>
                                <w:p w:rsidR="00DB5257" w:rsidRPr="006F5B0F" w:rsidRDefault="00DB5257" w:rsidP="00DB5257">
                                  <w:pPr>
                                    <w:jc w:val="center"/>
                                    <w:rPr>
                                      <w:rFonts w:cs="Arial"/>
                                      <w:b/>
                                      <w:color w:val="373737"/>
                                      <w:szCs w:val="18"/>
                                    </w:rPr>
                                  </w:pPr>
                                  <w:r>
                                    <w:rPr>
                                      <w:b/>
                                      <w:color w:val="373737"/>
                                    </w:rPr>
                                    <w:t>+++</w:t>
                                  </w:r>
                                </w:p>
                              </w:tc>
                              <w:tc>
                                <w:tcPr>
                                  <w:tcW w:w="1417" w:type="dxa"/>
                                  <w:shd w:val="clear" w:color="auto" w:fill="FCE5D5"/>
                                </w:tcPr>
                                <w:p w:rsidR="00DB5257" w:rsidRPr="006F5B0F" w:rsidRDefault="00DB5257" w:rsidP="00DB5257">
                                  <w:pPr>
                                    <w:jc w:val="center"/>
                                    <w:rPr>
                                      <w:rFonts w:cs="Arial"/>
                                      <w:b/>
                                      <w:color w:val="373737"/>
                                      <w:szCs w:val="18"/>
                                    </w:rPr>
                                  </w:pPr>
                                  <w:r>
                                    <w:rPr>
                                      <w:b/>
                                      <w:color w:val="373737"/>
                                    </w:rPr>
                                    <w:t>+++</w:t>
                                  </w:r>
                                </w:p>
                              </w:tc>
                              <w:tc>
                                <w:tcPr>
                                  <w:tcW w:w="1418" w:type="dxa"/>
                                  <w:shd w:val="clear" w:color="auto" w:fill="FCE5D5"/>
                                </w:tcPr>
                                <w:p w:rsidR="00DB5257" w:rsidRPr="006F5B0F" w:rsidRDefault="00DB5257" w:rsidP="00DB5257">
                                  <w:pPr>
                                    <w:jc w:val="center"/>
                                    <w:rPr>
                                      <w:rFonts w:cs="Arial"/>
                                      <w:b/>
                                      <w:color w:val="373737"/>
                                      <w:szCs w:val="18"/>
                                    </w:rPr>
                                  </w:pPr>
                                  <w:r>
                                    <w:rPr>
                                      <w:b/>
                                      <w:color w:val="373737"/>
                                    </w:rPr>
                                    <w:t>+++</w:t>
                                  </w:r>
                                </w:p>
                              </w:tc>
                            </w:tr>
                            <w:tr w:rsidR="00DB5257" w:rsidRPr="009811C2" w:rsidTr="00DB5257">
                              <w:trPr>
                                <w:trHeight w:val="436"/>
                              </w:trPr>
                              <w:tc>
                                <w:tcPr>
                                  <w:tcW w:w="2093" w:type="dxa"/>
                                  <w:tcBorders>
                                    <w:left w:val="single" w:sz="4" w:space="0" w:color="FFFFFF"/>
                                  </w:tcBorders>
                                  <w:shd w:val="clear" w:color="auto" w:fill="F07E31"/>
                                </w:tcPr>
                                <w:p w:rsidR="00DB5257" w:rsidRPr="006F5B0F" w:rsidRDefault="00DB5257" w:rsidP="00DB5257">
                                  <w:pPr>
                                    <w:jc w:val="left"/>
                                    <w:rPr>
                                      <w:rFonts w:cs="Arial"/>
                                      <w:b/>
                                      <w:bCs/>
                                      <w:color w:val="FFFFFF"/>
                                      <w:szCs w:val="18"/>
                                    </w:rPr>
                                  </w:pPr>
                                  <w:r>
                                    <w:rPr>
                                      <w:b/>
                                      <w:color w:val="FFFFFF"/>
                                    </w:rPr>
                                    <w:t>Metod med instrumentvariabler</w:t>
                                  </w:r>
                                </w:p>
                              </w:tc>
                              <w:tc>
                                <w:tcPr>
                                  <w:tcW w:w="1701" w:type="dxa"/>
                                  <w:shd w:val="clear" w:color="auto" w:fill="F9CBAC"/>
                                </w:tcPr>
                                <w:p w:rsidR="00DB5257" w:rsidRPr="006F5B0F" w:rsidRDefault="00DB5257" w:rsidP="00DB5257">
                                  <w:pPr>
                                    <w:jc w:val="center"/>
                                    <w:rPr>
                                      <w:rFonts w:cs="Arial"/>
                                      <w:b/>
                                      <w:color w:val="373737"/>
                                      <w:szCs w:val="18"/>
                                    </w:rPr>
                                  </w:pPr>
                                  <w:r>
                                    <w:rPr>
                                      <w:b/>
                                      <w:color w:val="373737"/>
                                    </w:rPr>
                                    <w:t>++++</w:t>
                                  </w:r>
                                </w:p>
                              </w:tc>
                              <w:tc>
                                <w:tcPr>
                                  <w:tcW w:w="1701" w:type="dxa"/>
                                  <w:shd w:val="clear" w:color="auto" w:fill="F9CBAC"/>
                                </w:tcPr>
                                <w:p w:rsidR="00DB5257" w:rsidRPr="006F5B0F" w:rsidRDefault="00DB5257" w:rsidP="00DB5257">
                                  <w:pPr>
                                    <w:jc w:val="center"/>
                                    <w:rPr>
                                      <w:rFonts w:cs="Arial"/>
                                      <w:b/>
                                      <w:color w:val="373737"/>
                                      <w:szCs w:val="18"/>
                                    </w:rPr>
                                  </w:pPr>
                                  <w:r>
                                    <w:rPr>
                                      <w:b/>
                                      <w:color w:val="373737"/>
                                    </w:rPr>
                                    <w:t>+++</w:t>
                                  </w:r>
                                </w:p>
                              </w:tc>
                              <w:tc>
                                <w:tcPr>
                                  <w:tcW w:w="1417" w:type="dxa"/>
                                  <w:shd w:val="clear" w:color="auto" w:fill="F9CBAC"/>
                                </w:tcPr>
                                <w:p w:rsidR="00DB5257" w:rsidRPr="006F5B0F" w:rsidRDefault="00DB5257" w:rsidP="00DB5257">
                                  <w:pPr>
                                    <w:jc w:val="center"/>
                                    <w:rPr>
                                      <w:rFonts w:cs="Arial"/>
                                      <w:b/>
                                      <w:color w:val="373737"/>
                                      <w:szCs w:val="18"/>
                                    </w:rPr>
                                  </w:pPr>
                                  <w:r>
                                    <w:rPr>
                                      <w:b/>
                                      <w:color w:val="373737"/>
                                    </w:rPr>
                                    <w:t>+++</w:t>
                                  </w:r>
                                </w:p>
                              </w:tc>
                              <w:tc>
                                <w:tcPr>
                                  <w:tcW w:w="1418" w:type="dxa"/>
                                  <w:shd w:val="clear" w:color="auto" w:fill="F9CBAC"/>
                                </w:tcPr>
                                <w:p w:rsidR="00DB5257" w:rsidRPr="006F5B0F" w:rsidRDefault="00DB5257" w:rsidP="00DB5257">
                                  <w:pPr>
                                    <w:jc w:val="center"/>
                                    <w:rPr>
                                      <w:rFonts w:cs="Arial"/>
                                      <w:b/>
                                      <w:color w:val="373737"/>
                                      <w:szCs w:val="18"/>
                                    </w:rPr>
                                  </w:pPr>
                                  <w:r>
                                    <w:rPr>
                                      <w:b/>
                                      <w:color w:val="373737"/>
                                    </w:rPr>
                                    <w:t>+++</w:t>
                                  </w:r>
                                </w:p>
                              </w:tc>
                            </w:tr>
                            <w:tr w:rsidR="00DB5257" w:rsidRPr="009811C2" w:rsidTr="00DB5257">
                              <w:trPr>
                                <w:trHeight w:val="414"/>
                              </w:trPr>
                              <w:tc>
                                <w:tcPr>
                                  <w:tcW w:w="2093" w:type="dxa"/>
                                  <w:tcBorders>
                                    <w:left w:val="single" w:sz="4" w:space="0" w:color="FFFFFF"/>
                                  </w:tcBorders>
                                  <w:shd w:val="clear" w:color="auto" w:fill="F07E31"/>
                                </w:tcPr>
                                <w:p w:rsidR="00DB5257" w:rsidRPr="006F5B0F" w:rsidRDefault="00DB5257" w:rsidP="00DB5257">
                                  <w:pPr>
                                    <w:jc w:val="left"/>
                                    <w:rPr>
                                      <w:rFonts w:cs="Arial"/>
                                      <w:b/>
                                      <w:bCs/>
                                      <w:color w:val="FFFFFF"/>
                                      <w:szCs w:val="18"/>
                                    </w:rPr>
                                  </w:pPr>
                                  <w:r>
                                    <w:rPr>
                                      <w:b/>
                                      <w:color w:val="FFFFFF"/>
                                    </w:rPr>
                                    <w:t>DiD-metoden</w:t>
                                  </w:r>
                                </w:p>
                              </w:tc>
                              <w:tc>
                                <w:tcPr>
                                  <w:tcW w:w="1701" w:type="dxa"/>
                                  <w:shd w:val="clear" w:color="auto" w:fill="FCE5D5"/>
                                </w:tcPr>
                                <w:p w:rsidR="00DB5257" w:rsidRPr="006F5B0F" w:rsidRDefault="00DB5257" w:rsidP="00DB5257">
                                  <w:pPr>
                                    <w:jc w:val="center"/>
                                    <w:rPr>
                                      <w:rFonts w:cs="Arial"/>
                                      <w:b/>
                                      <w:color w:val="373737"/>
                                      <w:szCs w:val="18"/>
                                    </w:rPr>
                                  </w:pPr>
                                  <w:r>
                                    <w:rPr>
                                      <w:b/>
                                      <w:color w:val="373737"/>
                                    </w:rPr>
                                    <w:t>++</w:t>
                                  </w:r>
                                </w:p>
                              </w:tc>
                              <w:tc>
                                <w:tcPr>
                                  <w:tcW w:w="1701" w:type="dxa"/>
                                  <w:shd w:val="clear" w:color="auto" w:fill="FCE5D5"/>
                                </w:tcPr>
                                <w:p w:rsidR="00DB5257" w:rsidRPr="006F5B0F" w:rsidRDefault="00DB5257" w:rsidP="00DB5257">
                                  <w:pPr>
                                    <w:jc w:val="center"/>
                                    <w:rPr>
                                      <w:rFonts w:cs="Arial"/>
                                      <w:b/>
                                      <w:color w:val="373737"/>
                                      <w:szCs w:val="18"/>
                                    </w:rPr>
                                  </w:pPr>
                                  <w:r>
                                    <w:rPr>
                                      <w:b/>
                                      <w:color w:val="373737"/>
                                    </w:rPr>
                                    <w:t>++</w:t>
                                  </w:r>
                                </w:p>
                              </w:tc>
                              <w:tc>
                                <w:tcPr>
                                  <w:tcW w:w="1417" w:type="dxa"/>
                                  <w:shd w:val="clear" w:color="auto" w:fill="FCE5D5"/>
                                </w:tcPr>
                                <w:p w:rsidR="00DB5257" w:rsidRPr="006F5B0F" w:rsidRDefault="00DB5257" w:rsidP="00DB5257">
                                  <w:pPr>
                                    <w:jc w:val="center"/>
                                    <w:rPr>
                                      <w:rFonts w:cs="Arial"/>
                                      <w:b/>
                                      <w:color w:val="373737"/>
                                      <w:szCs w:val="18"/>
                                    </w:rPr>
                                  </w:pPr>
                                  <w:r>
                                    <w:rPr>
                                      <w:b/>
                                      <w:color w:val="373737"/>
                                    </w:rPr>
                                    <w:t>++</w:t>
                                  </w:r>
                                </w:p>
                              </w:tc>
                              <w:tc>
                                <w:tcPr>
                                  <w:tcW w:w="1418" w:type="dxa"/>
                                  <w:shd w:val="clear" w:color="auto" w:fill="FCE5D5"/>
                                </w:tcPr>
                                <w:p w:rsidR="00DB5257" w:rsidRPr="006F5B0F" w:rsidRDefault="00DB5257" w:rsidP="00DB5257">
                                  <w:pPr>
                                    <w:jc w:val="center"/>
                                    <w:rPr>
                                      <w:rFonts w:cs="Arial"/>
                                      <w:b/>
                                      <w:color w:val="373737"/>
                                      <w:szCs w:val="18"/>
                                    </w:rPr>
                                  </w:pPr>
                                  <w:r>
                                    <w:rPr>
                                      <w:b/>
                                      <w:color w:val="373737"/>
                                    </w:rPr>
                                    <w:t>++</w:t>
                                  </w:r>
                                </w:p>
                              </w:tc>
                            </w:tr>
                            <w:tr w:rsidR="00DB5257" w:rsidRPr="009811C2" w:rsidTr="00DB5257">
                              <w:tc>
                                <w:tcPr>
                                  <w:tcW w:w="2093" w:type="dxa"/>
                                  <w:tcBorders>
                                    <w:left w:val="single" w:sz="4" w:space="0" w:color="FFFFFF"/>
                                  </w:tcBorders>
                                  <w:shd w:val="clear" w:color="auto" w:fill="F07E31"/>
                                </w:tcPr>
                                <w:p w:rsidR="00DB5257" w:rsidRPr="006F5B0F" w:rsidRDefault="00DB5257" w:rsidP="00DB5257">
                                  <w:pPr>
                                    <w:jc w:val="left"/>
                                    <w:rPr>
                                      <w:rFonts w:cs="Arial"/>
                                      <w:b/>
                                      <w:bCs/>
                                      <w:color w:val="FFFFFF"/>
                                      <w:szCs w:val="18"/>
                                    </w:rPr>
                                  </w:pPr>
                                  <w:r>
                                    <w:rPr>
                                      <w:b/>
                                      <w:color w:val="FFFFFF"/>
                                    </w:rPr>
                                    <w:t>Jämförelser med icke stödmottagare under en angiven tidsperiod (naiv metod)</w:t>
                                  </w:r>
                                </w:p>
                              </w:tc>
                              <w:tc>
                                <w:tcPr>
                                  <w:tcW w:w="1701" w:type="dxa"/>
                                  <w:shd w:val="clear" w:color="auto" w:fill="F9CBAC"/>
                                </w:tcPr>
                                <w:p w:rsidR="00DB5257" w:rsidRPr="006F5B0F" w:rsidRDefault="00DB5257" w:rsidP="00DB5257">
                                  <w:pPr>
                                    <w:jc w:val="center"/>
                                    <w:rPr>
                                      <w:rFonts w:cs="Arial"/>
                                      <w:b/>
                                      <w:color w:val="373737"/>
                                      <w:szCs w:val="18"/>
                                    </w:rPr>
                                  </w:pPr>
                                  <w:r>
                                    <w:rPr>
                                      <w:b/>
                                      <w:color w:val="373737"/>
                                    </w:rPr>
                                    <w:t>+</w:t>
                                  </w:r>
                                </w:p>
                              </w:tc>
                              <w:tc>
                                <w:tcPr>
                                  <w:tcW w:w="1701" w:type="dxa"/>
                                  <w:shd w:val="clear" w:color="auto" w:fill="F9CBAC"/>
                                </w:tcPr>
                                <w:p w:rsidR="00DB5257" w:rsidRPr="006F5B0F" w:rsidRDefault="00DB5257" w:rsidP="00DB5257">
                                  <w:pPr>
                                    <w:jc w:val="center"/>
                                    <w:rPr>
                                      <w:rFonts w:cs="Arial"/>
                                      <w:b/>
                                      <w:color w:val="373737"/>
                                      <w:szCs w:val="18"/>
                                    </w:rPr>
                                  </w:pPr>
                                  <w:r>
                                    <w:rPr>
                                      <w:b/>
                                      <w:color w:val="373737"/>
                                    </w:rPr>
                                    <w:t>+</w:t>
                                  </w:r>
                                </w:p>
                              </w:tc>
                              <w:tc>
                                <w:tcPr>
                                  <w:tcW w:w="1417" w:type="dxa"/>
                                  <w:shd w:val="clear" w:color="auto" w:fill="F9CBAC"/>
                                </w:tcPr>
                                <w:p w:rsidR="00DB5257" w:rsidRPr="006F5B0F" w:rsidRDefault="00DB5257" w:rsidP="00DB5257">
                                  <w:pPr>
                                    <w:jc w:val="center"/>
                                    <w:rPr>
                                      <w:rFonts w:cs="Arial"/>
                                      <w:b/>
                                      <w:color w:val="373737"/>
                                      <w:szCs w:val="18"/>
                                    </w:rPr>
                                  </w:pPr>
                                  <w:r>
                                    <w:rPr>
                                      <w:b/>
                                      <w:color w:val="373737"/>
                                    </w:rPr>
                                    <w:t>+</w:t>
                                  </w:r>
                                </w:p>
                              </w:tc>
                              <w:tc>
                                <w:tcPr>
                                  <w:tcW w:w="1418" w:type="dxa"/>
                                  <w:shd w:val="clear" w:color="auto" w:fill="F9CBAC"/>
                                </w:tcPr>
                                <w:p w:rsidR="00DB5257" w:rsidRPr="006F5B0F" w:rsidRDefault="00DB5257" w:rsidP="00DB5257">
                                  <w:pPr>
                                    <w:jc w:val="center"/>
                                    <w:rPr>
                                      <w:rFonts w:cs="Arial"/>
                                      <w:b/>
                                      <w:color w:val="373737"/>
                                      <w:szCs w:val="18"/>
                                    </w:rPr>
                                  </w:pPr>
                                  <w:r>
                                    <w:rPr>
                                      <w:b/>
                                      <w:color w:val="373737"/>
                                    </w:rPr>
                                    <w:t>++</w:t>
                                  </w:r>
                                </w:p>
                              </w:tc>
                            </w:tr>
                            <w:tr w:rsidR="00DB5257" w:rsidRPr="009811C2" w:rsidTr="00DB5257">
                              <w:tc>
                                <w:tcPr>
                                  <w:tcW w:w="2093" w:type="dxa"/>
                                  <w:tcBorders>
                                    <w:left w:val="single" w:sz="4" w:space="0" w:color="FFFFFF"/>
                                  </w:tcBorders>
                                  <w:shd w:val="clear" w:color="auto" w:fill="F07E31"/>
                                </w:tcPr>
                                <w:p w:rsidR="00DB5257" w:rsidRPr="006F5B0F" w:rsidRDefault="00DB5257" w:rsidP="00DB5257">
                                  <w:pPr>
                                    <w:jc w:val="left"/>
                                    <w:rPr>
                                      <w:rFonts w:cs="Arial"/>
                                      <w:b/>
                                      <w:bCs/>
                                      <w:color w:val="FFFFFF"/>
                                      <w:szCs w:val="18"/>
                                    </w:rPr>
                                  </w:pPr>
                                  <w:r>
                                    <w:rPr>
                                      <w:b/>
                                      <w:color w:val="FFFFFF"/>
                                    </w:rPr>
                                    <w:t>Jämförelse före och efter för stödmottagare i programmet (naiv metod)</w:t>
                                  </w:r>
                                </w:p>
                              </w:tc>
                              <w:tc>
                                <w:tcPr>
                                  <w:tcW w:w="1701" w:type="dxa"/>
                                  <w:shd w:val="clear" w:color="auto" w:fill="FCE5D5"/>
                                </w:tcPr>
                                <w:p w:rsidR="00DB5257" w:rsidRPr="006F5B0F" w:rsidRDefault="00DB5257" w:rsidP="00DB5257">
                                  <w:pPr>
                                    <w:jc w:val="center"/>
                                    <w:rPr>
                                      <w:rFonts w:cs="Arial"/>
                                      <w:b/>
                                      <w:color w:val="373737"/>
                                      <w:szCs w:val="18"/>
                                    </w:rPr>
                                  </w:pPr>
                                  <w:r>
                                    <w:rPr>
                                      <w:b/>
                                      <w:color w:val="373737"/>
                                    </w:rPr>
                                    <w:t>+</w:t>
                                  </w:r>
                                </w:p>
                              </w:tc>
                              <w:tc>
                                <w:tcPr>
                                  <w:tcW w:w="1701" w:type="dxa"/>
                                  <w:shd w:val="clear" w:color="auto" w:fill="FCE5D5"/>
                                </w:tcPr>
                                <w:p w:rsidR="00DB5257" w:rsidRPr="006F5B0F" w:rsidRDefault="00DB5257" w:rsidP="00DB5257">
                                  <w:pPr>
                                    <w:jc w:val="center"/>
                                    <w:rPr>
                                      <w:rFonts w:cs="Arial"/>
                                      <w:b/>
                                      <w:color w:val="373737"/>
                                      <w:szCs w:val="18"/>
                                    </w:rPr>
                                  </w:pPr>
                                  <w:r>
                                    <w:rPr>
                                      <w:b/>
                                      <w:color w:val="373737"/>
                                    </w:rPr>
                                    <w:t>+</w:t>
                                  </w:r>
                                </w:p>
                              </w:tc>
                              <w:tc>
                                <w:tcPr>
                                  <w:tcW w:w="1417" w:type="dxa"/>
                                  <w:shd w:val="clear" w:color="auto" w:fill="FCE5D5"/>
                                </w:tcPr>
                                <w:p w:rsidR="00DB5257" w:rsidRPr="006F5B0F" w:rsidRDefault="00DB5257" w:rsidP="00DB5257">
                                  <w:pPr>
                                    <w:jc w:val="center"/>
                                    <w:rPr>
                                      <w:rFonts w:cs="Arial"/>
                                      <w:b/>
                                      <w:color w:val="373737"/>
                                      <w:szCs w:val="18"/>
                                    </w:rPr>
                                  </w:pPr>
                                  <w:r>
                                    <w:rPr>
                                      <w:b/>
                                      <w:color w:val="373737"/>
                                    </w:rPr>
                                    <w:t>+</w:t>
                                  </w:r>
                                </w:p>
                              </w:tc>
                              <w:tc>
                                <w:tcPr>
                                  <w:tcW w:w="1418" w:type="dxa"/>
                                  <w:shd w:val="clear" w:color="auto" w:fill="FCE5D5"/>
                                </w:tcPr>
                                <w:p w:rsidR="00DB5257" w:rsidRPr="006F5B0F" w:rsidRDefault="00DB5257" w:rsidP="00DB5257">
                                  <w:pPr>
                                    <w:jc w:val="center"/>
                                    <w:rPr>
                                      <w:rFonts w:cs="Arial"/>
                                      <w:b/>
                                      <w:color w:val="373737"/>
                                      <w:szCs w:val="18"/>
                                    </w:rPr>
                                  </w:pPr>
                                  <w:r>
                                    <w:rPr>
                                      <w:b/>
                                      <w:color w:val="373737"/>
                                    </w:rPr>
                                    <w:t>+</w:t>
                                  </w:r>
                                </w:p>
                              </w:tc>
                            </w:tr>
                            <w:tr w:rsidR="00DB5257" w:rsidRPr="009866F7" w:rsidTr="00DB5257">
                              <w:tc>
                                <w:tcPr>
                                  <w:tcW w:w="2093" w:type="dxa"/>
                                  <w:tcBorders>
                                    <w:left w:val="single" w:sz="4" w:space="0" w:color="FFFFFF"/>
                                    <w:bottom w:val="single" w:sz="4" w:space="0" w:color="FFFFFF"/>
                                  </w:tcBorders>
                                  <w:shd w:val="clear" w:color="auto" w:fill="F07E31"/>
                                </w:tcPr>
                                <w:p w:rsidR="00DB5257" w:rsidRPr="006F5B0F" w:rsidRDefault="00DB5257" w:rsidP="00DB5257">
                                  <w:pPr>
                                    <w:jc w:val="left"/>
                                    <w:rPr>
                                      <w:rFonts w:cs="Arial"/>
                                      <w:b/>
                                      <w:bCs/>
                                      <w:color w:val="FFFFFF"/>
                                      <w:szCs w:val="18"/>
                                    </w:rPr>
                                  </w:pPr>
                                  <w:r>
                                    <w:rPr>
                                      <w:b/>
                                      <w:color w:val="FFFFFF"/>
                                    </w:rPr>
                                    <w:t>Kvalitativa metoder som används vid beräkning av programmets resultat/effekter</w:t>
                                  </w:r>
                                </w:p>
                              </w:tc>
                              <w:tc>
                                <w:tcPr>
                                  <w:tcW w:w="1701" w:type="dxa"/>
                                  <w:shd w:val="clear" w:color="auto" w:fill="F9CBAC"/>
                                </w:tcPr>
                                <w:p w:rsidR="00DB5257" w:rsidRPr="006F5B0F" w:rsidRDefault="00DB5257" w:rsidP="00DB5257">
                                  <w:pPr>
                                    <w:jc w:val="center"/>
                                    <w:rPr>
                                      <w:rFonts w:cs="Arial"/>
                                      <w:b/>
                                      <w:color w:val="373737"/>
                                      <w:szCs w:val="18"/>
                                    </w:rPr>
                                  </w:pPr>
                                  <w:r>
                                    <w:rPr>
                                      <w:b/>
                                      <w:color w:val="373737"/>
                                    </w:rPr>
                                    <w:t>++</w:t>
                                  </w:r>
                                </w:p>
                              </w:tc>
                              <w:tc>
                                <w:tcPr>
                                  <w:tcW w:w="1701" w:type="dxa"/>
                                  <w:shd w:val="clear" w:color="auto" w:fill="F9CBAC"/>
                                </w:tcPr>
                                <w:p w:rsidR="00DB5257" w:rsidRPr="006F5B0F" w:rsidRDefault="00DB5257" w:rsidP="00DB5257">
                                  <w:pPr>
                                    <w:jc w:val="center"/>
                                    <w:rPr>
                                      <w:rFonts w:cs="Arial"/>
                                      <w:b/>
                                      <w:color w:val="373737"/>
                                      <w:szCs w:val="18"/>
                                    </w:rPr>
                                  </w:pPr>
                                  <w:r>
                                    <w:rPr>
                                      <w:b/>
                                      <w:color w:val="373737"/>
                                    </w:rPr>
                                    <w:t>++</w:t>
                                  </w:r>
                                </w:p>
                              </w:tc>
                              <w:tc>
                                <w:tcPr>
                                  <w:tcW w:w="1417" w:type="dxa"/>
                                  <w:shd w:val="clear" w:color="auto" w:fill="F9CBAC"/>
                                </w:tcPr>
                                <w:p w:rsidR="00DB5257" w:rsidRPr="006F5B0F" w:rsidRDefault="00DB5257" w:rsidP="00DB5257">
                                  <w:pPr>
                                    <w:jc w:val="center"/>
                                    <w:rPr>
                                      <w:rFonts w:cs="Arial"/>
                                      <w:b/>
                                      <w:color w:val="373737"/>
                                      <w:szCs w:val="18"/>
                                    </w:rPr>
                                  </w:pPr>
                                  <w:r>
                                    <w:rPr>
                                      <w:b/>
                                      <w:color w:val="373737"/>
                                    </w:rPr>
                                    <w:t>++</w:t>
                                  </w:r>
                                </w:p>
                              </w:tc>
                              <w:tc>
                                <w:tcPr>
                                  <w:tcW w:w="1418" w:type="dxa"/>
                                  <w:shd w:val="clear" w:color="auto" w:fill="F9CBAC"/>
                                </w:tcPr>
                                <w:p w:rsidR="00DB5257" w:rsidRPr="006F5B0F" w:rsidRDefault="00DB5257" w:rsidP="00DB5257">
                                  <w:pPr>
                                    <w:jc w:val="center"/>
                                    <w:rPr>
                                      <w:rFonts w:cs="Arial"/>
                                      <w:b/>
                                      <w:color w:val="373737"/>
                                      <w:szCs w:val="18"/>
                                    </w:rPr>
                                  </w:pPr>
                                  <w:r>
                                    <w:rPr>
                                      <w:b/>
                                      <w:color w:val="373737"/>
                                    </w:rPr>
                                    <w:t>+</w:t>
                                  </w:r>
                                </w:p>
                              </w:tc>
                            </w:tr>
                          </w:tbl>
                          <w:p w:rsidR="00DB5257" w:rsidRPr="006F5B0F" w:rsidRDefault="00DB5257" w:rsidP="00DB5257">
                            <w:pPr>
                              <w:pStyle w:val="HStandard"/>
                              <w:jc w:val="center"/>
                              <w:rPr>
                                <w:i/>
                                <w:color w:val="F07E31"/>
                              </w:rPr>
                            </w:pPr>
                            <w:r>
                              <w:rPr>
                                <w:i/>
                                <w:color w:val="F07E31"/>
                                <w:sz w:val="18"/>
                              </w:rPr>
                              <w:t xml:space="preserve">Läs mer om kriterier för att välja utvärderingsmetoder </w:t>
                            </w:r>
                            <w:r>
                              <w:br/>
                            </w:r>
                            <w:r>
                              <w:rPr>
                                <w:i/>
                                <w:color w:val="F07E31"/>
                                <w:sz w:val="18"/>
                              </w:rPr>
                              <w:t xml:space="preserve">i </w:t>
                            </w:r>
                            <w:hyperlink r:id="rId39" w:history="1">
                              <w:r>
                                <w:rPr>
                                  <w:rStyle w:val="Hyperlink"/>
                                  <w:i/>
                                  <w:sz w:val="18"/>
                                </w:rPr>
                                <w:t>Guidelines for Ex-post evaluation of 2007-2013 RDPs</w:t>
                              </w:r>
                            </w:hyperlink>
                            <w:r>
                              <w:rPr>
                                <w:rStyle w:val="Hyperlink"/>
                                <w:i/>
                                <w:sz w:val="18"/>
                              </w:rPr>
                              <w:t xml:space="preserve">, </w:t>
                            </w:r>
                            <w:r>
                              <w:rPr>
                                <w:i/>
                                <w:color w:val="F07E31"/>
                                <w:sz w:val="18"/>
                              </w:rPr>
                              <w:t>kapitel 4.3.4.2.</w:t>
                            </w:r>
                          </w:p>
                        </w:txbxContent>
                      </wps:txbx>
                      <wps:bodyPr rot="0" vert="horz" wrap="square" lIns="91440" tIns="45720" rIns="91440" bIns="45720" anchor="ctr" anchorCtr="0" upright="1">
                        <a:noAutofit/>
                      </wps:bodyPr>
                    </wps:wsp>
                  </a:graphicData>
                </a:graphic>
              </wp:inline>
            </w:drawing>
          </mc:Choice>
          <mc:Fallback>
            <w:pict>
              <v:shape id="AutoShape 66" o:spid="_x0000_s1036" style="width:451.3pt;height:673.65pt;visibility:visible;mso-wrap-style:square;mso-left-percent:-10001;mso-top-percent:-10001;mso-position-horizontal:absolute;mso-position-horizontal-relative:char;mso-position-vertical:absolute;mso-position-vertical-relative:line;mso-left-percent:-10001;mso-top-percent:-10001;v-text-anchor:middle" coordsize="5731510,8451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" adj="-11796480,,5400" path="m290989,l5731510,r,8160861c5731510,8321570,5601230,8451850,5440521,8451850l,8451850,,290989c,130280,130280,,290989,xe" filled="f" strokecolor="#be4a35" strokeweight="2pt">
                <v:stroke joinstyle="miter"/>
                <v:formulas/>
                <v:path arrowok="t" o:connecttype="custom" o:connectlocs="290989,0;5731510,0;5731510,0;5731510,8261042;5440521,8555603;0,8555603;0,8555603;0,294561;290989,0" o:connectangles="0,0,0,0,0,0,0,0,0" textboxrect="0,0,5731510,8451850"/>
                <v:textbox>
                  <w:txbxContent>
                    <w:p w:rsidR="00DB5257" w:rsidRPr="00DD36A9" w:rsidRDefault="00DB5257" w:rsidP="00DB5257">
                      <w:pPr>
                        <w:pStyle w:val="HHeading4"/>
                      </w:pPr>
                      <w:r>
                        <w:rPr>
                          <w:b w:val="0"/>
                          <w:noProof/>
                          <w:lang w:val="en-GB" w:eastAsia="en-GB"/>
                        </w:rPr>
                        <w:drawing>
                          <wp:inline distT="0" distB="0" distL="0" distR="0">
                            <wp:extent cx="666750" cy="4857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750" cy="485775"/>
                                    </a:xfrm>
                                    <a:prstGeom prst="rect">
                                      <a:avLst/>
                                    </a:prstGeom>
                                    <a:noFill/>
                                    <a:ln>
                                      <a:noFill/>
                                    </a:ln>
                                  </pic:spPr>
                                </pic:pic>
                              </a:graphicData>
                            </a:graphic>
                          </wp:inline>
                        </w:drawing>
                      </w:r>
                      <w:r>
                        <w:t>SNABBGUIDE #3: Avvägningar vid val av utvärderingsmetoder</w:t>
                      </w:r>
                    </w:p>
                    <w:p w:rsidR="00DB5257" w:rsidRDefault="00DB5257" w:rsidP="00DB5257">
                      <w:pPr>
                        <w:pStyle w:val="HStandard"/>
                        <w:spacing w:after="0"/>
                        <w:rPr>
                          <w:rFonts w:cs="Arial"/>
                          <w:sz w:val="18"/>
                          <w:szCs w:val="18"/>
                        </w:rPr>
                      </w:pPr>
                      <w:r>
                        <w:rPr>
                          <w:sz w:val="18"/>
                        </w:rPr>
                        <w:t>Vid utvärderingar betraktas ofta icke tillgängliga uppgifter som den största begränsningen vid val av utvärderingsmetoder. Om ”naiva” utvärderingstekniker (utom kontrafaktiska) används i sådana fall leder detta till betydande svagheter i metodens grundlighet, trovärdighet och giltighet. Aktörerna uppmuntras därför att beakta avvägningen mellan uppgiftsbehovet och potentiella fel i resultaten som skapats av de svagare metoderna. Utvärderingsmetoderna som säkerställer en högre kvalitet på resultaten ställer ofta högre krav på uppgifterna.</w:t>
                      </w:r>
                    </w:p>
                    <w:p w:rsidR="00DB5257" w:rsidRPr="006D4194" w:rsidRDefault="00DB5257" w:rsidP="00DB5257">
                      <w:pPr>
                        <w:pStyle w:val="HStandard"/>
                        <w:spacing w:after="0"/>
                        <w:rPr>
                          <w:rFonts w:cs="Arial"/>
                          <w:sz w:val="18"/>
                          <w:szCs w:val="18"/>
                        </w:rPr>
                      </w:pPr>
                    </w:p>
                    <w:p w:rsidR="00DB5257" w:rsidRPr="009866F7" w:rsidRDefault="00DB5257" w:rsidP="00DB5257">
                      <w:pPr>
                        <w:spacing w:before="0" w:after="0" w:line="240" w:lineRule="auto"/>
                        <w:rPr>
                          <w:rFonts w:cs="Arial"/>
                          <w:color w:val="373737"/>
                          <w:szCs w:val="18"/>
                          <w:highlight w:val="yellow"/>
                        </w:rPr>
                      </w:pPr>
                      <w:r>
                        <w:rPr>
                          <w:b/>
                        </w:rPr>
                        <w:t>J</w:t>
                      </w:r>
                      <w:r>
                        <w:rPr>
                          <w:b/>
                          <w:color w:val="373737"/>
                        </w:rPr>
                        <w:t>ämförelse av modeller</w:t>
                      </w:r>
                      <w:r>
                        <w:rPr>
                          <w:color w:val="373737"/>
                        </w:rPr>
                        <w:t xml:space="preserve"> (förklaring: +++++ = högst poäng + = lägst poäng): </w:t>
                      </w:r>
                    </w:p>
                    <w:tbl>
                      <w:tblPr>
                        <w:tblW w:w="833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093"/>
                        <w:gridCol w:w="1701"/>
                        <w:gridCol w:w="1701"/>
                        <w:gridCol w:w="1417"/>
                        <w:gridCol w:w="1418"/>
                      </w:tblGrid>
                      <w:tr w:rsidR="00DB5257" w:rsidRPr="009811C2" w:rsidTr="00DB5257">
                        <w:trPr>
                          <w:trHeight w:val="856"/>
                        </w:trPr>
                        <w:tc>
                          <w:tcPr>
                            <w:tcW w:w="2093" w:type="dxa"/>
                            <w:tcBorders>
                              <w:top w:val="single" w:sz="4" w:space="0" w:color="FFFFFF"/>
                              <w:left w:val="single" w:sz="4" w:space="0" w:color="FFFFFF"/>
                              <w:right w:val="nil"/>
                            </w:tcBorders>
                            <w:shd w:val="clear" w:color="auto" w:fill="F07E31"/>
                          </w:tcPr>
                          <w:p w:rsidR="00DB5257" w:rsidRPr="006F5B0F" w:rsidRDefault="00DB5257" w:rsidP="00DB5257">
                            <w:pPr>
                              <w:jc w:val="center"/>
                              <w:rPr>
                                <w:rFonts w:cs="Arial"/>
                                <w:b/>
                                <w:bCs/>
                                <w:color w:val="FFFFFF"/>
                                <w:szCs w:val="18"/>
                              </w:rPr>
                            </w:pPr>
                            <w:r>
                              <w:rPr>
                                <w:b/>
                                <w:color w:val="FFFFFF"/>
                              </w:rPr>
                              <w:t>Metod</w:t>
                            </w:r>
                          </w:p>
                        </w:tc>
                        <w:tc>
                          <w:tcPr>
                            <w:tcW w:w="1701" w:type="dxa"/>
                            <w:tcBorders>
                              <w:top w:val="single" w:sz="4" w:space="0" w:color="FFFFFF"/>
                              <w:left w:val="nil"/>
                              <w:right w:val="nil"/>
                            </w:tcBorders>
                            <w:shd w:val="clear" w:color="auto" w:fill="F07E31"/>
                          </w:tcPr>
                          <w:p w:rsidR="00DB5257" w:rsidRPr="006F5B0F" w:rsidRDefault="00DB5257" w:rsidP="00DB5257">
                            <w:pPr>
                              <w:jc w:val="center"/>
                              <w:rPr>
                                <w:rFonts w:cs="Arial"/>
                                <w:b/>
                                <w:bCs/>
                                <w:color w:val="FFFFFF"/>
                                <w:szCs w:val="18"/>
                              </w:rPr>
                            </w:pPr>
                            <w:r>
                              <w:rPr>
                                <w:b/>
                                <w:color w:val="FFFFFF"/>
                              </w:rPr>
                              <w:t>Trovärdighet/noggrannhet, tillförlitlighet etc.</w:t>
                            </w:r>
                          </w:p>
                        </w:tc>
                        <w:tc>
                          <w:tcPr>
                            <w:tcW w:w="1701" w:type="dxa"/>
                            <w:tcBorders>
                              <w:top w:val="single" w:sz="4" w:space="0" w:color="FFFFFF"/>
                              <w:left w:val="nil"/>
                              <w:right w:val="nil"/>
                            </w:tcBorders>
                            <w:shd w:val="clear" w:color="auto" w:fill="F07E31"/>
                          </w:tcPr>
                          <w:p w:rsidR="00DB5257" w:rsidRPr="006F5B0F" w:rsidRDefault="00DB5257" w:rsidP="00DB5257">
                            <w:pPr>
                              <w:jc w:val="center"/>
                              <w:rPr>
                                <w:rFonts w:cs="Arial"/>
                                <w:b/>
                                <w:bCs/>
                                <w:color w:val="FFFFFF"/>
                                <w:szCs w:val="18"/>
                              </w:rPr>
                            </w:pPr>
                            <w:r>
                              <w:rPr>
                                <w:b/>
                                <w:color w:val="FFFFFF"/>
                              </w:rPr>
                              <w:t>Förmåga att minska urvalet och andra systematiska fel</w:t>
                            </w:r>
                          </w:p>
                        </w:tc>
                        <w:tc>
                          <w:tcPr>
                            <w:tcW w:w="1417" w:type="dxa"/>
                            <w:tcBorders>
                              <w:top w:val="single" w:sz="4" w:space="0" w:color="FFFFFF"/>
                              <w:left w:val="nil"/>
                              <w:right w:val="nil"/>
                            </w:tcBorders>
                            <w:shd w:val="clear" w:color="auto" w:fill="F07E31"/>
                          </w:tcPr>
                          <w:p w:rsidR="00DB5257" w:rsidRPr="006F5B0F" w:rsidRDefault="00DB5257" w:rsidP="00DB5257">
                            <w:pPr>
                              <w:jc w:val="center"/>
                              <w:rPr>
                                <w:rFonts w:cs="Arial"/>
                                <w:b/>
                                <w:bCs/>
                                <w:color w:val="FFFFFF"/>
                                <w:szCs w:val="18"/>
                              </w:rPr>
                            </w:pPr>
                            <w:r>
                              <w:rPr>
                                <w:b/>
                                <w:color w:val="FFFFFF"/>
                              </w:rPr>
                              <w:t>Utvärderingskvalitet</w:t>
                            </w:r>
                          </w:p>
                        </w:tc>
                        <w:tc>
                          <w:tcPr>
                            <w:tcW w:w="1418" w:type="dxa"/>
                            <w:tcBorders>
                              <w:top w:val="single" w:sz="4" w:space="0" w:color="FFFFFF"/>
                              <w:left w:val="nil"/>
                              <w:right w:val="single" w:sz="4" w:space="0" w:color="FFFFFF"/>
                            </w:tcBorders>
                            <w:shd w:val="clear" w:color="auto" w:fill="F07E31"/>
                          </w:tcPr>
                          <w:p w:rsidR="00DB5257" w:rsidRPr="006F5B0F" w:rsidRDefault="00DB5257" w:rsidP="00DB5257">
                            <w:pPr>
                              <w:jc w:val="center"/>
                              <w:rPr>
                                <w:rFonts w:cs="Arial"/>
                                <w:b/>
                                <w:bCs/>
                                <w:color w:val="FFFFFF"/>
                                <w:szCs w:val="18"/>
                              </w:rPr>
                            </w:pPr>
                            <w:r>
                              <w:rPr>
                                <w:b/>
                                <w:color w:val="FFFFFF"/>
                              </w:rPr>
                              <w:t>Begärda uppgifter</w:t>
                            </w:r>
                          </w:p>
                        </w:tc>
                      </w:tr>
                      <w:tr w:rsidR="00DB5257" w:rsidRPr="009811C2" w:rsidTr="00DB5257">
                        <w:trPr>
                          <w:trHeight w:val="511"/>
                        </w:trPr>
                        <w:tc>
                          <w:tcPr>
                            <w:tcW w:w="2093" w:type="dxa"/>
                            <w:tcBorders>
                              <w:left w:val="single" w:sz="4" w:space="0" w:color="FFFFFF"/>
                            </w:tcBorders>
                            <w:shd w:val="clear" w:color="auto" w:fill="F07E31"/>
                          </w:tcPr>
                          <w:p w:rsidR="00DB5257" w:rsidRPr="006F5B0F" w:rsidRDefault="00DB5257" w:rsidP="00DB5257">
                            <w:pPr>
                              <w:jc w:val="left"/>
                              <w:rPr>
                                <w:rFonts w:cs="Arial"/>
                                <w:b/>
                                <w:bCs/>
                                <w:color w:val="FFFFFF"/>
                                <w:szCs w:val="18"/>
                              </w:rPr>
                            </w:pPr>
                            <w:r>
                              <w:rPr>
                                <w:b/>
                                <w:color w:val="FFFFFF"/>
                              </w:rPr>
                              <w:t>Experimentell metod</w:t>
                            </w:r>
                          </w:p>
                        </w:tc>
                        <w:tc>
                          <w:tcPr>
                            <w:tcW w:w="1701" w:type="dxa"/>
                            <w:shd w:val="clear" w:color="auto" w:fill="F9CBAC"/>
                          </w:tcPr>
                          <w:p w:rsidR="00DB5257" w:rsidRPr="006F5B0F" w:rsidRDefault="00DB5257" w:rsidP="00DB5257">
                            <w:pPr>
                              <w:jc w:val="center"/>
                              <w:rPr>
                                <w:rFonts w:cs="Arial"/>
                                <w:b/>
                                <w:color w:val="373737"/>
                                <w:szCs w:val="18"/>
                              </w:rPr>
                            </w:pPr>
                            <w:r>
                              <w:rPr>
                                <w:b/>
                                <w:color w:val="373737"/>
                              </w:rPr>
                              <w:t>+++++</w:t>
                            </w:r>
                          </w:p>
                        </w:tc>
                        <w:tc>
                          <w:tcPr>
                            <w:tcW w:w="1701" w:type="dxa"/>
                            <w:shd w:val="clear" w:color="auto" w:fill="F9CBAC"/>
                          </w:tcPr>
                          <w:p w:rsidR="00DB5257" w:rsidRPr="006F5B0F" w:rsidRDefault="00DB5257" w:rsidP="00DB5257">
                            <w:pPr>
                              <w:jc w:val="center"/>
                              <w:rPr>
                                <w:rFonts w:cs="Arial"/>
                                <w:b/>
                                <w:color w:val="373737"/>
                                <w:szCs w:val="18"/>
                              </w:rPr>
                            </w:pPr>
                            <w:r>
                              <w:rPr>
                                <w:b/>
                                <w:color w:val="373737"/>
                              </w:rPr>
                              <w:t>+++++</w:t>
                            </w:r>
                          </w:p>
                        </w:tc>
                        <w:tc>
                          <w:tcPr>
                            <w:tcW w:w="1417" w:type="dxa"/>
                            <w:shd w:val="clear" w:color="auto" w:fill="F9CBAC"/>
                          </w:tcPr>
                          <w:p w:rsidR="00DB5257" w:rsidRPr="006F5B0F" w:rsidRDefault="00DB5257" w:rsidP="00DB5257">
                            <w:pPr>
                              <w:jc w:val="center"/>
                              <w:rPr>
                                <w:rFonts w:cs="Arial"/>
                                <w:b/>
                                <w:color w:val="373737"/>
                                <w:szCs w:val="18"/>
                              </w:rPr>
                            </w:pPr>
                            <w:r>
                              <w:rPr>
                                <w:b/>
                                <w:color w:val="373737"/>
                              </w:rPr>
                              <w:t>+++++</w:t>
                            </w:r>
                          </w:p>
                        </w:tc>
                        <w:tc>
                          <w:tcPr>
                            <w:tcW w:w="1418" w:type="dxa"/>
                            <w:shd w:val="clear" w:color="auto" w:fill="F9CBAC"/>
                          </w:tcPr>
                          <w:p w:rsidR="00DB5257" w:rsidRPr="006F5B0F" w:rsidRDefault="00DB5257" w:rsidP="00DB5257">
                            <w:pPr>
                              <w:jc w:val="center"/>
                              <w:rPr>
                                <w:rFonts w:cs="Arial"/>
                                <w:b/>
                                <w:color w:val="373737"/>
                                <w:szCs w:val="18"/>
                              </w:rPr>
                            </w:pPr>
                            <w:r>
                              <w:rPr>
                                <w:b/>
                                <w:color w:val="373737"/>
                              </w:rPr>
                              <w:t>+++</w:t>
                            </w:r>
                          </w:p>
                        </w:tc>
                      </w:tr>
                      <w:tr w:rsidR="00DB5257" w:rsidRPr="009811C2" w:rsidTr="00DB5257">
                        <w:tc>
                          <w:tcPr>
                            <w:tcW w:w="2093" w:type="dxa"/>
                            <w:tcBorders>
                              <w:left w:val="single" w:sz="4" w:space="0" w:color="FFFFFF"/>
                            </w:tcBorders>
                            <w:shd w:val="clear" w:color="auto" w:fill="F07E31"/>
                          </w:tcPr>
                          <w:p w:rsidR="00DB5257" w:rsidRPr="006F5B0F" w:rsidRDefault="00DB5257" w:rsidP="00DB5257">
                            <w:pPr>
                              <w:jc w:val="left"/>
                              <w:rPr>
                                <w:rFonts w:cs="Arial"/>
                                <w:b/>
                                <w:bCs/>
                                <w:color w:val="FFFFFF"/>
                                <w:szCs w:val="18"/>
                              </w:rPr>
                            </w:pPr>
                            <w:r>
                              <w:rPr>
                                <w:b/>
                                <w:color w:val="FFFFFF"/>
                              </w:rPr>
                              <w:t>Kvasi-experimentella metoder</w:t>
                            </w:r>
                          </w:p>
                        </w:tc>
                        <w:tc>
                          <w:tcPr>
                            <w:tcW w:w="1701" w:type="dxa"/>
                            <w:shd w:val="clear" w:color="auto" w:fill="FCE5D5"/>
                          </w:tcPr>
                          <w:p w:rsidR="00DB5257" w:rsidRPr="006F5B0F" w:rsidRDefault="00DB5257" w:rsidP="00DB5257">
                            <w:pPr>
                              <w:jc w:val="center"/>
                              <w:rPr>
                                <w:rFonts w:cs="Arial"/>
                                <w:b/>
                                <w:color w:val="373737"/>
                                <w:szCs w:val="18"/>
                              </w:rPr>
                            </w:pPr>
                            <w:r>
                              <w:rPr>
                                <w:b/>
                                <w:color w:val="373737"/>
                              </w:rPr>
                              <w:t>++++</w:t>
                            </w:r>
                          </w:p>
                        </w:tc>
                        <w:tc>
                          <w:tcPr>
                            <w:tcW w:w="1701" w:type="dxa"/>
                            <w:shd w:val="clear" w:color="auto" w:fill="FCE5D5"/>
                          </w:tcPr>
                          <w:p w:rsidR="00DB5257" w:rsidRPr="006F5B0F" w:rsidRDefault="00DB5257" w:rsidP="00DB5257">
                            <w:pPr>
                              <w:jc w:val="center"/>
                              <w:rPr>
                                <w:rFonts w:cs="Arial"/>
                                <w:b/>
                                <w:color w:val="373737"/>
                                <w:szCs w:val="18"/>
                              </w:rPr>
                            </w:pPr>
                            <w:r>
                              <w:rPr>
                                <w:b/>
                                <w:color w:val="373737"/>
                              </w:rPr>
                              <w:t>++++</w:t>
                            </w:r>
                          </w:p>
                        </w:tc>
                        <w:tc>
                          <w:tcPr>
                            <w:tcW w:w="1417" w:type="dxa"/>
                            <w:shd w:val="clear" w:color="auto" w:fill="FCE5D5"/>
                          </w:tcPr>
                          <w:p w:rsidR="00DB5257" w:rsidRPr="006F5B0F" w:rsidRDefault="00DB5257" w:rsidP="00DB5257">
                            <w:pPr>
                              <w:jc w:val="center"/>
                              <w:rPr>
                                <w:rFonts w:cs="Arial"/>
                                <w:b/>
                                <w:color w:val="373737"/>
                                <w:szCs w:val="18"/>
                              </w:rPr>
                            </w:pPr>
                            <w:r>
                              <w:rPr>
                                <w:b/>
                                <w:color w:val="373737"/>
                              </w:rPr>
                              <w:t>++++</w:t>
                            </w:r>
                          </w:p>
                        </w:tc>
                        <w:tc>
                          <w:tcPr>
                            <w:tcW w:w="1418" w:type="dxa"/>
                            <w:shd w:val="clear" w:color="auto" w:fill="FCE5D5"/>
                          </w:tcPr>
                          <w:p w:rsidR="00DB5257" w:rsidRPr="006F5B0F" w:rsidRDefault="00DB5257" w:rsidP="00DB5257">
                            <w:pPr>
                              <w:jc w:val="center"/>
                              <w:rPr>
                                <w:rFonts w:cs="Arial"/>
                                <w:b/>
                                <w:color w:val="373737"/>
                                <w:szCs w:val="18"/>
                              </w:rPr>
                            </w:pPr>
                            <w:r>
                              <w:rPr>
                                <w:b/>
                                <w:color w:val="373737"/>
                              </w:rPr>
                              <w:t>++++</w:t>
                            </w:r>
                          </w:p>
                        </w:tc>
                      </w:tr>
                      <w:tr w:rsidR="00DB5257" w:rsidRPr="009811C2" w:rsidTr="00DB5257">
                        <w:tc>
                          <w:tcPr>
                            <w:tcW w:w="2093" w:type="dxa"/>
                            <w:tcBorders>
                              <w:left w:val="single" w:sz="4" w:space="0" w:color="FFFFFF"/>
                            </w:tcBorders>
                            <w:shd w:val="clear" w:color="auto" w:fill="F07E31"/>
                          </w:tcPr>
                          <w:p w:rsidR="00DB5257" w:rsidRPr="006F5B0F" w:rsidRDefault="00DB5257" w:rsidP="00DB5257">
                            <w:pPr>
                              <w:jc w:val="left"/>
                              <w:rPr>
                                <w:rFonts w:cs="Arial"/>
                                <w:b/>
                                <w:bCs/>
                                <w:color w:val="FFFFFF"/>
                                <w:szCs w:val="18"/>
                              </w:rPr>
                            </w:pPr>
                            <w:r>
                              <w:rPr>
                                <w:b/>
                                <w:color w:val="FFFFFF"/>
                              </w:rPr>
                              <w:t>Matchande metoder (kombinerat med difference-in-difference)</w:t>
                            </w:r>
                          </w:p>
                        </w:tc>
                        <w:tc>
                          <w:tcPr>
                            <w:tcW w:w="1701" w:type="dxa"/>
                            <w:shd w:val="clear" w:color="auto" w:fill="F9CBAC"/>
                          </w:tcPr>
                          <w:p w:rsidR="00DB5257" w:rsidRPr="006F5B0F" w:rsidRDefault="00DB5257" w:rsidP="00DB5257">
                            <w:pPr>
                              <w:jc w:val="center"/>
                              <w:rPr>
                                <w:rFonts w:cs="Arial"/>
                                <w:b/>
                                <w:color w:val="373737"/>
                                <w:szCs w:val="18"/>
                              </w:rPr>
                            </w:pPr>
                            <w:r>
                              <w:rPr>
                                <w:b/>
                                <w:color w:val="373737"/>
                              </w:rPr>
                              <w:t>++++</w:t>
                            </w:r>
                          </w:p>
                        </w:tc>
                        <w:tc>
                          <w:tcPr>
                            <w:tcW w:w="1701" w:type="dxa"/>
                            <w:shd w:val="clear" w:color="auto" w:fill="F9CBAC"/>
                          </w:tcPr>
                          <w:p w:rsidR="00DB5257" w:rsidRPr="006F5B0F" w:rsidRDefault="00DB5257" w:rsidP="00DB5257">
                            <w:pPr>
                              <w:jc w:val="center"/>
                              <w:rPr>
                                <w:rFonts w:cs="Arial"/>
                                <w:b/>
                                <w:color w:val="373737"/>
                                <w:szCs w:val="18"/>
                              </w:rPr>
                            </w:pPr>
                            <w:r>
                              <w:rPr>
                                <w:b/>
                                <w:color w:val="373737"/>
                              </w:rPr>
                              <w:t>++++</w:t>
                            </w:r>
                          </w:p>
                        </w:tc>
                        <w:tc>
                          <w:tcPr>
                            <w:tcW w:w="1417" w:type="dxa"/>
                            <w:shd w:val="clear" w:color="auto" w:fill="F9CBAC"/>
                          </w:tcPr>
                          <w:p w:rsidR="00DB5257" w:rsidRPr="006F5B0F" w:rsidRDefault="00DB5257" w:rsidP="00DB5257">
                            <w:pPr>
                              <w:jc w:val="center"/>
                              <w:rPr>
                                <w:rFonts w:cs="Arial"/>
                                <w:b/>
                                <w:color w:val="373737"/>
                                <w:szCs w:val="18"/>
                              </w:rPr>
                            </w:pPr>
                            <w:r>
                              <w:rPr>
                                <w:b/>
                                <w:color w:val="373737"/>
                              </w:rPr>
                              <w:t>++++</w:t>
                            </w:r>
                          </w:p>
                        </w:tc>
                        <w:tc>
                          <w:tcPr>
                            <w:tcW w:w="1418" w:type="dxa"/>
                            <w:shd w:val="clear" w:color="auto" w:fill="F9CBAC"/>
                          </w:tcPr>
                          <w:p w:rsidR="00DB5257" w:rsidRPr="006F5B0F" w:rsidRDefault="00DB5257" w:rsidP="00DB5257">
                            <w:pPr>
                              <w:jc w:val="center"/>
                              <w:rPr>
                                <w:rFonts w:cs="Arial"/>
                                <w:b/>
                                <w:color w:val="373737"/>
                                <w:szCs w:val="18"/>
                              </w:rPr>
                            </w:pPr>
                            <w:r>
                              <w:rPr>
                                <w:b/>
                                <w:color w:val="373737"/>
                              </w:rPr>
                              <w:t>++++</w:t>
                            </w:r>
                          </w:p>
                        </w:tc>
                      </w:tr>
                      <w:tr w:rsidR="00DB5257" w:rsidRPr="009811C2" w:rsidTr="00DB5257">
                        <w:trPr>
                          <w:trHeight w:val="416"/>
                        </w:trPr>
                        <w:tc>
                          <w:tcPr>
                            <w:tcW w:w="2093" w:type="dxa"/>
                            <w:tcBorders>
                              <w:left w:val="single" w:sz="4" w:space="0" w:color="FFFFFF"/>
                            </w:tcBorders>
                            <w:shd w:val="clear" w:color="auto" w:fill="F07E31"/>
                          </w:tcPr>
                          <w:p w:rsidR="00DB5257" w:rsidRPr="006F5B0F" w:rsidRDefault="00DB5257" w:rsidP="00DB5257">
                            <w:pPr>
                              <w:jc w:val="left"/>
                              <w:rPr>
                                <w:rFonts w:cs="Arial"/>
                                <w:b/>
                                <w:bCs/>
                                <w:color w:val="FFFFFF"/>
                                <w:szCs w:val="18"/>
                              </w:rPr>
                            </w:pPr>
                            <w:r>
                              <w:rPr>
                                <w:b/>
                                <w:color w:val="FFFFFF"/>
                              </w:rPr>
                              <w:t>RDD</w:t>
                            </w:r>
                          </w:p>
                        </w:tc>
                        <w:tc>
                          <w:tcPr>
                            <w:tcW w:w="1701" w:type="dxa"/>
                            <w:shd w:val="clear" w:color="auto" w:fill="FCE5D5"/>
                          </w:tcPr>
                          <w:p w:rsidR="00DB5257" w:rsidRPr="006F5B0F" w:rsidRDefault="00DB5257" w:rsidP="00DB5257">
                            <w:pPr>
                              <w:jc w:val="center"/>
                              <w:rPr>
                                <w:rFonts w:cs="Arial"/>
                                <w:b/>
                                <w:color w:val="373737"/>
                                <w:szCs w:val="18"/>
                              </w:rPr>
                            </w:pPr>
                            <w:r>
                              <w:rPr>
                                <w:b/>
                                <w:color w:val="373737"/>
                              </w:rPr>
                              <w:t>+++</w:t>
                            </w:r>
                          </w:p>
                        </w:tc>
                        <w:tc>
                          <w:tcPr>
                            <w:tcW w:w="1701" w:type="dxa"/>
                            <w:shd w:val="clear" w:color="auto" w:fill="FCE5D5"/>
                          </w:tcPr>
                          <w:p w:rsidR="00DB5257" w:rsidRPr="006F5B0F" w:rsidRDefault="00DB5257" w:rsidP="00DB5257">
                            <w:pPr>
                              <w:jc w:val="center"/>
                              <w:rPr>
                                <w:rFonts w:cs="Arial"/>
                                <w:b/>
                                <w:color w:val="373737"/>
                                <w:szCs w:val="18"/>
                              </w:rPr>
                            </w:pPr>
                            <w:r>
                              <w:rPr>
                                <w:b/>
                                <w:color w:val="373737"/>
                              </w:rPr>
                              <w:t>+++</w:t>
                            </w:r>
                          </w:p>
                        </w:tc>
                        <w:tc>
                          <w:tcPr>
                            <w:tcW w:w="1417" w:type="dxa"/>
                            <w:shd w:val="clear" w:color="auto" w:fill="FCE5D5"/>
                          </w:tcPr>
                          <w:p w:rsidR="00DB5257" w:rsidRPr="006F5B0F" w:rsidRDefault="00DB5257" w:rsidP="00DB5257">
                            <w:pPr>
                              <w:jc w:val="center"/>
                              <w:rPr>
                                <w:rFonts w:cs="Arial"/>
                                <w:b/>
                                <w:color w:val="373737"/>
                                <w:szCs w:val="18"/>
                              </w:rPr>
                            </w:pPr>
                            <w:r>
                              <w:rPr>
                                <w:b/>
                                <w:color w:val="373737"/>
                              </w:rPr>
                              <w:t>+++</w:t>
                            </w:r>
                          </w:p>
                        </w:tc>
                        <w:tc>
                          <w:tcPr>
                            <w:tcW w:w="1418" w:type="dxa"/>
                            <w:shd w:val="clear" w:color="auto" w:fill="FCE5D5"/>
                          </w:tcPr>
                          <w:p w:rsidR="00DB5257" w:rsidRPr="006F5B0F" w:rsidRDefault="00DB5257" w:rsidP="00DB5257">
                            <w:pPr>
                              <w:jc w:val="center"/>
                              <w:rPr>
                                <w:rFonts w:cs="Arial"/>
                                <w:b/>
                                <w:color w:val="373737"/>
                                <w:szCs w:val="18"/>
                              </w:rPr>
                            </w:pPr>
                            <w:r>
                              <w:rPr>
                                <w:b/>
                                <w:color w:val="373737"/>
                              </w:rPr>
                              <w:t>+++</w:t>
                            </w:r>
                          </w:p>
                        </w:tc>
                      </w:tr>
                      <w:tr w:rsidR="00DB5257" w:rsidRPr="009811C2" w:rsidTr="00DB5257">
                        <w:trPr>
                          <w:trHeight w:val="436"/>
                        </w:trPr>
                        <w:tc>
                          <w:tcPr>
                            <w:tcW w:w="2093" w:type="dxa"/>
                            <w:tcBorders>
                              <w:left w:val="single" w:sz="4" w:space="0" w:color="FFFFFF"/>
                            </w:tcBorders>
                            <w:shd w:val="clear" w:color="auto" w:fill="F07E31"/>
                          </w:tcPr>
                          <w:p w:rsidR="00DB5257" w:rsidRPr="006F5B0F" w:rsidRDefault="00DB5257" w:rsidP="00DB5257">
                            <w:pPr>
                              <w:jc w:val="left"/>
                              <w:rPr>
                                <w:rFonts w:cs="Arial"/>
                                <w:b/>
                                <w:bCs/>
                                <w:color w:val="FFFFFF"/>
                                <w:szCs w:val="18"/>
                              </w:rPr>
                            </w:pPr>
                            <w:r>
                              <w:rPr>
                                <w:b/>
                                <w:color w:val="FFFFFF"/>
                              </w:rPr>
                              <w:t>Metod med instrumentvariabler</w:t>
                            </w:r>
                          </w:p>
                        </w:tc>
                        <w:tc>
                          <w:tcPr>
                            <w:tcW w:w="1701" w:type="dxa"/>
                            <w:shd w:val="clear" w:color="auto" w:fill="F9CBAC"/>
                          </w:tcPr>
                          <w:p w:rsidR="00DB5257" w:rsidRPr="006F5B0F" w:rsidRDefault="00DB5257" w:rsidP="00DB5257">
                            <w:pPr>
                              <w:jc w:val="center"/>
                              <w:rPr>
                                <w:rFonts w:cs="Arial"/>
                                <w:b/>
                                <w:color w:val="373737"/>
                                <w:szCs w:val="18"/>
                              </w:rPr>
                            </w:pPr>
                            <w:r>
                              <w:rPr>
                                <w:b/>
                                <w:color w:val="373737"/>
                              </w:rPr>
                              <w:t>++++</w:t>
                            </w:r>
                          </w:p>
                        </w:tc>
                        <w:tc>
                          <w:tcPr>
                            <w:tcW w:w="1701" w:type="dxa"/>
                            <w:shd w:val="clear" w:color="auto" w:fill="F9CBAC"/>
                          </w:tcPr>
                          <w:p w:rsidR="00DB5257" w:rsidRPr="006F5B0F" w:rsidRDefault="00DB5257" w:rsidP="00DB5257">
                            <w:pPr>
                              <w:jc w:val="center"/>
                              <w:rPr>
                                <w:rFonts w:cs="Arial"/>
                                <w:b/>
                                <w:color w:val="373737"/>
                                <w:szCs w:val="18"/>
                              </w:rPr>
                            </w:pPr>
                            <w:r>
                              <w:rPr>
                                <w:b/>
                                <w:color w:val="373737"/>
                              </w:rPr>
                              <w:t>+++</w:t>
                            </w:r>
                          </w:p>
                        </w:tc>
                        <w:tc>
                          <w:tcPr>
                            <w:tcW w:w="1417" w:type="dxa"/>
                            <w:shd w:val="clear" w:color="auto" w:fill="F9CBAC"/>
                          </w:tcPr>
                          <w:p w:rsidR="00DB5257" w:rsidRPr="006F5B0F" w:rsidRDefault="00DB5257" w:rsidP="00DB5257">
                            <w:pPr>
                              <w:jc w:val="center"/>
                              <w:rPr>
                                <w:rFonts w:cs="Arial"/>
                                <w:b/>
                                <w:color w:val="373737"/>
                                <w:szCs w:val="18"/>
                              </w:rPr>
                            </w:pPr>
                            <w:r>
                              <w:rPr>
                                <w:b/>
                                <w:color w:val="373737"/>
                              </w:rPr>
                              <w:t>+++</w:t>
                            </w:r>
                          </w:p>
                        </w:tc>
                        <w:tc>
                          <w:tcPr>
                            <w:tcW w:w="1418" w:type="dxa"/>
                            <w:shd w:val="clear" w:color="auto" w:fill="F9CBAC"/>
                          </w:tcPr>
                          <w:p w:rsidR="00DB5257" w:rsidRPr="006F5B0F" w:rsidRDefault="00DB5257" w:rsidP="00DB5257">
                            <w:pPr>
                              <w:jc w:val="center"/>
                              <w:rPr>
                                <w:rFonts w:cs="Arial"/>
                                <w:b/>
                                <w:color w:val="373737"/>
                                <w:szCs w:val="18"/>
                              </w:rPr>
                            </w:pPr>
                            <w:r>
                              <w:rPr>
                                <w:b/>
                                <w:color w:val="373737"/>
                              </w:rPr>
                              <w:t>+++</w:t>
                            </w:r>
                          </w:p>
                        </w:tc>
                      </w:tr>
                      <w:tr w:rsidR="00DB5257" w:rsidRPr="009811C2" w:rsidTr="00DB5257">
                        <w:trPr>
                          <w:trHeight w:val="414"/>
                        </w:trPr>
                        <w:tc>
                          <w:tcPr>
                            <w:tcW w:w="2093" w:type="dxa"/>
                            <w:tcBorders>
                              <w:left w:val="single" w:sz="4" w:space="0" w:color="FFFFFF"/>
                            </w:tcBorders>
                            <w:shd w:val="clear" w:color="auto" w:fill="F07E31"/>
                          </w:tcPr>
                          <w:p w:rsidR="00DB5257" w:rsidRPr="006F5B0F" w:rsidRDefault="00DB5257" w:rsidP="00DB5257">
                            <w:pPr>
                              <w:jc w:val="left"/>
                              <w:rPr>
                                <w:rFonts w:cs="Arial"/>
                                <w:b/>
                                <w:bCs/>
                                <w:color w:val="FFFFFF"/>
                                <w:szCs w:val="18"/>
                              </w:rPr>
                            </w:pPr>
                            <w:r>
                              <w:rPr>
                                <w:b/>
                                <w:color w:val="FFFFFF"/>
                              </w:rPr>
                              <w:t>DiD-metoden</w:t>
                            </w:r>
                          </w:p>
                        </w:tc>
                        <w:tc>
                          <w:tcPr>
                            <w:tcW w:w="1701" w:type="dxa"/>
                            <w:shd w:val="clear" w:color="auto" w:fill="FCE5D5"/>
                          </w:tcPr>
                          <w:p w:rsidR="00DB5257" w:rsidRPr="006F5B0F" w:rsidRDefault="00DB5257" w:rsidP="00DB5257">
                            <w:pPr>
                              <w:jc w:val="center"/>
                              <w:rPr>
                                <w:rFonts w:cs="Arial"/>
                                <w:b/>
                                <w:color w:val="373737"/>
                                <w:szCs w:val="18"/>
                              </w:rPr>
                            </w:pPr>
                            <w:r>
                              <w:rPr>
                                <w:b/>
                                <w:color w:val="373737"/>
                              </w:rPr>
                              <w:t>++</w:t>
                            </w:r>
                          </w:p>
                        </w:tc>
                        <w:tc>
                          <w:tcPr>
                            <w:tcW w:w="1701" w:type="dxa"/>
                            <w:shd w:val="clear" w:color="auto" w:fill="FCE5D5"/>
                          </w:tcPr>
                          <w:p w:rsidR="00DB5257" w:rsidRPr="006F5B0F" w:rsidRDefault="00DB5257" w:rsidP="00DB5257">
                            <w:pPr>
                              <w:jc w:val="center"/>
                              <w:rPr>
                                <w:rFonts w:cs="Arial"/>
                                <w:b/>
                                <w:color w:val="373737"/>
                                <w:szCs w:val="18"/>
                              </w:rPr>
                            </w:pPr>
                            <w:r>
                              <w:rPr>
                                <w:b/>
                                <w:color w:val="373737"/>
                              </w:rPr>
                              <w:t>++</w:t>
                            </w:r>
                          </w:p>
                        </w:tc>
                        <w:tc>
                          <w:tcPr>
                            <w:tcW w:w="1417" w:type="dxa"/>
                            <w:shd w:val="clear" w:color="auto" w:fill="FCE5D5"/>
                          </w:tcPr>
                          <w:p w:rsidR="00DB5257" w:rsidRPr="006F5B0F" w:rsidRDefault="00DB5257" w:rsidP="00DB5257">
                            <w:pPr>
                              <w:jc w:val="center"/>
                              <w:rPr>
                                <w:rFonts w:cs="Arial"/>
                                <w:b/>
                                <w:color w:val="373737"/>
                                <w:szCs w:val="18"/>
                              </w:rPr>
                            </w:pPr>
                            <w:r>
                              <w:rPr>
                                <w:b/>
                                <w:color w:val="373737"/>
                              </w:rPr>
                              <w:t>++</w:t>
                            </w:r>
                          </w:p>
                        </w:tc>
                        <w:tc>
                          <w:tcPr>
                            <w:tcW w:w="1418" w:type="dxa"/>
                            <w:shd w:val="clear" w:color="auto" w:fill="FCE5D5"/>
                          </w:tcPr>
                          <w:p w:rsidR="00DB5257" w:rsidRPr="006F5B0F" w:rsidRDefault="00DB5257" w:rsidP="00DB5257">
                            <w:pPr>
                              <w:jc w:val="center"/>
                              <w:rPr>
                                <w:rFonts w:cs="Arial"/>
                                <w:b/>
                                <w:color w:val="373737"/>
                                <w:szCs w:val="18"/>
                              </w:rPr>
                            </w:pPr>
                            <w:r>
                              <w:rPr>
                                <w:b/>
                                <w:color w:val="373737"/>
                              </w:rPr>
                              <w:t>++</w:t>
                            </w:r>
                          </w:p>
                        </w:tc>
                      </w:tr>
                      <w:tr w:rsidR="00DB5257" w:rsidRPr="009811C2" w:rsidTr="00DB5257">
                        <w:tc>
                          <w:tcPr>
                            <w:tcW w:w="2093" w:type="dxa"/>
                            <w:tcBorders>
                              <w:left w:val="single" w:sz="4" w:space="0" w:color="FFFFFF"/>
                            </w:tcBorders>
                            <w:shd w:val="clear" w:color="auto" w:fill="F07E31"/>
                          </w:tcPr>
                          <w:p w:rsidR="00DB5257" w:rsidRPr="006F5B0F" w:rsidRDefault="00DB5257" w:rsidP="00DB5257">
                            <w:pPr>
                              <w:jc w:val="left"/>
                              <w:rPr>
                                <w:rFonts w:cs="Arial"/>
                                <w:b/>
                                <w:bCs/>
                                <w:color w:val="FFFFFF"/>
                                <w:szCs w:val="18"/>
                              </w:rPr>
                            </w:pPr>
                            <w:r>
                              <w:rPr>
                                <w:b/>
                                <w:color w:val="FFFFFF"/>
                              </w:rPr>
                              <w:t>Jämförelser med icke stödmottagare under en angiven tidsperiod (naiv metod)</w:t>
                            </w:r>
                          </w:p>
                        </w:tc>
                        <w:tc>
                          <w:tcPr>
                            <w:tcW w:w="1701" w:type="dxa"/>
                            <w:shd w:val="clear" w:color="auto" w:fill="F9CBAC"/>
                          </w:tcPr>
                          <w:p w:rsidR="00DB5257" w:rsidRPr="006F5B0F" w:rsidRDefault="00DB5257" w:rsidP="00DB5257">
                            <w:pPr>
                              <w:jc w:val="center"/>
                              <w:rPr>
                                <w:rFonts w:cs="Arial"/>
                                <w:b/>
                                <w:color w:val="373737"/>
                                <w:szCs w:val="18"/>
                              </w:rPr>
                            </w:pPr>
                            <w:r>
                              <w:rPr>
                                <w:b/>
                                <w:color w:val="373737"/>
                              </w:rPr>
                              <w:t>+</w:t>
                            </w:r>
                          </w:p>
                        </w:tc>
                        <w:tc>
                          <w:tcPr>
                            <w:tcW w:w="1701" w:type="dxa"/>
                            <w:shd w:val="clear" w:color="auto" w:fill="F9CBAC"/>
                          </w:tcPr>
                          <w:p w:rsidR="00DB5257" w:rsidRPr="006F5B0F" w:rsidRDefault="00DB5257" w:rsidP="00DB5257">
                            <w:pPr>
                              <w:jc w:val="center"/>
                              <w:rPr>
                                <w:rFonts w:cs="Arial"/>
                                <w:b/>
                                <w:color w:val="373737"/>
                                <w:szCs w:val="18"/>
                              </w:rPr>
                            </w:pPr>
                            <w:r>
                              <w:rPr>
                                <w:b/>
                                <w:color w:val="373737"/>
                              </w:rPr>
                              <w:t>+</w:t>
                            </w:r>
                          </w:p>
                        </w:tc>
                        <w:tc>
                          <w:tcPr>
                            <w:tcW w:w="1417" w:type="dxa"/>
                            <w:shd w:val="clear" w:color="auto" w:fill="F9CBAC"/>
                          </w:tcPr>
                          <w:p w:rsidR="00DB5257" w:rsidRPr="006F5B0F" w:rsidRDefault="00DB5257" w:rsidP="00DB5257">
                            <w:pPr>
                              <w:jc w:val="center"/>
                              <w:rPr>
                                <w:rFonts w:cs="Arial"/>
                                <w:b/>
                                <w:color w:val="373737"/>
                                <w:szCs w:val="18"/>
                              </w:rPr>
                            </w:pPr>
                            <w:r>
                              <w:rPr>
                                <w:b/>
                                <w:color w:val="373737"/>
                              </w:rPr>
                              <w:t>+</w:t>
                            </w:r>
                          </w:p>
                        </w:tc>
                        <w:tc>
                          <w:tcPr>
                            <w:tcW w:w="1418" w:type="dxa"/>
                            <w:shd w:val="clear" w:color="auto" w:fill="F9CBAC"/>
                          </w:tcPr>
                          <w:p w:rsidR="00DB5257" w:rsidRPr="006F5B0F" w:rsidRDefault="00DB5257" w:rsidP="00DB5257">
                            <w:pPr>
                              <w:jc w:val="center"/>
                              <w:rPr>
                                <w:rFonts w:cs="Arial"/>
                                <w:b/>
                                <w:color w:val="373737"/>
                                <w:szCs w:val="18"/>
                              </w:rPr>
                            </w:pPr>
                            <w:r>
                              <w:rPr>
                                <w:b/>
                                <w:color w:val="373737"/>
                              </w:rPr>
                              <w:t>++</w:t>
                            </w:r>
                          </w:p>
                        </w:tc>
                      </w:tr>
                      <w:tr w:rsidR="00DB5257" w:rsidRPr="009811C2" w:rsidTr="00DB5257">
                        <w:tc>
                          <w:tcPr>
                            <w:tcW w:w="2093" w:type="dxa"/>
                            <w:tcBorders>
                              <w:left w:val="single" w:sz="4" w:space="0" w:color="FFFFFF"/>
                            </w:tcBorders>
                            <w:shd w:val="clear" w:color="auto" w:fill="F07E31"/>
                          </w:tcPr>
                          <w:p w:rsidR="00DB5257" w:rsidRPr="006F5B0F" w:rsidRDefault="00DB5257" w:rsidP="00DB5257">
                            <w:pPr>
                              <w:jc w:val="left"/>
                              <w:rPr>
                                <w:rFonts w:cs="Arial"/>
                                <w:b/>
                                <w:bCs/>
                                <w:color w:val="FFFFFF"/>
                                <w:szCs w:val="18"/>
                              </w:rPr>
                            </w:pPr>
                            <w:r>
                              <w:rPr>
                                <w:b/>
                                <w:color w:val="FFFFFF"/>
                              </w:rPr>
                              <w:t>Jämförelse före och efter för stödmottagare i programmet (naiv metod)</w:t>
                            </w:r>
                          </w:p>
                        </w:tc>
                        <w:tc>
                          <w:tcPr>
                            <w:tcW w:w="1701" w:type="dxa"/>
                            <w:shd w:val="clear" w:color="auto" w:fill="FCE5D5"/>
                          </w:tcPr>
                          <w:p w:rsidR="00DB5257" w:rsidRPr="006F5B0F" w:rsidRDefault="00DB5257" w:rsidP="00DB5257">
                            <w:pPr>
                              <w:jc w:val="center"/>
                              <w:rPr>
                                <w:rFonts w:cs="Arial"/>
                                <w:b/>
                                <w:color w:val="373737"/>
                                <w:szCs w:val="18"/>
                              </w:rPr>
                            </w:pPr>
                            <w:r>
                              <w:rPr>
                                <w:b/>
                                <w:color w:val="373737"/>
                              </w:rPr>
                              <w:t>+</w:t>
                            </w:r>
                          </w:p>
                        </w:tc>
                        <w:tc>
                          <w:tcPr>
                            <w:tcW w:w="1701" w:type="dxa"/>
                            <w:shd w:val="clear" w:color="auto" w:fill="FCE5D5"/>
                          </w:tcPr>
                          <w:p w:rsidR="00DB5257" w:rsidRPr="006F5B0F" w:rsidRDefault="00DB5257" w:rsidP="00DB5257">
                            <w:pPr>
                              <w:jc w:val="center"/>
                              <w:rPr>
                                <w:rFonts w:cs="Arial"/>
                                <w:b/>
                                <w:color w:val="373737"/>
                                <w:szCs w:val="18"/>
                              </w:rPr>
                            </w:pPr>
                            <w:r>
                              <w:rPr>
                                <w:b/>
                                <w:color w:val="373737"/>
                              </w:rPr>
                              <w:t>+</w:t>
                            </w:r>
                          </w:p>
                        </w:tc>
                        <w:tc>
                          <w:tcPr>
                            <w:tcW w:w="1417" w:type="dxa"/>
                            <w:shd w:val="clear" w:color="auto" w:fill="FCE5D5"/>
                          </w:tcPr>
                          <w:p w:rsidR="00DB5257" w:rsidRPr="006F5B0F" w:rsidRDefault="00DB5257" w:rsidP="00DB5257">
                            <w:pPr>
                              <w:jc w:val="center"/>
                              <w:rPr>
                                <w:rFonts w:cs="Arial"/>
                                <w:b/>
                                <w:color w:val="373737"/>
                                <w:szCs w:val="18"/>
                              </w:rPr>
                            </w:pPr>
                            <w:r>
                              <w:rPr>
                                <w:b/>
                                <w:color w:val="373737"/>
                              </w:rPr>
                              <w:t>+</w:t>
                            </w:r>
                          </w:p>
                        </w:tc>
                        <w:tc>
                          <w:tcPr>
                            <w:tcW w:w="1418" w:type="dxa"/>
                            <w:shd w:val="clear" w:color="auto" w:fill="FCE5D5"/>
                          </w:tcPr>
                          <w:p w:rsidR="00DB5257" w:rsidRPr="006F5B0F" w:rsidRDefault="00DB5257" w:rsidP="00DB5257">
                            <w:pPr>
                              <w:jc w:val="center"/>
                              <w:rPr>
                                <w:rFonts w:cs="Arial"/>
                                <w:b/>
                                <w:color w:val="373737"/>
                                <w:szCs w:val="18"/>
                              </w:rPr>
                            </w:pPr>
                            <w:r>
                              <w:rPr>
                                <w:b/>
                                <w:color w:val="373737"/>
                              </w:rPr>
                              <w:t>+</w:t>
                            </w:r>
                          </w:p>
                        </w:tc>
                      </w:tr>
                      <w:tr w:rsidR="00DB5257" w:rsidRPr="009866F7" w:rsidTr="00DB5257">
                        <w:tc>
                          <w:tcPr>
                            <w:tcW w:w="2093" w:type="dxa"/>
                            <w:tcBorders>
                              <w:left w:val="single" w:sz="4" w:space="0" w:color="FFFFFF"/>
                              <w:bottom w:val="single" w:sz="4" w:space="0" w:color="FFFFFF"/>
                            </w:tcBorders>
                            <w:shd w:val="clear" w:color="auto" w:fill="F07E31"/>
                          </w:tcPr>
                          <w:p w:rsidR="00DB5257" w:rsidRPr="006F5B0F" w:rsidRDefault="00DB5257" w:rsidP="00DB5257">
                            <w:pPr>
                              <w:jc w:val="left"/>
                              <w:rPr>
                                <w:rFonts w:cs="Arial"/>
                                <w:b/>
                                <w:bCs/>
                                <w:color w:val="FFFFFF"/>
                                <w:szCs w:val="18"/>
                              </w:rPr>
                            </w:pPr>
                            <w:r>
                              <w:rPr>
                                <w:b/>
                                <w:color w:val="FFFFFF"/>
                              </w:rPr>
                              <w:t>Kvalitativa metoder som används vid beräkning av programmets resultat/effekter</w:t>
                            </w:r>
                          </w:p>
                        </w:tc>
                        <w:tc>
                          <w:tcPr>
                            <w:tcW w:w="1701" w:type="dxa"/>
                            <w:shd w:val="clear" w:color="auto" w:fill="F9CBAC"/>
                          </w:tcPr>
                          <w:p w:rsidR="00DB5257" w:rsidRPr="006F5B0F" w:rsidRDefault="00DB5257" w:rsidP="00DB5257">
                            <w:pPr>
                              <w:jc w:val="center"/>
                              <w:rPr>
                                <w:rFonts w:cs="Arial"/>
                                <w:b/>
                                <w:color w:val="373737"/>
                                <w:szCs w:val="18"/>
                              </w:rPr>
                            </w:pPr>
                            <w:r>
                              <w:rPr>
                                <w:b/>
                                <w:color w:val="373737"/>
                              </w:rPr>
                              <w:t>++</w:t>
                            </w:r>
                          </w:p>
                        </w:tc>
                        <w:tc>
                          <w:tcPr>
                            <w:tcW w:w="1701" w:type="dxa"/>
                            <w:shd w:val="clear" w:color="auto" w:fill="F9CBAC"/>
                          </w:tcPr>
                          <w:p w:rsidR="00DB5257" w:rsidRPr="006F5B0F" w:rsidRDefault="00DB5257" w:rsidP="00DB5257">
                            <w:pPr>
                              <w:jc w:val="center"/>
                              <w:rPr>
                                <w:rFonts w:cs="Arial"/>
                                <w:b/>
                                <w:color w:val="373737"/>
                                <w:szCs w:val="18"/>
                              </w:rPr>
                            </w:pPr>
                            <w:r>
                              <w:rPr>
                                <w:b/>
                                <w:color w:val="373737"/>
                              </w:rPr>
                              <w:t>++</w:t>
                            </w:r>
                          </w:p>
                        </w:tc>
                        <w:tc>
                          <w:tcPr>
                            <w:tcW w:w="1417" w:type="dxa"/>
                            <w:shd w:val="clear" w:color="auto" w:fill="F9CBAC"/>
                          </w:tcPr>
                          <w:p w:rsidR="00DB5257" w:rsidRPr="006F5B0F" w:rsidRDefault="00DB5257" w:rsidP="00DB5257">
                            <w:pPr>
                              <w:jc w:val="center"/>
                              <w:rPr>
                                <w:rFonts w:cs="Arial"/>
                                <w:b/>
                                <w:color w:val="373737"/>
                                <w:szCs w:val="18"/>
                              </w:rPr>
                            </w:pPr>
                            <w:r>
                              <w:rPr>
                                <w:b/>
                                <w:color w:val="373737"/>
                              </w:rPr>
                              <w:t>++</w:t>
                            </w:r>
                          </w:p>
                        </w:tc>
                        <w:tc>
                          <w:tcPr>
                            <w:tcW w:w="1418" w:type="dxa"/>
                            <w:shd w:val="clear" w:color="auto" w:fill="F9CBAC"/>
                          </w:tcPr>
                          <w:p w:rsidR="00DB5257" w:rsidRPr="006F5B0F" w:rsidRDefault="00DB5257" w:rsidP="00DB5257">
                            <w:pPr>
                              <w:jc w:val="center"/>
                              <w:rPr>
                                <w:rFonts w:cs="Arial"/>
                                <w:b/>
                                <w:color w:val="373737"/>
                                <w:szCs w:val="18"/>
                              </w:rPr>
                            </w:pPr>
                            <w:r>
                              <w:rPr>
                                <w:b/>
                                <w:color w:val="373737"/>
                              </w:rPr>
                              <w:t>+</w:t>
                            </w:r>
                          </w:p>
                        </w:tc>
                      </w:tr>
                    </w:tbl>
                    <w:p w:rsidR="00DB5257" w:rsidRPr="006F5B0F" w:rsidRDefault="00DB5257" w:rsidP="00DB5257">
                      <w:pPr>
                        <w:pStyle w:val="HStandard"/>
                        <w:jc w:val="center"/>
                        <w:rPr>
                          <w:i/>
                          <w:color w:val="F07E31"/>
                        </w:rPr>
                      </w:pPr>
                      <w:r>
                        <w:rPr>
                          <w:i/>
                          <w:color w:val="F07E31"/>
                          <w:sz w:val="18"/>
                        </w:rPr>
                        <w:t xml:space="preserve">Läs mer om kriterier för att välja utvärderingsmetoder </w:t>
                      </w:r>
                      <w:r>
                        <w:br/>
                      </w:r>
                      <w:r>
                        <w:rPr>
                          <w:i/>
                          <w:color w:val="F07E31"/>
                          <w:sz w:val="18"/>
                        </w:rPr>
                        <w:t xml:space="preserve">i </w:t>
                      </w:r>
                      <w:hyperlink r:id="rId40" w:history="1">
                        <w:r>
                          <w:rPr>
                            <w:rStyle w:val="Hyperlink"/>
                            <w:i/>
                            <w:sz w:val="18"/>
                          </w:rPr>
                          <w:t>Guidelines for Ex-post evaluation of 2007-2013 RDPs</w:t>
                        </w:r>
                      </w:hyperlink>
                      <w:r>
                        <w:rPr>
                          <w:rStyle w:val="Hyperlink"/>
                          <w:i/>
                          <w:sz w:val="18"/>
                        </w:rPr>
                        <w:t xml:space="preserve">, </w:t>
                      </w:r>
                      <w:r>
                        <w:rPr>
                          <w:i/>
                          <w:color w:val="F07E31"/>
                          <w:sz w:val="18"/>
                        </w:rPr>
                        <w:t>kapitel 4.3.4.2.</w:t>
                      </w:r>
                    </w:p>
                  </w:txbxContent>
                </v:textbox>
                <w10:anchorlock/>
              </v:shape>
            </w:pict>
          </mc:Fallback>
        </mc:AlternateContent>
      </w:r>
    </w:p>
    <w:p w:rsidR="00DB5257" w:rsidRPr="001C6ACF" w:rsidRDefault="00AD2E14" w:rsidP="00DB5257">
      <w:pPr>
        <w:pStyle w:val="HHeading4"/>
      </w:pPr>
      <w:r>
        <w:br w:type="column"/>
      </w:r>
      <w:r>
        <w:lastRenderedPageBreak/>
        <w:t>Bedömning på mikro- och makronivå för nettoutjämning av effekter (tredje lagret)</w:t>
      </w:r>
    </w:p>
    <w:p w:rsidR="00DB5257" w:rsidRPr="00863E73" w:rsidRDefault="00AD2E14" w:rsidP="00DB5257">
      <w:pPr>
        <w:pStyle w:val="HStandard"/>
        <w:rPr>
          <w:rFonts w:cs="Arial"/>
        </w:rPr>
      </w:pPr>
      <w:r>
        <w:rPr>
          <w:b/>
        </w:rPr>
        <w:t>Mikro- eller makrolagret</w:t>
      </w:r>
      <w:r>
        <w:t xml:space="preserve"> följs sedan i den logiska modellen för att förfina utvärderingsalternativen. Arbetsflödet för mikro- och makrolager leder utvärderaren till metoder som bidrar till en enhetlig bedömning av </w:t>
      </w:r>
      <w:r>
        <w:rPr>
          <w:b/>
        </w:rPr>
        <w:t>nettoeffekterna på mikro- och makronivå</w:t>
      </w:r>
      <w:r>
        <w:t>.</w:t>
      </w:r>
      <w:r>
        <w:rPr>
          <w:rStyle w:val="FootnoteReference"/>
          <w:b/>
          <w:i w:val="0"/>
        </w:rPr>
        <w:footnoteReference w:id="28"/>
      </w:r>
      <w:r>
        <w:t xml:space="preserve"> För var och en av de kontrafaktiska lösningarna skapas en logisk modell på mikronivå. I vissa utformningar av utvärderingar är resultaten från mikronivån i större skala grunden för bedömningen på makronivå. I andra utformningar av utvärderingar kompletterar bedömningarna på mikro- och makronivå varandra, vilket kräver en kontroll av överensstämmelse. </w:t>
      </w:r>
    </w:p>
    <w:p w:rsidR="00DB5257" w:rsidRPr="00571D58" w:rsidRDefault="00F02B64" w:rsidP="00DB5257">
      <w:pPr>
        <w:pStyle w:val="HStandard"/>
        <w:spacing w:after="0"/>
        <w:rPr>
          <w:rFonts w:cs="Arial"/>
        </w:rPr>
      </w:pPr>
      <w:r>
        <w:rPr>
          <w:b/>
          <w:i/>
          <w:noProof/>
          <w:color w:val="F07E31"/>
          <w:lang w:val="en-GB" w:eastAsia="en-GB"/>
        </w:rPr>
        <mc:AlternateContent>
          <mc:Choice Requires="wps">
            <w:drawing>
              <wp:inline distT="0" distB="0" distL="0" distR="0">
                <wp:extent cx="5731510" cy="1558455"/>
                <wp:effectExtent l="0" t="0" r="21590" b="22860"/>
                <wp:docPr id="18"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558455"/>
                        </a:xfrm>
                        <a:custGeom>
                          <a:avLst/>
                          <a:gdLst>
                            <a:gd name="T0" fmla="*/ 126364 w 5731510"/>
                            <a:gd name="T1" fmla="*/ 0 h 1446971"/>
                            <a:gd name="T2" fmla="*/ 5731510 w 5731510"/>
                            <a:gd name="T3" fmla="*/ 0 h 1446971"/>
                            <a:gd name="T4" fmla="*/ 5731510 w 5731510"/>
                            <a:gd name="T5" fmla="*/ 0 h 1446971"/>
                            <a:gd name="T6" fmla="*/ 5731510 w 5731510"/>
                            <a:gd name="T7" fmla="*/ 1320784 h 1446971"/>
                            <a:gd name="T8" fmla="*/ 5605146 w 5731510"/>
                            <a:gd name="T9" fmla="*/ 1447165 h 1446971"/>
                            <a:gd name="T10" fmla="*/ 0 w 5731510"/>
                            <a:gd name="T11" fmla="*/ 1447165 h 1446971"/>
                            <a:gd name="T12" fmla="*/ 0 w 5731510"/>
                            <a:gd name="T13" fmla="*/ 1447165 h 1446971"/>
                            <a:gd name="T14" fmla="*/ 0 w 5731510"/>
                            <a:gd name="T15" fmla="*/ 126381 h 1446971"/>
                            <a:gd name="T16" fmla="*/ 126364 w 5731510"/>
                            <a:gd name="T17" fmla="*/ 0 h 14469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1446971"/>
                            <a:gd name="T29" fmla="*/ 5731510 w 5731510"/>
                            <a:gd name="T30" fmla="*/ 1446971 h 144697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1446971">
                              <a:moveTo>
                                <a:pt x="126364" y="0"/>
                              </a:moveTo>
                              <a:lnTo>
                                <a:pt x="5731510" y="0"/>
                              </a:lnTo>
                              <a:lnTo>
                                <a:pt x="5731510" y="1320607"/>
                              </a:lnTo>
                              <a:cubicBezTo>
                                <a:pt x="5731510" y="1390396"/>
                                <a:pt x="5674935" y="1446971"/>
                                <a:pt x="5605146" y="1446971"/>
                              </a:cubicBezTo>
                              <a:lnTo>
                                <a:pt x="0" y="1446971"/>
                              </a:lnTo>
                              <a:lnTo>
                                <a:pt x="0" y="126364"/>
                              </a:lnTo>
                              <a:cubicBezTo>
                                <a:pt x="0" y="56575"/>
                                <a:pt x="56575" y="0"/>
                                <a:pt x="126364"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DB5257" w:rsidRPr="006F5B0F" w:rsidRDefault="00DB5257" w:rsidP="00DB5257">
                            <w:pPr>
                              <w:pStyle w:val="HHeading4"/>
                              <w:spacing w:before="0"/>
                              <w:jc w:val="both"/>
                              <w:rPr>
                                <w:b w:val="0"/>
                                <w:i/>
                                <w:color w:val="373737"/>
                                <w:sz w:val="18"/>
                              </w:rPr>
                            </w:pPr>
                            <w:r>
                              <w:rPr>
                                <w:b w:val="0"/>
                                <w:noProof/>
                                <w:lang w:val="en-GB" w:eastAsia="en-GB"/>
                              </w:rPr>
                              <w:drawing>
                                <wp:inline distT="0" distB="0" distL="0" distR="0">
                                  <wp:extent cx="666750" cy="4857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750" cy="485775"/>
                                          </a:xfrm>
                                          <a:prstGeom prst="rect">
                                            <a:avLst/>
                                          </a:prstGeom>
                                          <a:noFill/>
                                          <a:ln>
                                            <a:noFill/>
                                          </a:ln>
                                        </pic:spPr>
                                      </pic:pic>
                                    </a:graphicData>
                                  </a:graphic>
                                </wp:inline>
                              </w:drawing>
                            </w:r>
                            <w:r>
                              <w:rPr>
                                <w:color w:val="373737"/>
                              </w:rPr>
                              <w:t xml:space="preserve"> </w:t>
                            </w:r>
                            <w:r>
                              <w:rPr>
                                <w:color w:val="373737"/>
                              </w:rPr>
                              <w:t xml:space="preserve">De </w:t>
                            </w:r>
                            <w:r>
                              <w:rPr>
                                <w:color w:val="373737"/>
                              </w:rPr>
                              <w:t>kvantitativa uppgifterna ska tolkas kritiskt</w:t>
                            </w:r>
                            <w:r>
                              <w:rPr>
                                <w:rStyle w:val="CommentReference"/>
                                <w:color w:val="373737"/>
                              </w:rPr>
                              <w:t xml:space="preserve"> </w:t>
                            </w:r>
                            <w:r>
                              <w:rPr>
                                <w:color w:val="373737"/>
                              </w:rPr>
                              <w:t>med en kvalitativ bedömning.</w:t>
                            </w:r>
                            <w:r>
                              <w:rPr>
                                <w:b w:val="0"/>
                                <w:color w:val="373737"/>
                              </w:rPr>
                              <w:t xml:space="preserve"> Dessutom kan den kvalitativa bedömningen även fungera som komplement för den kvantitativa bedömningen för att a) bedöma de tillgängliga uppgifternas representativitet, b) korskontrollera resultaten och c) samla in olika dimensioner av samma fenomen.</w:t>
                            </w:r>
                          </w:p>
                        </w:txbxContent>
                      </wps:txbx>
                      <wps:bodyPr rot="0" vert="horz" wrap="square" lIns="91440" tIns="45720" rIns="91440" bIns="45720" anchor="ctr" anchorCtr="0" upright="1">
                        <a:noAutofit/>
                      </wps:bodyPr>
                    </wps:wsp>
                  </a:graphicData>
                </a:graphic>
              </wp:inline>
            </w:drawing>
          </mc:Choice>
          <mc:Fallback>
            <w:pict>
              <v:shape id="AutoShape 65" o:spid="_x0000_s1037" style="width:451.3pt;height:122.7pt;visibility:visible;mso-wrap-style:square;mso-left-percent:-10001;mso-top-percent:-10001;mso-position-horizontal:absolute;mso-position-horizontal-relative:char;mso-position-vertical:absolute;mso-position-vertical-relative:line;mso-left-percent:-10001;mso-top-percent:-10001;v-text-anchor:middle" coordsize="5731510,14469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" adj="-11796480,,5400" path="m126364,l5731510,r,1320607c5731510,1390396,5674935,1446971,5605146,1446971l,1446971,,126364c,56575,56575,,126364,xe" filled="f" strokecolor="#be4a35" strokeweight="2pt">
                <v:stroke joinstyle="miter"/>
                <v:formulas/>
                <v:path arrowok="t" o:connecttype="custom" o:connectlocs="126364,0;5731510,0;5731510,0;5731510,1422546;5605146,1558664;0,1558664;0,1558664;0,136118;126364,0" o:connectangles="0,0,0,0,0,0,0,0,0" textboxrect="0,0,5731510,1446971"/>
                <v:textbox>
                  <w:txbxContent>
                    <w:p w:rsidR="00DB5257" w:rsidRPr="006F5B0F" w:rsidRDefault="00DB5257" w:rsidP="00DB5257">
                      <w:pPr>
                        <w:pStyle w:val="HHeading4"/>
                        <w:spacing w:before="0"/>
                        <w:jc w:val="both"/>
                        <w:rPr>
                          <w:b w:val="0"/>
                          <w:i/>
                          <w:color w:val="373737"/>
                          <w:sz w:val="18"/>
                        </w:rPr>
                      </w:pPr>
                      <w:r>
                        <w:rPr>
                          <w:b w:val="0"/>
                          <w:noProof/>
                          <w:lang w:val="en-GB" w:eastAsia="en-GB"/>
                        </w:rPr>
                        <w:drawing>
                          <wp:inline distT="0" distB="0" distL="0" distR="0">
                            <wp:extent cx="666750" cy="4857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750" cy="485775"/>
                                    </a:xfrm>
                                    <a:prstGeom prst="rect">
                                      <a:avLst/>
                                    </a:prstGeom>
                                    <a:noFill/>
                                    <a:ln>
                                      <a:noFill/>
                                    </a:ln>
                                  </pic:spPr>
                                </pic:pic>
                              </a:graphicData>
                            </a:graphic>
                          </wp:inline>
                        </w:drawing>
                      </w:r>
                      <w:r>
                        <w:rPr>
                          <w:color w:val="373737"/>
                        </w:rPr>
                        <w:t xml:space="preserve"> </w:t>
                      </w:r>
                      <w:r>
                        <w:rPr>
                          <w:color w:val="373737"/>
                        </w:rPr>
                        <w:t xml:space="preserve">De </w:t>
                      </w:r>
                      <w:r>
                        <w:rPr>
                          <w:color w:val="373737"/>
                        </w:rPr>
                        <w:t>kvantitativa uppgifterna ska tolkas kritiskt</w:t>
                      </w:r>
                      <w:r>
                        <w:rPr>
                          <w:rStyle w:val="CommentReference"/>
                          <w:color w:val="373737"/>
                        </w:rPr>
                        <w:t xml:space="preserve"> </w:t>
                      </w:r>
                      <w:r>
                        <w:rPr>
                          <w:color w:val="373737"/>
                        </w:rPr>
                        <w:t>med en kvalitativ bedömning.</w:t>
                      </w:r>
                      <w:r>
                        <w:rPr>
                          <w:b w:val="0"/>
                          <w:color w:val="373737"/>
                        </w:rPr>
                        <w:t xml:space="preserve"> Dessutom kan den kvalitativa bedömningen även fungera som komplement för den kvantitativa bedömningen för att a) bedöma de tillgängliga uppgifternas representativitet, b) korskontrollera resultaten och c) samla in olika dimensioner av samma fenomen.</w:t>
                      </w:r>
                    </w:p>
                  </w:txbxContent>
                </v:textbox>
                <w10:anchorlock/>
              </v:shape>
            </w:pict>
          </mc:Fallback>
        </mc:AlternateContent>
      </w:r>
    </w:p>
    <w:p w:rsidR="00DB5257" w:rsidRPr="007645B4" w:rsidRDefault="00AD2E14" w:rsidP="00DB5257">
      <w:pPr>
        <w:pStyle w:val="HStandard"/>
        <w:spacing w:after="0"/>
        <w:rPr>
          <w:rFonts w:cs="Arial"/>
        </w:rPr>
      </w:pPr>
      <w:r>
        <w:t>Tillämpningen av stegen i beslutsträdet på mikro- och makronivå gör det enklare att besvara följande frågor för att utforma utvärderingsmetoden:</w:t>
      </w:r>
    </w:p>
    <w:p w:rsidR="00DB5257" w:rsidRPr="001C6ACF" w:rsidRDefault="00AD2E14" w:rsidP="00DB5257">
      <w:pPr>
        <w:pStyle w:val="Hlistbullet"/>
      </w:pPr>
      <w:r>
        <w:t>Behöver jag tillämpa en särskild miljömässig, sektorsinriktad (jordbruk-ekonomisk) eller socioekonomisk metod för att kvantifiera ändringar i indikatorvärdena eller kan jag använda indikatorvärdena direkt när jag använder de kontrafaktiska metoderna?</w:t>
      </w:r>
    </w:p>
    <w:p w:rsidR="00DB5257" w:rsidRPr="001C6ACF" w:rsidRDefault="00AD2E14" w:rsidP="00DB5257">
      <w:pPr>
        <w:pStyle w:val="Hlistbullet"/>
      </w:pPr>
      <w:r>
        <w:t>Om en särskild metod ska användas, är uppgifterna lämpliga för att användas i en av de tillgängliga metoderna för en miljömässig, sektorsinriktad eller socioekonomisk effektutvärdering?</w:t>
      </w:r>
    </w:p>
    <w:p w:rsidR="00DB5257" w:rsidRPr="001C6ACF" w:rsidRDefault="00AD2E14" w:rsidP="00DB5257">
      <w:pPr>
        <w:pStyle w:val="Hlistbullet"/>
      </w:pPr>
      <w:r>
        <w:t>Behöver jag samla in nya primäruppgifter genom statistiska stickprov och vad kostar detta?</w:t>
      </w:r>
    </w:p>
    <w:p w:rsidR="00DB5257" w:rsidRPr="001C6ACF" w:rsidRDefault="00AD2E14" w:rsidP="00DB5257">
      <w:pPr>
        <w:pStyle w:val="Hlistbullet"/>
      </w:pPr>
      <w:r>
        <w:t>Finns det ett behov av att hantera särskilda uppgifter för att förbättra kvaliteten på uppgifterna från enkäten/övervakningen?</w:t>
      </w:r>
    </w:p>
    <w:p w:rsidR="00DB5257" w:rsidRPr="001C6ACF" w:rsidRDefault="00AD2E14" w:rsidP="00DB5257">
      <w:pPr>
        <w:pStyle w:val="Hlistbullet"/>
      </w:pPr>
      <w:r>
        <w:t>Om jag inte kan kvantifiera ändringar i indikatorvärdena eller om kostnaden för detta är mycket hög, vilka alternativa (kvalitativa) metoder finns för att bedöma ändringar av indikatorvärden?</w:t>
      </w:r>
    </w:p>
    <w:p w:rsidR="00DB5257" w:rsidRPr="001C6ACF" w:rsidRDefault="00DB5257" w:rsidP="00DB5257">
      <w:pPr>
        <w:pStyle w:val="Hlistbullet"/>
        <w:numPr>
          <w:ilvl w:val="0"/>
          <w:numId w:val="0"/>
        </w:numPr>
      </w:pPr>
    </w:p>
    <w:p w:rsidR="00DB5257" w:rsidRPr="001C6ACF" w:rsidRDefault="00DB5257" w:rsidP="00DB5257">
      <w:pPr>
        <w:pStyle w:val="Hlistbullet"/>
        <w:numPr>
          <w:ilvl w:val="0"/>
          <w:numId w:val="0"/>
        </w:numPr>
      </w:pPr>
    </w:p>
    <w:p w:rsidR="00DB5257" w:rsidRPr="00571D58" w:rsidRDefault="00AD2E14" w:rsidP="00DB5257">
      <w:pPr>
        <w:pStyle w:val="Hlistbullet"/>
        <w:numPr>
          <w:ilvl w:val="0"/>
          <w:numId w:val="0"/>
        </w:numPr>
      </w:pPr>
      <w:r>
        <w:br w:type="column"/>
      </w:r>
      <w:r w:rsidR="00F02B64">
        <w:rPr>
          <w:b/>
          <w:i/>
          <w:noProof/>
          <w:color w:val="F07E31"/>
          <w:lang w:val="en-GB" w:eastAsia="en-GB"/>
        </w:rPr>
        <w:lastRenderedPageBreak/>
        <mc:AlternateContent>
          <mc:Choice Requires="wps">
            <w:drawing>
              <wp:inline distT="0" distB="0" distL="0" distR="0">
                <wp:extent cx="5931535" cy="8722581"/>
                <wp:effectExtent l="0" t="0" r="12065" b="21590"/>
                <wp:docPr id="16"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1535" cy="8722581"/>
                        </a:xfrm>
                        <a:custGeom>
                          <a:avLst/>
                          <a:gdLst>
                            <a:gd name="T0" fmla="*/ 518001 w 5931673"/>
                            <a:gd name="T1" fmla="*/ 0 h 8670814"/>
                            <a:gd name="T2" fmla="*/ 5931535 w 5931673"/>
                            <a:gd name="T3" fmla="*/ 0 h 8670814"/>
                            <a:gd name="T4" fmla="*/ 5931535 w 5931673"/>
                            <a:gd name="T5" fmla="*/ 0 h 8670814"/>
                            <a:gd name="T6" fmla="*/ 5931535 w 5931673"/>
                            <a:gd name="T7" fmla="*/ 8227355 h 8670814"/>
                            <a:gd name="T8" fmla="*/ 5413534 w 5931673"/>
                            <a:gd name="T9" fmla="*/ 8750105 h 8670814"/>
                            <a:gd name="T10" fmla="*/ 0 w 5931673"/>
                            <a:gd name="T11" fmla="*/ 8750105 h 8670814"/>
                            <a:gd name="T12" fmla="*/ 0 w 5931673"/>
                            <a:gd name="T13" fmla="*/ 8750105 h 8670814"/>
                            <a:gd name="T14" fmla="*/ 0 w 5931673"/>
                            <a:gd name="T15" fmla="*/ 522750 h 8670814"/>
                            <a:gd name="T16" fmla="*/ 518001 w 5931673"/>
                            <a:gd name="T17" fmla="*/ 0 h 86708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931673"/>
                            <a:gd name="T28" fmla="*/ 0 h 8670814"/>
                            <a:gd name="T29" fmla="*/ 5931673 w 5931673"/>
                            <a:gd name="T30" fmla="*/ 8670814 h 867081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931673" h="8670814">
                              <a:moveTo>
                                <a:pt x="518013" y="0"/>
                              </a:moveTo>
                              <a:lnTo>
                                <a:pt x="5931673" y="0"/>
                              </a:lnTo>
                              <a:lnTo>
                                <a:pt x="5931673" y="8152801"/>
                              </a:lnTo>
                              <a:cubicBezTo>
                                <a:pt x="5931673" y="8438892"/>
                                <a:pt x="5699751" y="8670814"/>
                                <a:pt x="5413660" y="8670814"/>
                              </a:cubicBezTo>
                              <a:lnTo>
                                <a:pt x="0" y="8670814"/>
                              </a:lnTo>
                              <a:lnTo>
                                <a:pt x="0" y="518013"/>
                              </a:lnTo>
                              <a:cubicBezTo>
                                <a:pt x="0" y="231922"/>
                                <a:pt x="231922" y="0"/>
                                <a:pt x="518013"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DB5257" w:rsidRPr="00DD36A9" w:rsidRDefault="00DB5257" w:rsidP="00DB5257">
                            <w:pPr>
                              <w:pStyle w:val="HHeading4"/>
                            </w:pPr>
                            <w:r>
                              <w:rPr>
                                <w:b w:val="0"/>
                                <w:noProof/>
                                <w:lang w:val="en-GB" w:eastAsia="en-GB"/>
                              </w:rPr>
                              <w:drawing>
                                <wp:inline distT="0" distB="0" distL="0" distR="0">
                                  <wp:extent cx="666750" cy="4857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750" cy="485775"/>
                                          </a:xfrm>
                                          <a:prstGeom prst="rect">
                                            <a:avLst/>
                                          </a:prstGeom>
                                          <a:noFill/>
                                          <a:ln>
                                            <a:noFill/>
                                          </a:ln>
                                        </pic:spPr>
                                      </pic:pic>
                                    </a:graphicData>
                                  </a:graphic>
                                </wp:inline>
                              </w:drawing>
                            </w:r>
                            <w:r>
                              <w:t xml:space="preserve">SNABBGUIDE </w:t>
                            </w:r>
                            <w:r>
                              <w:t>#4: Hur bedöms nettoeffekterna av landsbygdsprogrammen? (gäller det tredje lagret)</w:t>
                            </w:r>
                          </w:p>
                          <w:p w:rsidR="00DB5257" w:rsidRPr="00553149" w:rsidRDefault="00DB5257" w:rsidP="00DB5257">
                            <w:pPr>
                              <w:pStyle w:val="HStandard"/>
                              <w:spacing w:after="0"/>
                              <w:rPr>
                                <w:rFonts w:cs="Arial"/>
                                <w:szCs w:val="16"/>
                              </w:rPr>
                            </w:pPr>
                            <w:r>
                              <w:t xml:space="preserve">Bedömningen av programmets nettoeffekter på </w:t>
                            </w:r>
                            <w:r>
                              <w:rPr>
                                <w:b/>
                              </w:rPr>
                              <w:t>makronivå eller programområdesnivå</w:t>
                            </w:r>
                            <w:r>
                              <w:t xml:space="preserve"> tillsammans med en kontrafaktisk situation kan genomföras med två huvudsakliga metoder: Den </w:t>
                            </w:r>
                            <w:r>
                              <w:rPr>
                                <w:b/>
                              </w:rPr>
                              <w:t>första metoden</w:t>
                            </w:r>
                            <w:r>
                              <w:t xml:space="preserve"> baseras på en mikroanalys och en extrapolering av resultaten till makronivå (uppgradering). I den </w:t>
                            </w:r>
                            <w:r>
                              <w:rPr>
                                <w:b/>
                              </w:rPr>
                              <w:t>andra metoden</w:t>
                            </w:r>
                            <w:r>
                              <w:t xml:space="preserve"> används analysinstrument som </w:t>
                            </w:r>
                            <w:hyperlink r:id="rId41" w:history="1">
                              <w:r>
                                <w:rPr>
                                  <w:rStyle w:val="Hyperlink"/>
                                </w:rPr>
                                <w:t>beräknade jämviktsmodeller</w:t>
                              </w:r>
                            </w:hyperlink>
                            <w:r>
                              <w:t xml:space="preserve">, modeller för partiell jämvikt och spatiala ekonometriska modeller eller andra tekniker, där motsvarande modellparametrar (t.ex. produktivitet eller koefficienter för utsläpp) beräknas ekonometriskt på ett sätt </w:t>
                            </w:r>
                            <w:r>
                              <w:rPr>
                                <w:b/>
                              </w:rPr>
                              <w:t>som beaktar</w:t>
                            </w:r>
                            <w:r>
                              <w:t xml:space="preserve"> robusta orsakssamband, möjliga urvalsfel, endogenitet och spatiala behov. I den här metoden finns även möjlighet till en kombination av en uppifrån och ned-metod på makronivå (t.ex. modeller med nationell eller regional omfattning) för att utvärdera programeffekter med en nedifrån och upp-metod på mikronivå vid bedömning av nettoeffekter av olika åtgärder eller kombinationer av åtgärder.</w:t>
                            </w:r>
                          </w:p>
                          <w:p w:rsidR="00DB5257" w:rsidRPr="00553149" w:rsidRDefault="00DB5257" w:rsidP="00DB5257">
                            <w:pPr>
                              <w:pStyle w:val="HStandard"/>
                              <w:spacing w:after="0"/>
                              <w:rPr>
                                <w:rFonts w:cs="Arial"/>
                                <w:szCs w:val="16"/>
                              </w:rPr>
                            </w:pPr>
                          </w:p>
                          <w:p w:rsidR="00DB5257" w:rsidRPr="00553149" w:rsidRDefault="00DB5257" w:rsidP="00DB5257">
                            <w:pPr>
                              <w:pStyle w:val="HStandard"/>
                              <w:spacing w:after="0"/>
                              <w:rPr>
                                <w:rFonts w:cs="Arial"/>
                                <w:szCs w:val="16"/>
                              </w:rPr>
                            </w:pPr>
                            <w:r>
                              <w:t xml:space="preserve">Det är viktigt att observera att oavsett vilken metod som har valts är analysen av landsbygdsprogrammets nettoeffekter endast möjlig om det finns tillräckligt med kvantitativa uppgifter och om avancerade metoder används. Eventuell användning av naiva kvantitativa utvärderingsalternativ (t.ex. före-efter, användning av icke lämpliga kontroller etc.) kan innebära fel i resultaten av ”nettoeffekterna” i båda riktningarna (positivt och negativt). </w:t>
                            </w:r>
                          </w:p>
                          <w:p w:rsidR="00DB5257" w:rsidRPr="00553149" w:rsidRDefault="00DB5257" w:rsidP="00DB5257">
                            <w:pPr>
                              <w:pStyle w:val="HStandard"/>
                              <w:spacing w:after="0"/>
                              <w:rPr>
                                <w:rFonts w:cs="Arial"/>
                                <w:szCs w:val="16"/>
                              </w:rPr>
                            </w:pPr>
                          </w:p>
                          <w:p w:rsidR="00DB5257" w:rsidRPr="00502017" w:rsidRDefault="00DB5257" w:rsidP="00DB5257">
                            <w:pPr>
                              <w:pStyle w:val="HStandard"/>
                              <w:spacing w:after="0"/>
                              <w:rPr>
                                <w:rFonts w:cs="Arial"/>
                                <w:szCs w:val="16"/>
                              </w:rPr>
                            </w:pPr>
                            <w:r>
                              <w:t xml:space="preserve">Medan den </w:t>
                            </w:r>
                            <w:r>
                              <w:rPr>
                                <w:b/>
                              </w:rPr>
                              <w:t>första metoden</w:t>
                            </w:r>
                            <w:r>
                              <w:t xml:space="preserve"> (extrapolering av mikroanalys till en makronivå för programområdet) är den enklaste och mest lovande beskrivs de viktigaste stegen här nedan. Metoden består av fem huvudsteg som kan tillämpas </w:t>
                            </w:r>
                            <w:r w:rsidR="00D35C4D">
                              <w:t>på såväl sektor</w:t>
                            </w:r>
                            <w:r w:rsidR="001B5B8F">
                              <w:t xml:space="preserve">sindikatorer </w:t>
                            </w:r>
                            <w:r w:rsidR="000A3269">
                              <w:t xml:space="preserve">som </w:t>
                            </w:r>
                            <w:r>
                              <w:t>miljö</w:t>
                            </w:r>
                            <w:r w:rsidR="001B5B8F">
                              <w:t xml:space="preserve">indikatorer </w:t>
                            </w:r>
                            <w:r>
                              <w:t xml:space="preserve">och socioekonomiska indikatorer. Den grundläggande skillnaden mellan analyserna av nettoeffekterna av landsbygdsprogrammet som genomförs inom de tre områdena är definitionen av enheter som analysen baseras på: t.ex. jordbruk (företag) eller administrativa regioner (t.ex. NUTS 4, NUTS 5 etc.) för sektorsindikatorer, landområden eller små geografiska regioner (regionala områdesuppgifter) för </w:t>
                            </w:r>
                            <w:r w:rsidR="00D35C4D">
                              <w:t>miljö</w:t>
                            </w:r>
                            <w:r>
                              <w:t>indikatorer, och administrativa regioner (t.ex. NUTS 3, NUTS 4 eller NUTS 5) för socioekonomiska indikatorer. Stegen är följande:</w:t>
                            </w:r>
                          </w:p>
                          <w:p w:rsidR="00DB5257" w:rsidRPr="00502017" w:rsidRDefault="00DB5257" w:rsidP="00DB5257">
                            <w:pPr>
                              <w:pStyle w:val="HStandard"/>
                              <w:spacing w:after="0"/>
                              <w:rPr>
                                <w:rFonts w:cs="Arial"/>
                                <w:szCs w:val="16"/>
                              </w:rPr>
                            </w:pPr>
                          </w:p>
                          <w:p w:rsidR="00DB5257" w:rsidRPr="00735F08" w:rsidRDefault="00DB5257" w:rsidP="00DB5257">
                            <w:pPr>
                              <w:pStyle w:val="Hlistbullet"/>
                              <w:numPr>
                                <w:ilvl w:val="0"/>
                                <w:numId w:val="0"/>
                              </w:numPr>
                              <w:jc w:val="left"/>
                              <w:rPr>
                                <w:szCs w:val="16"/>
                              </w:rPr>
                            </w:pPr>
                            <w:r>
                              <w:rPr>
                                <w:b/>
                                <w:color w:val="F07E31"/>
                              </w:rPr>
                              <w:t>Steg 1:</w:t>
                            </w:r>
                            <w:r>
                              <w:t xml:space="preserve"> Beräkna landsbygdsprogrammens </w:t>
                            </w:r>
                            <w:r>
                              <w:rPr>
                                <w:b/>
                              </w:rPr>
                              <w:t>direkta effekter</w:t>
                            </w:r>
                            <w:r>
                              <w:t xml:space="preserve"> </w:t>
                            </w:r>
                            <w:r>
                              <w:rPr>
                                <w:b/>
                              </w:rPr>
                              <w:t>på stödmottagarna på mikronivå</w:t>
                            </w:r>
                            <w:r>
                              <w:t>:</w:t>
                            </w:r>
                          </w:p>
                          <w:p w:rsidR="00DB5257" w:rsidRPr="00553149" w:rsidRDefault="00DB5257" w:rsidP="00DB5257">
                            <w:pPr>
                              <w:pStyle w:val="HStandard"/>
                              <w:numPr>
                                <w:ilvl w:val="1"/>
                                <w:numId w:val="13"/>
                              </w:numPr>
                              <w:spacing w:after="0"/>
                              <w:ind w:left="924" w:hanging="357"/>
                              <w:rPr>
                                <w:rFonts w:cs="Arial"/>
                                <w:szCs w:val="16"/>
                              </w:rPr>
                            </w:pPr>
                            <w:r>
                              <w:t>Beräkna medelvärden för gemensamma eller kompletterande effektindikatorer före stödet (t.ex. år 2013) på mikronivå för gruppen med stödmottagare och kontrollgruppen samt efter stödet (t.ex. 2018 eller 2019).</w:t>
                            </w:r>
                          </w:p>
                          <w:p w:rsidR="00DB5257" w:rsidRPr="00553149" w:rsidRDefault="00DB5257" w:rsidP="00DB5257">
                            <w:pPr>
                              <w:pStyle w:val="HStandard"/>
                              <w:numPr>
                                <w:ilvl w:val="1"/>
                                <w:numId w:val="13"/>
                              </w:numPr>
                              <w:spacing w:after="0"/>
                              <w:ind w:left="924" w:hanging="357"/>
                              <w:rPr>
                                <w:rFonts w:cs="Arial"/>
                                <w:szCs w:val="16"/>
                              </w:rPr>
                            </w:pPr>
                            <w:r>
                              <w:t xml:space="preserve">Beräkna särskilda politiska indikatorer (t.ex. genomsnittlig behandlingseffekt efter behandling (ATT)), där man använder relevanta gemensamma eller kompletterande effektindikatorer. Beräkna landsbygdsprogrammets </w:t>
                            </w:r>
                            <w:r>
                              <w:rPr>
                                <w:b/>
                              </w:rPr>
                              <w:t>direkta nettoeffekter på indikatorerna som anges ovan</w:t>
                            </w:r>
                            <w:r>
                              <w:t xml:space="preserve"> genom att kombinera beräknad ATT med skillnaden i skillnadsmetoden.</w:t>
                            </w:r>
                          </w:p>
                          <w:p w:rsidR="00DB5257" w:rsidRPr="00553149" w:rsidRDefault="00DB5257" w:rsidP="00DB5257">
                            <w:pPr>
                              <w:pStyle w:val="HStandard"/>
                              <w:numPr>
                                <w:ilvl w:val="1"/>
                                <w:numId w:val="13"/>
                              </w:numPr>
                              <w:spacing w:after="0"/>
                              <w:ind w:left="924" w:hanging="357"/>
                              <w:rPr>
                                <w:rFonts w:cs="Arial"/>
                                <w:szCs w:val="16"/>
                              </w:rPr>
                            </w:pPr>
                            <w:r>
                              <w:t>Genomför en känslighetsanalys av resultaten.</w:t>
                            </w:r>
                          </w:p>
                          <w:p w:rsidR="00DB5257" w:rsidRDefault="00DB5257" w:rsidP="00DB5257">
                            <w:pPr>
                              <w:pStyle w:val="Hlistbullet"/>
                              <w:numPr>
                                <w:ilvl w:val="0"/>
                                <w:numId w:val="0"/>
                              </w:numPr>
                              <w:spacing w:before="0" w:after="120" w:line="280" w:lineRule="atLeast"/>
                              <w:rPr>
                                <w:rFonts w:cs="Arial"/>
                                <w:szCs w:val="16"/>
                              </w:rPr>
                            </w:pPr>
                            <w:r>
                              <w:rPr>
                                <w:b/>
                                <w:color w:val="F07E31"/>
                              </w:rPr>
                              <w:t xml:space="preserve">Steg 2: </w:t>
                            </w:r>
                            <w:r>
                              <w:t xml:space="preserve">Beräkna landsbygdsprogrammets </w:t>
                            </w:r>
                            <w:r>
                              <w:rPr>
                                <w:b/>
                              </w:rPr>
                              <w:t>indirekta effekter</w:t>
                            </w:r>
                            <w:r>
                              <w:t xml:space="preserve"> </w:t>
                            </w:r>
                            <w:r>
                              <w:rPr>
                                <w:b/>
                              </w:rPr>
                              <w:t>på stödmottagare</w:t>
                            </w:r>
                            <w:r>
                              <w:t xml:space="preserve"> på </w:t>
                            </w:r>
                            <w:r>
                              <w:rPr>
                                <w:b/>
                              </w:rPr>
                              <w:t>mikronivå</w:t>
                            </w:r>
                            <w:r>
                              <w:t>. Den observerade förändringen av indikatorernas värde bör delas upp i ändringar på grund av programmet (total effekt av primära och sekundära bidrag) och ändringar som orsakats av andra faktorer.</w:t>
                            </w:r>
                            <w:r>
                              <w:rPr>
                                <w:color w:val="000000"/>
                              </w:rPr>
                              <w:t xml:space="preserve"> </w:t>
                            </w:r>
                            <w:r>
                              <w:t xml:space="preserve">Programmets indirekta effekter (t.ex. ersättning, förflyttning, multiplicering) av landsbygdsprogrammet bör beräknas och visas separat. </w:t>
                            </w:r>
                          </w:p>
                          <w:p w:rsidR="00DB5257" w:rsidRPr="006F5B0F" w:rsidRDefault="00DB5257" w:rsidP="00DB5257">
                            <w:pPr>
                              <w:pStyle w:val="Hlistbullet"/>
                              <w:numPr>
                                <w:ilvl w:val="0"/>
                                <w:numId w:val="0"/>
                              </w:numPr>
                              <w:spacing w:before="0" w:after="120" w:line="280" w:lineRule="atLeast"/>
                              <w:rPr>
                                <w:i/>
                                <w:color w:val="F07E31"/>
                                <w:sz w:val="16"/>
                                <w:szCs w:val="16"/>
                              </w:rPr>
                            </w:pPr>
                          </w:p>
                        </w:txbxContent>
                      </wps:txbx>
                      <wps:bodyPr rot="0" vert="horz" wrap="square" lIns="91440" tIns="45720" rIns="91440" bIns="45720" anchor="ctr" anchorCtr="0" upright="1">
                        <a:noAutofit/>
                      </wps:bodyPr>
                    </wps:wsp>
                  </a:graphicData>
                </a:graphic>
              </wp:inline>
            </w:drawing>
          </mc:Choice>
          <mc:Fallback>
            <w:pict>
              <v:shape id="AutoShape 64" o:spid="_x0000_s1038" style="width:467.05pt;height:686.8pt;visibility:visible;mso-wrap-style:square;mso-left-percent:-10001;mso-top-percent:-10001;mso-position-horizontal:absolute;mso-position-horizontal-relative:char;mso-position-vertical:absolute;mso-position-vertical-relative:line;mso-left-percent:-10001;mso-top-percent:-10001;v-text-anchor:middle" coordsize="5931673,86708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" adj="-11796480,,5400" path="m518013,l5931673,r,8152801c5931673,8438892,5699751,8670814,5413660,8670814l,8670814,,518013c,231922,231922,,518013,xe" filled="f" strokecolor="#be4a35" strokeweight="2pt">
                <v:stroke joinstyle="miter"/>
                <v:formulas/>
                <v:path arrowok="t" o:connecttype="custom" o:connectlocs="517989,0;5931397,0;5931397,0;5931397,8276474;5413408,8802345;0,8802345;0,8802345;0,525871;517989,0" o:connectangles="0,0,0,0,0,0,0,0,0" textboxrect="0,0,5931673,8670814"/>
                <v:textbox>
                  <w:txbxContent>
                    <w:p w:rsidR="00DB5257" w:rsidRPr="00DD36A9" w:rsidRDefault="00DB5257" w:rsidP="00DB5257">
                      <w:pPr>
                        <w:pStyle w:val="HHeading4"/>
                      </w:pPr>
                      <w:r>
                        <w:rPr>
                          <w:b w:val="0"/>
                          <w:noProof/>
                          <w:lang w:val="en-GB" w:eastAsia="en-GB"/>
                        </w:rPr>
                        <w:drawing>
                          <wp:inline distT="0" distB="0" distL="0" distR="0">
                            <wp:extent cx="666750" cy="4857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750" cy="485775"/>
                                    </a:xfrm>
                                    <a:prstGeom prst="rect">
                                      <a:avLst/>
                                    </a:prstGeom>
                                    <a:noFill/>
                                    <a:ln>
                                      <a:noFill/>
                                    </a:ln>
                                  </pic:spPr>
                                </pic:pic>
                              </a:graphicData>
                            </a:graphic>
                          </wp:inline>
                        </w:drawing>
                      </w:r>
                      <w:r>
                        <w:t xml:space="preserve">SNABBGUIDE </w:t>
                      </w:r>
                      <w:r>
                        <w:t>#4: Hur bedöms nettoeffekterna av landsbygdsprogrammen? (gäller det tredje lagret)</w:t>
                      </w:r>
                    </w:p>
                    <w:p w:rsidR="00DB5257" w:rsidRPr="00553149" w:rsidRDefault="00DB5257" w:rsidP="00DB5257">
                      <w:pPr>
                        <w:pStyle w:val="HStandard"/>
                        <w:spacing w:after="0"/>
                        <w:rPr>
                          <w:rFonts w:cs="Arial"/>
                          <w:szCs w:val="16"/>
                        </w:rPr>
                      </w:pPr>
                      <w:r>
                        <w:t xml:space="preserve">Bedömningen av programmets nettoeffekter på </w:t>
                      </w:r>
                      <w:r>
                        <w:rPr>
                          <w:b/>
                        </w:rPr>
                        <w:t>makronivå eller programområdesnivå</w:t>
                      </w:r>
                      <w:r>
                        <w:t xml:space="preserve"> tillsammans med en kontrafaktisk situation kan genomföras med två huvudsakliga metoder: Den </w:t>
                      </w:r>
                      <w:r>
                        <w:rPr>
                          <w:b/>
                        </w:rPr>
                        <w:t>första metoden</w:t>
                      </w:r>
                      <w:r>
                        <w:t xml:space="preserve"> baseras på en mikroanalys och en extrapolering av resultaten till makronivå (uppgradering). I den </w:t>
                      </w:r>
                      <w:r>
                        <w:rPr>
                          <w:b/>
                        </w:rPr>
                        <w:t>andra metoden</w:t>
                      </w:r>
                      <w:r>
                        <w:t xml:space="preserve"> används analysinstrument som </w:t>
                      </w:r>
                      <w:hyperlink r:id="rId42" w:history="1">
                        <w:r>
                          <w:rPr>
                            <w:rStyle w:val="Hyperlink"/>
                          </w:rPr>
                          <w:t>beräknade jämviktsmodeller</w:t>
                        </w:r>
                      </w:hyperlink>
                      <w:r>
                        <w:t xml:space="preserve">, modeller för partiell jämvikt och spatiala ekonometriska modeller eller andra tekniker, där motsvarande modellparametrar (t.ex. produktivitet eller koefficienter för utsläpp) beräknas ekonometriskt på ett sätt </w:t>
                      </w:r>
                      <w:r>
                        <w:rPr>
                          <w:b/>
                        </w:rPr>
                        <w:t>som beaktar</w:t>
                      </w:r>
                      <w:r>
                        <w:t xml:space="preserve"> robusta orsakssamband, möjliga urvalsfel, endogenitet och spatiala behov. I den här metoden finns även möjlighet till en kombination av en uppifrån och ned-metod på makronivå (t.ex. modeller med nationell eller regional omfattning) för att utvärdera programeffekter med en nedifrån och upp-metod på mikronivå vid bedömning av nettoeffekter av olika åtgärder eller kombinationer av åtgärder.</w:t>
                      </w:r>
                    </w:p>
                    <w:p w:rsidR="00DB5257" w:rsidRPr="00553149" w:rsidRDefault="00DB5257" w:rsidP="00DB5257">
                      <w:pPr>
                        <w:pStyle w:val="HStandard"/>
                        <w:spacing w:after="0"/>
                        <w:rPr>
                          <w:rFonts w:cs="Arial"/>
                          <w:szCs w:val="16"/>
                        </w:rPr>
                      </w:pPr>
                    </w:p>
                    <w:p w:rsidR="00DB5257" w:rsidRPr="00553149" w:rsidRDefault="00DB5257" w:rsidP="00DB5257">
                      <w:pPr>
                        <w:pStyle w:val="HStandard"/>
                        <w:spacing w:after="0"/>
                        <w:rPr>
                          <w:rFonts w:cs="Arial"/>
                          <w:szCs w:val="16"/>
                        </w:rPr>
                      </w:pPr>
                      <w:r>
                        <w:t xml:space="preserve">Det är viktigt att observera att oavsett vilken metod som har valts är analysen av landsbygdsprogrammets nettoeffekter endast möjlig om det finns tillräckligt med kvantitativa uppgifter och om avancerade metoder används. Eventuell användning av naiva kvantitativa utvärderingsalternativ (t.ex. före-efter, användning av icke lämpliga kontroller etc.) kan innebära fel i resultaten av ”nettoeffekterna” i båda riktningarna (positivt och negativt). </w:t>
                      </w:r>
                    </w:p>
                    <w:p w:rsidR="00DB5257" w:rsidRPr="00553149" w:rsidRDefault="00DB5257" w:rsidP="00DB5257">
                      <w:pPr>
                        <w:pStyle w:val="HStandard"/>
                        <w:spacing w:after="0"/>
                        <w:rPr>
                          <w:rFonts w:cs="Arial"/>
                          <w:szCs w:val="16"/>
                        </w:rPr>
                      </w:pPr>
                    </w:p>
                    <w:p w:rsidR="00DB5257" w:rsidRPr="00502017" w:rsidRDefault="00DB5257" w:rsidP="00DB5257">
                      <w:pPr>
                        <w:pStyle w:val="HStandard"/>
                        <w:spacing w:after="0"/>
                        <w:rPr>
                          <w:rFonts w:cs="Arial"/>
                          <w:szCs w:val="16"/>
                        </w:rPr>
                      </w:pPr>
                      <w:r>
                        <w:t xml:space="preserve">Medan den </w:t>
                      </w:r>
                      <w:r>
                        <w:rPr>
                          <w:b/>
                        </w:rPr>
                        <w:t>första metoden</w:t>
                      </w:r>
                      <w:r>
                        <w:t xml:space="preserve"> (extrapolering av mikroanalys till en makronivå för programområdet) är den enklaste och mest lovande beskrivs de viktigaste stegen här nedan. Metoden består av fem huvudsteg som kan tillämpas </w:t>
                      </w:r>
                      <w:r w:rsidR="00D35C4D">
                        <w:t>på såväl sektor</w:t>
                      </w:r>
                      <w:r w:rsidR="001B5B8F">
                        <w:t xml:space="preserve">sindikatorer </w:t>
                      </w:r>
                      <w:r w:rsidR="000A3269">
                        <w:t xml:space="preserve">som </w:t>
                      </w:r>
                      <w:r>
                        <w:t>miljö</w:t>
                      </w:r>
                      <w:r w:rsidR="001B5B8F">
                        <w:t xml:space="preserve">indikatorer </w:t>
                      </w:r>
                      <w:r>
                        <w:t xml:space="preserve">och socioekonomiska indikatorer. Den grundläggande skillnaden mellan analyserna av nettoeffekterna av landsbygdsprogrammet som genomförs inom de tre områdena är definitionen av enheter som analysen baseras på: t.ex. jordbruk (företag) eller administrativa regioner (t.ex. NUTS 4, NUTS 5 etc.) för sektorsindikatorer, landområden eller små geografiska regioner (regionala områdesuppgifter) för </w:t>
                      </w:r>
                      <w:r w:rsidR="00D35C4D">
                        <w:t>miljö</w:t>
                      </w:r>
                      <w:r>
                        <w:t>indikatorer, och administrativa regioner (t.ex. NUTS 3, NUTS 4 eller NUTS 5) för socioekonomiska indikatorer. Stegen är följande:</w:t>
                      </w:r>
                    </w:p>
                    <w:p w:rsidR="00DB5257" w:rsidRPr="00502017" w:rsidRDefault="00DB5257" w:rsidP="00DB5257">
                      <w:pPr>
                        <w:pStyle w:val="HStandard"/>
                        <w:spacing w:after="0"/>
                        <w:rPr>
                          <w:rFonts w:cs="Arial"/>
                          <w:szCs w:val="16"/>
                        </w:rPr>
                      </w:pPr>
                    </w:p>
                    <w:p w:rsidR="00DB5257" w:rsidRPr="00735F08" w:rsidRDefault="00DB5257" w:rsidP="00DB5257">
                      <w:pPr>
                        <w:pStyle w:val="Hlistbullet"/>
                        <w:numPr>
                          <w:ilvl w:val="0"/>
                          <w:numId w:val="0"/>
                        </w:numPr>
                        <w:jc w:val="left"/>
                        <w:rPr>
                          <w:szCs w:val="16"/>
                        </w:rPr>
                      </w:pPr>
                      <w:r>
                        <w:rPr>
                          <w:b/>
                          <w:color w:val="F07E31"/>
                        </w:rPr>
                        <w:t>Steg 1:</w:t>
                      </w:r>
                      <w:r>
                        <w:t xml:space="preserve"> Beräkna landsbygdsprogrammens </w:t>
                      </w:r>
                      <w:r>
                        <w:rPr>
                          <w:b/>
                        </w:rPr>
                        <w:t>direkta effekter</w:t>
                      </w:r>
                      <w:r>
                        <w:t xml:space="preserve"> </w:t>
                      </w:r>
                      <w:r>
                        <w:rPr>
                          <w:b/>
                        </w:rPr>
                        <w:t>på stödmottagarna på mikronivå</w:t>
                      </w:r>
                      <w:r>
                        <w:t>:</w:t>
                      </w:r>
                    </w:p>
                    <w:p w:rsidR="00DB5257" w:rsidRPr="00553149" w:rsidRDefault="00DB5257" w:rsidP="00DB5257">
                      <w:pPr>
                        <w:pStyle w:val="HStandard"/>
                        <w:numPr>
                          <w:ilvl w:val="1"/>
                          <w:numId w:val="13"/>
                        </w:numPr>
                        <w:spacing w:after="0"/>
                        <w:ind w:left="924" w:hanging="357"/>
                        <w:rPr>
                          <w:rFonts w:cs="Arial"/>
                          <w:szCs w:val="16"/>
                        </w:rPr>
                      </w:pPr>
                      <w:r>
                        <w:t>Beräkna medelvärden för gemensamma eller kompletterande effektindikatorer före stödet (t.ex. år 2013) på mikronivå för gruppen med stödmottagare och kontrollgruppen samt efter stödet (t.ex. 2018 eller 2019).</w:t>
                      </w:r>
                    </w:p>
                    <w:p w:rsidR="00DB5257" w:rsidRPr="00553149" w:rsidRDefault="00DB5257" w:rsidP="00DB5257">
                      <w:pPr>
                        <w:pStyle w:val="HStandard"/>
                        <w:numPr>
                          <w:ilvl w:val="1"/>
                          <w:numId w:val="13"/>
                        </w:numPr>
                        <w:spacing w:after="0"/>
                        <w:ind w:left="924" w:hanging="357"/>
                        <w:rPr>
                          <w:rFonts w:cs="Arial"/>
                          <w:szCs w:val="16"/>
                        </w:rPr>
                      </w:pPr>
                      <w:r>
                        <w:t xml:space="preserve">Beräkna särskilda politiska indikatorer (t.ex. genomsnittlig behandlingseffekt efter behandling (ATT)), där man använder relevanta gemensamma eller kompletterande effektindikatorer. Beräkna landsbygdsprogrammets </w:t>
                      </w:r>
                      <w:r>
                        <w:rPr>
                          <w:b/>
                        </w:rPr>
                        <w:t>direkta nettoeffekter på indikatorerna som anges ovan</w:t>
                      </w:r>
                      <w:r>
                        <w:t xml:space="preserve"> genom att kombinera beräknad ATT med skillnaden i skillnadsmetoden.</w:t>
                      </w:r>
                    </w:p>
                    <w:p w:rsidR="00DB5257" w:rsidRPr="00553149" w:rsidRDefault="00DB5257" w:rsidP="00DB5257">
                      <w:pPr>
                        <w:pStyle w:val="HStandard"/>
                        <w:numPr>
                          <w:ilvl w:val="1"/>
                          <w:numId w:val="13"/>
                        </w:numPr>
                        <w:spacing w:after="0"/>
                        <w:ind w:left="924" w:hanging="357"/>
                        <w:rPr>
                          <w:rFonts w:cs="Arial"/>
                          <w:szCs w:val="16"/>
                        </w:rPr>
                      </w:pPr>
                      <w:r>
                        <w:t>Genomför en känslighetsanalys av resultaten.</w:t>
                      </w:r>
                    </w:p>
                    <w:p w:rsidR="00DB5257" w:rsidRDefault="00DB5257" w:rsidP="00DB5257">
                      <w:pPr>
                        <w:pStyle w:val="Hlistbullet"/>
                        <w:numPr>
                          <w:ilvl w:val="0"/>
                          <w:numId w:val="0"/>
                        </w:numPr>
                        <w:spacing w:before="0" w:after="120" w:line="280" w:lineRule="atLeast"/>
                        <w:rPr>
                          <w:rFonts w:cs="Arial"/>
                          <w:szCs w:val="16"/>
                        </w:rPr>
                      </w:pPr>
                      <w:r>
                        <w:rPr>
                          <w:b/>
                          <w:color w:val="F07E31"/>
                        </w:rPr>
                        <w:t xml:space="preserve">Steg 2: </w:t>
                      </w:r>
                      <w:r>
                        <w:t xml:space="preserve">Beräkna landsbygdsprogrammets </w:t>
                      </w:r>
                      <w:r>
                        <w:rPr>
                          <w:b/>
                        </w:rPr>
                        <w:t>indirekta effekter</w:t>
                      </w:r>
                      <w:r>
                        <w:t xml:space="preserve"> </w:t>
                      </w:r>
                      <w:r>
                        <w:rPr>
                          <w:b/>
                        </w:rPr>
                        <w:t>på stödmottagare</w:t>
                      </w:r>
                      <w:r>
                        <w:t xml:space="preserve"> på </w:t>
                      </w:r>
                      <w:r>
                        <w:rPr>
                          <w:b/>
                        </w:rPr>
                        <w:t>mikronivå</w:t>
                      </w:r>
                      <w:r>
                        <w:t>. Den observerade förändringen av indikatorernas värde bör delas upp i ändringar på grund av programmet (total effekt av primära och sekundära bidrag) och ändringar som orsakats av andra faktorer.</w:t>
                      </w:r>
                      <w:r>
                        <w:rPr>
                          <w:color w:val="000000"/>
                        </w:rPr>
                        <w:t xml:space="preserve"> </w:t>
                      </w:r>
                      <w:r>
                        <w:t xml:space="preserve">Programmets indirekta effekter (t.ex. ersättning, förflyttning, multiplicering) av landsbygdsprogrammet bör beräknas och visas separat. </w:t>
                      </w:r>
                    </w:p>
                    <w:p w:rsidR="00DB5257" w:rsidRPr="006F5B0F" w:rsidRDefault="00DB5257" w:rsidP="00DB5257">
                      <w:pPr>
                        <w:pStyle w:val="Hlistbullet"/>
                        <w:numPr>
                          <w:ilvl w:val="0"/>
                          <w:numId w:val="0"/>
                        </w:numPr>
                        <w:spacing w:before="0" w:after="120" w:line="280" w:lineRule="atLeast"/>
                        <w:rPr>
                          <w:i/>
                          <w:color w:val="F07E31"/>
                          <w:sz w:val="16"/>
                          <w:szCs w:val="16"/>
                        </w:rPr>
                      </w:pPr>
                    </w:p>
                  </w:txbxContent>
                </v:textbox>
                <w10:anchorlock/>
              </v:shape>
            </w:pict>
          </mc:Fallback>
        </mc:AlternateContent>
      </w:r>
    </w:p>
    <w:p w:rsidR="00DB5257" w:rsidRPr="00571D58" w:rsidRDefault="007921BF" w:rsidP="00DB5257">
      <w:pPr>
        <w:pStyle w:val="HStandard"/>
      </w:pPr>
      <w:r>
        <w:rPr>
          <w:b/>
          <w:i/>
          <w:noProof/>
          <w:color w:val="F07E31"/>
          <w:lang w:val="en-GB" w:eastAsia="en-GB"/>
        </w:rPr>
        <w:lastRenderedPageBreak/>
        <mc:AlternateContent>
          <mc:Choice Requires="wps">
            <w:drawing>
              <wp:inline distT="0" distB="0" distL="0" distR="0" wp14:anchorId="699B77F1" wp14:editId="0C553910">
                <wp:extent cx="5842828" cy="4699221"/>
                <wp:effectExtent l="0" t="0" r="24765" b="25400"/>
                <wp:docPr id="14"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828" cy="4699221"/>
                        </a:xfrm>
                        <a:custGeom>
                          <a:avLst/>
                          <a:gdLst>
                            <a:gd name="T0" fmla="*/ 335330 w 5731510"/>
                            <a:gd name="T1" fmla="*/ 0 h 4712335"/>
                            <a:gd name="T2" fmla="*/ 5731510 w 5731510"/>
                            <a:gd name="T3" fmla="*/ 0 h 4712335"/>
                            <a:gd name="T4" fmla="*/ 5731510 w 5731510"/>
                            <a:gd name="T5" fmla="*/ 0 h 4712335"/>
                            <a:gd name="T6" fmla="*/ 5731510 w 5731510"/>
                            <a:gd name="T7" fmla="*/ 4027246 h 4712335"/>
                            <a:gd name="T8" fmla="*/ 5396180 w 5731510"/>
                            <a:gd name="T9" fmla="*/ 4335780 h 4712335"/>
                            <a:gd name="T10" fmla="*/ 0 w 5731510"/>
                            <a:gd name="T11" fmla="*/ 4335780 h 4712335"/>
                            <a:gd name="T12" fmla="*/ 0 w 5731510"/>
                            <a:gd name="T13" fmla="*/ 4335780 h 4712335"/>
                            <a:gd name="T14" fmla="*/ 0 w 5731510"/>
                            <a:gd name="T15" fmla="*/ 308534 h 4712335"/>
                            <a:gd name="T16" fmla="*/ 335330 w 5731510"/>
                            <a:gd name="T17" fmla="*/ 0 h 471233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4712335"/>
                            <a:gd name="T29" fmla="*/ 5731510 w 5731510"/>
                            <a:gd name="T30" fmla="*/ 4712335 h 471233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4712335">
                              <a:moveTo>
                                <a:pt x="335330" y="0"/>
                              </a:moveTo>
                              <a:lnTo>
                                <a:pt x="5731510" y="0"/>
                              </a:lnTo>
                              <a:lnTo>
                                <a:pt x="5731510" y="4377005"/>
                              </a:lnTo>
                              <a:cubicBezTo>
                                <a:pt x="5731510" y="4562203"/>
                                <a:pt x="5581378" y="4712335"/>
                                <a:pt x="5396180" y="4712335"/>
                              </a:cubicBezTo>
                              <a:lnTo>
                                <a:pt x="0" y="4712335"/>
                              </a:lnTo>
                              <a:lnTo>
                                <a:pt x="0" y="335330"/>
                              </a:lnTo>
                              <a:cubicBezTo>
                                <a:pt x="0" y="150132"/>
                                <a:pt x="150132" y="0"/>
                                <a:pt x="335330"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7921BF" w:rsidRPr="005945BB" w:rsidRDefault="007921BF" w:rsidP="007921BF">
                            <w:pPr>
                              <w:pStyle w:val="Hlistbullet"/>
                              <w:numPr>
                                <w:ilvl w:val="0"/>
                                <w:numId w:val="0"/>
                              </w:numPr>
                              <w:spacing w:before="0" w:after="120" w:line="280" w:lineRule="atLeast"/>
                              <w:rPr>
                                <w:rFonts w:cs="Arial"/>
                                <w:szCs w:val="16"/>
                              </w:rPr>
                            </w:pPr>
                            <w:r>
                              <w:rPr>
                                <w:b/>
                                <w:color w:val="F07E31"/>
                              </w:rPr>
                              <w:t xml:space="preserve">Steg 3: </w:t>
                            </w:r>
                            <w:r>
                              <w:t xml:space="preserve">Beräkna de </w:t>
                            </w:r>
                            <w:r>
                              <w:rPr>
                                <w:b/>
                              </w:rPr>
                              <w:t>indirekta effekterna för icke stödmottagare</w:t>
                            </w:r>
                            <w:r>
                              <w:t xml:space="preserve"> </w:t>
                            </w:r>
                            <w:r>
                              <w:rPr>
                                <w:b/>
                              </w:rPr>
                              <w:t>på mikronivå</w:t>
                            </w:r>
                            <w:r>
                              <w:t xml:space="preserve">. Här bör den observerade förändringen av indikatorernas värde även delas upp i två delar: ändringar på grund av programmet (total effekt av primära och sekundära bidrag) och ändringar som orsakats av andra faktorer. Detta skede avser förväntningarna på att stödmottagarnas bidrag från landsbygdsprogrammets åtgärder kan ha ”förväntade/oväntade” allmänna jämviktseffekter (t.ex. negativa effekter för icke stödmottagare nära programmets stödmottagare). </w:t>
                            </w:r>
                          </w:p>
                          <w:p w:rsidR="007921BF" w:rsidRPr="005945BB" w:rsidRDefault="007921BF" w:rsidP="007921BF">
                            <w:pPr>
                              <w:pStyle w:val="HStandard"/>
                              <w:rPr>
                                <w:rFonts w:cs="Arial"/>
                                <w:szCs w:val="16"/>
                              </w:rPr>
                            </w:pPr>
                            <w:r>
                              <w:t>I det här skedet av utvärderingen är det viktigt att genomföra en preliminär kvalitativ bedömning eftersom en sådan kan ge perspektiv inifrån och leda till att viktiga programspecifika utvärderingsfrågor skapas som fokuserar på programmets resultat, särskilt gällande positiva, negativa, avsiktliga och oavsiktliga effekter för icke stödmottagare. Det är frivilligt att använda sådana utvärderingsfrågor men om en sådan fråga har ställts ska den besvaras. För att få en preliminär analys av synergier eller möjliga negativa effekter som påverkar flera delar kan utvärderarna även använda verktyg för kvalitativ bedömning.</w:t>
                            </w:r>
                          </w:p>
                          <w:p w:rsidR="007921BF" w:rsidRPr="005945BB" w:rsidRDefault="007921BF" w:rsidP="007921BF">
                            <w:pPr>
                              <w:pStyle w:val="Hlistbullet"/>
                              <w:numPr>
                                <w:ilvl w:val="0"/>
                                <w:numId w:val="0"/>
                              </w:numPr>
                              <w:spacing w:before="0" w:after="120" w:line="280" w:lineRule="atLeast"/>
                              <w:rPr>
                                <w:rFonts w:cs="Arial"/>
                                <w:szCs w:val="16"/>
                              </w:rPr>
                            </w:pPr>
                            <w:r>
                              <w:rPr>
                                <w:b/>
                                <w:color w:val="F07E31"/>
                              </w:rPr>
                              <w:t xml:space="preserve">Steg 4: </w:t>
                            </w:r>
                            <w:r>
                              <w:rPr>
                                <w:b/>
                              </w:rPr>
                              <w:t>Samla in resultaten och beräkna effekterna av landsbygdsprogrammen på de analyserade effektindikatorerna på makronivå och på programområdesnivå.</w:t>
                            </w:r>
                            <w:r>
                              <w:t xml:space="preserve"> I det här steget bör utvärderaren beräkna de direkta nettoeffekterna av landsbygdsprogrammen på effektindikatorerna på programområdesnivå genom att tillämpa extrapoleringstekniker (t.ex. genom att multiplicera genomsnittliga mikroresultat som beräknats på mikronivå genom antalet stödmottagare/icke stödmottagare).</w:t>
                            </w:r>
                          </w:p>
                          <w:p w:rsidR="007921BF" w:rsidRPr="005945BB" w:rsidRDefault="007921BF" w:rsidP="007921BF">
                            <w:pPr>
                              <w:pStyle w:val="HStandard"/>
                              <w:rPr>
                                <w:color w:val="000000"/>
                                <w:szCs w:val="16"/>
                              </w:rPr>
                            </w:pPr>
                            <w:r>
                              <w:rPr>
                                <w:b/>
                                <w:color w:val="F07E31"/>
                              </w:rPr>
                              <w:t xml:space="preserve">Steg 5: </w:t>
                            </w:r>
                            <w:r>
                              <w:rPr>
                                <w:b/>
                              </w:rPr>
                              <w:t>Tillämpa kvalitativa metoder</w:t>
                            </w:r>
                            <w:r>
                              <w:t xml:space="preserve"> för kontroll och verifiering av resultaten (triangulering).</w:t>
                            </w:r>
                          </w:p>
                          <w:p w:rsidR="007921BF" w:rsidRPr="006F5B0F" w:rsidRDefault="007921BF" w:rsidP="007921BF">
                            <w:pPr>
                              <w:pStyle w:val="Hlistbullet"/>
                              <w:numPr>
                                <w:ilvl w:val="0"/>
                                <w:numId w:val="0"/>
                              </w:numPr>
                              <w:jc w:val="center"/>
                              <w:rPr>
                                <w:i/>
                                <w:color w:val="F07E31"/>
                                <w:szCs w:val="18"/>
                              </w:rPr>
                            </w:pPr>
                            <w:r>
                              <w:rPr>
                                <w:i/>
                                <w:color w:val="F07E31"/>
                              </w:rPr>
                              <w:t>Mer information om nettoberäkning av programeffekter finns i</w:t>
                            </w:r>
                            <w:r>
                              <w:br/>
                            </w:r>
                            <w:r>
                              <w:rPr>
                                <w:i/>
                                <w:color w:val="F07E31"/>
                              </w:rPr>
                              <w:t xml:space="preserve"> </w:t>
                            </w:r>
                            <w:hyperlink r:id="rId43" w:history="1">
                              <w:r>
                                <w:rPr>
                                  <w:rStyle w:val="Hyperlink"/>
                                  <w:i/>
                                </w:rPr>
                                <w:t>Guidelines for ex post evaluation of 2007-2013 RDPs</w:t>
                              </w:r>
                            </w:hyperlink>
                            <w:r>
                              <w:rPr>
                                <w:rStyle w:val="Hyperlink"/>
                                <w:i/>
                              </w:rPr>
                              <w:t>, kapitel 4.2 och om beräknade jämviktsmodeller i kapitel 4.3.3</w:t>
                            </w:r>
                          </w:p>
                        </w:txbxContent>
                      </wps:txbx>
                      <wps:bodyPr rot="0" vert="horz" wrap="square" lIns="91440" tIns="45720" rIns="91440" bIns="45720" anchor="t" anchorCtr="0" upright="1">
                        <a:noAutofit/>
                      </wps:bodyPr>
                    </wps:wsp>
                  </a:graphicData>
                </a:graphic>
              </wp:inline>
            </w:drawing>
          </mc:Choice>
          <mc:Fallback>
            <w:pict>
              <v:shape w14:anchorId="699B77F1" id="AutoShape 63" o:spid="_x0000_s1039" style="width:460.05pt;height:370pt;visibility:visible;mso-wrap-style:square;mso-left-percent:-10001;mso-top-percent:-10001;mso-position-horizontal:absolute;mso-position-horizontal-relative:char;mso-position-vertical:absolute;mso-position-vertical-relative:line;mso-left-percent:-10001;mso-top-percent:-10001;v-text-anchor:top" coordsize="5731510,47123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" adj="-11796480,,5400" path="m335330,l5731510,r,4377005c5731510,4562203,5581378,4712335,5396180,4712335l,4712335,,335330c,150132,150132,,335330,xe" filled="f" strokecolor="#be4a35" strokeweight="2pt">
                <v:stroke joinstyle="miter"/>
                <v:formulas/>
                <v:path arrowok="t" o:connecttype="custom" o:connectlocs="341843,0;5842828,0;5842828,0;5842828,4016039;5500985,4323714;0,4323714;0,4323714;0,307675;341843,0" o:connectangles="0,0,0,0,0,0,0,0,0" textboxrect="0,0,5731510,4712335"/>
                <v:textbox>
                  <w:txbxContent>
                    <w:p w:rsidR="007921BF" w:rsidRPr="005945BB" w:rsidRDefault="007921BF" w:rsidP="007921BF">
                      <w:pPr>
                        <w:pStyle w:val="Hlistbullet"/>
                        <w:numPr>
                          <w:ilvl w:val="0"/>
                          <w:numId w:val="0"/>
                        </w:numPr>
                        <w:spacing w:before="0" w:after="120" w:line="280" w:lineRule="atLeast"/>
                        <w:rPr>
                          <w:rFonts w:cs="Arial"/>
                          <w:szCs w:val="16"/>
                        </w:rPr>
                      </w:pPr>
                      <w:r>
                        <w:rPr>
                          <w:b/>
                          <w:color w:val="F07E31"/>
                        </w:rPr>
                        <w:t xml:space="preserve">Steg 3: </w:t>
                      </w:r>
                      <w:r>
                        <w:t xml:space="preserve">Beräkna de </w:t>
                      </w:r>
                      <w:r>
                        <w:rPr>
                          <w:b/>
                        </w:rPr>
                        <w:t>indirekta effekterna för icke stödmottagare</w:t>
                      </w:r>
                      <w:r>
                        <w:t xml:space="preserve"> </w:t>
                      </w:r>
                      <w:r>
                        <w:rPr>
                          <w:b/>
                        </w:rPr>
                        <w:t>på mikronivå</w:t>
                      </w:r>
                      <w:r>
                        <w:t xml:space="preserve">. Här bör den observerade förändringen av indikatorernas värde även delas upp i två delar: ändringar på grund av programmet (total effekt av primära och sekundära bidrag) och ändringar som orsakats av andra faktorer. Detta skede avser förväntningarna på att stödmottagarnas bidrag från landsbygdsprogrammets åtgärder kan ha ”förväntade/oväntade” allmänna jämviktseffekter (t.ex. negativa effekter för icke stödmottagare nära programmets stödmottagare). </w:t>
                      </w:r>
                    </w:p>
                    <w:p w:rsidR="007921BF" w:rsidRPr="005945BB" w:rsidRDefault="007921BF" w:rsidP="007921BF">
                      <w:pPr>
                        <w:pStyle w:val="HStandard"/>
                        <w:rPr>
                          <w:rFonts w:cs="Arial"/>
                          <w:szCs w:val="16"/>
                        </w:rPr>
                      </w:pPr>
                      <w:r>
                        <w:t>I det här skedet av utvärderingen är det viktigt att genomföra en preliminär kvalitativ bedömning eftersom en sådan kan ge perspektiv inifrån och leda till att viktiga programspecifika utvärderingsfrågor skapas som fokuserar på programmets resultat, särskilt gällande positiva, negativa, avsiktliga och oavsiktliga effekter för icke stödmottagare. Det är frivilligt att använda sådana utvärderingsfrågor men om en sådan fråga har ställts ska den besvaras. För att få en preliminär analys av synergier eller möjliga negativa effekter som påverkar flera delar kan utvärderarna även använda verktyg för kvalitativ bedömning.</w:t>
                      </w:r>
                    </w:p>
                    <w:p w:rsidR="007921BF" w:rsidRPr="005945BB" w:rsidRDefault="007921BF" w:rsidP="007921BF">
                      <w:pPr>
                        <w:pStyle w:val="Hlistbullet"/>
                        <w:numPr>
                          <w:ilvl w:val="0"/>
                          <w:numId w:val="0"/>
                        </w:numPr>
                        <w:spacing w:before="0" w:after="120" w:line="280" w:lineRule="atLeast"/>
                        <w:rPr>
                          <w:rFonts w:cs="Arial"/>
                          <w:szCs w:val="16"/>
                        </w:rPr>
                      </w:pPr>
                      <w:r>
                        <w:rPr>
                          <w:b/>
                          <w:color w:val="F07E31"/>
                        </w:rPr>
                        <w:t xml:space="preserve">Steg 4: </w:t>
                      </w:r>
                      <w:r>
                        <w:rPr>
                          <w:b/>
                        </w:rPr>
                        <w:t>Samla in resultaten och beräkna effekterna av landsbygdsprogrammen på de analyserade effektindikatorerna på makronivå och på programområdesnivå.</w:t>
                      </w:r>
                      <w:r>
                        <w:t xml:space="preserve"> I det här steget bör utvärderaren beräkna de direkta nettoeffekterna av landsbygdsprogrammen på effektindikatorerna på programområdesnivå genom att tillämpa extrapoleringstekniker (t.ex. genom att multiplicera genomsnittliga mikroresultat som beräknats på mikronivå genom antalet stödmottagare/icke stödmottagare).</w:t>
                      </w:r>
                    </w:p>
                    <w:p w:rsidR="007921BF" w:rsidRPr="005945BB" w:rsidRDefault="007921BF" w:rsidP="007921BF">
                      <w:pPr>
                        <w:pStyle w:val="HStandard"/>
                        <w:rPr>
                          <w:color w:val="000000"/>
                          <w:szCs w:val="16"/>
                        </w:rPr>
                      </w:pPr>
                      <w:r>
                        <w:rPr>
                          <w:b/>
                          <w:color w:val="F07E31"/>
                        </w:rPr>
                        <w:t xml:space="preserve">Steg 5: </w:t>
                      </w:r>
                      <w:r>
                        <w:rPr>
                          <w:b/>
                        </w:rPr>
                        <w:t>Tillämpa kvalitativa metoder</w:t>
                      </w:r>
                      <w:r>
                        <w:t xml:space="preserve"> för kontroll och verifiering av resultaten (triangulering).</w:t>
                      </w:r>
                    </w:p>
                    <w:p w:rsidR="007921BF" w:rsidRPr="006F5B0F" w:rsidRDefault="007921BF" w:rsidP="007921BF">
                      <w:pPr>
                        <w:pStyle w:val="Hlistbullet"/>
                        <w:numPr>
                          <w:ilvl w:val="0"/>
                          <w:numId w:val="0"/>
                        </w:numPr>
                        <w:jc w:val="center"/>
                        <w:rPr>
                          <w:i/>
                          <w:color w:val="F07E31"/>
                          <w:szCs w:val="18"/>
                        </w:rPr>
                      </w:pPr>
                      <w:r>
                        <w:rPr>
                          <w:i/>
                          <w:color w:val="F07E31"/>
                        </w:rPr>
                        <w:t>Mer information om nettoberäkning av programeffekter finns i</w:t>
                      </w:r>
                      <w:r>
                        <w:br/>
                      </w:r>
                      <w:r>
                        <w:rPr>
                          <w:i/>
                          <w:color w:val="F07E31"/>
                        </w:rPr>
                        <w:t xml:space="preserve"> </w:t>
                      </w:r>
                      <w:hyperlink r:id="rId44" w:history="1">
                        <w:r>
                          <w:rPr>
                            <w:rStyle w:val="Hyperlink"/>
                            <w:i/>
                          </w:rPr>
                          <w:t>Guidelines for ex post evaluation of 2007-2013 RDPs</w:t>
                        </w:r>
                      </w:hyperlink>
                      <w:r>
                        <w:rPr>
                          <w:rStyle w:val="Hyperlink"/>
                          <w:i/>
                        </w:rPr>
                        <w:t>, kapitel 4.2 och om beräknade jämviktsmodeller i kapitel 4.3.3</w:t>
                      </w:r>
                    </w:p>
                  </w:txbxContent>
                </v:textbox>
                <w10:anchorlock/>
              </v:shape>
            </w:pict>
          </mc:Fallback>
        </mc:AlternateContent>
      </w:r>
    </w:p>
    <w:p w:rsidR="00DB5257" w:rsidRPr="00336531" w:rsidRDefault="00AD2E14" w:rsidP="00DB5257">
      <w:pPr>
        <w:pStyle w:val="HHeading4"/>
      </w:pPr>
      <w:r>
        <w:br w:type="column"/>
      </w:r>
      <w:r>
        <w:lastRenderedPageBreak/>
        <w:t>Kontroll av överensstämmelse och validering på mikro- och makronivå (fjärde lagret)</w:t>
      </w:r>
    </w:p>
    <w:p w:rsidR="00DB5257" w:rsidRPr="00336531" w:rsidRDefault="00F02B64" w:rsidP="00DB5257">
      <w:pPr>
        <w:pStyle w:val="HStandard"/>
        <w:rPr>
          <w:rFonts w:cs="Arial"/>
        </w:rPr>
      </w:pPr>
      <w:r>
        <w:rPr>
          <w:b/>
          <w:i/>
          <w:noProof/>
          <w:color w:val="F07E31"/>
          <w:lang w:val="en-GB" w:eastAsia="en-GB"/>
        </w:rPr>
        <mc:AlternateContent>
          <mc:Choice Requires="wps">
            <w:drawing>
              <wp:inline distT="0" distB="0" distL="0" distR="0">
                <wp:extent cx="5731510" cy="1264258"/>
                <wp:effectExtent l="0" t="0" r="21590" b="12700"/>
                <wp:docPr id="12"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264258"/>
                        </a:xfrm>
                        <a:custGeom>
                          <a:avLst/>
                          <a:gdLst>
                            <a:gd name="T0" fmla="*/ 106671 w 5731510"/>
                            <a:gd name="T1" fmla="*/ 0 h 1221469"/>
                            <a:gd name="T2" fmla="*/ 5731510 w 5731510"/>
                            <a:gd name="T3" fmla="*/ 0 h 1221469"/>
                            <a:gd name="T4" fmla="*/ 5731510 w 5731510"/>
                            <a:gd name="T5" fmla="*/ 0 h 1221469"/>
                            <a:gd name="T6" fmla="*/ 5731510 w 5731510"/>
                            <a:gd name="T7" fmla="*/ 1115045 h 1221469"/>
                            <a:gd name="T8" fmla="*/ 5624839 w 5731510"/>
                            <a:gd name="T9" fmla="*/ 1221740 h 1221469"/>
                            <a:gd name="T10" fmla="*/ 0 w 5731510"/>
                            <a:gd name="T11" fmla="*/ 1221740 h 1221469"/>
                            <a:gd name="T12" fmla="*/ 0 w 5731510"/>
                            <a:gd name="T13" fmla="*/ 1221740 h 1221469"/>
                            <a:gd name="T14" fmla="*/ 0 w 5731510"/>
                            <a:gd name="T15" fmla="*/ 106695 h 1221469"/>
                            <a:gd name="T16" fmla="*/ 106671 w 5731510"/>
                            <a:gd name="T17" fmla="*/ 0 h 122146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1221469"/>
                            <a:gd name="T29" fmla="*/ 5731510 w 5731510"/>
                            <a:gd name="T30" fmla="*/ 1221469 h 122146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1221469">
                              <a:moveTo>
                                <a:pt x="106671" y="0"/>
                              </a:moveTo>
                              <a:lnTo>
                                <a:pt x="5731510" y="0"/>
                              </a:lnTo>
                              <a:lnTo>
                                <a:pt x="5731510" y="1114798"/>
                              </a:lnTo>
                              <a:cubicBezTo>
                                <a:pt x="5731510" y="1173711"/>
                                <a:pt x="5683752" y="1221469"/>
                                <a:pt x="5624839" y="1221469"/>
                              </a:cubicBezTo>
                              <a:lnTo>
                                <a:pt x="0" y="1221469"/>
                              </a:lnTo>
                              <a:lnTo>
                                <a:pt x="0" y="106671"/>
                              </a:lnTo>
                              <a:cubicBezTo>
                                <a:pt x="0" y="47758"/>
                                <a:pt x="47758" y="0"/>
                                <a:pt x="106671"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DB5257" w:rsidRPr="006F5B0F" w:rsidRDefault="00DB5257" w:rsidP="00DB5257">
                            <w:pPr>
                              <w:pStyle w:val="HHeading4"/>
                              <w:spacing w:before="0"/>
                              <w:jc w:val="both"/>
                              <w:rPr>
                                <w:b w:val="0"/>
                                <w:i/>
                                <w:color w:val="373737"/>
                                <w:sz w:val="18"/>
                              </w:rPr>
                            </w:pPr>
                            <w:r>
                              <w:rPr>
                                <w:b w:val="0"/>
                                <w:noProof/>
                                <w:lang w:val="en-GB" w:eastAsia="en-GB"/>
                              </w:rPr>
                              <w:drawing>
                                <wp:inline distT="0" distB="0" distL="0" distR="0">
                                  <wp:extent cx="666750" cy="4857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750" cy="485775"/>
                                          </a:xfrm>
                                          <a:prstGeom prst="rect">
                                            <a:avLst/>
                                          </a:prstGeom>
                                          <a:noFill/>
                                          <a:ln>
                                            <a:noFill/>
                                          </a:ln>
                                        </pic:spPr>
                                      </pic:pic>
                                    </a:graphicData>
                                  </a:graphic>
                                </wp:inline>
                              </w:drawing>
                            </w:r>
                            <w:r>
                              <w:rPr>
                                <w:color w:val="373737"/>
                              </w:rPr>
                              <w:t xml:space="preserve"> </w:t>
                            </w:r>
                            <w:r>
                              <w:rPr>
                                <w:color w:val="373737"/>
                              </w:rPr>
                              <w:t xml:space="preserve">För </w:t>
                            </w:r>
                            <w:r>
                              <w:rPr>
                                <w:color w:val="373737"/>
                              </w:rPr>
                              <w:t>bedömningen av nettoeffekter</w:t>
                            </w:r>
                            <w:r>
                              <w:rPr>
                                <w:b w:val="0"/>
                                <w:color w:val="373737"/>
                              </w:rPr>
                              <w:t xml:space="preserve"> är det viktigt att kontrollera att resultaten från bedömningen på mikro- och makronivå överensstämmer för att kunna validera dem. Överensstämmelsen fastställs när resultaten på båda nivåerna inte motsäger varandra.</w:t>
                            </w:r>
                          </w:p>
                        </w:txbxContent>
                      </wps:txbx>
                      <wps:bodyPr rot="0" vert="horz" wrap="square" lIns="91440" tIns="45720" rIns="91440" bIns="45720" anchor="ctr" anchorCtr="0" upright="1">
                        <a:noAutofit/>
                      </wps:bodyPr>
                    </wps:wsp>
                  </a:graphicData>
                </a:graphic>
              </wp:inline>
            </w:drawing>
          </mc:Choice>
          <mc:Fallback>
            <w:pict>
              <v:shape id="AutoShape 62" o:spid="_x0000_s1040" style="width:451.3pt;height:99.55pt;visibility:visible;mso-wrap-style:square;mso-left-percent:-10001;mso-top-percent:-10001;mso-position-horizontal:absolute;mso-position-horizontal-relative:char;mso-position-vertical:absolute;mso-position-vertical-relative:line;mso-left-percent:-10001;mso-top-percent:-10001;v-text-anchor:middle" coordsize="5731510,12214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" adj="-11796480,,5400" path="m106671,l5731510,r,1114798c5731510,1173711,5683752,1221469,5624839,1221469l,1221469,,106671c,47758,47758,,106671,xe" filled="f" strokecolor="#be4a35" strokeweight="2pt">
                <v:stroke joinstyle="miter"/>
                <v:formulas/>
                <v:path arrowok="t" o:connecttype="custom" o:connectlocs="106671,0;5731510,0;5731510,0;5731510,1154106;5624839,1264538;0,1264538;0,1264538;0,110433;106671,0" o:connectangles="0,0,0,0,0,0,0,0,0" textboxrect="0,0,5731510,1221469"/>
                <v:textbox>
                  <w:txbxContent>
                    <w:p w:rsidR="00DB5257" w:rsidRPr="006F5B0F" w:rsidRDefault="00DB5257" w:rsidP="00DB5257">
                      <w:pPr>
                        <w:pStyle w:val="HHeading4"/>
                        <w:spacing w:before="0"/>
                        <w:jc w:val="both"/>
                        <w:rPr>
                          <w:b w:val="0"/>
                          <w:i/>
                          <w:color w:val="373737"/>
                          <w:sz w:val="18"/>
                        </w:rPr>
                      </w:pPr>
                      <w:r>
                        <w:rPr>
                          <w:b w:val="0"/>
                          <w:noProof/>
                          <w:lang w:val="en-GB" w:eastAsia="en-GB"/>
                        </w:rPr>
                        <w:drawing>
                          <wp:inline distT="0" distB="0" distL="0" distR="0">
                            <wp:extent cx="666750" cy="4857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750" cy="485775"/>
                                    </a:xfrm>
                                    <a:prstGeom prst="rect">
                                      <a:avLst/>
                                    </a:prstGeom>
                                    <a:noFill/>
                                    <a:ln>
                                      <a:noFill/>
                                    </a:ln>
                                  </pic:spPr>
                                </pic:pic>
                              </a:graphicData>
                            </a:graphic>
                          </wp:inline>
                        </w:drawing>
                      </w:r>
                      <w:r>
                        <w:rPr>
                          <w:color w:val="373737"/>
                        </w:rPr>
                        <w:t xml:space="preserve"> </w:t>
                      </w:r>
                      <w:r>
                        <w:rPr>
                          <w:color w:val="373737"/>
                        </w:rPr>
                        <w:t xml:space="preserve">För </w:t>
                      </w:r>
                      <w:r>
                        <w:rPr>
                          <w:color w:val="373737"/>
                        </w:rPr>
                        <w:t>bedömningen av nettoeffekter</w:t>
                      </w:r>
                      <w:r>
                        <w:rPr>
                          <w:b w:val="0"/>
                          <w:color w:val="373737"/>
                        </w:rPr>
                        <w:t xml:space="preserve"> är det viktigt att kontrollera att resultaten från bedömningen på mikro- och makronivå överensstämmer för att kunna validera dem. Överensstämmelsen fastställs när resultaten på båda nivåerna inte motsäger varandra.</w:t>
                      </w:r>
                    </w:p>
                  </w:txbxContent>
                </v:textbox>
                <w10:anchorlock/>
              </v:shape>
            </w:pict>
          </mc:Fallback>
        </mc:AlternateContent>
      </w:r>
      <w:r w:rsidR="00AD2E14">
        <w:t xml:space="preserve">Vid användning av den kvantitativa uppifrån och ned- metoden garanteras överensstämmelsen genom uppgraderingen av uppgifterna från mikro- till makronivå. </w:t>
      </w:r>
    </w:p>
    <w:p w:rsidR="00DB5257" w:rsidRPr="001C6ACF" w:rsidRDefault="00AD2E14" w:rsidP="00DB5257">
      <w:pPr>
        <w:spacing w:after="120" w:line="280" w:lineRule="atLeast"/>
        <w:rPr>
          <w:rFonts w:cs="Arial"/>
          <w:color w:val="373737"/>
          <w:sz w:val="20"/>
          <w:szCs w:val="20"/>
        </w:rPr>
      </w:pPr>
      <w:r>
        <w:rPr>
          <w:color w:val="373737"/>
          <w:sz w:val="20"/>
        </w:rPr>
        <w:t xml:space="preserve">För programmets </w:t>
      </w:r>
      <w:r>
        <w:rPr>
          <w:i/>
          <w:color w:val="373737"/>
          <w:sz w:val="20"/>
        </w:rPr>
        <w:t>direkta</w:t>
      </w:r>
      <w:r>
        <w:rPr>
          <w:color w:val="373737"/>
          <w:sz w:val="20"/>
        </w:rPr>
        <w:t xml:space="preserve"> effekter för enheter med stöd bör de direkta nettoeffekterna av programmet som beräknats genom att använda </w:t>
      </w:r>
      <w:r>
        <w:rPr>
          <w:b/>
          <w:color w:val="373737"/>
          <w:sz w:val="20"/>
        </w:rPr>
        <w:t>resultatindikatorer</w:t>
      </w:r>
      <w:r>
        <w:rPr>
          <w:color w:val="373737"/>
          <w:sz w:val="20"/>
        </w:rPr>
        <w:t xml:space="preserve"> i princip överensstämma och visa samma trend med programmets nettoeffekter som beräknats genom att använda </w:t>
      </w:r>
      <w:r>
        <w:rPr>
          <w:b/>
          <w:color w:val="373737"/>
          <w:sz w:val="20"/>
        </w:rPr>
        <w:t>effekt-</w:t>
      </w:r>
      <w:r>
        <w:rPr>
          <w:color w:val="373737"/>
          <w:sz w:val="20"/>
        </w:rPr>
        <w:t>indikatorer. Beroende på de indirekta effekternas omfattning och inriktning kan makroresultaten i princip även visa motsatt effekt jämfört med mikroeffekterna. Men i dessa fall behöver effekternas motsatta riktningar förklaras genom orsaks- och/eller kvantifierade bevis för de indirekta effekterna. En kontroll av överensstämmelsen mellan mikro- och makroeffekterna kräver en god förståelse av de främsta faktorerna som påverkar varje indikator.</w:t>
      </w:r>
    </w:p>
    <w:p w:rsidR="00DB5257" w:rsidRPr="001C6ACF" w:rsidRDefault="00AD2E14" w:rsidP="00DB5257">
      <w:pPr>
        <w:pStyle w:val="HStandard"/>
        <w:rPr>
          <w:rFonts w:cs="Arial"/>
        </w:rPr>
      </w:pPr>
      <w:r>
        <w:t xml:space="preserve">För programmets </w:t>
      </w:r>
      <w:r>
        <w:rPr>
          <w:i/>
        </w:rPr>
        <w:t>indirekta effekter</w:t>
      </w:r>
      <w:r>
        <w:t xml:space="preserve"> på gårdar med och utan stöd kan de mikroekonomiska resultaten efter sammanställning endast i grova drag uppskatta omfattningen av landsbygdsprogrammets möjliga indirekta effekter (inklusive de som beräknats med sektorsmodeller). Den främsta orsaken till den här tillnärmningen beror på svårigheterna att skapa modeller för </w:t>
      </w:r>
      <w:r>
        <w:rPr>
          <w:b/>
        </w:rPr>
        <w:t xml:space="preserve">samtliga </w:t>
      </w:r>
      <w:r>
        <w:t xml:space="preserve">möjliga indirekta effekter, som enheter med och utan stöd ”åtminstone i teorin” kan ha konfronterats med. </w:t>
      </w:r>
    </w:p>
    <w:p w:rsidR="00DB5257" w:rsidRPr="00571D58" w:rsidRDefault="00AD2E14" w:rsidP="00DB5257">
      <w:pPr>
        <w:pStyle w:val="HStandard"/>
        <w:rPr>
          <w:rFonts w:cs="Arial"/>
        </w:rPr>
      </w:pPr>
      <w:r>
        <w:t>Utvärderingen uppifrån och ned baseras på insamling från olika datakällor med olika mätsystem och terminologi som kan leda till tvetydighet. En av de främsta utmaningarna med kontrollen av överensstämmelse på makro- och mikronivå är att fastställa orsakssambandet mellan ändringarna och effekterna som uppmätts på gården eller enheten samt de ändringar och effekter bakom ändringen av lantbrukets gränser (t.ex. på NUTS 3- och programnivå). I detta avseende är det viktigt att de tillämpade analys- och måttenheterna beaktar i vilken omfattning och på vilken nivå som effekterna sannolikt kommer att ske. Om fasta administrativa gränser tillämpas kan detta leda till snedvridning av resultaten. Vissa ansträngningar kan göras för att tillämpa urvalsmetoder på ett konsekvent sätt i fält, på gården och i markerna för att beakta de olika typerna av taxonomi som undersöks och interaktionerna mellan variabler som beskriver klimat, topografi, landanvändning, socioekonomiska förhållanden och markförhållanden.</w:t>
      </w:r>
      <w:r>
        <w:rPr>
          <w:rStyle w:val="FootnoteReference"/>
          <w:i w:val="0"/>
        </w:rPr>
        <w:footnoteReference w:id="29"/>
      </w:r>
      <w:r>
        <w:t xml:space="preserve"> Metoden ”uppifrån och ned” med ett studieområde på mark- eller fältnivå möjliggör resultat genom insamling av uppgifter från platsspecifika enkäter efter experimentella protokoll, och att extrapolera dem från mikro- till makronivå genom satellitbilder via GIS, eller spatial analys.</w:t>
      </w:r>
      <w:r>
        <w:rPr>
          <w:rStyle w:val="FootnoteReference"/>
          <w:i w:val="0"/>
        </w:rPr>
        <w:footnoteReference w:id="30"/>
      </w:r>
    </w:p>
    <w:p w:rsidR="00DB5257" w:rsidRPr="00571D58" w:rsidRDefault="00AD2E14" w:rsidP="00DB5257">
      <w:pPr>
        <w:pStyle w:val="HStandard"/>
        <w:rPr>
          <w:rFonts w:cs="Arial"/>
        </w:rPr>
      </w:pPr>
      <w:r>
        <w:br w:type="column"/>
      </w:r>
      <w:r w:rsidR="00F02B64">
        <w:rPr>
          <w:noProof/>
          <w:lang w:val="en-GB" w:eastAsia="en-GB"/>
        </w:rPr>
        <w:lastRenderedPageBreak/>
        <mc:AlternateContent>
          <mc:Choice Requires="wps">
            <w:drawing>
              <wp:anchor distT="0" distB="0" distL="114300" distR="114300" simplePos="0" relativeHeight="251643392" behindDoc="0" locked="0" layoutInCell="1" allowOverlap="1">
                <wp:simplePos x="0" y="0"/>
                <wp:positionH relativeFrom="column">
                  <wp:posOffset>-127221</wp:posOffset>
                </wp:positionH>
                <wp:positionV relativeFrom="paragraph">
                  <wp:posOffset>198783</wp:posOffset>
                </wp:positionV>
                <wp:extent cx="6038850" cy="4428876"/>
                <wp:effectExtent l="0" t="0" r="19050" b="10160"/>
                <wp:wrapNone/>
                <wp:docPr id="9" name="Rectangle: Diagonal Corners Rounded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8850" cy="4428876"/>
                        </a:xfrm>
                        <a:custGeom>
                          <a:avLst/>
                          <a:gdLst>
                            <a:gd name="T0" fmla="*/ 351962 w 6038850"/>
                            <a:gd name="T1" fmla="*/ 0 h 4290646"/>
                            <a:gd name="T2" fmla="*/ 6038850 w 6038850"/>
                            <a:gd name="T3" fmla="*/ 0 h 4290646"/>
                            <a:gd name="T4" fmla="*/ 6038850 w 6038850"/>
                            <a:gd name="T5" fmla="*/ 0 h 4290646"/>
                            <a:gd name="T6" fmla="*/ 6038850 w 6038850"/>
                            <a:gd name="T7" fmla="*/ 3938684 h 4290646"/>
                            <a:gd name="T8" fmla="*/ 5686888 w 6038850"/>
                            <a:gd name="T9" fmla="*/ 4290646 h 4290646"/>
                            <a:gd name="T10" fmla="*/ 0 w 6038850"/>
                            <a:gd name="T11" fmla="*/ 4290646 h 4290646"/>
                            <a:gd name="T12" fmla="*/ 0 w 6038850"/>
                            <a:gd name="T13" fmla="*/ 4290646 h 4290646"/>
                            <a:gd name="T14" fmla="*/ 0 w 6038850"/>
                            <a:gd name="T15" fmla="*/ 351962 h 4290646"/>
                            <a:gd name="T16" fmla="*/ 351962 w 6038850"/>
                            <a:gd name="T17" fmla="*/ 0 h 429064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038850" h="4290646">
                              <a:moveTo>
                                <a:pt x="351962" y="0"/>
                              </a:moveTo>
                              <a:lnTo>
                                <a:pt x="6038850" y="0"/>
                              </a:lnTo>
                              <a:lnTo>
                                <a:pt x="6038850" y="3938684"/>
                              </a:lnTo>
                              <a:cubicBezTo>
                                <a:pt x="6038850" y="4133067"/>
                                <a:pt x="5881271" y="4290646"/>
                                <a:pt x="5686888" y="4290646"/>
                              </a:cubicBezTo>
                              <a:lnTo>
                                <a:pt x="0" y="4290646"/>
                              </a:lnTo>
                              <a:lnTo>
                                <a:pt x="0" y="351962"/>
                              </a:lnTo>
                              <a:cubicBezTo>
                                <a:pt x="0" y="157579"/>
                                <a:pt x="157579" y="0"/>
                                <a:pt x="351962" y="0"/>
                              </a:cubicBezTo>
                              <a:close/>
                            </a:path>
                          </a:pathLst>
                        </a:custGeom>
                        <a:noFill/>
                        <a:ln w="25400">
                          <a:solidFill>
                            <a:srgbClr val="BE4A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B015007" id="Rectangle: Diagonal Corners Rounded 15" o:spid="_x0000_s1026" style="position:absolute;margin-left:-10pt;margin-top:15.65pt;width:475.5pt;height:348.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38850,429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" path="m351962,l6038850,r,3938684c6038850,4133067,5881271,4290646,5686888,4290646l,4290646,,351962c,157579,157579,,351962,xe" filled="f" strokecolor="#be4a35" strokeweight="2pt">
                <v:path arrowok="t" o:connecttype="custom" o:connectlocs="351962,0;6038850,0;6038850,0;6038850,4065575;5686888,4428876;0,4428876;0,4428876;0,363301;351962,0" o:connectangles="0,0,0,0,0,0,0,0,0"/>
              </v:shape>
            </w:pict>
          </mc:Fallback>
        </mc:AlternateContent>
      </w:r>
    </w:p>
    <w:tbl>
      <w:tblPr>
        <w:tblW w:w="0" w:type="auto"/>
        <w:tblLook w:val="04A0" w:firstRow="1" w:lastRow="0" w:firstColumn="1" w:lastColumn="0" w:noHBand="0" w:noVBand="1"/>
      </w:tblPr>
      <w:tblGrid>
        <w:gridCol w:w="9016"/>
      </w:tblGrid>
      <w:tr w:rsidR="00DB5257" w:rsidRPr="001C6ACF" w:rsidTr="00DB5257">
        <w:tc>
          <w:tcPr>
            <w:tcW w:w="9016" w:type="dxa"/>
          </w:tcPr>
          <w:p w:rsidR="00DB5257" w:rsidRPr="006F5B0F" w:rsidRDefault="00F02B64" w:rsidP="00DB5257">
            <w:pPr>
              <w:pStyle w:val="HHeading4"/>
              <w:jc w:val="both"/>
              <w:rPr>
                <w:rFonts w:cs="Arial"/>
              </w:rPr>
            </w:pPr>
            <w:r>
              <w:rPr>
                <w:noProof/>
                <w:color w:val="373737"/>
                <w:lang w:val="en-GB" w:eastAsia="en-GB"/>
              </w:rPr>
              <w:drawing>
                <wp:inline distT="0" distB="0" distL="0" distR="0">
                  <wp:extent cx="666750" cy="485775"/>
                  <wp:effectExtent l="0" t="0" r="0" b="9525"/>
                  <wp:docPr id="38"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750" cy="485775"/>
                          </a:xfrm>
                          <a:prstGeom prst="rect">
                            <a:avLst/>
                          </a:prstGeom>
                          <a:noFill/>
                          <a:ln>
                            <a:noFill/>
                          </a:ln>
                        </pic:spPr>
                      </pic:pic>
                    </a:graphicData>
                  </a:graphic>
                </wp:inline>
              </w:drawing>
            </w:r>
            <w:r w:rsidR="00AD2E14">
              <w:t xml:space="preserve"> SNABBGUIDE #5: Hur kan kvalitativa metoder användas på bästa sätt?</w:t>
            </w:r>
          </w:p>
        </w:tc>
      </w:tr>
    </w:tbl>
    <w:p w:rsidR="00DB5257" w:rsidRDefault="00AD2E14" w:rsidP="00DB5257">
      <w:pPr>
        <w:pStyle w:val="HStandard"/>
        <w:spacing w:after="0"/>
        <w:ind w:left="709" w:hanging="709"/>
        <w:rPr>
          <w:rFonts w:cs="Arial"/>
          <w:sz w:val="18"/>
          <w:szCs w:val="18"/>
        </w:rPr>
      </w:pPr>
      <w:r>
        <w:rPr>
          <w:b/>
          <w:sz w:val="18"/>
        </w:rPr>
        <w:t>Kvalitativa metoder</w:t>
      </w:r>
      <w:r>
        <w:rPr>
          <w:sz w:val="18"/>
        </w:rPr>
        <w:t xml:space="preserve"> kan tillämpas för att uppnå ett tredelat mål:</w:t>
      </w:r>
    </w:p>
    <w:p w:rsidR="00DB5257" w:rsidRPr="001C6ACF" w:rsidRDefault="00DB5257" w:rsidP="00DB5257">
      <w:pPr>
        <w:pStyle w:val="HStandard"/>
        <w:spacing w:after="0"/>
        <w:ind w:left="709" w:hanging="709"/>
        <w:rPr>
          <w:rFonts w:cs="Arial"/>
          <w:sz w:val="18"/>
          <w:szCs w:val="18"/>
        </w:rPr>
      </w:pPr>
    </w:p>
    <w:p w:rsidR="00DB5257" w:rsidRDefault="00AD2E14" w:rsidP="00DB5257">
      <w:pPr>
        <w:pStyle w:val="ListParagraph"/>
        <w:numPr>
          <w:ilvl w:val="2"/>
          <w:numId w:val="13"/>
        </w:numPr>
        <w:autoSpaceDE w:val="0"/>
        <w:autoSpaceDN w:val="0"/>
        <w:adjustRightInd w:val="0"/>
        <w:spacing w:after="0" w:line="280" w:lineRule="atLeast"/>
        <w:ind w:left="426"/>
        <w:jc w:val="both"/>
        <w:rPr>
          <w:rFonts w:ascii="Arial" w:hAnsi="Arial" w:cs="Arial"/>
          <w:color w:val="373737"/>
          <w:sz w:val="18"/>
          <w:szCs w:val="18"/>
        </w:rPr>
      </w:pPr>
      <w:r>
        <w:rPr>
          <w:rFonts w:ascii="Arial" w:hAnsi="Arial"/>
          <w:b/>
          <w:color w:val="373737"/>
          <w:sz w:val="18"/>
        </w:rPr>
        <w:t>Som ett alternativ</w:t>
      </w:r>
      <w:r>
        <w:rPr>
          <w:rFonts w:ascii="Arial" w:hAnsi="Arial"/>
          <w:color w:val="373737"/>
          <w:sz w:val="18"/>
        </w:rPr>
        <w:t xml:space="preserve"> </w:t>
      </w:r>
      <w:r>
        <w:rPr>
          <w:rFonts w:ascii="Arial" w:hAnsi="Arial"/>
          <w:b/>
          <w:color w:val="373737"/>
          <w:sz w:val="18"/>
        </w:rPr>
        <w:t>till kvantitativa metoder</w:t>
      </w:r>
      <w:r>
        <w:rPr>
          <w:rFonts w:ascii="Arial" w:hAnsi="Arial"/>
          <w:color w:val="373737"/>
          <w:sz w:val="18"/>
        </w:rPr>
        <w:t xml:space="preserve"> när uppgifter saknas. Exempelvis kan kvalitativ teoribaserad utvärdering användas för att visa hur och varför programmet kommer att fungera och förväntas leda till de avsedda resultaten. Den teoribaserade utvärderingen följer varje steg i programmets interventionslogik genom att identifiera orsakssamband och förändringsmekanismer som leder till resultat och effekter. De olika kopplingarna i interventionslogiken kan analyseras med ett antal olika metoder. I dessa riktlinjer föreslår vi fokusgrupper (särskilt MAPP-metoden) eller intervjuer med intressenter/experter. </w:t>
      </w:r>
    </w:p>
    <w:p w:rsidR="00DB5257" w:rsidRPr="00FB6C06" w:rsidRDefault="00DB5257" w:rsidP="00DB5257">
      <w:pPr>
        <w:pStyle w:val="ListParagraph"/>
        <w:autoSpaceDE w:val="0"/>
        <w:autoSpaceDN w:val="0"/>
        <w:adjustRightInd w:val="0"/>
        <w:spacing w:after="0" w:line="280" w:lineRule="atLeast"/>
        <w:ind w:left="426"/>
        <w:jc w:val="both"/>
        <w:rPr>
          <w:rFonts w:ascii="Arial" w:hAnsi="Arial" w:cs="Arial"/>
          <w:color w:val="373737"/>
          <w:sz w:val="18"/>
          <w:szCs w:val="18"/>
        </w:rPr>
      </w:pPr>
    </w:p>
    <w:p w:rsidR="00DB5257" w:rsidRDefault="00AD2E14" w:rsidP="00DB5257">
      <w:pPr>
        <w:pStyle w:val="ListParagraph"/>
        <w:numPr>
          <w:ilvl w:val="2"/>
          <w:numId w:val="13"/>
        </w:numPr>
        <w:autoSpaceDE w:val="0"/>
        <w:autoSpaceDN w:val="0"/>
        <w:adjustRightInd w:val="0"/>
        <w:spacing w:after="0" w:line="280" w:lineRule="atLeast"/>
        <w:ind w:left="426"/>
        <w:jc w:val="both"/>
        <w:rPr>
          <w:rFonts w:ascii="Arial" w:hAnsi="Arial" w:cs="Arial"/>
          <w:color w:val="373737"/>
          <w:sz w:val="18"/>
          <w:szCs w:val="18"/>
        </w:rPr>
      </w:pPr>
      <w:r>
        <w:rPr>
          <w:rFonts w:ascii="Arial" w:hAnsi="Arial"/>
          <w:b/>
          <w:color w:val="373737"/>
          <w:sz w:val="18"/>
        </w:rPr>
        <w:t>Som ett komplement till den kvantitativa kontrafaktiska utvärderingen</w:t>
      </w:r>
      <w:r>
        <w:rPr>
          <w:rFonts w:ascii="Arial" w:hAnsi="Arial"/>
          <w:color w:val="373737"/>
          <w:sz w:val="18"/>
        </w:rPr>
        <w:t xml:space="preserve"> för att på ett bättre sätt kunna identifiera hur effekterna har skapats och varför. Det bör noteras att man med teoribaserad utvärdering varken kan utvärdera ”nettoeffekten” (dvs. i vilken utsträckning som ändringen som observerats i programområdet beror på programmet) eller dela upp effekterna av programmet från andra faktorers bidrag.</w:t>
      </w:r>
    </w:p>
    <w:p w:rsidR="00DB5257" w:rsidRPr="00310B39" w:rsidRDefault="00DB5257" w:rsidP="00DB5257">
      <w:pPr>
        <w:pStyle w:val="ListParagraph"/>
        <w:jc w:val="both"/>
        <w:rPr>
          <w:rFonts w:ascii="Arial" w:hAnsi="Arial" w:cs="Arial"/>
          <w:color w:val="373737"/>
          <w:sz w:val="18"/>
          <w:szCs w:val="18"/>
        </w:rPr>
      </w:pPr>
    </w:p>
    <w:p w:rsidR="00DB5257" w:rsidRPr="00310B39" w:rsidRDefault="00AD2E14" w:rsidP="00DB5257">
      <w:pPr>
        <w:pStyle w:val="ListParagraph"/>
        <w:numPr>
          <w:ilvl w:val="2"/>
          <w:numId w:val="13"/>
        </w:numPr>
        <w:autoSpaceDE w:val="0"/>
        <w:autoSpaceDN w:val="0"/>
        <w:adjustRightInd w:val="0"/>
        <w:spacing w:after="0" w:line="280" w:lineRule="atLeast"/>
        <w:ind w:left="426"/>
        <w:jc w:val="both"/>
        <w:rPr>
          <w:rFonts w:ascii="Arial" w:hAnsi="Arial" w:cs="Arial"/>
          <w:color w:val="373737"/>
          <w:sz w:val="18"/>
          <w:szCs w:val="18"/>
        </w:rPr>
      </w:pPr>
      <w:r>
        <w:rPr>
          <w:rFonts w:ascii="Arial" w:hAnsi="Arial"/>
          <w:b/>
          <w:color w:val="373737"/>
          <w:sz w:val="18"/>
        </w:rPr>
        <w:t>Som en del av triangulering</w:t>
      </w:r>
      <w:r>
        <w:rPr>
          <w:rFonts w:ascii="Arial" w:hAnsi="Arial"/>
          <w:color w:val="373737"/>
          <w:sz w:val="18"/>
        </w:rPr>
        <w:t xml:space="preserve"> för att validera resultaten av de kvantitativa metoderna.</w:t>
      </w:r>
    </w:p>
    <w:p w:rsidR="00DB5257" w:rsidRPr="001C6ACF" w:rsidRDefault="00DB5257" w:rsidP="00DB5257">
      <w:pPr>
        <w:pStyle w:val="ListParagraph"/>
        <w:autoSpaceDE w:val="0"/>
        <w:autoSpaceDN w:val="0"/>
        <w:adjustRightInd w:val="0"/>
        <w:spacing w:after="0" w:line="280" w:lineRule="atLeast"/>
        <w:ind w:left="426"/>
        <w:rPr>
          <w:rFonts w:ascii="Arial" w:hAnsi="Arial" w:cs="Arial"/>
          <w:color w:val="373737"/>
          <w:sz w:val="18"/>
          <w:szCs w:val="18"/>
        </w:rPr>
      </w:pPr>
    </w:p>
    <w:p w:rsidR="00DB5257" w:rsidRPr="001C6ACF" w:rsidRDefault="00AD2E14" w:rsidP="00DB5257">
      <w:pPr>
        <w:pStyle w:val="HStandard"/>
        <w:jc w:val="center"/>
        <w:rPr>
          <w:i/>
          <w:color w:val="F07E31"/>
          <w:sz w:val="18"/>
        </w:rPr>
      </w:pPr>
      <w:r>
        <w:rPr>
          <w:i/>
          <w:color w:val="F07E31"/>
          <w:sz w:val="18"/>
        </w:rPr>
        <w:t>Läs mer om teoribaserad utvärdering i ”</w:t>
      </w:r>
      <w:r w:rsidR="004077A5">
        <w:fldChar w:fldCharType="begin"/>
      </w:r>
      <w:r w:rsidR="004077A5">
        <w:instrText xml:space="preserve"> HYPERLINK "https://ec.europa.eu/agriculture/sites/agriculture/files/evaluation/rural-development-reports/2014/investment-support-rdp/fulltext_en.pdf" </w:instrText>
      </w:r>
      <w:r w:rsidR="004077A5">
        <w:fldChar w:fldCharType="separate"/>
      </w:r>
      <w:r>
        <w:rPr>
          <w:rStyle w:val="Hyperlink"/>
          <w:i/>
          <w:sz w:val="18"/>
        </w:rPr>
        <w:t>Investment Support under Rural Development Policy”</w:t>
      </w:r>
      <w:r w:rsidR="004077A5">
        <w:rPr>
          <w:rStyle w:val="Hyperlink"/>
          <w:i/>
          <w:sz w:val="18"/>
        </w:rPr>
        <w:fldChar w:fldCharType="end"/>
      </w:r>
      <w:r>
        <w:rPr>
          <w:i/>
          <w:color w:val="F07E31"/>
          <w:sz w:val="18"/>
        </w:rPr>
        <w:t xml:space="preserve">, kapitel 3.3.4 (Europeiska kommissionen, 2014) och om hur kvalitativa metoder kan användas för att samla in kvantitativa uppgifter i </w:t>
      </w:r>
      <w:r w:rsidR="004077A5">
        <w:fldChar w:fldCharType="begin"/>
      </w:r>
      <w:r w:rsidR="004077A5">
        <w:instrText xml:space="preserve"> HYPERLINK "https://books.google.be/books?id=t-uPdSpvPBkC&amp;pg=PP1&amp;lpg=PP1&amp;dq=disti</w:instrText>
      </w:r>
      <w:r w:rsidR="004077A5">
        <w:instrText>nguishing+between+types+of+data+and+methods+of+collecting+them,&amp;source=bl&amp;ots=G26OEW8m2A&amp;sig=h528kvgUEhmDcInCs1LmMIXs8vI&amp;hl=de&amp;sa=X&amp;ved=2ahUKEwjMvZynlc7cAhUSbFAKHaHWCLEQ6AEwBHoECAUQAQ" \l "v=onepage&amp;q=distinguishing%20between%20types%20of%20data%20and%20me</w:instrText>
      </w:r>
      <w:r w:rsidR="004077A5">
        <w:instrText xml:space="preserve">thods%20of%20collecting%20them%2C&amp;f=false" </w:instrText>
      </w:r>
      <w:r w:rsidR="004077A5">
        <w:fldChar w:fldCharType="separate"/>
      </w:r>
      <w:r>
        <w:rPr>
          <w:rStyle w:val="Hyperlink"/>
          <w:i/>
          <w:sz w:val="18"/>
        </w:rPr>
        <w:t>”Distinguishing Between Types of Data and Methods of Collecting Them</w:t>
      </w:r>
      <w:r w:rsidR="004077A5">
        <w:rPr>
          <w:rStyle w:val="Hyperlink"/>
          <w:i/>
          <w:sz w:val="18"/>
        </w:rPr>
        <w:fldChar w:fldCharType="end"/>
      </w:r>
      <w:r>
        <w:rPr>
          <w:i/>
          <w:color w:val="F07E31"/>
          <w:sz w:val="18"/>
        </w:rPr>
        <w:t xml:space="preserve">’”(Hentschel, 1998). </w:t>
      </w:r>
    </w:p>
    <w:p w:rsidR="00DB5257" w:rsidRPr="001C6ACF" w:rsidRDefault="00DB5257" w:rsidP="00DB5257">
      <w:pPr>
        <w:pStyle w:val="HStandard"/>
        <w:rPr>
          <w:sz w:val="22"/>
        </w:rPr>
      </w:pPr>
    </w:p>
    <w:p w:rsidR="00DB5257" w:rsidRPr="001C6ACF" w:rsidRDefault="00AD2E14" w:rsidP="00DB5257">
      <w:pPr>
        <w:pStyle w:val="HHeading3"/>
      </w:pPr>
      <w:r>
        <w:t>Översikt av rekommenderade utvärderingsmetoder för utvärdering av effektindikatorer för GJP</w:t>
      </w:r>
    </w:p>
    <w:p w:rsidR="00DB5257" w:rsidRPr="00336531" w:rsidRDefault="00AD2E14" w:rsidP="00DB5257">
      <w:pPr>
        <w:pStyle w:val="HStandard"/>
        <w:rPr>
          <w:rFonts w:cs="Arial"/>
        </w:rPr>
      </w:pPr>
      <w:r>
        <w:t>Under programperioden 2014–2020 kommer bedömningen av effekterna av landsbygdsprogrammet för första gången att genomföras 2019, när ofullständiga uppgifter fortfarande kan innebära problem för flera landsbygdsprogram, på grund av den begränsade/sena tillämpningen av vissa åtgärder, eller brist på statistiska uppgifter för utvärdering. Eftersom det på grund av saknade uppgifter är mycket svårt att analysera effekterna av landsbygdsprogrammet föreslår vi i dessa riktlinjer minst två olika metoder för att beräkna var och en av de gemensamma effektindikatorerna för pelare II i GJP:</w:t>
      </w:r>
    </w:p>
    <w:p w:rsidR="00DB5257" w:rsidRPr="00FB6C06" w:rsidRDefault="00AD2E14" w:rsidP="00DB5257">
      <w:pPr>
        <w:pStyle w:val="Hlistbullet"/>
      </w:pPr>
      <w:r>
        <w:rPr>
          <w:b/>
        </w:rPr>
        <w:t xml:space="preserve">Metod A </w:t>
      </w:r>
      <w:r>
        <w:t xml:space="preserve">är ett exempel på en </w:t>
      </w:r>
      <w:r>
        <w:rPr>
          <w:b/>
        </w:rPr>
        <w:t xml:space="preserve">utvärderingsmetod i en optimal uppgiftssituation. </w:t>
      </w:r>
      <w:r>
        <w:t xml:space="preserve">Den kan användas 2019 och/eller för nästa efterhandsutvärdering. Metod A är mer avancerad än metod B och är även mer omfattande. </w:t>
      </w:r>
    </w:p>
    <w:p w:rsidR="00DB5257" w:rsidRPr="001C6ACF" w:rsidRDefault="00AD2E14" w:rsidP="00DB5257">
      <w:pPr>
        <w:pStyle w:val="Hlistbullet"/>
      </w:pPr>
      <w:r>
        <w:rPr>
          <w:b/>
        </w:rPr>
        <w:t xml:space="preserve">Metod B </w:t>
      </w:r>
      <w:r>
        <w:t>är ett exempel på en</w:t>
      </w:r>
      <w:r>
        <w:rPr>
          <w:b/>
        </w:rPr>
        <w:t xml:space="preserve"> alternativ utvärderingsmetod vid uppgiftsluckor, </w:t>
      </w:r>
      <w:r>
        <w:t xml:space="preserve">(som t.ex. orsakas av långsamma programeffekter, som inte låter personer observera effekterna av landsbygdsprogrammet) eller om andra faktorer (resurser, tid, färdigheter) begränsar tillämpningen av en mer avancerad metod. Metod B innehåller i många fall en kvalitativ komponent. </w:t>
      </w:r>
    </w:p>
    <w:p w:rsidR="00DB5257" w:rsidRPr="00336531" w:rsidRDefault="00AD2E14" w:rsidP="00DB5257">
      <w:pPr>
        <w:pStyle w:val="HStandard"/>
        <w:rPr>
          <w:rFonts w:cs="Arial"/>
        </w:rPr>
      </w:pPr>
      <w:r>
        <w:rPr>
          <w:b/>
        </w:rPr>
        <w:t>Både metod A och metod B uppfyller utvärderingsstandarderna</w:t>
      </w:r>
      <w:r>
        <w:t xml:space="preserve">. Metod A definieras som den metod som ger bäst utvärderingsresultat under ideala uppgiftsförhållanden. Med hänsyn till uppgiftssituationen 2019 konstateras att för många landsbygdsprogram är metod A inte den mest praktiska metoden (se tabeller om lämplighet för de föreslagna utvärderingsmetoderna i kapitel 4.1–4.7 i den tekniska bilagan). Ytterligare exempel på utvärderingsmetoder anges i respektive bild av den logiska modellen för varje effektindikator. </w:t>
      </w:r>
    </w:p>
    <w:p w:rsidR="00DB5257" w:rsidRPr="001C6ACF" w:rsidRDefault="00AD2E14" w:rsidP="00DB5257">
      <w:pPr>
        <w:pStyle w:val="HHeadingtables"/>
      </w:pPr>
      <w:r>
        <w:br w:type="column"/>
      </w:r>
      <w:r>
        <w:lastRenderedPageBreak/>
        <w:t xml:space="preserve">Exempel på rekommenderade utvärderingsmetoder för bedömningen av effektindikatorerna för GJP </w:t>
      </w:r>
    </w:p>
    <w:tbl>
      <w:tblPr>
        <w:tblW w:w="920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88"/>
        <w:gridCol w:w="1417"/>
        <w:gridCol w:w="1701"/>
        <w:gridCol w:w="1701"/>
        <w:gridCol w:w="1701"/>
        <w:gridCol w:w="1701"/>
      </w:tblGrid>
      <w:tr w:rsidR="00DB5257" w:rsidRPr="001C6ACF" w:rsidTr="00DB5257">
        <w:trPr>
          <w:trHeight w:val="289"/>
          <w:tblHeader/>
        </w:trPr>
        <w:tc>
          <w:tcPr>
            <w:tcW w:w="988" w:type="dxa"/>
            <w:vMerge w:val="restart"/>
            <w:tcBorders>
              <w:top w:val="single" w:sz="4" w:space="0" w:color="FFFFFF"/>
              <w:left w:val="single" w:sz="4" w:space="0" w:color="FFFFFF"/>
              <w:bottom w:val="single" w:sz="4" w:space="0" w:color="FFFFFF"/>
              <w:right w:val="single" w:sz="4" w:space="0" w:color="FFFFFF"/>
            </w:tcBorders>
            <w:shd w:val="clear" w:color="auto" w:fill="F07E31"/>
            <w:hideMark/>
          </w:tcPr>
          <w:p w:rsidR="00DB5257" w:rsidRPr="006F5B0F" w:rsidRDefault="00AD2E14" w:rsidP="00DB5257">
            <w:pPr>
              <w:pStyle w:val="HStandard"/>
              <w:jc w:val="center"/>
              <w:rPr>
                <w:b/>
                <w:bCs/>
                <w:color w:val="FFFFFF"/>
              </w:rPr>
            </w:pPr>
            <w:r>
              <w:rPr>
                <w:b/>
                <w:color w:val="FFFFFF"/>
                <w:sz w:val="16"/>
              </w:rPr>
              <w:t>Kod</w:t>
            </w:r>
          </w:p>
        </w:tc>
        <w:tc>
          <w:tcPr>
            <w:tcW w:w="1417" w:type="dxa"/>
            <w:vMerge w:val="restart"/>
            <w:tcBorders>
              <w:top w:val="single" w:sz="4" w:space="0" w:color="FFFFFF"/>
              <w:left w:val="single" w:sz="4" w:space="0" w:color="FFFFFF"/>
              <w:bottom w:val="single" w:sz="4" w:space="0" w:color="FFFFFF"/>
              <w:right w:val="single" w:sz="4" w:space="0" w:color="FFFFFF"/>
            </w:tcBorders>
            <w:shd w:val="clear" w:color="auto" w:fill="F07E31"/>
            <w:hideMark/>
          </w:tcPr>
          <w:p w:rsidR="00DB5257" w:rsidRPr="006F5B0F" w:rsidRDefault="00AD2E14" w:rsidP="00DB5257">
            <w:pPr>
              <w:pStyle w:val="HStandard"/>
              <w:jc w:val="center"/>
              <w:rPr>
                <w:b/>
                <w:bCs/>
                <w:color w:val="FFFFFF"/>
                <w:sz w:val="16"/>
              </w:rPr>
            </w:pPr>
            <w:r>
              <w:rPr>
                <w:b/>
                <w:color w:val="FFFFFF"/>
                <w:sz w:val="16"/>
              </w:rPr>
              <w:t>Indikator</w:t>
            </w:r>
          </w:p>
        </w:tc>
        <w:tc>
          <w:tcPr>
            <w:tcW w:w="3402" w:type="dxa"/>
            <w:gridSpan w:val="2"/>
            <w:tcBorders>
              <w:top w:val="single" w:sz="4" w:space="0" w:color="FFFFFF"/>
              <w:left w:val="single" w:sz="4" w:space="0" w:color="FFFFFF"/>
              <w:bottom w:val="single" w:sz="4" w:space="0" w:color="FFFFFF"/>
              <w:right w:val="single" w:sz="4" w:space="0" w:color="FFFFFF"/>
            </w:tcBorders>
            <w:shd w:val="clear" w:color="auto" w:fill="F07E31"/>
            <w:noWrap/>
            <w:hideMark/>
          </w:tcPr>
          <w:p w:rsidR="00DB5257" w:rsidRPr="006F5B0F" w:rsidRDefault="00AD2E14" w:rsidP="00DB5257">
            <w:pPr>
              <w:pStyle w:val="HStandard"/>
              <w:spacing w:line="240" w:lineRule="atLeast"/>
              <w:jc w:val="center"/>
              <w:rPr>
                <w:color w:val="FFFFFF"/>
                <w:sz w:val="16"/>
              </w:rPr>
            </w:pPr>
            <w:r>
              <w:rPr>
                <w:b/>
                <w:color w:val="FFFFFF"/>
              </w:rPr>
              <w:t>Metod A</w:t>
            </w:r>
            <w:r>
              <w:rPr>
                <w:color w:val="FFFFFF"/>
              </w:rPr>
              <w:t xml:space="preserve"> </w:t>
            </w:r>
            <w:r>
              <w:br/>
            </w:r>
            <w:r>
              <w:rPr>
                <w:color w:val="FFFFFF"/>
                <w:sz w:val="16"/>
              </w:rPr>
              <w:t>Exempel på metod i en optimal uppgiftssituation</w:t>
            </w:r>
          </w:p>
        </w:tc>
        <w:tc>
          <w:tcPr>
            <w:tcW w:w="3402" w:type="dxa"/>
            <w:gridSpan w:val="2"/>
            <w:tcBorders>
              <w:top w:val="single" w:sz="4" w:space="0" w:color="FFFFFF"/>
              <w:left w:val="single" w:sz="4" w:space="0" w:color="FFFFFF"/>
              <w:bottom w:val="single" w:sz="4" w:space="0" w:color="FFFFFF"/>
              <w:right w:val="single" w:sz="4" w:space="0" w:color="FFFFFF"/>
            </w:tcBorders>
            <w:shd w:val="clear" w:color="auto" w:fill="F07E31"/>
            <w:noWrap/>
            <w:hideMark/>
          </w:tcPr>
          <w:p w:rsidR="00DB5257" w:rsidRPr="006F5B0F" w:rsidRDefault="00AD2E14" w:rsidP="00DB5257">
            <w:pPr>
              <w:pStyle w:val="HStandard"/>
              <w:spacing w:line="240" w:lineRule="atLeast"/>
              <w:jc w:val="center"/>
              <w:rPr>
                <w:color w:val="FFFFFF"/>
                <w:sz w:val="16"/>
              </w:rPr>
            </w:pPr>
            <w:r>
              <w:rPr>
                <w:b/>
                <w:color w:val="FFFFFF"/>
              </w:rPr>
              <w:t>Metod B</w:t>
            </w:r>
            <w:r>
              <w:rPr>
                <w:color w:val="FFFFFF"/>
              </w:rPr>
              <w:t xml:space="preserve"> </w:t>
            </w:r>
            <w:r>
              <w:br/>
            </w:r>
            <w:r>
              <w:rPr>
                <w:color w:val="FFFFFF"/>
                <w:sz w:val="16"/>
              </w:rPr>
              <w:t>Exempel på alternativ metod vid uppgiftsluckor</w:t>
            </w:r>
          </w:p>
        </w:tc>
      </w:tr>
      <w:tr w:rsidR="00DB5257" w:rsidRPr="001C6ACF" w:rsidTr="00DB5257">
        <w:trPr>
          <w:trHeight w:val="289"/>
          <w:tblHeader/>
        </w:trPr>
        <w:tc>
          <w:tcPr>
            <w:tcW w:w="988" w:type="dxa"/>
            <w:vMerge/>
            <w:tcBorders>
              <w:top w:val="single" w:sz="4" w:space="0" w:color="FFFFFF"/>
              <w:left w:val="single" w:sz="4" w:space="0" w:color="FFFFFF"/>
              <w:bottom w:val="single" w:sz="4" w:space="0" w:color="FFFFFF"/>
              <w:right w:val="single" w:sz="4" w:space="0" w:color="FFFFFF"/>
            </w:tcBorders>
            <w:shd w:val="clear" w:color="auto" w:fill="F07E31"/>
            <w:hideMark/>
          </w:tcPr>
          <w:p w:rsidR="00DB5257" w:rsidRPr="006F5B0F" w:rsidRDefault="00DB5257" w:rsidP="00DB5257">
            <w:pPr>
              <w:pStyle w:val="HStandard"/>
              <w:jc w:val="center"/>
              <w:rPr>
                <w:b/>
                <w:bCs/>
                <w:color w:val="FFFFFF"/>
              </w:rPr>
            </w:pPr>
          </w:p>
        </w:tc>
        <w:tc>
          <w:tcPr>
            <w:tcW w:w="1417" w:type="dxa"/>
            <w:vMerge/>
            <w:tcBorders>
              <w:top w:val="single" w:sz="4" w:space="0" w:color="FFFFFF"/>
              <w:left w:val="single" w:sz="4" w:space="0" w:color="FFFFFF"/>
              <w:bottom w:val="single" w:sz="4" w:space="0" w:color="FFFFFF"/>
              <w:right w:val="single" w:sz="4" w:space="0" w:color="FFFFFF"/>
            </w:tcBorders>
            <w:shd w:val="clear" w:color="auto" w:fill="F07E31"/>
            <w:hideMark/>
          </w:tcPr>
          <w:p w:rsidR="00DB5257" w:rsidRPr="006F5B0F" w:rsidRDefault="00DB5257" w:rsidP="00DB5257">
            <w:pPr>
              <w:pStyle w:val="HStandard"/>
              <w:jc w:val="center"/>
              <w:rPr>
                <w:b/>
                <w:bCs/>
                <w:color w:val="FFFFFF"/>
                <w:sz w:val="16"/>
              </w:rPr>
            </w:pPr>
          </w:p>
        </w:tc>
        <w:tc>
          <w:tcPr>
            <w:tcW w:w="1701" w:type="dxa"/>
            <w:tcBorders>
              <w:top w:val="single" w:sz="4" w:space="0" w:color="FFFFFF"/>
              <w:left w:val="single" w:sz="4" w:space="0" w:color="FFFFFF"/>
              <w:bottom w:val="single" w:sz="4" w:space="0" w:color="FFFFFF"/>
              <w:right w:val="single" w:sz="4" w:space="0" w:color="FFFFFF"/>
            </w:tcBorders>
            <w:shd w:val="clear" w:color="auto" w:fill="F07E31"/>
            <w:noWrap/>
            <w:hideMark/>
          </w:tcPr>
          <w:p w:rsidR="00DB5257" w:rsidRPr="006F5B0F" w:rsidRDefault="00AD2E14" w:rsidP="00DB5257">
            <w:pPr>
              <w:pStyle w:val="HStandard"/>
              <w:spacing w:line="240" w:lineRule="atLeast"/>
              <w:jc w:val="center"/>
              <w:rPr>
                <w:i/>
                <w:iCs/>
                <w:color w:val="FFFFFF"/>
                <w:sz w:val="16"/>
              </w:rPr>
            </w:pPr>
            <w:r>
              <w:rPr>
                <w:i/>
                <w:color w:val="FFFFFF"/>
                <w:sz w:val="16"/>
              </w:rPr>
              <w:t>Mikronivå</w:t>
            </w:r>
          </w:p>
        </w:tc>
        <w:tc>
          <w:tcPr>
            <w:tcW w:w="1701" w:type="dxa"/>
            <w:tcBorders>
              <w:top w:val="single" w:sz="4" w:space="0" w:color="FFFFFF"/>
              <w:left w:val="single" w:sz="4" w:space="0" w:color="FFFFFF"/>
              <w:bottom w:val="single" w:sz="4" w:space="0" w:color="FFFFFF"/>
              <w:right w:val="single" w:sz="4" w:space="0" w:color="FFFFFF"/>
            </w:tcBorders>
            <w:shd w:val="clear" w:color="auto" w:fill="F07E31"/>
            <w:noWrap/>
            <w:hideMark/>
          </w:tcPr>
          <w:p w:rsidR="00DB5257" w:rsidRPr="006F5B0F" w:rsidRDefault="00AD2E14" w:rsidP="00DB5257">
            <w:pPr>
              <w:pStyle w:val="HStandard"/>
              <w:spacing w:line="240" w:lineRule="atLeast"/>
              <w:jc w:val="center"/>
              <w:rPr>
                <w:i/>
                <w:iCs/>
                <w:color w:val="FFFFFF"/>
                <w:sz w:val="16"/>
              </w:rPr>
            </w:pPr>
            <w:r>
              <w:rPr>
                <w:i/>
                <w:color w:val="FFFFFF"/>
                <w:sz w:val="16"/>
              </w:rPr>
              <w:t>Makronivå</w:t>
            </w:r>
          </w:p>
        </w:tc>
        <w:tc>
          <w:tcPr>
            <w:tcW w:w="1701" w:type="dxa"/>
            <w:tcBorders>
              <w:top w:val="single" w:sz="4" w:space="0" w:color="FFFFFF"/>
              <w:left w:val="single" w:sz="4" w:space="0" w:color="FFFFFF"/>
              <w:bottom w:val="single" w:sz="4" w:space="0" w:color="FFFFFF"/>
              <w:right w:val="single" w:sz="4" w:space="0" w:color="FFFFFF"/>
            </w:tcBorders>
            <w:shd w:val="clear" w:color="auto" w:fill="F07E31"/>
            <w:noWrap/>
            <w:hideMark/>
          </w:tcPr>
          <w:p w:rsidR="00DB5257" w:rsidRPr="006F5B0F" w:rsidRDefault="00AD2E14" w:rsidP="00DB5257">
            <w:pPr>
              <w:pStyle w:val="HStandard"/>
              <w:spacing w:line="240" w:lineRule="atLeast"/>
              <w:jc w:val="center"/>
              <w:rPr>
                <w:i/>
                <w:iCs/>
                <w:color w:val="FFFFFF"/>
                <w:sz w:val="16"/>
              </w:rPr>
            </w:pPr>
            <w:r>
              <w:rPr>
                <w:i/>
                <w:color w:val="FFFFFF"/>
                <w:sz w:val="16"/>
              </w:rPr>
              <w:t>Mikronivå</w:t>
            </w:r>
          </w:p>
        </w:tc>
        <w:tc>
          <w:tcPr>
            <w:tcW w:w="1701" w:type="dxa"/>
            <w:tcBorders>
              <w:top w:val="single" w:sz="4" w:space="0" w:color="FFFFFF"/>
              <w:left w:val="single" w:sz="4" w:space="0" w:color="FFFFFF"/>
              <w:bottom w:val="single" w:sz="4" w:space="0" w:color="FFFFFF"/>
              <w:right w:val="single" w:sz="4" w:space="0" w:color="FFFFFF"/>
            </w:tcBorders>
            <w:shd w:val="clear" w:color="auto" w:fill="F07E31"/>
            <w:noWrap/>
            <w:hideMark/>
          </w:tcPr>
          <w:p w:rsidR="00DB5257" w:rsidRPr="006F5B0F" w:rsidRDefault="00AD2E14" w:rsidP="00DB5257">
            <w:pPr>
              <w:pStyle w:val="HStandard"/>
              <w:spacing w:line="240" w:lineRule="atLeast"/>
              <w:jc w:val="center"/>
              <w:rPr>
                <w:i/>
                <w:iCs/>
                <w:color w:val="FFFFFF"/>
                <w:sz w:val="16"/>
              </w:rPr>
            </w:pPr>
            <w:r>
              <w:rPr>
                <w:i/>
                <w:color w:val="FFFFFF"/>
                <w:sz w:val="16"/>
              </w:rPr>
              <w:t>Makronivå</w:t>
            </w:r>
          </w:p>
        </w:tc>
      </w:tr>
      <w:tr w:rsidR="00DB5257" w:rsidRPr="001C6ACF" w:rsidTr="00DB5257">
        <w:trPr>
          <w:trHeight w:val="255"/>
        </w:trPr>
        <w:tc>
          <w:tcPr>
            <w:tcW w:w="9209" w:type="dxa"/>
            <w:gridSpan w:val="6"/>
            <w:tcBorders>
              <w:top w:val="single" w:sz="4" w:space="0" w:color="FFFFFF"/>
            </w:tcBorders>
            <w:shd w:val="clear" w:color="auto" w:fill="BE4A35"/>
            <w:hideMark/>
          </w:tcPr>
          <w:p w:rsidR="00DB5257" w:rsidRPr="006F5B0F" w:rsidRDefault="00AD2E14" w:rsidP="00DB5257">
            <w:pPr>
              <w:pStyle w:val="HStandard"/>
              <w:spacing w:line="240" w:lineRule="atLeast"/>
              <w:rPr>
                <w:b/>
                <w:bCs/>
                <w:color w:val="FFFFFF"/>
                <w:sz w:val="16"/>
              </w:rPr>
            </w:pPr>
            <w:r>
              <w:rPr>
                <w:b/>
                <w:color w:val="FFFFFF"/>
                <w:sz w:val="16"/>
              </w:rPr>
              <w:t>Sektorsrelaterade effekter</w:t>
            </w:r>
          </w:p>
        </w:tc>
      </w:tr>
      <w:tr w:rsidR="00DB5257" w:rsidRPr="001C6ACF" w:rsidTr="00DB5257">
        <w:trPr>
          <w:trHeight w:val="1193"/>
        </w:trPr>
        <w:tc>
          <w:tcPr>
            <w:tcW w:w="988" w:type="dxa"/>
            <w:tcBorders>
              <w:bottom w:val="single" w:sz="4" w:space="0" w:color="808080"/>
              <w:right w:val="nil"/>
            </w:tcBorders>
            <w:hideMark/>
          </w:tcPr>
          <w:p w:rsidR="00DB5257" w:rsidRPr="006F5B0F" w:rsidRDefault="00F02B64" w:rsidP="00DB5257">
            <w:pPr>
              <w:pStyle w:val="HStandard"/>
              <w:jc w:val="center"/>
              <w:rPr>
                <w:b/>
                <w:bCs/>
                <w:color w:val="BE4A35"/>
              </w:rPr>
            </w:pPr>
            <w:r>
              <w:rPr>
                <w:noProof/>
                <w:lang w:val="en-GB" w:eastAsia="en-GB"/>
              </w:rPr>
              <w:drawing>
                <wp:anchor distT="0" distB="0" distL="114300" distR="114300" simplePos="0" relativeHeight="251655680" behindDoc="1" locked="0" layoutInCell="1" allowOverlap="1">
                  <wp:simplePos x="0" y="0"/>
                  <wp:positionH relativeFrom="column">
                    <wp:posOffset>0</wp:posOffset>
                  </wp:positionH>
                  <wp:positionV relativeFrom="paragraph">
                    <wp:posOffset>185420</wp:posOffset>
                  </wp:positionV>
                  <wp:extent cx="489585" cy="489585"/>
                  <wp:effectExtent l="0" t="0" r="0" b="5715"/>
                  <wp:wrapTight wrapText="bothSides">
                    <wp:wrapPolygon edited="0">
                      <wp:start x="5043" y="0"/>
                      <wp:lineTo x="2521" y="2521"/>
                      <wp:lineTo x="840" y="8405"/>
                      <wp:lineTo x="1681" y="15969"/>
                      <wp:lineTo x="5883" y="21012"/>
                      <wp:lineTo x="8405" y="21012"/>
                      <wp:lineTo x="14288" y="21012"/>
                      <wp:lineTo x="15128" y="21012"/>
                      <wp:lineTo x="18490" y="13447"/>
                      <wp:lineTo x="19331" y="10926"/>
                      <wp:lineTo x="17650" y="3362"/>
                      <wp:lineTo x="14288" y="0"/>
                      <wp:lineTo x="5043" y="0"/>
                    </wp:wrapPolygon>
                  </wp:wrapTight>
                  <wp:docPr id="3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9585" cy="489585"/>
                          </a:xfrm>
                          <a:prstGeom prst="rect">
                            <a:avLst/>
                          </a:prstGeom>
                          <a:noFill/>
                        </pic:spPr>
                      </pic:pic>
                    </a:graphicData>
                  </a:graphic>
                  <wp14:sizeRelH relativeFrom="page">
                    <wp14:pctWidth>0</wp14:pctWidth>
                  </wp14:sizeRelH>
                  <wp14:sizeRelV relativeFrom="page">
                    <wp14:pctHeight>0</wp14:pctHeight>
                  </wp14:sizeRelV>
                </wp:anchor>
              </w:drawing>
            </w:r>
            <w:r w:rsidR="00AD2E14">
              <w:rPr>
                <w:b/>
                <w:color w:val="BE4A35"/>
              </w:rPr>
              <w:t>I.01</w:t>
            </w:r>
          </w:p>
        </w:tc>
        <w:tc>
          <w:tcPr>
            <w:tcW w:w="1417" w:type="dxa"/>
            <w:tcBorders>
              <w:left w:val="nil"/>
              <w:bottom w:val="single" w:sz="4" w:space="0" w:color="808080"/>
            </w:tcBorders>
            <w:vAlign w:val="center"/>
            <w:hideMark/>
          </w:tcPr>
          <w:p w:rsidR="00DB5257" w:rsidRPr="006F5B0F" w:rsidRDefault="00AD2E14" w:rsidP="00DB5257">
            <w:pPr>
              <w:pStyle w:val="HStandard"/>
              <w:spacing w:after="0"/>
              <w:jc w:val="left"/>
              <w:rPr>
                <w:b/>
                <w:color w:val="BE4A35"/>
                <w:sz w:val="16"/>
                <w:szCs w:val="18"/>
              </w:rPr>
            </w:pPr>
            <w:r>
              <w:rPr>
                <w:b/>
                <w:color w:val="BE4A35"/>
                <w:sz w:val="16"/>
              </w:rPr>
              <w:t>Jordbrukets företagsinkomst</w:t>
            </w:r>
          </w:p>
        </w:tc>
        <w:tc>
          <w:tcPr>
            <w:tcW w:w="1701" w:type="dxa"/>
            <w:vMerge w:val="restart"/>
            <w:vAlign w:val="center"/>
            <w:hideMark/>
          </w:tcPr>
          <w:p w:rsidR="00DB5257" w:rsidRPr="00013DFC" w:rsidRDefault="00AD2E14" w:rsidP="00DB5257">
            <w:pPr>
              <w:pStyle w:val="HStandard"/>
              <w:spacing w:after="0" w:line="240" w:lineRule="auto"/>
              <w:jc w:val="center"/>
              <w:rPr>
                <w:sz w:val="16"/>
                <w:szCs w:val="18"/>
                <w:lang w:val="en-GB"/>
              </w:rPr>
            </w:pPr>
            <w:proofErr w:type="spellStart"/>
            <w:r w:rsidRPr="00013DFC">
              <w:rPr>
                <w:sz w:val="16"/>
                <w:lang w:val="en-GB"/>
              </w:rPr>
              <w:t>Kombination</w:t>
            </w:r>
            <w:proofErr w:type="spellEnd"/>
            <w:r w:rsidRPr="00013DFC">
              <w:rPr>
                <w:sz w:val="16"/>
                <w:lang w:val="en-GB"/>
              </w:rPr>
              <w:t xml:space="preserve"> </w:t>
            </w:r>
            <w:proofErr w:type="spellStart"/>
            <w:r w:rsidRPr="00013DFC">
              <w:rPr>
                <w:sz w:val="16"/>
                <w:lang w:val="en-GB"/>
              </w:rPr>
              <w:t>av</w:t>
            </w:r>
            <w:proofErr w:type="spellEnd"/>
            <w:r w:rsidRPr="00013DFC">
              <w:rPr>
                <w:sz w:val="16"/>
                <w:lang w:val="en-GB"/>
              </w:rPr>
              <w:t xml:space="preserve"> Propensity Score Matching-</w:t>
            </w:r>
            <w:proofErr w:type="spellStart"/>
            <w:r w:rsidRPr="00013DFC">
              <w:rPr>
                <w:sz w:val="16"/>
                <w:lang w:val="en-GB"/>
              </w:rPr>
              <w:t>metoder</w:t>
            </w:r>
            <w:proofErr w:type="spellEnd"/>
            <w:r w:rsidRPr="00013DFC">
              <w:rPr>
                <w:sz w:val="16"/>
                <w:lang w:val="en-GB"/>
              </w:rPr>
              <w:t xml:space="preserve"> </w:t>
            </w:r>
            <w:proofErr w:type="spellStart"/>
            <w:r w:rsidRPr="00013DFC">
              <w:rPr>
                <w:sz w:val="16"/>
                <w:lang w:val="en-GB"/>
              </w:rPr>
              <w:t>och</w:t>
            </w:r>
            <w:proofErr w:type="spellEnd"/>
            <w:r w:rsidRPr="00013DFC">
              <w:rPr>
                <w:sz w:val="16"/>
                <w:lang w:val="en-GB"/>
              </w:rPr>
              <w:t xml:space="preserve"> Difference in Differences-</w:t>
            </w:r>
            <w:proofErr w:type="spellStart"/>
            <w:r w:rsidRPr="00013DFC">
              <w:rPr>
                <w:sz w:val="16"/>
                <w:lang w:val="en-GB"/>
              </w:rPr>
              <w:t>metoden</w:t>
            </w:r>
            <w:proofErr w:type="spellEnd"/>
            <w:r w:rsidRPr="00013DFC">
              <w:rPr>
                <w:sz w:val="16"/>
                <w:lang w:val="en-GB"/>
              </w:rPr>
              <w:t xml:space="preserve"> (</w:t>
            </w:r>
            <w:proofErr w:type="spellStart"/>
            <w:r w:rsidRPr="00013DFC">
              <w:rPr>
                <w:sz w:val="16"/>
                <w:lang w:val="en-GB"/>
              </w:rPr>
              <w:t>PSM-DiD</w:t>
            </w:r>
            <w:proofErr w:type="spellEnd"/>
            <w:r w:rsidRPr="00013DFC">
              <w:rPr>
                <w:sz w:val="16"/>
                <w:lang w:val="en-GB"/>
              </w:rPr>
              <w:t>)</w:t>
            </w:r>
          </w:p>
        </w:tc>
        <w:tc>
          <w:tcPr>
            <w:tcW w:w="1701" w:type="dxa"/>
            <w:vMerge w:val="restart"/>
            <w:vAlign w:val="center"/>
            <w:hideMark/>
          </w:tcPr>
          <w:p w:rsidR="00DB5257" w:rsidRPr="006F5B0F" w:rsidRDefault="00AD2E14" w:rsidP="00DB5257">
            <w:pPr>
              <w:pStyle w:val="HStandard"/>
              <w:spacing w:after="0" w:line="240" w:lineRule="auto"/>
              <w:jc w:val="center"/>
              <w:rPr>
                <w:sz w:val="16"/>
                <w:szCs w:val="18"/>
              </w:rPr>
            </w:pPr>
            <w:r>
              <w:rPr>
                <w:sz w:val="16"/>
              </w:rPr>
              <w:t xml:space="preserve">Uppifrån och ned-metoder för uppdatering av resultat på mikronivå </w:t>
            </w:r>
            <w:r>
              <w:br/>
            </w:r>
            <w:r>
              <w:br/>
            </w:r>
            <w:r>
              <w:rPr>
                <w:sz w:val="16"/>
              </w:rPr>
              <w:t>Tillämpning av sektorsmodell</w:t>
            </w:r>
          </w:p>
        </w:tc>
        <w:tc>
          <w:tcPr>
            <w:tcW w:w="1701" w:type="dxa"/>
            <w:vMerge w:val="restart"/>
            <w:vAlign w:val="center"/>
            <w:hideMark/>
          </w:tcPr>
          <w:p w:rsidR="00DB5257" w:rsidRPr="006F5B0F" w:rsidRDefault="00AD2E14" w:rsidP="00DB5257">
            <w:pPr>
              <w:pStyle w:val="HStandard"/>
              <w:spacing w:after="0" w:line="240" w:lineRule="auto"/>
              <w:jc w:val="center"/>
              <w:rPr>
                <w:sz w:val="16"/>
                <w:szCs w:val="18"/>
              </w:rPr>
            </w:pPr>
            <w:r>
              <w:rPr>
                <w:sz w:val="16"/>
              </w:rPr>
              <w:t>Regression Discontinuity Design (RDD)</w:t>
            </w:r>
          </w:p>
        </w:tc>
        <w:tc>
          <w:tcPr>
            <w:tcW w:w="1701" w:type="dxa"/>
            <w:vMerge w:val="restart"/>
            <w:vAlign w:val="center"/>
            <w:hideMark/>
          </w:tcPr>
          <w:p w:rsidR="00DB5257" w:rsidRPr="006F5B0F" w:rsidRDefault="00AD2E14" w:rsidP="00DB5257">
            <w:pPr>
              <w:pStyle w:val="HStandard"/>
              <w:spacing w:after="0" w:line="240" w:lineRule="auto"/>
              <w:jc w:val="center"/>
              <w:rPr>
                <w:sz w:val="16"/>
                <w:szCs w:val="18"/>
              </w:rPr>
            </w:pPr>
            <w:r>
              <w:rPr>
                <w:sz w:val="16"/>
              </w:rPr>
              <w:t>Uppifrån och ned-metoder med uppdatering av resultat på mikronivå</w:t>
            </w:r>
          </w:p>
        </w:tc>
      </w:tr>
      <w:tr w:rsidR="00DB5257" w:rsidRPr="001C6ACF" w:rsidTr="00DB5257">
        <w:trPr>
          <w:trHeight w:val="1167"/>
        </w:trPr>
        <w:tc>
          <w:tcPr>
            <w:tcW w:w="988" w:type="dxa"/>
            <w:tcBorders>
              <w:right w:val="nil"/>
            </w:tcBorders>
            <w:hideMark/>
          </w:tcPr>
          <w:p w:rsidR="00DB5257" w:rsidRPr="006F5B0F" w:rsidRDefault="00F02B64" w:rsidP="00DB5257">
            <w:pPr>
              <w:pStyle w:val="HStandard"/>
              <w:jc w:val="center"/>
              <w:rPr>
                <w:b/>
                <w:bCs/>
                <w:color w:val="BE4A35"/>
              </w:rPr>
            </w:pPr>
            <w:r>
              <w:rPr>
                <w:noProof/>
                <w:lang w:val="en-GB" w:eastAsia="en-GB"/>
              </w:rPr>
              <w:drawing>
                <wp:anchor distT="0" distB="0" distL="114300" distR="114300" simplePos="0" relativeHeight="251644416" behindDoc="0" locked="0" layoutInCell="1" allowOverlap="1">
                  <wp:simplePos x="0" y="0"/>
                  <wp:positionH relativeFrom="column">
                    <wp:posOffset>31750</wp:posOffset>
                  </wp:positionH>
                  <wp:positionV relativeFrom="paragraph">
                    <wp:posOffset>215265</wp:posOffset>
                  </wp:positionV>
                  <wp:extent cx="489585" cy="489585"/>
                  <wp:effectExtent l="0" t="0" r="5715" b="5715"/>
                  <wp:wrapSquare wrapText="bothSides"/>
                  <wp:docPr id="3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9585" cy="489585"/>
                          </a:xfrm>
                          <a:prstGeom prst="rect">
                            <a:avLst/>
                          </a:prstGeom>
                          <a:noFill/>
                        </pic:spPr>
                      </pic:pic>
                    </a:graphicData>
                  </a:graphic>
                  <wp14:sizeRelH relativeFrom="page">
                    <wp14:pctWidth>0</wp14:pctWidth>
                  </wp14:sizeRelH>
                  <wp14:sizeRelV relativeFrom="page">
                    <wp14:pctHeight>0</wp14:pctHeight>
                  </wp14:sizeRelV>
                </wp:anchor>
              </w:drawing>
            </w:r>
            <w:r w:rsidR="00AD2E14">
              <w:rPr>
                <w:b/>
                <w:color w:val="BE4A35"/>
              </w:rPr>
              <w:t>I.02</w:t>
            </w:r>
          </w:p>
        </w:tc>
        <w:tc>
          <w:tcPr>
            <w:tcW w:w="1417" w:type="dxa"/>
            <w:tcBorders>
              <w:left w:val="nil"/>
            </w:tcBorders>
            <w:vAlign w:val="center"/>
            <w:hideMark/>
          </w:tcPr>
          <w:p w:rsidR="00DB5257" w:rsidRPr="006F5B0F" w:rsidRDefault="00AD2E14" w:rsidP="00DB5257">
            <w:pPr>
              <w:pStyle w:val="HStandard"/>
              <w:spacing w:after="0"/>
              <w:jc w:val="left"/>
              <w:rPr>
                <w:b/>
                <w:color w:val="BE4A35"/>
                <w:sz w:val="16"/>
                <w:szCs w:val="18"/>
              </w:rPr>
            </w:pPr>
            <w:r>
              <w:rPr>
                <w:b/>
                <w:color w:val="BE4A35"/>
                <w:sz w:val="16"/>
              </w:rPr>
              <w:t>Jordbrukets faktorinkomst</w:t>
            </w:r>
          </w:p>
        </w:tc>
        <w:tc>
          <w:tcPr>
            <w:tcW w:w="1701" w:type="dxa"/>
            <w:vMerge/>
            <w:hideMark/>
          </w:tcPr>
          <w:p w:rsidR="00DB5257" w:rsidRPr="006F5B0F" w:rsidRDefault="00DB5257" w:rsidP="00DB5257">
            <w:pPr>
              <w:pStyle w:val="HStandard"/>
              <w:spacing w:line="240" w:lineRule="auto"/>
              <w:rPr>
                <w:sz w:val="16"/>
              </w:rPr>
            </w:pPr>
          </w:p>
        </w:tc>
        <w:tc>
          <w:tcPr>
            <w:tcW w:w="1701" w:type="dxa"/>
            <w:vMerge/>
            <w:hideMark/>
          </w:tcPr>
          <w:p w:rsidR="00DB5257" w:rsidRPr="006F5B0F" w:rsidRDefault="00DB5257" w:rsidP="00DB5257">
            <w:pPr>
              <w:pStyle w:val="HStandard"/>
              <w:spacing w:line="240" w:lineRule="auto"/>
              <w:rPr>
                <w:sz w:val="16"/>
              </w:rPr>
            </w:pPr>
          </w:p>
        </w:tc>
        <w:tc>
          <w:tcPr>
            <w:tcW w:w="1701" w:type="dxa"/>
            <w:vMerge/>
            <w:hideMark/>
          </w:tcPr>
          <w:p w:rsidR="00DB5257" w:rsidRPr="006F5B0F" w:rsidRDefault="00DB5257" w:rsidP="00DB5257">
            <w:pPr>
              <w:pStyle w:val="HStandard"/>
              <w:spacing w:line="240" w:lineRule="auto"/>
              <w:rPr>
                <w:sz w:val="16"/>
              </w:rPr>
            </w:pPr>
          </w:p>
        </w:tc>
        <w:tc>
          <w:tcPr>
            <w:tcW w:w="1701" w:type="dxa"/>
            <w:vMerge/>
            <w:hideMark/>
          </w:tcPr>
          <w:p w:rsidR="00DB5257" w:rsidRPr="006F5B0F" w:rsidRDefault="00DB5257" w:rsidP="00DB5257">
            <w:pPr>
              <w:pStyle w:val="HStandard"/>
              <w:spacing w:line="240" w:lineRule="auto"/>
              <w:rPr>
                <w:sz w:val="16"/>
              </w:rPr>
            </w:pPr>
          </w:p>
        </w:tc>
      </w:tr>
      <w:tr w:rsidR="00DB5257" w:rsidRPr="001C6ACF" w:rsidTr="00DB5257">
        <w:trPr>
          <w:trHeight w:val="1163"/>
        </w:trPr>
        <w:tc>
          <w:tcPr>
            <w:tcW w:w="988" w:type="dxa"/>
            <w:tcBorders>
              <w:right w:val="nil"/>
            </w:tcBorders>
            <w:hideMark/>
          </w:tcPr>
          <w:p w:rsidR="00DB5257" w:rsidRPr="006F5B0F" w:rsidRDefault="00F02B64" w:rsidP="00DB5257">
            <w:pPr>
              <w:pStyle w:val="HStandard"/>
              <w:jc w:val="center"/>
              <w:rPr>
                <w:b/>
                <w:bCs/>
                <w:color w:val="BE4A35"/>
              </w:rPr>
            </w:pPr>
            <w:r>
              <w:rPr>
                <w:noProof/>
                <w:lang w:val="en-GB" w:eastAsia="en-GB"/>
              </w:rPr>
              <w:drawing>
                <wp:anchor distT="0" distB="0" distL="114300" distR="114300" simplePos="0" relativeHeight="251654656" behindDoc="1" locked="0" layoutInCell="1" allowOverlap="1">
                  <wp:simplePos x="0" y="0"/>
                  <wp:positionH relativeFrom="column">
                    <wp:posOffset>63500</wp:posOffset>
                  </wp:positionH>
                  <wp:positionV relativeFrom="paragraph">
                    <wp:posOffset>215900</wp:posOffset>
                  </wp:positionV>
                  <wp:extent cx="489585" cy="489585"/>
                  <wp:effectExtent l="0" t="0" r="0" b="5715"/>
                  <wp:wrapTight wrapText="bothSides">
                    <wp:wrapPolygon edited="0">
                      <wp:start x="6724" y="0"/>
                      <wp:lineTo x="5043" y="2521"/>
                      <wp:lineTo x="2521" y="14288"/>
                      <wp:lineTo x="5883" y="21012"/>
                      <wp:lineTo x="15128" y="21012"/>
                      <wp:lineTo x="18490" y="12607"/>
                      <wp:lineTo x="15969" y="2521"/>
                      <wp:lineTo x="14288" y="0"/>
                      <wp:lineTo x="6724" y="0"/>
                    </wp:wrapPolygon>
                  </wp:wrapTight>
                  <wp:docPr id="3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9585" cy="489585"/>
                          </a:xfrm>
                          <a:prstGeom prst="rect">
                            <a:avLst/>
                          </a:prstGeom>
                          <a:noFill/>
                        </pic:spPr>
                      </pic:pic>
                    </a:graphicData>
                  </a:graphic>
                  <wp14:sizeRelH relativeFrom="page">
                    <wp14:pctWidth>0</wp14:pctWidth>
                  </wp14:sizeRelH>
                  <wp14:sizeRelV relativeFrom="page">
                    <wp14:pctHeight>0</wp14:pctHeight>
                  </wp14:sizeRelV>
                </wp:anchor>
              </w:drawing>
            </w:r>
            <w:r w:rsidR="00AD2E14">
              <w:rPr>
                <w:b/>
                <w:color w:val="BE4A35"/>
              </w:rPr>
              <w:t>I.03</w:t>
            </w:r>
          </w:p>
        </w:tc>
        <w:tc>
          <w:tcPr>
            <w:tcW w:w="1417" w:type="dxa"/>
            <w:tcBorders>
              <w:left w:val="nil"/>
            </w:tcBorders>
            <w:vAlign w:val="center"/>
            <w:hideMark/>
          </w:tcPr>
          <w:p w:rsidR="00DB5257" w:rsidRPr="006F5B0F" w:rsidRDefault="00AD2E14" w:rsidP="00DB5257">
            <w:pPr>
              <w:pStyle w:val="HStandard"/>
              <w:spacing w:after="0"/>
              <w:jc w:val="left"/>
              <w:rPr>
                <w:b/>
                <w:color w:val="BE4A35"/>
                <w:sz w:val="16"/>
                <w:szCs w:val="18"/>
              </w:rPr>
            </w:pPr>
            <w:r>
              <w:rPr>
                <w:b/>
                <w:color w:val="BE4A35"/>
                <w:sz w:val="16"/>
              </w:rPr>
              <w:t>Jordbrukets sammanlagda faktorproduktivitet</w:t>
            </w:r>
          </w:p>
        </w:tc>
        <w:tc>
          <w:tcPr>
            <w:tcW w:w="1701" w:type="dxa"/>
            <w:vMerge/>
            <w:hideMark/>
          </w:tcPr>
          <w:p w:rsidR="00DB5257" w:rsidRPr="006F5B0F" w:rsidRDefault="00DB5257" w:rsidP="00DB5257">
            <w:pPr>
              <w:pStyle w:val="HStandard"/>
              <w:spacing w:line="240" w:lineRule="auto"/>
              <w:rPr>
                <w:sz w:val="16"/>
              </w:rPr>
            </w:pPr>
          </w:p>
        </w:tc>
        <w:tc>
          <w:tcPr>
            <w:tcW w:w="1701" w:type="dxa"/>
            <w:vMerge/>
            <w:hideMark/>
          </w:tcPr>
          <w:p w:rsidR="00DB5257" w:rsidRPr="006F5B0F" w:rsidRDefault="00DB5257" w:rsidP="00DB5257">
            <w:pPr>
              <w:pStyle w:val="HStandard"/>
              <w:spacing w:line="240" w:lineRule="auto"/>
              <w:rPr>
                <w:sz w:val="16"/>
              </w:rPr>
            </w:pPr>
          </w:p>
        </w:tc>
        <w:tc>
          <w:tcPr>
            <w:tcW w:w="1701" w:type="dxa"/>
            <w:vMerge/>
            <w:hideMark/>
          </w:tcPr>
          <w:p w:rsidR="00DB5257" w:rsidRPr="006F5B0F" w:rsidRDefault="00DB5257" w:rsidP="00DB5257">
            <w:pPr>
              <w:pStyle w:val="HStandard"/>
              <w:spacing w:line="240" w:lineRule="auto"/>
              <w:rPr>
                <w:sz w:val="16"/>
              </w:rPr>
            </w:pPr>
          </w:p>
        </w:tc>
        <w:tc>
          <w:tcPr>
            <w:tcW w:w="1701" w:type="dxa"/>
            <w:vMerge/>
            <w:hideMark/>
          </w:tcPr>
          <w:p w:rsidR="00DB5257" w:rsidRPr="006F5B0F" w:rsidRDefault="00DB5257" w:rsidP="00DB5257">
            <w:pPr>
              <w:pStyle w:val="HStandard"/>
              <w:spacing w:line="240" w:lineRule="auto"/>
              <w:rPr>
                <w:sz w:val="16"/>
              </w:rPr>
            </w:pPr>
          </w:p>
        </w:tc>
      </w:tr>
      <w:tr w:rsidR="00DB5257" w:rsidRPr="001C6ACF" w:rsidTr="00DB5257">
        <w:trPr>
          <w:trHeight w:val="255"/>
        </w:trPr>
        <w:tc>
          <w:tcPr>
            <w:tcW w:w="9209" w:type="dxa"/>
            <w:gridSpan w:val="6"/>
            <w:shd w:val="clear" w:color="auto" w:fill="57825E"/>
            <w:hideMark/>
          </w:tcPr>
          <w:p w:rsidR="00DB5257" w:rsidRPr="006F5B0F" w:rsidRDefault="00AD2E14" w:rsidP="00DB5257">
            <w:pPr>
              <w:pStyle w:val="HStandard"/>
              <w:spacing w:line="240" w:lineRule="auto"/>
              <w:rPr>
                <w:bCs/>
                <w:color w:val="FFFFFF"/>
                <w:sz w:val="16"/>
              </w:rPr>
            </w:pPr>
            <w:r>
              <w:rPr>
                <w:color w:val="FFFFFF"/>
                <w:sz w:val="16"/>
              </w:rPr>
              <w:t>Miljöeffekter</w:t>
            </w:r>
          </w:p>
        </w:tc>
      </w:tr>
      <w:tr w:rsidR="00DB5257" w:rsidRPr="001C6ACF" w:rsidTr="00DB5257">
        <w:trPr>
          <w:trHeight w:val="1068"/>
        </w:trPr>
        <w:tc>
          <w:tcPr>
            <w:tcW w:w="988" w:type="dxa"/>
            <w:tcBorders>
              <w:right w:val="nil"/>
            </w:tcBorders>
            <w:hideMark/>
          </w:tcPr>
          <w:p w:rsidR="00DB5257" w:rsidRPr="006F5B0F" w:rsidRDefault="00F02B64" w:rsidP="00DB5257">
            <w:pPr>
              <w:pStyle w:val="HStandard"/>
              <w:jc w:val="center"/>
              <w:rPr>
                <w:b/>
                <w:bCs/>
                <w:color w:val="57825E"/>
              </w:rPr>
            </w:pPr>
            <w:r>
              <w:rPr>
                <w:noProof/>
                <w:lang w:val="en-GB" w:eastAsia="en-GB"/>
              </w:rPr>
              <w:drawing>
                <wp:anchor distT="0" distB="0" distL="114300" distR="114300" simplePos="0" relativeHeight="251656704" behindDoc="1" locked="0" layoutInCell="1" allowOverlap="1">
                  <wp:simplePos x="0" y="0"/>
                  <wp:positionH relativeFrom="column">
                    <wp:posOffset>63500</wp:posOffset>
                  </wp:positionH>
                  <wp:positionV relativeFrom="paragraph">
                    <wp:posOffset>203200</wp:posOffset>
                  </wp:positionV>
                  <wp:extent cx="489585" cy="489585"/>
                  <wp:effectExtent l="0" t="0" r="5715" b="0"/>
                  <wp:wrapTight wrapText="bothSides">
                    <wp:wrapPolygon edited="0">
                      <wp:start x="10086" y="1681"/>
                      <wp:lineTo x="0" y="10926"/>
                      <wp:lineTo x="0" y="19331"/>
                      <wp:lineTo x="21012" y="19331"/>
                      <wp:lineTo x="21012" y="9245"/>
                      <wp:lineTo x="17650" y="1681"/>
                      <wp:lineTo x="10086" y="1681"/>
                    </wp:wrapPolygon>
                  </wp:wrapTight>
                  <wp:docPr id="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9585" cy="489585"/>
                          </a:xfrm>
                          <a:prstGeom prst="rect">
                            <a:avLst/>
                          </a:prstGeom>
                          <a:noFill/>
                        </pic:spPr>
                      </pic:pic>
                    </a:graphicData>
                  </a:graphic>
                  <wp14:sizeRelH relativeFrom="page">
                    <wp14:pctWidth>0</wp14:pctWidth>
                  </wp14:sizeRelH>
                  <wp14:sizeRelV relativeFrom="page">
                    <wp14:pctHeight>0</wp14:pctHeight>
                  </wp14:sizeRelV>
                </wp:anchor>
              </w:drawing>
            </w:r>
            <w:r w:rsidR="00AD2E14">
              <w:rPr>
                <w:b/>
                <w:color w:val="57825E"/>
              </w:rPr>
              <w:t>I.07</w:t>
            </w:r>
          </w:p>
        </w:tc>
        <w:tc>
          <w:tcPr>
            <w:tcW w:w="1417" w:type="dxa"/>
            <w:tcBorders>
              <w:left w:val="nil"/>
            </w:tcBorders>
            <w:vAlign w:val="center"/>
            <w:hideMark/>
          </w:tcPr>
          <w:p w:rsidR="00DB5257" w:rsidRPr="006F5B0F" w:rsidRDefault="00AD2E14" w:rsidP="00DB5257">
            <w:pPr>
              <w:pStyle w:val="HStandard"/>
              <w:jc w:val="left"/>
              <w:rPr>
                <w:rFonts w:cs="Arial"/>
                <w:b/>
                <w:color w:val="57825E"/>
                <w:sz w:val="16"/>
                <w:szCs w:val="18"/>
              </w:rPr>
            </w:pPr>
            <w:r>
              <w:rPr>
                <w:b/>
                <w:color w:val="57825E"/>
                <w:sz w:val="16"/>
              </w:rPr>
              <w:t xml:space="preserve">Utsläpp från jordbruket </w:t>
            </w:r>
          </w:p>
        </w:tc>
        <w:tc>
          <w:tcPr>
            <w:tcW w:w="1701" w:type="dxa"/>
            <w:vAlign w:val="center"/>
            <w:hideMark/>
          </w:tcPr>
          <w:p w:rsidR="00DB5257" w:rsidRPr="006F5B0F" w:rsidRDefault="00AD2E14" w:rsidP="00DB5257">
            <w:pPr>
              <w:pStyle w:val="HStandard"/>
              <w:spacing w:line="240" w:lineRule="auto"/>
              <w:jc w:val="center"/>
              <w:rPr>
                <w:rFonts w:cs="Arial"/>
                <w:sz w:val="16"/>
                <w:szCs w:val="18"/>
              </w:rPr>
            </w:pPr>
            <w:r>
              <w:rPr>
                <w:sz w:val="16"/>
              </w:rPr>
              <w:t>Regression och matchningstekniker</w:t>
            </w:r>
          </w:p>
        </w:tc>
        <w:tc>
          <w:tcPr>
            <w:tcW w:w="1701" w:type="dxa"/>
            <w:vAlign w:val="center"/>
            <w:hideMark/>
          </w:tcPr>
          <w:p w:rsidR="00DB5257" w:rsidRPr="006F5B0F" w:rsidRDefault="00AD2E14" w:rsidP="00DB5257">
            <w:pPr>
              <w:pStyle w:val="HStandard"/>
              <w:spacing w:line="240" w:lineRule="auto"/>
              <w:jc w:val="center"/>
              <w:rPr>
                <w:rFonts w:cs="Arial"/>
                <w:sz w:val="16"/>
                <w:szCs w:val="18"/>
              </w:rPr>
            </w:pPr>
            <w:r>
              <w:rPr>
                <w:sz w:val="16"/>
              </w:rPr>
              <w:t>General Propensity Score Matching (GPSM) med NUTS 3 eller andra spatiala data</w:t>
            </w:r>
          </w:p>
        </w:tc>
        <w:tc>
          <w:tcPr>
            <w:tcW w:w="1701" w:type="dxa"/>
            <w:vAlign w:val="center"/>
            <w:hideMark/>
          </w:tcPr>
          <w:p w:rsidR="00DB5257" w:rsidRPr="006F5B0F" w:rsidRDefault="00AD2E14" w:rsidP="00DB5257">
            <w:pPr>
              <w:pStyle w:val="HStandard"/>
              <w:spacing w:line="240" w:lineRule="auto"/>
              <w:jc w:val="center"/>
              <w:rPr>
                <w:rFonts w:cs="Arial"/>
                <w:sz w:val="16"/>
                <w:szCs w:val="18"/>
              </w:rPr>
            </w:pPr>
            <w:r>
              <w:rPr>
                <w:sz w:val="16"/>
              </w:rPr>
              <w:t>Inget av dessa</w:t>
            </w:r>
          </w:p>
        </w:tc>
        <w:tc>
          <w:tcPr>
            <w:tcW w:w="1701" w:type="dxa"/>
            <w:vAlign w:val="center"/>
            <w:hideMark/>
          </w:tcPr>
          <w:p w:rsidR="00DB5257" w:rsidRPr="006F5B0F" w:rsidRDefault="00AD2E14" w:rsidP="00DB5257">
            <w:pPr>
              <w:pStyle w:val="HStandard"/>
              <w:spacing w:line="240" w:lineRule="auto"/>
              <w:jc w:val="center"/>
              <w:rPr>
                <w:rFonts w:cs="Arial"/>
                <w:sz w:val="16"/>
                <w:szCs w:val="18"/>
              </w:rPr>
            </w:pPr>
            <w:r>
              <w:rPr>
                <w:sz w:val="16"/>
              </w:rPr>
              <w:t xml:space="preserve">Naiv baslinje </w:t>
            </w:r>
            <w:r>
              <w:br/>
            </w:r>
            <w:r>
              <w:rPr>
                <w:sz w:val="16"/>
              </w:rPr>
              <w:t>Jämförelser (inklusive kvalitativa metoder)</w:t>
            </w:r>
          </w:p>
        </w:tc>
      </w:tr>
      <w:tr w:rsidR="00DB5257" w:rsidRPr="001C6ACF" w:rsidTr="00DB5257">
        <w:trPr>
          <w:trHeight w:val="630"/>
        </w:trPr>
        <w:tc>
          <w:tcPr>
            <w:tcW w:w="988" w:type="dxa"/>
            <w:tcBorders>
              <w:right w:val="nil"/>
            </w:tcBorders>
            <w:hideMark/>
          </w:tcPr>
          <w:p w:rsidR="00DB5257" w:rsidRPr="006F5B0F" w:rsidRDefault="00F02B64" w:rsidP="00DB5257">
            <w:pPr>
              <w:pStyle w:val="HStandard"/>
              <w:jc w:val="center"/>
              <w:rPr>
                <w:b/>
                <w:bCs/>
                <w:color w:val="57825E"/>
              </w:rPr>
            </w:pPr>
            <w:r>
              <w:rPr>
                <w:noProof/>
                <w:lang w:val="en-GB" w:eastAsia="en-GB"/>
              </w:rPr>
              <w:drawing>
                <wp:anchor distT="0" distB="0" distL="114300" distR="114300" simplePos="0" relativeHeight="251653632" behindDoc="1" locked="0" layoutInCell="1" allowOverlap="1">
                  <wp:simplePos x="0" y="0"/>
                  <wp:positionH relativeFrom="column">
                    <wp:posOffset>34290</wp:posOffset>
                  </wp:positionH>
                  <wp:positionV relativeFrom="paragraph">
                    <wp:posOffset>215265</wp:posOffset>
                  </wp:positionV>
                  <wp:extent cx="489585" cy="489585"/>
                  <wp:effectExtent l="0" t="0" r="5715" b="5715"/>
                  <wp:wrapTight wrapText="bothSides">
                    <wp:wrapPolygon edited="0">
                      <wp:start x="14288" y="0"/>
                      <wp:lineTo x="0" y="5883"/>
                      <wp:lineTo x="0" y="8405"/>
                      <wp:lineTo x="8405" y="13447"/>
                      <wp:lineTo x="13447" y="21012"/>
                      <wp:lineTo x="14288" y="21012"/>
                      <wp:lineTo x="18490" y="21012"/>
                      <wp:lineTo x="15969" y="13447"/>
                      <wp:lineTo x="21012" y="3362"/>
                      <wp:lineTo x="21012" y="0"/>
                      <wp:lineTo x="18490" y="0"/>
                      <wp:lineTo x="14288" y="0"/>
                    </wp:wrapPolygon>
                  </wp:wrapTight>
                  <wp:docPr id="3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9585" cy="489585"/>
                          </a:xfrm>
                          <a:prstGeom prst="rect">
                            <a:avLst/>
                          </a:prstGeom>
                          <a:noFill/>
                        </pic:spPr>
                      </pic:pic>
                    </a:graphicData>
                  </a:graphic>
                  <wp14:sizeRelH relativeFrom="page">
                    <wp14:pctWidth>0</wp14:pctWidth>
                  </wp14:sizeRelH>
                  <wp14:sizeRelV relativeFrom="page">
                    <wp14:pctHeight>0</wp14:pctHeight>
                  </wp14:sizeRelV>
                </wp:anchor>
              </w:drawing>
            </w:r>
            <w:r w:rsidR="00AD2E14">
              <w:rPr>
                <w:b/>
                <w:color w:val="57825E"/>
              </w:rPr>
              <w:t>I.08</w:t>
            </w:r>
          </w:p>
        </w:tc>
        <w:tc>
          <w:tcPr>
            <w:tcW w:w="1417" w:type="dxa"/>
            <w:tcBorders>
              <w:left w:val="nil"/>
            </w:tcBorders>
            <w:vAlign w:val="center"/>
            <w:hideMark/>
          </w:tcPr>
          <w:p w:rsidR="00DB5257" w:rsidRPr="006F5B0F" w:rsidRDefault="00AD2E14" w:rsidP="00DB5257">
            <w:pPr>
              <w:pStyle w:val="HStandard"/>
              <w:jc w:val="left"/>
              <w:rPr>
                <w:rFonts w:cs="Arial"/>
                <w:b/>
                <w:color w:val="57825E"/>
                <w:sz w:val="16"/>
                <w:szCs w:val="18"/>
              </w:rPr>
            </w:pPr>
            <w:r>
              <w:rPr>
                <w:b/>
                <w:color w:val="57825E"/>
                <w:sz w:val="16"/>
              </w:rPr>
              <w:t>Index över odlingslandskapets fåglar</w:t>
            </w:r>
          </w:p>
        </w:tc>
        <w:tc>
          <w:tcPr>
            <w:tcW w:w="1701" w:type="dxa"/>
            <w:vMerge w:val="restart"/>
            <w:vAlign w:val="center"/>
            <w:hideMark/>
          </w:tcPr>
          <w:p w:rsidR="00DB5257" w:rsidRPr="00013DFC" w:rsidRDefault="00AD2E14" w:rsidP="00DB5257">
            <w:pPr>
              <w:pStyle w:val="HStandard"/>
              <w:spacing w:line="240" w:lineRule="auto"/>
              <w:jc w:val="center"/>
              <w:rPr>
                <w:rFonts w:cs="Arial"/>
                <w:sz w:val="16"/>
                <w:szCs w:val="18"/>
                <w:lang w:val="en-GB"/>
              </w:rPr>
            </w:pPr>
            <w:r w:rsidRPr="00013DFC">
              <w:rPr>
                <w:sz w:val="16"/>
                <w:lang w:val="en-GB"/>
              </w:rPr>
              <w:t>Propensity Score Matching (</w:t>
            </w:r>
            <w:proofErr w:type="spellStart"/>
            <w:r w:rsidRPr="00013DFC">
              <w:rPr>
                <w:sz w:val="16"/>
                <w:lang w:val="en-GB"/>
              </w:rPr>
              <w:t>PSM</w:t>
            </w:r>
            <w:proofErr w:type="spellEnd"/>
            <w:r w:rsidRPr="00013DFC">
              <w:rPr>
                <w:sz w:val="16"/>
                <w:lang w:val="en-GB"/>
              </w:rPr>
              <w:t xml:space="preserve">) </w:t>
            </w:r>
            <w:proofErr w:type="spellStart"/>
            <w:r w:rsidRPr="00013DFC">
              <w:rPr>
                <w:sz w:val="16"/>
                <w:lang w:val="en-GB"/>
              </w:rPr>
              <w:t>och</w:t>
            </w:r>
            <w:proofErr w:type="spellEnd"/>
            <w:r w:rsidRPr="00013DFC">
              <w:rPr>
                <w:sz w:val="16"/>
                <w:lang w:val="en-GB"/>
              </w:rPr>
              <w:t xml:space="preserve"> Difference in Differences (</w:t>
            </w:r>
            <w:proofErr w:type="spellStart"/>
            <w:r w:rsidRPr="00013DFC">
              <w:rPr>
                <w:sz w:val="16"/>
                <w:lang w:val="en-GB"/>
              </w:rPr>
              <w:t>DiD</w:t>
            </w:r>
            <w:proofErr w:type="spellEnd"/>
            <w:r w:rsidRPr="00013DFC">
              <w:rPr>
                <w:sz w:val="16"/>
                <w:lang w:val="en-GB"/>
              </w:rPr>
              <w:t>)</w:t>
            </w:r>
          </w:p>
        </w:tc>
        <w:tc>
          <w:tcPr>
            <w:tcW w:w="1701" w:type="dxa"/>
            <w:vMerge w:val="restart"/>
            <w:vAlign w:val="center"/>
            <w:hideMark/>
          </w:tcPr>
          <w:p w:rsidR="00DB5257" w:rsidRPr="00013DFC" w:rsidRDefault="00AD2E14" w:rsidP="00DB5257">
            <w:pPr>
              <w:pStyle w:val="HStandard"/>
              <w:spacing w:line="240" w:lineRule="auto"/>
              <w:jc w:val="center"/>
              <w:rPr>
                <w:rFonts w:cs="Arial"/>
                <w:sz w:val="16"/>
                <w:szCs w:val="18"/>
                <w:lang w:val="en-GB"/>
              </w:rPr>
            </w:pPr>
            <w:r w:rsidRPr="00013DFC">
              <w:rPr>
                <w:sz w:val="16"/>
                <w:lang w:val="en-GB"/>
              </w:rPr>
              <w:t>Propensity Score Matching (</w:t>
            </w:r>
            <w:proofErr w:type="spellStart"/>
            <w:r w:rsidRPr="00013DFC">
              <w:rPr>
                <w:sz w:val="16"/>
                <w:lang w:val="en-GB"/>
              </w:rPr>
              <w:t>PSM</w:t>
            </w:r>
            <w:proofErr w:type="spellEnd"/>
            <w:r w:rsidRPr="00013DFC">
              <w:rPr>
                <w:sz w:val="16"/>
                <w:lang w:val="en-GB"/>
              </w:rPr>
              <w:t xml:space="preserve">) </w:t>
            </w:r>
            <w:proofErr w:type="spellStart"/>
            <w:r w:rsidRPr="00013DFC">
              <w:rPr>
                <w:sz w:val="16"/>
                <w:lang w:val="en-GB"/>
              </w:rPr>
              <w:t>och</w:t>
            </w:r>
            <w:proofErr w:type="spellEnd"/>
            <w:r w:rsidRPr="00013DFC">
              <w:rPr>
                <w:sz w:val="16"/>
                <w:lang w:val="en-GB"/>
              </w:rPr>
              <w:t xml:space="preserve"> Difference in Differences (</w:t>
            </w:r>
            <w:proofErr w:type="spellStart"/>
            <w:r w:rsidRPr="00013DFC">
              <w:rPr>
                <w:sz w:val="16"/>
                <w:lang w:val="en-GB"/>
              </w:rPr>
              <w:t>DiD</w:t>
            </w:r>
            <w:proofErr w:type="spellEnd"/>
            <w:r w:rsidRPr="00013DFC">
              <w:rPr>
                <w:sz w:val="16"/>
                <w:lang w:val="en-GB"/>
              </w:rPr>
              <w:t>)</w:t>
            </w:r>
          </w:p>
          <w:p w:rsidR="00DB5257" w:rsidRPr="006F5B0F" w:rsidRDefault="00AD2E14" w:rsidP="00DB5257">
            <w:pPr>
              <w:pStyle w:val="HStandard"/>
              <w:spacing w:line="240" w:lineRule="auto"/>
              <w:jc w:val="center"/>
              <w:rPr>
                <w:rFonts w:cs="Arial"/>
                <w:sz w:val="16"/>
                <w:szCs w:val="18"/>
              </w:rPr>
            </w:pPr>
            <w:r>
              <w:rPr>
                <w:sz w:val="16"/>
              </w:rPr>
              <w:t>Spatiala ekonometriska modeller i biogeografiska områden</w:t>
            </w:r>
          </w:p>
        </w:tc>
        <w:tc>
          <w:tcPr>
            <w:tcW w:w="1701" w:type="dxa"/>
            <w:vMerge w:val="restart"/>
            <w:vAlign w:val="center"/>
            <w:hideMark/>
          </w:tcPr>
          <w:p w:rsidR="00DB5257" w:rsidRPr="006F5B0F" w:rsidRDefault="00AD2E14" w:rsidP="00DB5257">
            <w:pPr>
              <w:pStyle w:val="HStandard"/>
              <w:spacing w:line="240" w:lineRule="auto"/>
              <w:jc w:val="center"/>
              <w:rPr>
                <w:rFonts w:cs="Arial"/>
                <w:sz w:val="16"/>
                <w:szCs w:val="18"/>
              </w:rPr>
            </w:pPr>
            <w:r>
              <w:rPr>
                <w:sz w:val="16"/>
              </w:rPr>
              <w:t>Statistisk analys av ad hoc-parmässiga jämförelser eller flera jämförelsegrupper genom att använda DiD tillsammans med kvalitativa bedömningar</w:t>
            </w:r>
          </w:p>
        </w:tc>
        <w:tc>
          <w:tcPr>
            <w:tcW w:w="1701" w:type="dxa"/>
            <w:vMerge w:val="restart"/>
            <w:vAlign w:val="center"/>
            <w:hideMark/>
          </w:tcPr>
          <w:p w:rsidR="00DB5257" w:rsidRPr="006F5B0F" w:rsidRDefault="00AD2E14" w:rsidP="00DB5257">
            <w:pPr>
              <w:pStyle w:val="HStandard"/>
              <w:spacing w:line="240" w:lineRule="auto"/>
              <w:jc w:val="center"/>
              <w:rPr>
                <w:rFonts w:cs="Arial"/>
                <w:sz w:val="16"/>
                <w:szCs w:val="18"/>
              </w:rPr>
            </w:pPr>
            <w:r>
              <w:rPr>
                <w:sz w:val="16"/>
              </w:rPr>
              <w:t>Nedifrån och upp-metoder för att uppdatera resultat på mikronivå tillsammans med kvalitativa bedömningar</w:t>
            </w:r>
          </w:p>
        </w:tc>
      </w:tr>
      <w:tr w:rsidR="00DB5257" w:rsidRPr="001C6ACF" w:rsidTr="00DB5257">
        <w:trPr>
          <w:trHeight w:val="1083"/>
        </w:trPr>
        <w:tc>
          <w:tcPr>
            <w:tcW w:w="988" w:type="dxa"/>
            <w:tcBorders>
              <w:right w:val="nil"/>
            </w:tcBorders>
            <w:hideMark/>
          </w:tcPr>
          <w:p w:rsidR="00DB5257" w:rsidRPr="006F5B0F" w:rsidRDefault="00F02B64" w:rsidP="00DB5257">
            <w:pPr>
              <w:pStyle w:val="HStandard"/>
              <w:jc w:val="center"/>
              <w:rPr>
                <w:b/>
                <w:bCs/>
                <w:color w:val="57825E"/>
              </w:rPr>
            </w:pPr>
            <w:r>
              <w:rPr>
                <w:noProof/>
                <w:lang w:val="en-GB" w:eastAsia="en-GB"/>
              </w:rPr>
              <w:drawing>
                <wp:anchor distT="0" distB="0" distL="114300" distR="114300" simplePos="0" relativeHeight="251652608" behindDoc="1" locked="0" layoutInCell="1" allowOverlap="1">
                  <wp:simplePos x="0" y="0"/>
                  <wp:positionH relativeFrom="column">
                    <wp:posOffset>63500</wp:posOffset>
                  </wp:positionH>
                  <wp:positionV relativeFrom="paragraph">
                    <wp:posOffset>183515</wp:posOffset>
                  </wp:positionV>
                  <wp:extent cx="489585" cy="489585"/>
                  <wp:effectExtent l="0" t="0" r="5715" b="5715"/>
                  <wp:wrapTight wrapText="bothSides">
                    <wp:wrapPolygon edited="0">
                      <wp:start x="840" y="0"/>
                      <wp:lineTo x="0" y="5043"/>
                      <wp:lineTo x="0" y="18490"/>
                      <wp:lineTo x="14288" y="21012"/>
                      <wp:lineTo x="17650" y="21012"/>
                      <wp:lineTo x="21012" y="15969"/>
                      <wp:lineTo x="21012" y="1681"/>
                      <wp:lineTo x="6724" y="0"/>
                      <wp:lineTo x="840" y="0"/>
                    </wp:wrapPolygon>
                  </wp:wrapTight>
                  <wp:docPr id="3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9585" cy="489585"/>
                          </a:xfrm>
                          <a:prstGeom prst="rect">
                            <a:avLst/>
                          </a:prstGeom>
                          <a:noFill/>
                        </pic:spPr>
                      </pic:pic>
                    </a:graphicData>
                  </a:graphic>
                  <wp14:sizeRelH relativeFrom="page">
                    <wp14:pctWidth>0</wp14:pctWidth>
                  </wp14:sizeRelH>
                  <wp14:sizeRelV relativeFrom="page">
                    <wp14:pctHeight>0</wp14:pctHeight>
                  </wp14:sizeRelV>
                </wp:anchor>
              </w:drawing>
            </w:r>
            <w:r w:rsidR="00AD2E14">
              <w:rPr>
                <w:b/>
                <w:color w:val="57825E"/>
              </w:rPr>
              <w:t>I.09</w:t>
            </w:r>
          </w:p>
        </w:tc>
        <w:tc>
          <w:tcPr>
            <w:tcW w:w="1417" w:type="dxa"/>
            <w:tcBorders>
              <w:left w:val="nil"/>
            </w:tcBorders>
            <w:vAlign w:val="center"/>
            <w:hideMark/>
          </w:tcPr>
          <w:p w:rsidR="00DB5257" w:rsidRPr="006F5B0F" w:rsidRDefault="00AD2E14" w:rsidP="00DB5257">
            <w:pPr>
              <w:pStyle w:val="HStandard"/>
              <w:jc w:val="left"/>
              <w:rPr>
                <w:rFonts w:cs="Arial"/>
                <w:b/>
                <w:color w:val="57825E"/>
                <w:sz w:val="16"/>
                <w:szCs w:val="18"/>
              </w:rPr>
            </w:pPr>
            <w:r>
              <w:rPr>
                <w:b/>
                <w:color w:val="57825E"/>
                <w:sz w:val="16"/>
              </w:rPr>
              <w:t>Jordbruk med högt naturvärde</w:t>
            </w:r>
          </w:p>
        </w:tc>
        <w:tc>
          <w:tcPr>
            <w:tcW w:w="1701" w:type="dxa"/>
            <w:vMerge/>
            <w:vAlign w:val="center"/>
            <w:hideMark/>
          </w:tcPr>
          <w:p w:rsidR="00DB5257" w:rsidRPr="006F5B0F" w:rsidRDefault="00DB5257" w:rsidP="00DB5257">
            <w:pPr>
              <w:pStyle w:val="HStandard"/>
              <w:spacing w:line="240" w:lineRule="auto"/>
              <w:jc w:val="center"/>
              <w:rPr>
                <w:rFonts w:cs="Arial"/>
                <w:sz w:val="16"/>
                <w:szCs w:val="18"/>
              </w:rPr>
            </w:pPr>
          </w:p>
        </w:tc>
        <w:tc>
          <w:tcPr>
            <w:tcW w:w="1701" w:type="dxa"/>
            <w:vMerge/>
            <w:vAlign w:val="center"/>
            <w:hideMark/>
          </w:tcPr>
          <w:p w:rsidR="00DB5257" w:rsidRPr="006F5B0F" w:rsidRDefault="00DB5257" w:rsidP="00DB5257">
            <w:pPr>
              <w:pStyle w:val="HStandard"/>
              <w:spacing w:line="240" w:lineRule="auto"/>
              <w:jc w:val="center"/>
              <w:rPr>
                <w:rFonts w:cs="Arial"/>
                <w:sz w:val="16"/>
                <w:szCs w:val="18"/>
              </w:rPr>
            </w:pPr>
          </w:p>
        </w:tc>
        <w:tc>
          <w:tcPr>
            <w:tcW w:w="1701" w:type="dxa"/>
            <w:vMerge/>
            <w:vAlign w:val="center"/>
            <w:hideMark/>
          </w:tcPr>
          <w:p w:rsidR="00DB5257" w:rsidRPr="006F5B0F" w:rsidRDefault="00DB5257" w:rsidP="00DB5257">
            <w:pPr>
              <w:pStyle w:val="HStandard"/>
              <w:spacing w:line="240" w:lineRule="auto"/>
              <w:jc w:val="center"/>
              <w:rPr>
                <w:rFonts w:cs="Arial"/>
                <w:sz w:val="16"/>
                <w:szCs w:val="18"/>
              </w:rPr>
            </w:pPr>
          </w:p>
        </w:tc>
        <w:tc>
          <w:tcPr>
            <w:tcW w:w="1701" w:type="dxa"/>
            <w:vMerge/>
            <w:vAlign w:val="center"/>
            <w:hideMark/>
          </w:tcPr>
          <w:p w:rsidR="00DB5257" w:rsidRPr="006F5B0F" w:rsidRDefault="00DB5257" w:rsidP="00DB5257">
            <w:pPr>
              <w:pStyle w:val="HStandard"/>
              <w:spacing w:line="240" w:lineRule="auto"/>
              <w:jc w:val="center"/>
              <w:rPr>
                <w:rFonts w:cs="Arial"/>
                <w:sz w:val="16"/>
                <w:szCs w:val="18"/>
              </w:rPr>
            </w:pPr>
          </w:p>
        </w:tc>
      </w:tr>
      <w:tr w:rsidR="00DB5257" w:rsidRPr="001C6ACF" w:rsidTr="00DB5257">
        <w:trPr>
          <w:trHeight w:val="1082"/>
        </w:trPr>
        <w:tc>
          <w:tcPr>
            <w:tcW w:w="988" w:type="dxa"/>
            <w:tcBorders>
              <w:right w:val="nil"/>
            </w:tcBorders>
            <w:hideMark/>
          </w:tcPr>
          <w:p w:rsidR="00DB5257" w:rsidRPr="006F5B0F" w:rsidRDefault="00F02B64" w:rsidP="00DB5257">
            <w:pPr>
              <w:pStyle w:val="HStandard"/>
              <w:jc w:val="center"/>
              <w:rPr>
                <w:b/>
                <w:bCs/>
                <w:color w:val="57825E"/>
              </w:rPr>
            </w:pPr>
            <w:r>
              <w:rPr>
                <w:noProof/>
                <w:lang w:val="en-GB" w:eastAsia="en-GB"/>
              </w:rPr>
              <w:drawing>
                <wp:anchor distT="0" distB="0" distL="114300" distR="114300" simplePos="0" relativeHeight="251662848" behindDoc="1" locked="0" layoutInCell="1" allowOverlap="1">
                  <wp:simplePos x="0" y="0"/>
                  <wp:positionH relativeFrom="column">
                    <wp:posOffset>63500</wp:posOffset>
                  </wp:positionH>
                  <wp:positionV relativeFrom="paragraph">
                    <wp:posOffset>208280</wp:posOffset>
                  </wp:positionV>
                  <wp:extent cx="489585" cy="489585"/>
                  <wp:effectExtent l="0" t="0" r="5715" b="5715"/>
                  <wp:wrapTight wrapText="bothSides">
                    <wp:wrapPolygon edited="0">
                      <wp:start x="6724" y="0"/>
                      <wp:lineTo x="0" y="3362"/>
                      <wp:lineTo x="0" y="14288"/>
                      <wp:lineTo x="13447" y="21012"/>
                      <wp:lineTo x="14288" y="21012"/>
                      <wp:lineTo x="21012" y="21012"/>
                      <wp:lineTo x="21012" y="13447"/>
                      <wp:lineTo x="20171" y="7564"/>
                      <wp:lineTo x="15128" y="0"/>
                      <wp:lineTo x="6724" y="0"/>
                    </wp:wrapPolygon>
                  </wp:wrapTight>
                  <wp:docPr id="6"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9585" cy="489585"/>
                          </a:xfrm>
                          <a:prstGeom prst="rect">
                            <a:avLst/>
                          </a:prstGeom>
                          <a:noFill/>
                        </pic:spPr>
                      </pic:pic>
                    </a:graphicData>
                  </a:graphic>
                  <wp14:sizeRelH relativeFrom="page">
                    <wp14:pctWidth>0</wp14:pctWidth>
                  </wp14:sizeRelH>
                  <wp14:sizeRelV relativeFrom="page">
                    <wp14:pctHeight>0</wp14:pctHeight>
                  </wp14:sizeRelV>
                </wp:anchor>
              </w:drawing>
            </w:r>
            <w:r w:rsidR="00AD2E14">
              <w:rPr>
                <w:b/>
                <w:color w:val="57825E"/>
              </w:rPr>
              <w:t>I.10</w:t>
            </w:r>
          </w:p>
        </w:tc>
        <w:tc>
          <w:tcPr>
            <w:tcW w:w="1417" w:type="dxa"/>
            <w:tcBorders>
              <w:left w:val="nil"/>
            </w:tcBorders>
            <w:vAlign w:val="center"/>
            <w:hideMark/>
          </w:tcPr>
          <w:p w:rsidR="00DB5257" w:rsidRPr="006F5B0F" w:rsidRDefault="00AD2E14" w:rsidP="00DB5257">
            <w:pPr>
              <w:pStyle w:val="HStandard"/>
              <w:jc w:val="left"/>
              <w:rPr>
                <w:rFonts w:cs="Arial"/>
                <w:b/>
                <w:color w:val="57825E"/>
                <w:sz w:val="16"/>
                <w:szCs w:val="18"/>
              </w:rPr>
            </w:pPr>
            <w:r>
              <w:rPr>
                <w:b/>
                <w:color w:val="57825E"/>
                <w:sz w:val="16"/>
              </w:rPr>
              <w:t xml:space="preserve">Uttag av vatten för jordbruk </w:t>
            </w:r>
          </w:p>
        </w:tc>
        <w:tc>
          <w:tcPr>
            <w:tcW w:w="1701" w:type="dxa"/>
            <w:vMerge w:val="restart"/>
            <w:vAlign w:val="center"/>
            <w:hideMark/>
          </w:tcPr>
          <w:p w:rsidR="00DB5257" w:rsidRPr="006F5B0F" w:rsidRDefault="00AD2E14" w:rsidP="00DB5257">
            <w:pPr>
              <w:pStyle w:val="HStandard"/>
              <w:spacing w:line="240" w:lineRule="auto"/>
              <w:jc w:val="center"/>
              <w:rPr>
                <w:rFonts w:cs="Arial"/>
                <w:sz w:val="16"/>
                <w:szCs w:val="18"/>
              </w:rPr>
            </w:pPr>
            <w:r>
              <w:rPr>
                <w:sz w:val="16"/>
              </w:rPr>
              <w:t>Regression och matchningstekniker för I.10, I.11-1 och, beroende på tillgången till uppgifter för I.11-2</w:t>
            </w:r>
            <w:r>
              <w:br/>
            </w:r>
            <w:r>
              <w:rPr>
                <w:sz w:val="16"/>
              </w:rPr>
              <w:t>Simulering av en ”fallstudie” i ett avrinningsdistrikt eller dess underenhet endast för I.11-2</w:t>
            </w:r>
          </w:p>
        </w:tc>
        <w:tc>
          <w:tcPr>
            <w:tcW w:w="1701" w:type="dxa"/>
            <w:vMerge w:val="restart"/>
            <w:vAlign w:val="center"/>
            <w:hideMark/>
          </w:tcPr>
          <w:p w:rsidR="00DB5257" w:rsidRPr="006F5B0F" w:rsidRDefault="00AD2E14" w:rsidP="00DB5257">
            <w:pPr>
              <w:pStyle w:val="HStandard"/>
              <w:spacing w:line="240" w:lineRule="auto"/>
              <w:jc w:val="center"/>
              <w:rPr>
                <w:rFonts w:cs="Arial"/>
                <w:sz w:val="16"/>
                <w:szCs w:val="18"/>
              </w:rPr>
            </w:pPr>
            <w:r>
              <w:rPr>
                <w:sz w:val="16"/>
              </w:rPr>
              <w:t xml:space="preserve">Generalised Propensity Score Matching (GPSM) </w:t>
            </w:r>
            <w:r>
              <w:br/>
            </w:r>
            <w:r>
              <w:br/>
            </w:r>
            <w:r>
              <w:rPr>
                <w:sz w:val="16"/>
              </w:rPr>
              <w:t>Spatiala ekonometriska metoder</w:t>
            </w:r>
          </w:p>
        </w:tc>
        <w:tc>
          <w:tcPr>
            <w:tcW w:w="1701" w:type="dxa"/>
            <w:vMerge w:val="restart"/>
            <w:vAlign w:val="center"/>
            <w:hideMark/>
          </w:tcPr>
          <w:p w:rsidR="00DB5257" w:rsidRPr="006F5B0F" w:rsidRDefault="00AD2E14" w:rsidP="00DB5257">
            <w:pPr>
              <w:pStyle w:val="HStandard"/>
              <w:spacing w:line="240" w:lineRule="auto"/>
              <w:jc w:val="center"/>
              <w:rPr>
                <w:rFonts w:cs="Arial"/>
                <w:sz w:val="16"/>
                <w:szCs w:val="18"/>
              </w:rPr>
            </w:pPr>
            <w:r>
              <w:rPr>
                <w:sz w:val="16"/>
              </w:rPr>
              <w:t>Kvalitativa metoder</w:t>
            </w:r>
          </w:p>
        </w:tc>
        <w:tc>
          <w:tcPr>
            <w:tcW w:w="1701" w:type="dxa"/>
            <w:vMerge w:val="restart"/>
            <w:vAlign w:val="center"/>
          </w:tcPr>
          <w:p w:rsidR="00DB5257" w:rsidRPr="006F5B0F" w:rsidRDefault="00AD2E14" w:rsidP="00DB5257">
            <w:pPr>
              <w:pStyle w:val="HStandard"/>
              <w:spacing w:line="240" w:lineRule="auto"/>
              <w:jc w:val="center"/>
              <w:rPr>
                <w:rFonts w:cs="Arial"/>
                <w:sz w:val="16"/>
                <w:szCs w:val="18"/>
              </w:rPr>
            </w:pPr>
            <w:r>
              <w:rPr>
                <w:sz w:val="16"/>
              </w:rPr>
              <w:t>Naiva gruppjämförelser som stöds av kvalitativa metoder</w:t>
            </w:r>
          </w:p>
        </w:tc>
      </w:tr>
      <w:tr w:rsidR="00DB5257" w:rsidRPr="001C6ACF" w:rsidTr="00DB5257">
        <w:trPr>
          <w:trHeight w:val="984"/>
        </w:trPr>
        <w:tc>
          <w:tcPr>
            <w:tcW w:w="988" w:type="dxa"/>
            <w:tcBorders>
              <w:right w:val="nil"/>
            </w:tcBorders>
            <w:hideMark/>
          </w:tcPr>
          <w:p w:rsidR="00DB5257" w:rsidRPr="006F5B0F" w:rsidRDefault="00F02B64" w:rsidP="00DB5257">
            <w:pPr>
              <w:pStyle w:val="HStandard"/>
              <w:jc w:val="center"/>
              <w:rPr>
                <w:b/>
                <w:bCs/>
                <w:color w:val="57825E"/>
              </w:rPr>
            </w:pPr>
            <w:r>
              <w:rPr>
                <w:noProof/>
                <w:lang w:val="en-GB" w:eastAsia="en-GB"/>
              </w:rPr>
              <w:drawing>
                <wp:anchor distT="0" distB="0" distL="114300" distR="114300" simplePos="0" relativeHeight="251661824" behindDoc="1" locked="0" layoutInCell="1" allowOverlap="1">
                  <wp:simplePos x="0" y="0"/>
                  <wp:positionH relativeFrom="column">
                    <wp:posOffset>60960</wp:posOffset>
                  </wp:positionH>
                  <wp:positionV relativeFrom="paragraph">
                    <wp:posOffset>213360</wp:posOffset>
                  </wp:positionV>
                  <wp:extent cx="489585" cy="489585"/>
                  <wp:effectExtent l="0" t="0" r="5715" b="5715"/>
                  <wp:wrapTight wrapText="bothSides">
                    <wp:wrapPolygon edited="0">
                      <wp:start x="5043" y="0"/>
                      <wp:lineTo x="0" y="3362"/>
                      <wp:lineTo x="0" y="17650"/>
                      <wp:lineTo x="5043" y="21012"/>
                      <wp:lineTo x="15969" y="21012"/>
                      <wp:lineTo x="21012" y="17650"/>
                      <wp:lineTo x="21012" y="3362"/>
                      <wp:lineTo x="15969" y="0"/>
                      <wp:lineTo x="5043" y="0"/>
                    </wp:wrapPolygon>
                  </wp:wrapTight>
                  <wp:docPr id="28"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9585" cy="489585"/>
                          </a:xfrm>
                          <a:prstGeom prst="rect">
                            <a:avLst/>
                          </a:prstGeom>
                          <a:noFill/>
                        </pic:spPr>
                      </pic:pic>
                    </a:graphicData>
                  </a:graphic>
                  <wp14:sizeRelH relativeFrom="page">
                    <wp14:pctWidth>0</wp14:pctWidth>
                  </wp14:sizeRelH>
                  <wp14:sizeRelV relativeFrom="page">
                    <wp14:pctHeight>0</wp14:pctHeight>
                  </wp14:sizeRelV>
                </wp:anchor>
              </w:drawing>
            </w:r>
            <w:r w:rsidR="00AD2E14">
              <w:rPr>
                <w:b/>
                <w:color w:val="57825E"/>
              </w:rPr>
              <w:t>I.11</w:t>
            </w:r>
          </w:p>
        </w:tc>
        <w:tc>
          <w:tcPr>
            <w:tcW w:w="1417" w:type="dxa"/>
            <w:tcBorders>
              <w:left w:val="nil"/>
            </w:tcBorders>
            <w:vAlign w:val="center"/>
            <w:hideMark/>
          </w:tcPr>
          <w:p w:rsidR="00DB5257" w:rsidRPr="006F5B0F" w:rsidRDefault="00AD2E14" w:rsidP="00DB5257">
            <w:pPr>
              <w:pStyle w:val="HStandard"/>
              <w:jc w:val="left"/>
              <w:rPr>
                <w:rFonts w:cs="Arial"/>
                <w:b/>
                <w:color w:val="57825E"/>
                <w:sz w:val="16"/>
                <w:szCs w:val="18"/>
              </w:rPr>
            </w:pPr>
            <w:r>
              <w:rPr>
                <w:b/>
                <w:color w:val="57825E"/>
                <w:sz w:val="16"/>
              </w:rPr>
              <w:t xml:space="preserve">Vattenkvalitet </w:t>
            </w:r>
          </w:p>
        </w:tc>
        <w:tc>
          <w:tcPr>
            <w:tcW w:w="1701" w:type="dxa"/>
            <w:vMerge/>
            <w:hideMark/>
          </w:tcPr>
          <w:p w:rsidR="00DB5257" w:rsidRPr="006F5B0F" w:rsidRDefault="00DB5257" w:rsidP="00DB5257">
            <w:pPr>
              <w:pStyle w:val="HStandard"/>
              <w:spacing w:line="240" w:lineRule="auto"/>
              <w:jc w:val="center"/>
              <w:rPr>
                <w:rFonts w:cs="Arial"/>
                <w:sz w:val="16"/>
                <w:szCs w:val="18"/>
              </w:rPr>
            </w:pPr>
          </w:p>
        </w:tc>
        <w:tc>
          <w:tcPr>
            <w:tcW w:w="1701" w:type="dxa"/>
            <w:vMerge/>
            <w:hideMark/>
          </w:tcPr>
          <w:p w:rsidR="00DB5257" w:rsidRPr="006F5B0F" w:rsidRDefault="00DB5257" w:rsidP="00DB5257">
            <w:pPr>
              <w:pStyle w:val="HStandard"/>
              <w:spacing w:line="240" w:lineRule="auto"/>
              <w:jc w:val="center"/>
              <w:rPr>
                <w:rFonts w:cs="Arial"/>
                <w:sz w:val="16"/>
                <w:szCs w:val="18"/>
              </w:rPr>
            </w:pPr>
          </w:p>
        </w:tc>
        <w:tc>
          <w:tcPr>
            <w:tcW w:w="1701" w:type="dxa"/>
            <w:vMerge/>
            <w:hideMark/>
          </w:tcPr>
          <w:p w:rsidR="00DB5257" w:rsidRPr="006F5B0F" w:rsidRDefault="00DB5257" w:rsidP="00DB5257">
            <w:pPr>
              <w:pStyle w:val="HStandard"/>
              <w:spacing w:line="240" w:lineRule="auto"/>
              <w:jc w:val="center"/>
              <w:rPr>
                <w:rFonts w:cs="Arial"/>
                <w:sz w:val="16"/>
                <w:szCs w:val="18"/>
              </w:rPr>
            </w:pPr>
          </w:p>
        </w:tc>
        <w:tc>
          <w:tcPr>
            <w:tcW w:w="1701" w:type="dxa"/>
            <w:vMerge/>
          </w:tcPr>
          <w:p w:rsidR="00DB5257" w:rsidRPr="006F5B0F" w:rsidRDefault="00DB5257" w:rsidP="00DB5257">
            <w:pPr>
              <w:pStyle w:val="HStandard"/>
              <w:spacing w:line="240" w:lineRule="auto"/>
              <w:jc w:val="center"/>
              <w:rPr>
                <w:rFonts w:cs="Arial"/>
                <w:sz w:val="16"/>
                <w:szCs w:val="18"/>
              </w:rPr>
            </w:pPr>
          </w:p>
        </w:tc>
      </w:tr>
      <w:tr w:rsidR="00DB5257" w:rsidRPr="001C6ACF" w:rsidTr="00DB5257">
        <w:trPr>
          <w:trHeight w:val="1214"/>
        </w:trPr>
        <w:tc>
          <w:tcPr>
            <w:tcW w:w="988" w:type="dxa"/>
            <w:tcBorders>
              <w:right w:val="nil"/>
            </w:tcBorders>
            <w:hideMark/>
          </w:tcPr>
          <w:p w:rsidR="00DB5257" w:rsidRPr="006F5B0F" w:rsidRDefault="00F02B64" w:rsidP="00DB5257">
            <w:pPr>
              <w:pStyle w:val="HStandard"/>
              <w:jc w:val="center"/>
              <w:rPr>
                <w:b/>
                <w:bCs/>
                <w:color w:val="57825E"/>
              </w:rPr>
            </w:pPr>
            <w:r>
              <w:rPr>
                <w:noProof/>
                <w:lang w:val="en-GB" w:eastAsia="en-GB"/>
              </w:rPr>
              <w:drawing>
                <wp:anchor distT="0" distB="0" distL="114300" distR="114300" simplePos="0" relativeHeight="251657728" behindDoc="1" locked="0" layoutInCell="1" allowOverlap="1">
                  <wp:simplePos x="0" y="0"/>
                  <wp:positionH relativeFrom="column">
                    <wp:posOffset>33655</wp:posOffset>
                  </wp:positionH>
                  <wp:positionV relativeFrom="paragraph">
                    <wp:posOffset>247650</wp:posOffset>
                  </wp:positionV>
                  <wp:extent cx="489585" cy="489585"/>
                  <wp:effectExtent l="0" t="0" r="5715" b="5715"/>
                  <wp:wrapTight wrapText="bothSides">
                    <wp:wrapPolygon edited="0">
                      <wp:start x="4202" y="0"/>
                      <wp:lineTo x="0" y="840"/>
                      <wp:lineTo x="0" y="21012"/>
                      <wp:lineTo x="21012" y="21012"/>
                      <wp:lineTo x="21012" y="840"/>
                      <wp:lineTo x="16809" y="0"/>
                      <wp:lineTo x="4202" y="0"/>
                    </wp:wrapPolygon>
                  </wp:wrapTight>
                  <wp:docPr id="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9585" cy="489585"/>
                          </a:xfrm>
                          <a:prstGeom prst="rect">
                            <a:avLst/>
                          </a:prstGeom>
                          <a:noFill/>
                        </pic:spPr>
                      </pic:pic>
                    </a:graphicData>
                  </a:graphic>
                  <wp14:sizeRelH relativeFrom="page">
                    <wp14:pctWidth>0</wp14:pctWidth>
                  </wp14:sizeRelH>
                  <wp14:sizeRelV relativeFrom="page">
                    <wp14:pctHeight>0</wp14:pctHeight>
                  </wp14:sizeRelV>
                </wp:anchor>
              </w:drawing>
            </w:r>
            <w:r w:rsidR="00AD2E14">
              <w:rPr>
                <w:b/>
                <w:color w:val="57825E"/>
              </w:rPr>
              <w:t>I.12</w:t>
            </w:r>
          </w:p>
        </w:tc>
        <w:tc>
          <w:tcPr>
            <w:tcW w:w="1417" w:type="dxa"/>
            <w:tcBorders>
              <w:left w:val="nil"/>
            </w:tcBorders>
            <w:vAlign w:val="center"/>
            <w:hideMark/>
          </w:tcPr>
          <w:p w:rsidR="00DB5257" w:rsidRPr="006F5B0F" w:rsidRDefault="00AD2E14" w:rsidP="00DB5257">
            <w:pPr>
              <w:pStyle w:val="HStandard"/>
              <w:jc w:val="left"/>
              <w:rPr>
                <w:rFonts w:cs="Arial"/>
                <w:b/>
                <w:color w:val="57825E"/>
                <w:sz w:val="16"/>
                <w:szCs w:val="18"/>
              </w:rPr>
            </w:pPr>
            <w:r>
              <w:rPr>
                <w:b/>
                <w:color w:val="57825E"/>
                <w:sz w:val="16"/>
              </w:rPr>
              <w:t xml:space="preserve">Organiskt material i jordbruksjord </w:t>
            </w:r>
          </w:p>
        </w:tc>
        <w:tc>
          <w:tcPr>
            <w:tcW w:w="1701" w:type="dxa"/>
            <w:vAlign w:val="center"/>
            <w:hideMark/>
          </w:tcPr>
          <w:p w:rsidR="00DB5257" w:rsidRPr="006F5B0F" w:rsidRDefault="00AD2E14" w:rsidP="00DB5257">
            <w:pPr>
              <w:pStyle w:val="HStandard"/>
              <w:spacing w:line="240" w:lineRule="auto"/>
              <w:jc w:val="center"/>
              <w:rPr>
                <w:rFonts w:cs="Arial"/>
                <w:sz w:val="16"/>
                <w:szCs w:val="18"/>
              </w:rPr>
            </w:pPr>
            <w:r>
              <w:rPr>
                <w:sz w:val="16"/>
              </w:rPr>
              <w:t>Bedömning av organiskt material baserat på 0–60 cm djup jord</w:t>
            </w:r>
          </w:p>
        </w:tc>
        <w:tc>
          <w:tcPr>
            <w:tcW w:w="1701" w:type="dxa"/>
            <w:vAlign w:val="center"/>
            <w:hideMark/>
          </w:tcPr>
          <w:p w:rsidR="00DB5257" w:rsidRPr="006F5B0F" w:rsidRDefault="00AD2E14" w:rsidP="00DB5257">
            <w:pPr>
              <w:pStyle w:val="HStandard"/>
              <w:spacing w:line="240" w:lineRule="auto"/>
              <w:jc w:val="center"/>
              <w:rPr>
                <w:rFonts w:cs="Arial"/>
                <w:sz w:val="16"/>
                <w:szCs w:val="18"/>
              </w:rPr>
            </w:pPr>
            <w:r>
              <w:rPr>
                <w:sz w:val="16"/>
              </w:rPr>
              <w:t>Inget av dessa</w:t>
            </w:r>
          </w:p>
        </w:tc>
        <w:tc>
          <w:tcPr>
            <w:tcW w:w="1701" w:type="dxa"/>
            <w:vAlign w:val="center"/>
            <w:hideMark/>
          </w:tcPr>
          <w:p w:rsidR="00DB5257" w:rsidRPr="006F5B0F" w:rsidRDefault="00AD2E14" w:rsidP="00DB5257">
            <w:pPr>
              <w:pStyle w:val="HStandard"/>
              <w:spacing w:line="240" w:lineRule="auto"/>
              <w:jc w:val="center"/>
              <w:rPr>
                <w:rFonts w:cs="Arial"/>
                <w:sz w:val="16"/>
                <w:szCs w:val="18"/>
              </w:rPr>
            </w:pPr>
            <w:r>
              <w:rPr>
                <w:sz w:val="16"/>
              </w:rPr>
              <w:t xml:space="preserve">Bedömning av organiskt material </w:t>
            </w:r>
            <w:r>
              <w:br/>
            </w:r>
            <w:r>
              <w:rPr>
                <w:sz w:val="16"/>
              </w:rPr>
              <w:t>baserat på förenklade program för markövervakning</w:t>
            </w:r>
          </w:p>
        </w:tc>
        <w:tc>
          <w:tcPr>
            <w:tcW w:w="1701" w:type="dxa"/>
            <w:vAlign w:val="center"/>
            <w:hideMark/>
          </w:tcPr>
          <w:p w:rsidR="00DB5257" w:rsidRPr="006F5B0F" w:rsidRDefault="00AD2E14" w:rsidP="00DB5257">
            <w:pPr>
              <w:pStyle w:val="HStandard"/>
              <w:spacing w:line="240" w:lineRule="auto"/>
              <w:jc w:val="center"/>
              <w:rPr>
                <w:rFonts w:cs="Arial"/>
                <w:sz w:val="16"/>
                <w:szCs w:val="18"/>
              </w:rPr>
            </w:pPr>
            <w:r>
              <w:rPr>
                <w:sz w:val="16"/>
              </w:rPr>
              <w:t xml:space="preserve">Bedömning av organiskt material baserat </w:t>
            </w:r>
            <w:r>
              <w:br/>
            </w:r>
            <w:r>
              <w:rPr>
                <w:sz w:val="16"/>
              </w:rPr>
              <w:t>på LUCAS-databasen</w:t>
            </w:r>
          </w:p>
        </w:tc>
      </w:tr>
      <w:tr w:rsidR="00DB5257" w:rsidRPr="001C6ACF" w:rsidTr="00DB5257">
        <w:trPr>
          <w:trHeight w:val="43"/>
        </w:trPr>
        <w:tc>
          <w:tcPr>
            <w:tcW w:w="988" w:type="dxa"/>
            <w:tcBorders>
              <w:right w:val="nil"/>
            </w:tcBorders>
            <w:hideMark/>
          </w:tcPr>
          <w:p w:rsidR="00DB5257" w:rsidRPr="006F5B0F" w:rsidRDefault="00F02B64" w:rsidP="00DB5257">
            <w:pPr>
              <w:pStyle w:val="HStandard"/>
              <w:jc w:val="center"/>
              <w:rPr>
                <w:b/>
                <w:bCs/>
                <w:color w:val="57825E"/>
              </w:rPr>
            </w:pPr>
            <w:r>
              <w:rPr>
                <w:noProof/>
                <w:lang w:val="en-GB" w:eastAsia="en-GB"/>
              </w:rPr>
              <w:lastRenderedPageBreak/>
              <w:drawing>
                <wp:anchor distT="0" distB="0" distL="114300" distR="114300" simplePos="0" relativeHeight="251658752" behindDoc="1" locked="0" layoutInCell="1" allowOverlap="1">
                  <wp:simplePos x="0" y="0"/>
                  <wp:positionH relativeFrom="column">
                    <wp:posOffset>62865</wp:posOffset>
                  </wp:positionH>
                  <wp:positionV relativeFrom="paragraph">
                    <wp:posOffset>198120</wp:posOffset>
                  </wp:positionV>
                  <wp:extent cx="489585" cy="489585"/>
                  <wp:effectExtent l="0" t="0" r="5715" b="5715"/>
                  <wp:wrapTight wrapText="bothSides">
                    <wp:wrapPolygon edited="0">
                      <wp:start x="4202" y="0"/>
                      <wp:lineTo x="0" y="0"/>
                      <wp:lineTo x="0" y="21012"/>
                      <wp:lineTo x="21012" y="21012"/>
                      <wp:lineTo x="21012" y="12607"/>
                      <wp:lineTo x="15969" y="0"/>
                      <wp:lineTo x="4202" y="0"/>
                    </wp:wrapPolygon>
                  </wp:wrapTight>
                  <wp:docPr id="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9585" cy="489585"/>
                          </a:xfrm>
                          <a:prstGeom prst="rect">
                            <a:avLst/>
                          </a:prstGeom>
                          <a:noFill/>
                        </pic:spPr>
                      </pic:pic>
                    </a:graphicData>
                  </a:graphic>
                  <wp14:sizeRelH relativeFrom="page">
                    <wp14:pctWidth>0</wp14:pctWidth>
                  </wp14:sizeRelH>
                  <wp14:sizeRelV relativeFrom="page">
                    <wp14:pctHeight>0</wp14:pctHeight>
                  </wp14:sizeRelV>
                </wp:anchor>
              </w:drawing>
            </w:r>
            <w:r w:rsidR="00AD2E14">
              <w:rPr>
                <w:b/>
                <w:color w:val="57825E"/>
              </w:rPr>
              <w:t>I.13</w:t>
            </w:r>
          </w:p>
        </w:tc>
        <w:tc>
          <w:tcPr>
            <w:tcW w:w="1417" w:type="dxa"/>
            <w:tcBorders>
              <w:left w:val="nil"/>
            </w:tcBorders>
            <w:vAlign w:val="center"/>
            <w:hideMark/>
          </w:tcPr>
          <w:p w:rsidR="00DB5257" w:rsidRPr="006F5B0F" w:rsidRDefault="00AD2E14" w:rsidP="00DB5257">
            <w:pPr>
              <w:pStyle w:val="HStandard"/>
              <w:jc w:val="left"/>
              <w:rPr>
                <w:rFonts w:cs="Arial"/>
                <w:b/>
                <w:color w:val="57825E"/>
                <w:sz w:val="16"/>
                <w:szCs w:val="18"/>
              </w:rPr>
            </w:pPr>
            <w:r>
              <w:rPr>
                <w:b/>
                <w:color w:val="57825E"/>
                <w:sz w:val="16"/>
              </w:rPr>
              <w:t>Markerosion på grund av vatten</w:t>
            </w:r>
          </w:p>
        </w:tc>
        <w:tc>
          <w:tcPr>
            <w:tcW w:w="1701" w:type="dxa"/>
            <w:vAlign w:val="center"/>
            <w:hideMark/>
          </w:tcPr>
          <w:p w:rsidR="00DB5257" w:rsidRPr="006F5B0F" w:rsidRDefault="00AD2E14" w:rsidP="00DB5257">
            <w:pPr>
              <w:pStyle w:val="NormalWeb"/>
              <w:jc w:val="center"/>
              <w:rPr>
                <w:rFonts w:ascii="Arial" w:hAnsi="Arial" w:cs="Arial"/>
                <w:color w:val="373737"/>
                <w:sz w:val="16"/>
                <w:szCs w:val="18"/>
              </w:rPr>
            </w:pPr>
            <w:r>
              <w:rPr>
                <w:rFonts w:ascii="Arial" w:hAnsi="Arial"/>
                <w:color w:val="373737"/>
                <w:sz w:val="16"/>
              </w:rPr>
              <w:t>Statistikbaserade utvärderingstekniker</w:t>
            </w:r>
          </w:p>
        </w:tc>
        <w:tc>
          <w:tcPr>
            <w:tcW w:w="1701" w:type="dxa"/>
            <w:vAlign w:val="center"/>
            <w:hideMark/>
          </w:tcPr>
          <w:p w:rsidR="00DB5257" w:rsidRPr="006F5B0F" w:rsidRDefault="00AD2E14" w:rsidP="00DB5257">
            <w:pPr>
              <w:pStyle w:val="HStandard"/>
              <w:spacing w:line="240" w:lineRule="auto"/>
              <w:jc w:val="center"/>
              <w:rPr>
                <w:rFonts w:cs="Arial"/>
                <w:sz w:val="16"/>
                <w:szCs w:val="18"/>
              </w:rPr>
            </w:pPr>
            <w:r>
              <w:rPr>
                <w:sz w:val="16"/>
              </w:rPr>
              <w:t>GPSM spatial ekonometri med stöd av DiD</w:t>
            </w:r>
          </w:p>
        </w:tc>
        <w:tc>
          <w:tcPr>
            <w:tcW w:w="1701" w:type="dxa"/>
            <w:vAlign w:val="center"/>
            <w:hideMark/>
          </w:tcPr>
          <w:p w:rsidR="00DB5257" w:rsidRPr="006F5B0F" w:rsidRDefault="00AD2E14" w:rsidP="00DB5257">
            <w:pPr>
              <w:pStyle w:val="HStandard"/>
              <w:spacing w:line="240" w:lineRule="auto"/>
              <w:jc w:val="center"/>
              <w:rPr>
                <w:rFonts w:cs="Arial"/>
                <w:sz w:val="16"/>
                <w:szCs w:val="18"/>
              </w:rPr>
            </w:pPr>
            <w:r>
              <w:rPr>
                <w:sz w:val="16"/>
              </w:rPr>
              <w:t>Naiv baslinje eller dynamiska gruppjämförelser</w:t>
            </w:r>
          </w:p>
        </w:tc>
        <w:tc>
          <w:tcPr>
            <w:tcW w:w="1701" w:type="dxa"/>
            <w:vAlign w:val="center"/>
            <w:hideMark/>
          </w:tcPr>
          <w:p w:rsidR="00DB5257" w:rsidRPr="006F5B0F" w:rsidRDefault="00AD2E14" w:rsidP="00DB5257">
            <w:pPr>
              <w:pStyle w:val="HStandard"/>
              <w:spacing w:line="240" w:lineRule="auto"/>
              <w:jc w:val="center"/>
              <w:rPr>
                <w:rFonts w:cs="Arial"/>
                <w:sz w:val="16"/>
                <w:szCs w:val="18"/>
              </w:rPr>
            </w:pPr>
            <w:r>
              <w:rPr>
                <w:sz w:val="16"/>
              </w:rPr>
              <w:t>Kvantitativ naiv bedömning mellan spatiala enheter och nationellt genomsnitt</w:t>
            </w:r>
          </w:p>
          <w:p w:rsidR="00DB5257" w:rsidRPr="006F5B0F" w:rsidRDefault="00DB5257" w:rsidP="00DB5257">
            <w:pPr>
              <w:pStyle w:val="HStandard"/>
              <w:spacing w:line="240" w:lineRule="auto"/>
              <w:jc w:val="center"/>
              <w:rPr>
                <w:rFonts w:cs="Arial"/>
                <w:sz w:val="16"/>
                <w:szCs w:val="18"/>
              </w:rPr>
            </w:pPr>
          </w:p>
        </w:tc>
      </w:tr>
      <w:tr w:rsidR="00DB5257" w:rsidRPr="001C6ACF" w:rsidTr="00DB5257">
        <w:trPr>
          <w:trHeight w:val="255"/>
        </w:trPr>
        <w:tc>
          <w:tcPr>
            <w:tcW w:w="9209" w:type="dxa"/>
            <w:gridSpan w:val="6"/>
            <w:tcBorders>
              <w:top w:val="single" w:sz="4" w:space="0" w:color="FFFFFF"/>
            </w:tcBorders>
            <w:shd w:val="clear" w:color="auto" w:fill="59638E"/>
            <w:hideMark/>
          </w:tcPr>
          <w:p w:rsidR="00DB5257" w:rsidRPr="006F5B0F" w:rsidRDefault="00AD2E14" w:rsidP="00DB5257">
            <w:pPr>
              <w:pStyle w:val="HStandard"/>
              <w:spacing w:line="240" w:lineRule="auto"/>
              <w:rPr>
                <w:bCs/>
                <w:color w:val="FFFFFF"/>
                <w:sz w:val="16"/>
              </w:rPr>
            </w:pPr>
            <w:r>
              <w:rPr>
                <w:color w:val="FFFFFF"/>
                <w:sz w:val="16"/>
              </w:rPr>
              <w:t>Socioekonomiska konsekvenser</w:t>
            </w:r>
          </w:p>
        </w:tc>
      </w:tr>
      <w:tr w:rsidR="00DB5257" w:rsidRPr="001C6ACF" w:rsidTr="00DB5257">
        <w:trPr>
          <w:trHeight w:val="1189"/>
        </w:trPr>
        <w:tc>
          <w:tcPr>
            <w:tcW w:w="988" w:type="dxa"/>
            <w:tcBorders>
              <w:right w:val="nil"/>
            </w:tcBorders>
            <w:hideMark/>
          </w:tcPr>
          <w:p w:rsidR="00DB5257" w:rsidRPr="006F5B0F" w:rsidRDefault="00F02B64" w:rsidP="00DB5257">
            <w:pPr>
              <w:pStyle w:val="HStandard"/>
              <w:jc w:val="center"/>
              <w:rPr>
                <w:b/>
                <w:bCs/>
                <w:color w:val="59638E"/>
              </w:rPr>
            </w:pPr>
            <w:r>
              <w:rPr>
                <w:noProof/>
                <w:lang w:val="en-GB" w:eastAsia="en-GB"/>
              </w:rPr>
              <w:drawing>
                <wp:anchor distT="0" distB="0" distL="114300" distR="114300" simplePos="0" relativeHeight="251659776" behindDoc="1" locked="0" layoutInCell="1" allowOverlap="1">
                  <wp:simplePos x="0" y="0"/>
                  <wp:positionH relativeFrom="column">
                    <wp:posOffset>11430</wp:posOffset>
                  </wp:positionH>
                  <wp:positionV relativeFrom="paragraph">
                    <wp:posOffset>184150</wp:posOffset>
                  </wp:positionV>
                  <wp:extent cx="489585" cy="489585"/>
                  <wp:effectExtent l="0" t="0" r="5715" b="5715"/>
                  <wp:wrapTight wrapText="bothSides">
                    <wp:wrapPolygon edited="0">
                      <wp:start x="2521" y="0"/>
                      <wp:lineTo x="0" y="7564"/>
                      <wp:lineTo x="0" y="21012"/>
                      <wp:lineTo x="20171" y="21012"/>
                      <wp:lineTo x="21012" y="15969"/>
                      <wp:lineTo x="21012" y="13447"/>
                      <wp:lineTo x="9245" y="0"/>
                      <wp:lineTo x="2521" y="0"/>
                    </wp:wrapPolygon>
                  </wp:wrapTight>
                  <wp:docPr id="25"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9585" cy="489585"/>
                          </a:xfrm>
                          <a:prstGeom prst="rect">
                            <a:avLst/>
                          </a:prstGeom>
                          <a:noFill/>
                        </pic:spPr>
                      </pic:pic>
                    </a:graphicData>
                  </a:graphic>
                  <wp14:sizeRelH relativeFrom="page">
                    <wp14:pctWidth>0</wp14:pctWidth>
                  </wp14:sizeRelH>
                  <wp14:sizeRelV relativeFrom="page">
                    <wp14:pctHeight>0</wp14:pctHeight>
                  </wp14:sizeRelV>
                </wp:anchor>
              </w:drawing>
            </w:r>
            <w:r w:rsidR="00AD2E14">
              <w:rPr>
                <w:b/>
                <w:color w:val="59638E"/>
              </w:rPr>
              <w:t>I.14</w:t>
            </w:r>
          </w:p>
        </w:tc>
        <w:tc>
          <w:tcPr>
            <w:tcW w:w="1417" w:type="dxa"/>
            <w:tcBorders>
              <w:left w:val="nil"/>
            </w:tcBorders>
            <w:vAlign w:val="center"/>
            <w:hideMark/>
          </w:tcPr>
          <w:p w:rsidR="00DB5257" w:rsidRPr="006F5B0F" w:rsidRDefault="00AD2E14" w:rsidP="00DB5257">
            <w:pPr>
              <w:pStyle w:val="HStandard"/>
              <w:jc w:val="left"/>
              <w:rPr>
                <w:b/>
                <w:color w:val="59638E"/>
                <w:sz w:val="16"/>
                <w:szCs w:val="18"/>
              </w:rPr>
            </w:pPr>
            <w:r>
              <w:rPr>
                <w:b/>
                <w:color w:val="59638E"/>
                <w:sz w:val="16"/>
              </w:rPr>
              <w:t xml:space="preserve">Sysselsättningsgrad inom jordbruket </w:t>
            </w:r>
          </w:p>
        </w:tc>
        <w:tc>
          <w:tcPr>
            <w:tcW w:w="1701" w:type="dxa"/>
            <w:vMerge w:val="restart"/>
            <w:vAlign w:val="center"/>
            <w:hideMark/>
          </w:tcPr>
          <w:p w:rsidR="00DB5257" w:rsidRPr="006F5B0F" w:rsidRDefault="00AD2E14" w:rsidP="00DB5257">
            <w:pPr>
              <w:pStyle w:val="HStandard"/>
              <w:spacing w:line="240" w:lineRule="auto"/>
              <w:jc w:val="center"/>
              <w:rPr>
                <w:sz w:val="16"/>
                <w:szCs w:val="18"/>
              </w:rPr>
            </w:pPr>
            <w:r>
              <w:rPr>
                <w:sz w:val="16"/>
              </w:rPr>
              <w:t>Inget av dessa</w:t>
            </w:r>
          </w:p>
        </w:tc>
        <w:tc>
          <w:tcPr>
            <w:tcW w:w="1701" w:type="dxa"/>
            <w:vMerge w:val="restart"/>
            <w:vAlign w:val="center"/>
            <w:hideMark/>
          </w:tcPr>
          <w:p w:rsidR="00DB5257" w:rsidRPr="006F5B0F" w:rsidRDefault="00AD2E14" w:rsidP="00DB5257">
            <w:pPr>
              <w:pStyle w:val="HStandard"/>
              <w:spacing w:line="240" w:lineRule="auto"/>
              <w:jc w:val="center"/>
              <w:rPr>
                <w:sz w:val="16"/>
                <w:szCs w:val="18"/>
              </w:rPr>
            </w:pPr>
            <w:r>
              <w:rPr>
                <w:sz w:val="16"/>
              </w:rPr>
              <w:t xml:space="preserve">Rekursiv-dynamisk beräkningsbar allmän jämviktsmodell (CGE) </w:t>
            </w:r>
            <w:r>
              <w:br/>
            </w:r>
            <w:r>
              <w:br/>
            </w:r>
            <w:r>
              <w:rPr>
                <w:sz w:val="16"/>
              </w:rPr>
              <w:t>Propensity Score Matching (PSM) och Generalised Propensity Score Matching (GPSM)</w:t>
            </w:r>
          </w:p>
        </w:tc>
        <w:tc>
          <w:tcPr>
            <w:tcW w:w="1701" w:type="dxa"/>
            <w:vMerge w:val="restart"/>
            <w:noWrap/>
            <w:vAlign w:val="center"/>
            <w:hideMark/>
          </w:tcPr>
          <w:p w:rsidR="00DB5257" w:rsidRPr="006F5B0F" w:rsidRDefault="00AD2E14" w:rsidP="00DB5257">
            <w:pPr>
              <w:pStyle w:val="HStandard"/>
              <w:spacing w:line="240" w:lineRule="auto"/>
              <w:jc w:val="center"/>
              <w:rPr>
                <w:sz w:val="16"/>
                <w:szCs w:val="18"/>
              </w:rPr>
            </w:pPr>
            <w:r>
              <w:rPr>
                <w:sz w:val="16"/>
              </w:rPr>
              <w:t>Inget av dessa</w:t>
            </w:r>
          </w:p>
        </w:tc>
        <w:tc>
          <w:tcPr>
            <w:tcW w:w="1701" w:type="dxa"/>
            <w:vMerge w:val="restart"/>
            <w:vAlign w:val="center"/>
            <w:hideMark/>
          </w:tcPr>
          <w:p w:rsidR="00DB5257" w:rsidRPr="006F5B0F" w:rsidRDefault="00AD2E14" w:rsidP="00DB5257">
            <w:pPr>
              <w:pStyle w:val="HStandard"/>
              <w:spacing w:line="240" w:lineRule="auto"/>
              <w:jc w:val="center"/>
              <w:rPr>
                <w:sz w:val="16"/>
                <w:szCs w:val="18"/>
              </w:rPr>
            </w:pPr>
            <w:r>
              <w:rPr>
                <w:sz w:val="16"/>
              </w:rPr>
              <w:t>Input-output-analys</w:t>
            </w:r>
          </w:p>
          <w:p w:rsidR="00DB5257" w:rsidRPr="006F5B0F" w:rsidRDefault="00AD2E14" w:rsidP="00DB5257">
            <w:pPr>
              <w:pStyle w:val="HStandard"/>
              <w:spacing w:line="240" w:lineRule="auto"/>
              <w:jc w:val="center"/>
              <w:rPr>
                <w:sz w:val="16"/>
                <w:szCs w:val="18"/>
              </w:rPr>
            </w:pPr>
            <w:r>
              <w:rPr>
                <w:sz w:val="16"/>
              </w:rPr>
              <w:t>(med stöd av kvalitativ analys)</w:t>
            </w:r>
          </w:p>
        </w:tc>
      </w:tr>
      <w:tr w:rsidR="00DB5257" w:rsidRPr="00013DFC" w:rsidTr="00DB5257">
        <w:trPr>
          <w:trHeight w:val="1405"/>
        </w:trPr>
        <w:tc>
          <w:tcPr>
            <w:tcW w:w="988" w:type="dxa"/>
            <w:tcBorders>
              <w:right w:val="nil"/>
            </w:tcBorders>
            <w:hideMark/>
          </w:tcPr>
          <w:p w:rsidR="00DB5257" w:rsidRPr="006F5B0F" w:rsidRDefault="00AD2E14" w:rsidP="00DB5257">
            <w:pPr>
              <w:pStyle w:val="HStandard"/>
              <w:jc w:val="center"/>
              <w:rPr>
                <w:b/>
                <w:bCs/>
                <w:color w:val="59638E"/>
              </w:rPr>
            </w:pPr>
            <w:r>
              <w:rPr>
                <w:b/>
                <w:color w:val="59638E"/>
              </w:rPr>
              <w:t>I.15</w:t>
            </w:r>
            <w:r w:rsidR="00F02B64">
              <w:rPr>
                <w:b/>
                <w:noProof/>
                <w:color w:val="59638E"/>
                <w:lang w:val="en-GB" w:eastAsia="en-GB"/>
              </w:rPr>
              <w:drawing>
                <wp:inline distT="0" distB="0" distL="0" distR="0">
                  <wp:extent cx="485775" cy="485775"/>
                  <wp:effectExtent l="0" t="0" r="9525" b="9525"/>
                  <wp:docPr id="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c>
          <w:tcPr>
            <w:tcW w:w="1417" w:type="dxa"/>
            <w:tcBorders>
              <w:left w:val="nil"/>
            </w:tcBorders>
            <w:vAlign w:val="center"/>
            <w:hideMark/>
          </w:tcPr>
          <w:p w:rsidR="00DB5257" w:rsidRPr="00013DFC" w:rsidRDefault="00AD2E14" w:rsidP="00DB5257">
            <w:pPr>
              <w:pStyle w:val="HStandard"/>
              <w:jc w:val="left"/>
              <w:rPr>
                <w:b/>
                <w:color w:val="59638E"/>
                <w:sz w:val="16"/>
                <w:szCs w:val="18"/>
                <w:lang w:val="nn-NO"/>
              </w:rPr>
            </w:pPr>
            <w:r w:rsidRPr="00013DFC">
              <w:rPr>
                <w:b/>
                <w:color w:val="59638E"/>
                <w:sz w:val="16"/>
                <w:lang w:val="nn-NO"/>
              </w:rPr>
              <w:t>Nivå av fattigdom på landsbygden</w:t>
            </w:r>
          </w:p>
        </w:tc>
        <w:tc>
          <w:tcPr>
            <w:tcW w:w="1701" w:type="dxa"/>
            <w:vMerge/>
            <w:hideMark/>
          </w:tcPr>
          <w:p w:rsidR="00DB5257" w:rsidRPr="00013DFC" w:rsidRDefault="00DB5257" w:rsidP="00DB5257">
            <w:pPr>
              <w:pStyle w:val="HStandard"/>
              <w:spacing w:line="240" w:lineRule="atLeast"/>
              <w:rPr>
                <w:sz w:val="16"/>
                <w:lang w:val="nn-NO"/>
              </w:rPr>
            </w:pPr>
          </w:p>
        </w:tc>
        <w:tc>
          <w:tcPr>
            <w:tcW w:w="1701" w:type="dxa"/>
            <w:vMerge/>
            <w:hideMark/>
          </w:tcPr>
          <w:p w:rsidR="00DB5257" w:rsidRPr="00013DFC" w:rsidRDefault="00DB5257" w:rsidP="00DB5257">
            <w:pPr>
              <w:pStyle w:val="HStandard"/>
              <w:spacing w:line="240" w:lineRule="atLeast"/>
              <w:rPr>
                <w:sz w:val="16"/>
                <w:lang w:val="nn-NO"/>
              </w:rPr>
            </w:pPr>
          </w:p>
        </w:tc>
        <w:tc>
          <w:tcPr>
            <w:tcW w:w="1701" w:type="dxa"/>
            <w:vMerge/>
            <w:hideMark/>
          </w:tcPr>
          <w:p w:rsidR="00DB5257" w:rsidRPr="00013DFC" w:rsidRDefault="00DB5257" w:rsidP="00DB5257">
            <w:pPr>
              <w:pStyle w:val="HStandard"/>
              <w:spacing w:line="240" w:lineRule="atLeast"/>
              <w:rPr>
                <w:sz w:val="16"/>
                <w:lang w:val="nn-NO"/>
              </w:rPr>
            </w:pPr>
          </w:p>
        </w:tc>
        <w:tc>
          <w:tcPr>
            <w:tcW w:w="1701" w:type="dxa"/>
            <w:vMerge/>
            <w:hideMark/>
          </w:tcPr>
          <w:p w:rsidR="00DB5257" w:rsidRPr="00013DFC" w:rsidRDefault="00DB5257" w:rsidP="00DB5257">
            <w:pPr>
              <w:pStyle w:val="HStandard"/>
              <w:spacing w:line="240" w:lineRule="atLeast"/>
              <w:rPr>
                <w:sz w:val="16"/>
                <w:lang w:val="nn-NO"/>
              </w:rPr>
            </w:pPr>
          </w:p>
        </w:tc>
      </w:tr>
      <w:tr w:rsidR="00DB5257" w:rsidRPr="001C6ACF" w:rsidTr="00DB5257">
        <w:trPr>
          <w:trHeight w:val="1413"/>
        </w:trPr>
        <w:tc>
          <w:tcPr>
            <w:tcW w:w="988" w:type="dxa"/>
            <w:tcBorders>
              <w:right w:val="nil"/>
            </w:tcBorders>
            <w:hideMark/>
          </w:tcPr>
          <w:p w:rsidR="00DB5257" w:rsidRPr="006F5B0F" w:rsidRDefault="00F02B64" w:rsidP="00DB5257">
            <w:pPr>
              <w:pStyle w:val="HStandard"/>
              <w:jc w:val="center"/>
              <w:rPr>
                <w:b/>
                <w:bCs/>
                <w:color w:val="59638E"/>
              </w:rPr>
            </w:pPr>
            <w:r>
              <w:rPr>
                <w:noProof/>
                <w:lang w:val="en-GB" w:eastAsia="en-GB"/>
              </w:rPr>
              <w:drawing>
                <wp:anchor distT="0" distB="0" distL="114300" distR="114300" simplePos="0" relativeHeight="251660800" behindDoc="1" locked="0" layoutInCell="1" allowOverlap="1">
                  <wp:simplePos x="0" y="0"/>
                  <wp:positionH relativeFrom="column">
                    <wp:posOffset>63500</wp:posOffset>
                  </wp:positionH>
                  <wp:positionV relativeFrom="paragraph">
                    <wp:posOffset>224155</wp:posOffset>
                  </wp:positionV>
                  <wp:extent cx="489585" cy="489585"/>
                  <wp:effectExtent l="0" t="0" r="5715" b="5715"/>
                  <wp:wrapTight wrapText="bothSides">
                    <wp:wrapPolygon edited="0">
                      <wp:start x="0" y="0"/>
                      <wp:lineTo x="0" y="21012"/>
                      <wp:lineTo x="21012" y="21012"/>
                      <wp:lineTo x="21012" y="0"/>
                      <wp:lineTo x="0" y="0"/>
                    </wp:wrapPolygon>
                  </wp:wrapTight>
                  <wp:docPr id="24"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9585" cy="489585"/>
                          </a:xfrm>
                          <a:prstGeom prst="rect">
                            <a:avLst/>
                          </a:prstGeom>
                          <a:noFill/>
                        </pic:spPr>
                      </pic:pic>
                    </a:graphicData>
                  </a:graphic>
                  <wp14:sizeRelH relativeFrom="page">
                    <wp14:pctWidth>0</wp14:pctWidth>
                  </wp14:sizeRelH>
                  <wp14:sizeRelV relativeFrom="page">
                    <wp14:pctHeight>0</wp14:pctHeight>
                  </wp14:sizeRelV>
                </wp:anchor>
              </w:drawing>
            </w:r>
            <w:r w:rsidR="00AD2E14">
              <w:rPr>
                <w:b/>
                <w:color w:val="59638E"/>
              </w:rPr>
              <w:t>I.16</w:t>
            </w:r>
          </w:p>
        </w:tc>
        <w:tc>
          <w:tcPr>
            <w:tcW w:w="1417" w:type="dxa"/>
            <w:tcBorders>
              <w:left w:val="nil"/>
            </w:tcBorders>
            <w:vAlign w:val="center"/>
            <w:hideMark/>
          </w:tcPr>
          <w:p w:rsidR="00DB5257" w:rsidRPr="006F5B0F" w:rsidRDefault="00AD2E14" w:rsidP="00DB5257">
            <w:pPr>
              <w:pStyle w:val="HStandard"/>
              <w:jc w:val="left"/>
              <w:rPr>
                <w:b/>
                <w:color w:val="59638E"/>
                <w:sz w:val="16"/>
                <w:szCs w:val="18"/>
              </w:rPr>
            </w:pPr>
            <w:r>
              <w:rPr>
                <w:b/>
                <w:color w:val="59638E"/>
                <w:sz w:val="16"/>
              </w:rPr>
              <w:t xml:space="preserve">BNP per capita på landsbygden </w:t>
            </w:r>
          </w:p>
        </w:tc>
        <w:tc>
          <w:tcPr>
            <w:tcW w:w="1701" w:type="dxa"/>
            <w:vMerge/>
            <w:hideMark/>
          </w:tcPr>
          <w:p w:rsidR="00DB5257" w:rsidRPr="006F5B0F" w:rsidRDefault="00DB5257" w:rsidP="00DB5257">
            <w:pPr>
              <w:pStyle w:val="HStandard"/>
              <w:spacing w:line="240" w:lineRule="atLeast"/>
              <w:rPr>
                <w:sz w:val="16"/>
              </w:rPr>
            </w:pPr>
          </w:p>
        </w:tc>
        <w:tc>
          <w:tcPr>
            <w:tcW w:w="1701" w:type="dxa"/>
            <w:vMerge/>
            <w:hideMark/>
          </w:tcPr>
          <w:p w:rsidR="00DB5257" w:rsidRPr="006F5B0F" w:rsidRDefault="00DB5257" w:rsidP="00DB5257">
            <w:pPr>
              <w:pStyle w:val="HStandard"/>
              <w:spacing w:line="240" w:lineRule="atLeast"/>
              <w:rPr>
                <w:sz w:val="16"/>
              </w:rPr>
            </w:pPr>
          </w:p>
        </w:tc>
        <w:tc>
          <w:tcPr>
            <w:tcW w:w="1701" w:type="dxa"/>
            <w:vMerge/>
            <w:hideMark/>
          </w:tcPr>
          <w:p w:rsidR="00DB5257" w:rsidRPr="006F5B0F" w:rsidRDefault="00DB5257" w:rsidP="00DB5257">
            <w:pPr>
              <w:pStyle w:val="HStandard"/>
              <w:spacing w:line="240" w:lineRule="atLeast"/>
              <w:rPr>
                <w:sz w:val="16"/>
              </w:rPr>
            </w:pPr>
          </w:p>
        </w:tc>
        <w:tc>
          <w:tcPr>
            <w:tcW w:w="1701" w:type="dxa"/>
            <w:vMerge/>
            <w:hideMark/>
          </w:tcPr>
          <w:p w:rsidR="00DB5257" w:rsidRPr="006F5B0F" w:rsidRDefault="00DB5257" w:rsidP="00DB5257">
            <w:pPr>
              <w:pStyle w:val="HStandard"/>
              <w:spacing w:line="240" w:lineRule="atLeast"/>
              <w:rPr>
                <w:sz w:val="16"/>
              </w:rPr>
            </w:pPr>
          </w:p>
        </w:tc>
      </w:tr>
    </w:tbl>
    <w:p w:rsidR="00DB5257" w:rsidRPr="001C6ACF" w:rsidRDefault="00DB5257" w:rsidP="00DB5257">
      <w:pPr>
        <w:pStyle w:val="HStandard"/>
        <w:rPr>
          <w:rFonts w:cs="Arial"/>
        </w:rPr>
      </w:pPr>
    </w:p>
    <w:p w:rsidR="00DB5257" w:rsidRPr="001C6ACF" w:rsidRDefault="00AD2E14" w:rsidP="00DB5257">
      <w:pPr>
        <w:pStyle w:val="HStandard"/>
        <w:rPr>
          <w:rFonts w:cs="Arial"/>
        </w:rPr>
      </w:pPr>
      <w:r>
        <w:t xml:space="preserve">I tabellen ovan visas effektindikatorerna för GJP:s pelare II som en översikt av de rekommenderade utvärderingsmetoderna för bedömningen på mikro- och makronivå som beskrivs ytterligare i kapitel 2.2–2.9 i riktlinjerna samt i den tekniska bilagan. </w:t>
      </w:r>
    </w:p>
    <w:p w:rsidR="00DB5257" w:rsidRPr="001C6ACF" w:rsidRDefault="00DB5257"/>
    <w:p w:rsidR="00DB5257" w:rsidRPr="00571D58" w:rsidRDefault="00F02B64" w:rsidP="00DB5257">
      <w:pPr>
        <w:pStyle w:val="HStandard"/>
        <w:jc w:val="center"/>
      </w:pPr>
      <w:r>
        <w:rPr>
          <w:b/>
          <w:i/>
          <w:noProof/>
          <w:color w:val="F07E31"/>
          <w:lang w:val="en-GB" w:eastAsia="en-GB"/>
        </w:rPr>
        <mc:AlternateContent>
          <mc:Choice Requires="wps">
            <w:drawing>
              <wp:inline distT="0" distB="0" distL="0" distR="0">
                <wp:extent cx="5819775" cy="2782957"/>
                <wp:effectExtent l="0" t="0" r="28575" b="17780"/>
                <wp:docPr id="1"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9775" cy="2782957"/>
                        </a:xfrm>
                        <a:custGeom>
                          <a:avLst/>
                          <a:gdLst>
                            <a:gd name="T0" fmla="*/ 157545 w 5819775"/>
                            <a:gd name="T1" fmla="*/ 0 h 1804016"/>
                            <a:gd name="T2" fmla="*/ 5819775 w 5819775"/>
                            <a:gd name="T3" fmla="*/ 0 h 1804016"/>
                            <a:gd name="T4" fmla="*/ 5819775 w 5819775"/>
                            <a:gd name="T5" fmla="*/ 0 h 1804016"/>
                            <a:gd name="T6" fmla="*/ 5819775 w 5819775"/>
                            <a:gd name="T7" fmla="*/ 2344445 h 1804016"/>
                            <a:gd name="T8" fmla="*/ 5662230 w 5819775"/>
                            <a:gd name="T9" fmla="*/ 2568777 h 1804016"/>
                            <a:gd name="T10" fmla="*/ 0 w 5819775"/>
                            <a:gd name="T11" fmla="*/ 2568777 h 1804016"/>
                            <a:gd name="T12" fmla="*/ 0 w 5819775"/>
                            <a:gd name="T13" fmla="*/ 2568777 h 1804016"/>
                            <a:gd name="T14" fmla="*/ 0 w 5819775"/>
                            <a:gd name="T15" fmla="*/ 224332 h 1804016"/>
                            <a:gd name="T16" fmla="*/ 157545 w 5819775"/>
                            <a:gd name="T17" fmla="*/ 0 h 18040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819775"/>
                            <a:gd name="T28" fmla="*/ 0 h 1804016"/>
                            <a:gd name="T29" fmla="*/ 5819775 w 5819775"/>
                            <a:gd name="T30" fmla="*/ 1804016 h 180401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819775" h="1804016">
                              <a:moveTo>
                                <a:pt x="157545" y="0"/>
                              </a:moveTo>
                              <a:lnTo>
                                <a:pt x="5819775" y="0"/>
                              </a:lnTo>
                              <a:lnTo>
                                <a:pt x="5819775" y="1646471"/>
                              </a:lnTo>
                              <a:cubicBezTo>
                                <a:pt x="5819775" y="1733481"/>
                                <a:pt x="5749240" y="1804016"/>
                                <a:pt x="5662230" y="1804016"/>
                              </a:cubicBezTo>
                              <a:lnTo>
                                <a:pt x="0" y="1804016"/>
                              </a:lnTo>
                              <a:lnTo>
                                <a:pt x="0" y="157545"/>
                              </a:lnTo>
                              <a:cubicBezTo>
                                <a:pt x="0" y="70535"/>
                                <a:pt x="70535" y="0"/>
                                <a:pt x="157545"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DB5257" w:rsidRPr="006F5B0F" w:rsidRDefault="00DB5257" w:rsidP="00DB5257">
                            <w:pPr>
                              <w:pStyle w:val="HHeading4"/>
                              <w:spacing w:before="0"/>
                              <w:jc w:val="both"/>
                              <w:rPr>
                                <w:rFonts w:cs="Arial"/>
                                <w:b w:val="0"/>
                                <w:color w:val="373737"/>
                              </w:rPr>
                            </w:pPr>
                            <w:r>
                              <w:rPr>
                                <w:b w:val="0"/>
                                <w:noProof/>
                                <w:lang w:val="en-GB" w:eastAsia="en-GB"/>
                              </w:rPr>
                              <w:drawing>
                                <wp:inline distT="0" distB="0" distL="0" distR="0">
                                  <wp:extent cx="666750" cy="4857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750" cy="485775"/>
                                          </a:xfrm>
                                          <a:prstGeom prst="rect">
                                            <a:avLst/>
                                          </a:prstGeom>
                                          <a:noFill/>
                                          <a:ln>
                                            <a:noFill/>
                                          </a:ln>
                                        </pic:spPr>
                                      </pic:pic>
                                    </a:graphicData>
                                  </a:graphic>
                                </wp:inline>
                              </w:drawing>
                            </w:r>
                            <w:r>
                              <w:rPr>
                                <w:color w:val="373737"/>
                              </w:rPr>
                              <w:t>Utvärderingsmetoderna</w:t>
                            </w:r>
                            <w:r>
                              <w:rPr>
                                <w:b w:val="0"/>
                                <w:color w:val="373737"/>
                              </w:rPr>
                              <w:t xml:space="preserve"> </w:t>
                            </w:r>
                            <w:r>
                              <w:rPr>
                                <w:b w:val="0"/>
                                <w:color w:val="373737"/>
                              </w:rPr>
                              <w:t xml:space="preserve">som beskrivs i riktlinjerna är exempel på möjliga alternativ, samtidigt som det även finns andra alternativ. Utvärderarna kan välja andra metoder för att bedöma effekterna av landsbygdsprogrammet och beakta det bästa alternativet för insamling av tydliga bevis men även respektera </w:t>
                            </w:r>
                            <w:r>
                              <w:rPr>
                                <w:color w:val="373737"/>
                              </w:rPr>
                              <w:t>landsbygdsprogrammets specifika situation</w:t>
                            </w:r>
                            <w:r>
                              <w:rPr>
                                <w:b w:val="0"/>
                                <w:color w:val="373737"/>
                              </w:rPr>
                              <w:t xml:space="preserve"> med hänsyn till följande:</w:t>
                            </w:r>
                          </w:p>
                          <w:p w:rsidR="00DB5257" w:rsidRPr="00D43E45" w:rsidRDefault="00DB5257" w:rsidP="00DB5257">
                            <w:pPr>
                              <w:pStyle w:val="Hlistbullet"/>
                              <w:rPr>
                                <w:i/>
                                <w:sz w:val="18"/>
                              </w:rPr>
                            </w:pPr>
                            <w:r>
                              <w:t xml:space="preserve">landsbygdsprogrammets storlek </w:t>
                            </w:r>
                          </w:p>
                          <w:p w:rsidR="00DB5257" w:rsidRPr="00D43E45" w:rsidRDefault="00DB5257" w:rsidP="00DB5257">
                            <w:pPr>
                              <w:pStyle w:val="Hlistbullet"/>
                              <w:rPr>
                                <w:i/>
                                <w:sz w:val="18"/>
                              </w:rPr>
                            </w:pPr>
                            <w:r>
                              <w:t xml:space="preserve">landsbygdsprogrammets upptagningsområde </w:t>
                            </w:r>
                          </w:p>
                          <w:p w:rsidR="00DB5257" w:rsidRPr="00D43E45" w:rsidRDefault="00DB5257" w:rsidP="00DB5257">
                            <w:pPr>
                              <w:pStyle w:val="Hlistbullet"/>
                              <w:rPr>
                                <w:i/>
                                <w:sz w:val="18"/>
                              </w:rPr>
                            </w:pPr>
                            <w:r>
                              <w:t>uppgifternas tillgänglighet och kvalitet för utvärdering.</w:t>
                            </w:r>
                          </w:p>
                          <w:p w:rsidR="00DB5257" w:rsidRPr="006F5B0F" w:rsidRDefault="00DB5257" w:rsidP="00DB5257">
                            <w:pPr>
                              <w:pStyle w:val="HHeading4"/>
                              <w:spacing w:before="0"/>
                              <w:jc w:val="both"/>
                              <w:rPr>
                                <w:b w:val="0"/>
                                <w:color w:val="373737"/>
                              </w:rPr>
                            </w:pPr>
                            <w:r>
                              <w:rPr>
                                <w:b w:val="0"/>
                                <w:color w:val="373737"/>
                              </w:rPr>
                              <w:t>De logiska modellerna som presenteras i dessa riktlinjer bör fungera som användbara verktyg för utvärderare så att de kan identifiera möjliga utvärderingsal</w:t>
                            </w:r>
                            <w:bookmarkStart w:id="0" w:name="_GoBack"/>
                            <w:bookmarkEnd w:id="0"/>
                            <w:r>
                              <w:rPr>
                                <w:b w:val="0"/>
                                <w:color w:val="373737"/>
                              </w:rPr>
                              <w:t>ternativ i ett verkligt sammanhang.</w:t>
                            </w:r>
                          </w:p>
                        </w:txbxContent>
                      </wps:txbx>
                      <wps:bodyPr rot="0" vert="horz" wrap="square" lIns="91440" tIns="45720" rIns="91440" bIns="45720" anchor="ctr" anchorCtr="0" upright="1">
                        <a:noAutofit/>
                      </wps:bodyPr>
                    </wps:wsp>
                  </a:graphicData>
                </a:graphic>
              </wp:inline>
            </w:drawing>
          </mc:Choice>
          <mc:Fallback>
            <w:pict>
              <v:shape id="AutoShape 61" o:spid="_x0000_s1041" style="width:458.25pt;height:219.15pt;visibility:visible;mso-wrap-style:square;mso-left-percent:-10001;mso-top-percent:-10001;mso-position-horizontal:absolute;mso-position-horizontal-relative:char;mso-position-vertical:absolute;mso-position-vertical-relative:line;mso-left-percent:-10001;mso-top-percent:-10001;v-text-anchor:middle" coordsize="5819775,18040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" adj="-11796480,,5400" path="m157545,l5819775,r,1646471c5819775,1733481,5749240,1804016,5662230,1804016l,1804016,,157545c,70535,70535,,157545,xe" filled="f" strokecolor="#be4a35" strokeweight="2pt">
                <v:stroke joinstyle="miter"/>
                <v:formulas/>
                <v:path arrowok="t" o:connecttype="custom" o:connectlocs="157545,0;5819775,0;5819775,0;5819775,3616647;5662230,3962712;0,3962712;0,3962712;0,346065;157545,0" o:connectangles="0,0,0,0,0,0,0,0,0" textboxrect="0,0,5819775,1804016"/>
                <v:textbox>
                  <w:txbxContent>
                    <w:p w:rsidR="00DB5257" w:rsidRPr="006F5B0F" w:rsidRDefault="00DB5257" w:rsidP="00DB5257">
                      <w:pPr>
                        <w:pStyle w:val="HHeading4"/>
                        <w:spacing w:before="0"/>
                        <w:jc w:val="both"/>
                        <w:rPr>
                          <w:rFonts w:cs="Arial"/>
                          <w:b w:val="0"/>
                          <w:color w:val="373737"/>
                        </w:rPr>
                      </w:pPr>
                      <w:r>
                        <w:rPr>
                          <w:b w:val="0"/>
                          <w:noProof/>
                          <w:lang w:val="en-GB" w:eastAsia="en-GB"/>
                        </w:rPr>
                        <w:drawing>
                          <wp:inline distT="0" distB="0" distL="0" distR="0">
                            <wp:extent cx="666750" cy="4857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750" cy="485775"/>
                                    </a:xfrm>
                                    <a:prstGeom prst="rect">
                                      <a:avLst/>
                                    </a:prstGeom>
                                    <a:noFill/>
                                    <a:ln>
                                      <a:noFill/>
                                    </a:ln>
                                  </pic:spPr>
                                </pic:pic>
                              </a:graphicData>
                            </a:graphic>
                          </wp:inline>
                        </w:drawing>
                      </w:r>
                      <w:r>
                        <w:rPr>
                          <w:color w:val="373737"/>
                        </w:rPr>
                        <w:t>Utvärderingsmetoderna</w:t>
                      </w:r>
                      <w:r>
                        <w:rPr>
                          <w:b w:val="0"/>
                          <w:color w:val="373737"/>
                        </w:rPr>
                        <w:t xml:space="preserve"> </w:t>
                      </w:r>
                      <w:r>
                        <w:rPr>
                          <w:b w:val="0"/>
                          <w:color w:val="373737"/>
                        </w:rPr>
                        <w:t xml:space="preserve">som beskrivs i riktlinjerna är exempel på möjliga alternativ, samtidigt som det även finns andra alternativ. Utvärderarna kan välja andra metoder för att bedöma effekterna av landsbygdsprogrammet och beakta det bästa alternativet för insamling av tydliga bevis men även respektera </w:t>
                      </w:r>
                      <w:r>
                        <w:rPr>
                          <w:color w:val="373737"/>
                        </w:rPr>
                        <w:t>landsbygdsprogrammets specifika situation</w:t>
                      </w:r>
                      <w:r>
                        <w:rPr>
                          <w:b w:val="0"/>
                          <w:color w:val="373737"/>
                        </w:rPr>
                        <w:t xml:space="preserve"> med hänsyn till följande:</w:t>
                      </w:r>
                    </w:p>
                    <w:p w:rsidR="00DB5257" w:rsidRPr="00D43E45" w:rsidRDefault="00DB5257" w:rsidP="00DB5257">
                      <w:pPr>
                        <w:pStyle w:val="Hlistbullet"/>
                        <w:rPr>
                          <w:i/>
                          <w:sz w:val="18"/>
                        </w:rPr>
                      </w:pPr>
                      <w:r>
                        <w:t xml:space="preserve">landsbygdsprogrammets storlek </w:t>
                      </w:r>
                    </w:p>
                    <w:p w:rsidR="00DB5257" w:rsidRPr="00D43E45" w:rsidRDefault="00DB5257" w:rsidP="00DB5257">
                      <w:pPr>
                        <w:pStyle w:val="Hlistbullet"/>
                        <w:rPr>
                          <w:i/>
                          <w:sz w:val="18"/>
                        </w:rPr>
                      </w:pPr>
                      <w:r>
                        <w:t xml:space="preserve">landsbygdsprogrammets upptagningsområde </w:t>
                      </w:r>
                    </w:p>
                    <w:p w:rsidR="00DB5257" w:rsidRPr="00D43E45" w:rsidRDefault="00DB5257" w:rsidP="00DB5257">
                      <w:pPr>
                        <w:pStyle w:val="Hlistbullet"/>
                        <w:rPr>
                          <w:i/>
                          <w:sz w:val="18"/>
                        </w:rPr>
                      </w:pPr>
                      <w:r>
                        <w:t>uppgifternas tillgänglighet och kvalitet för utvärdering.</w:t>
                      </w:r>
                    </w:p>
                    <w:p w:rsidR="00DB5257" w:rsidRPr="006F5B0F" w:rsidRDefault="00DB5257" w:rsidP="00DB5257">
                      <w:pPr>
                        <w:pStyle w:val="HHeading4"/>
                        <w:spacing w:before="0"/>
                        <w:jc w:val="both"/>
                        <w:rPr>
                          <w:b w:val="0"/>
                          <w:color w:val="373737"/>
                        </w:rPr>
                      </w:pPr>
                      <w:r>
                        <w:rPr>
                          <w:b w:val="0"/>
                          <w:color w:val="373737"/>
                        </w:rPr>
                        <w:t>De logiska modellerna som presenteras i dessa riktlinjer bör fungera som användbara verktyg för utvärderare så att de kan identifiera möjliga utvärderingsal</w:t>
                      </w:r>
                      <w:bookmarkStart w:id="1" w:name="_GoBack"/>
                      <w:bookmarkEnd w:id="1"/>
                      <w:r>
                        <w:rPr>
                          <w:b w:val="0"/>
                          <w:color w:val="373737"/>
                        </w:rPr>
                        <w:t>ternativ i ett verkligt sammanhang.</w:t>
                      </w:r>
                    </w:p>
                  </w:txbxContent>
                </v:textbox>
                <w10:anchorlock/>
              </v:shape>
            </w:pict>
          </mc:Fallback>
        </mc:AlternateContent>
      </w:r>
    </w:p>
    <w:p w:rsidR="00DB5257" w:rsidRDefault="00DB5257">
      <w:pPr>
        <w:spacing w:before="0" w:after="0" w:line="240" w:lineRule="auto"/>
        <w:jc w:val="left"/>
        <w:rPr>
          <w:color w:val="373737"/>
          <w:sz w:val="20"/>
          <w:szCs w:val="20"/>
        </w:rPr>
      </w:pPr>
    </w:p>
    <w:sectPr w:rsidR="00DB5257" w:rsidSect="00DB5257">
      <w:headerReference w:type="default" r:id="rId58"/>
      <w:pgSz w:w="11906" w:h="16838" w:code="9"/>
      <w:pgMar w:top="1440" w:right="1440" w:bottom="1134" w:left="1440" w:header="567" w:footer="10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77A5" w:rsidRDefault="004077A5">
      <w:pPr>
        <w:spacing w:before="0" w:after="0" w:line="240" w:lineRule="auto"/>
      </w:pPr>
      <w:r>
        <w:separator/>
      </w:r>
    </w:p>
  </w:endnote>
  <w:endnote w:type="continuationSeparator" w:id="0">
    <w:p w:rsidR="004077A5" w:rsidRDefault="004077A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5257" w:rsidRDefault="00DB5257">
    <w:pPr>
      <w:pStyle w:val="Footer"/>
    </w:pPr>
    <w:r>
      <w:fldChar w:fldCharType="begin"/>
    </w:r>
    <w:r>
      <w:instrText xml:space="preserve"> PAGE   \* MERGEFORMAT </w:instrText>
    </w:r>
    <w:r>
      <w:fldChar w:fldCharType="separate"/>
    </w:r>
    <w:r w:rsidR="00013DFC">
      <w:rPr>
        <w:noProof/>
      </w:rPr>
      <w:t>1</w:t>
    </w:r>
    <w:r>
      <w:fldChar w:fldCharType="end"/>
    </w:r>
  </w:p>
  <w:p w:rsidR="00DB5257" w:rsidRDefault="00DB52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5257" w:rsidRDefault="00DB5257">
    <w:pPr>
      <w:pStyle w:val="Footer"/>
    </w:pPr>
  </w:p>
  <w:p w:rsidR="00DB5257" w:rsidRDefault="00DB52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5257" w:rsidRDefault="00DB5257">
    <w:pPr>
      <w:pStyle w:val="Footer"/>
    </w:pPr>
    <w:r>
      <w:fldChar w:fldCharType="begin"/>
    </w:r>
    <w:r>
      <w:instrText xml:space="preserve"> PAGE   \* MERGEFORMAT </w:instrText>
    </w:r>
    <w:r>
      <w:fldChar w:fldCharType="separate"/>
    </w:r>
    <w:r w:rsidR="00013DFC">
      <w:rPr>
        <w:noProof/>
      </w:rPr>
      <w:t>6</w:t>
    </w:r>
    <w:r>
      <w:fldChar w:fldCharType="end"/>
    </w:r>
  </w:p>
  <w:p w:rsidR="00DB5257" w:rsidRDefault="00DB525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5257" w:rsidRDefault="00DB5257">
    <w:pPr>
      <w:pStyle w:val="Footer"/>
    </w:pPr>
    <w:r>
      <w:fldChar w:fldCharType="begin"/>
    </w:r>
    <w:r>
      <w:instrText xml:space="preserve"> PAGE   \* MERGEFORMAT </w:instrText>
    </w:r>
    <w:r>
      <w:fldChar w:fldCharType="separate"/>
    </w:r>
    <w:r w:rsidR="00013DFC">
      <w:rPr>
        <w:noProof/>
      </w:rPr>
      <w:t>1</w:t>
    </w:r>
    <w:r>
      <w:fldChar w:fldCharType="end"/>
    </w:r>
  </w:p>
  <w:p w:rsidR="00DB5257" w:rsidRDefault="00DB52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77A5" w:rsidRPr="005B2AAC" w:rsidRDefault="004077A5">
      <w:pPr>
        <w:spacing w:before="0" w:after="0" w:line="240" w:lineRule="auto"/>
        <w:rPr>
          <w:color w:val="F07E31"/>
        </w:rPr>
      </w:pPr>
      <w:r>
        <w:separator/>
      </w:r>
    </w:p>
  </w:footnote>
  <w:footnote w:type="continuationSeparator" w:id="0">
    <w:p w:rsidR="004077A5" w:rsidRDefault="004077A5">
      <w:pPr>
        <w:spacing w:before="0" w:after="0" w:line="240" w:lineRule="auto"/>
      </w:pPr>
      <w:r>
        <w:continuationSeparator/>
      </w:r>
    </w:p>
  </w:footnote>
  <w:footnote w:id="1">
    <w:p w:rsidR="00DB5257" w:rsidRPr="003563F4" w:rsidRDefault="00DB5257">
      <w:pPr>
        <w:pStyle w:val="FootnoteText"/>
        <w:rPr>
          <w:color w:val="878787"/>
        </w:rPr>
      </w:pPr>
      <w:r>
        <w:rPr>
          <w:rStyle w:val="FootnoteReference"/>
          <w:i w:val="0"/>
          <w:color w:val="878787"/>
        </w:rPr>
        <w:footnoteRef/>
      </w:r>
      <w:r>
        <w:rPr>
          <w:color w:val="878787"/>
        </w:rPr>
        <w:t xml:space="preserve"> Artiklarna 54 och 56.3 i förordning (EU) nr 1303/2013.</w:t>
      </w:r>
    </w:p>
  </w:footnote>
  <w:footnote w:id="2">
    <w:p w:rsidR="00DB5257" w:rsidRPr="00E53246" w:rsidRDefault="00DB5257" w:rsidP="00CD63F6">
      <w:pPr>
        <w:pStyle w:val="FootnoteText"/>
      </w:pPr>
      <w:r>
        <w:rPr>
          <w:rStyle w:val="FootnoteReference"/>
          <w:i w:val="0"/>
          <w:color w:val="878787"/>
        </w:rPr>
        <w:footnoteRef/>
      </w:r>
      <w:r>
        <w:rPr>
          <w:color w:val="878787"/>
        </w:rPr>
        <w:t xml:space="preserve"> </w:t>
      </w:r>
      <w:r>
        <w:rPr>
          <w:color w:val="878787"/>
        </w:rPr>
        <w:t xml:space="preserve">Bilaga </w:t>
      </w:r>
      <w:r>
        <w:rPr>
          <w:color w:val="878787"/>
        </w:rPr>
        <w:t>VII till förordning (EU) nr 808/2014.</w:t>
      </w:r>
    </w:p>
  </w:footnote>
  <w:footnote w:id="3">
    <w:p w:rsidR="00DB5257" w:rsidRPr="003563F4" w:rsidRDefault="00DB5257" w:rsidP="00DB5257">
      <w:pPr>
        <w:pStyle w:val="FootnoteText"/>
        <w:rPr>
          <w:color w:val="878787"/>
        </w:rPr>
      </w:pPr>
      <w:r>
        <w:rPr>
          <w:color w:val="878787"/>
          <w:vertAlign w:val="superscript"/>
        </w:rPr>
        <w:footnoteRef/>
      </w:r>
      <w:r>
        <w:rPr>
          <w:color w:val="878787"/>
        </w:rPr>
        <w:t xml:space="preserve"> </w:t>
      </w:r>
      <w:r>
        <w:rPr>
          <w:color w:val="878787"/>
        </w:rPr>
        <w:t xml:space="preserve">Artikel </w:t>
      </w:r>
      <w:r>
        <w:rPr>
          <w:color w:val="878787"/>
        </w:rPr>
        <w:t xml:space="preserve">75 i </w:t>
      </w:r>
      <w:r w:rsidR="004077A5">
        <w:fldChar w:fldCharType="begin"/>
      </w:r>
      <w:r w:rsidR="004077A5">
        <w:instrText xml:space="preserve"> HYPERLINK "http://eur-lex.europa.eu/legal-content/sv/ALL/?uri=CELEX%3A32013R1305" </w:instrText>
      </w:r>
      <w:r w:rsidR="004077A5">
        <w:fldChar w:fldCharType="separate"/>
      </w:r>
      <w:r>
        <w:rPr>
          <w:color w:val="878787"/>
        </w:rPr>
        <w:t>förordning (EU) nr 1305/2013</w:t>
      </w:r>
      <w:r w:rsidR="004077A5">
        <w:rPr>
          <w:color w:val="878787"/>
        </w:rPr>
        <w:fldChar w:fldCharType="end"/>
      </w:r>
      <w:r>
        <w:t>.</w:t>
      </w:r>
    </w:p>
  </w:footnote>
  <w:footnote w:id="4">
    <w:p w:rsidR="00DB5257" w:rsidRPr="003563F4" w:rsidRDefault="00DB5257" w:rsidP="00DB5257">
      <w:pPr>
        <w:pStyle w:val="FootnoteText"/>
        <w:rPr>
          <w:color w:val="878787"/>
        </w:rPr>
      </w:pPr>
      <w:r>
        <w:rPr>
          <w:color w:val="878787"/>
          <w:vertAlign w:val="superscript"/>
        </w:rPr>
        <w:footnoteRef/>
      </w:r>
      <w:r>
        <w:rPr>
          <w:color w:val="878787"/>
          <w:vertAlign w:val="superscript"/>
        </w:rPr>
        <w:t xml:space="preserve"> </w:t>
      </w:r>
      <w:hyperlink r:id="rId1" w:history="1">
        <w:r>
          <w:rPr>
            <w:rStyle w:val="Hyperlink"/>
            <w:color w:val="878787"/>
            <w:sz w:val="16"/>
            <w:u w:val="none"/>
          </w:rPr>
          <w:t xml:space="preserve">Riktlinjerna ”Establishing and implementing the Evaluation Plan of 2014- 2020 RDPs”. </w:t>
        </w:r>
      </w:hyperlink>
    </w:p>
  </w:footnote>
  <w:footnote w:id="5">
    <w:p w:rsidR="00DB5257" w:rsidRPr="003563F4" w:rsidRDefault="00DB5257" w:rsidP="00DB5257">
      <w:pPr>
        <w:pStyle w:val="FootnoteText"/>
        <w:rPr>
          <w:color w:val="878787"/>
        </w:rPr>
      </w:pPr>
      <w:r>
        <w:rPr>
          <w:color w:val="878787"/>
          <w:vertAlign w:val="superscript"/>
        </w:rPr>
        <w:footnoteRef/>
      </w:r>
      <w:r>
        <w:rPr>
          <w:color w:val="878787"/>
        </w:rPr>
        <w:t xml:space="preserve"> </w:t>
      </w:r>
      <w:hyperlink r:id="rId2" w:history="1">
        <w:r>
          <w:rPr>
            <w:rStyle w:val="Hyperlink"/>
            <w:color w:val="878787"/>
            <w:sz w:val="16"/>
            <w:u w:val="none"/>
          </w:rPr>
          <w:t xml:space="preserve">Kommissionens </w:t>
        </w:r>
        <w:r>
          <w:rPr>
            <w:rStyle w:val="Hyperlink"/>
            <w:color w:val="878787"/>
            <w:sz w:val="16"/>
            <w:u w:val="none"/>
          </w:rPr>
          <w:t>genomförandeförordning (EU) nr 808/2014, bilaga 1, punkt 9 och bilaga VII, punkt 7</w:t>
        </w:r>
      </w:hyperlink>
      <w:r>
        <w:rPr>
          <w:rStyle w:val="Hyperlink"/>
          <w:color w:val="878787"/>
          <w:sz w:val="16"/>
          <w:u w:val="none"/>
        </w:rPr>
        <w:t>.</w:t>
      </w:r>
    </w:p>
  </w:footnote>
  <w:footnote w:id="6">
    <w:p w:rsidR="00DB5257" w:rsidRPr="003563F4" w:rsidRDefault="00DB5257" w:rsidP="00DB5257">
      <w:pPr>
        <w:pStyle w:val="FootnoteText"/>
        <w:ind w:left="142" w:hanging="142"/>
        <w:rPr>
          <w:color w:val="878787"/>
        </w:rPr>
      </w:pPr>
      <w:r>
        <w:rPr>
          <w:i/>
          <w:color w:val="878787"/>
          <w:vertAlign w:val="superscript"/>
        </w:rPr>
        <w:footnoteRef/>
      </w:r>
      <w:r>
        <w:rPr>
          <w:color w:val="878787"/>
          <w:vertAlign w:val="superscript"/>
        </w:rPr>
        <w:t xml:space="preserve"> </w:t>
      </w:r>
      <w:r>
        <w:rPr>
          <w:color w:val="878787"/>
        </w:rPr>
        <w:t xml:space="preserve">Helpdesken för utvärdering sammanfattade resultaten från de årliga genomförandeplanerna för 2017 i </w:t>
      </w:r>
      <w:r w:rsidR="004077A5">
        <w:fldChar w:fldCharType="begin"/>
      </w:r>
      <w:r w:rsidR="004077A5">
        <w:instrText xml:space="preserve"> HYPERLINK "https://enrd.ec.europa.eu/evaluation/publications/summary-report-synthesis-evaluation-components-2017-enhanced-air-chapter-7_en" </w:instrText>
      </w:r>
      <w:r w:rsidR="004077A5">
        <w:fldChar w:fldCharType="separate"/>
      </w:r>
      <w:r>
        <w:rPr>
          <w:color w:val="878787"/>
        </w:rPr>
        <w:t>Summary Report Synthesis of the Evaluation Components of the 2017 Enhanced AIR: Kapitel 7</w:t>
      </w:r>
      <w:r w:rsidR="004077A5">
        <w:rPr>
          <w:color w:val="878787"/>
        </w:rPr>
        <w:fldChar w:fldCharType="end"/>
      </w:r>
      <w:r>
        <w:rPr>
          <w:color w:val="878787"/>
        </w:rPr>
        <w:t>.</w:t>
      </w:r>
    </w:p>
  </w:footnote>
  <w:footnote w:id="7">
    <w:p w:rsidR="00DB5257" w:rsidRPr="00E53246" w:rsidRDefault="00DB5257">
      <w:pPr>
        <w:pStyle w:val="FootnoteText"/>
      </w:pPr>
      <w:r>
        <w:rPr>
          <w:i/>
          <w:color w:val="878787"/>
          <w:vertAlign w:val="superscript"/>
        </w:rPr>
        <w:footnoteRef/>
      </w:r>
      <w:r>
        <w:rPr>
          <w:color w:val="878787"/>
          <w:vertAlign w:val="superscript"/>
        </w:rPr>
        <w:t xml:space="preserve"> </w:t>
      </w:r>
      <w:r>
        <w:rPr>
          <w:color w:val="878787"/>
        </w:rPr>
        <w:t>Bilaga VII till förordning (EU) nr 808/2014.</w:t>
      </w:r>
    </w:p>
  </w:footnote>
  <w:footnote w:id="8">
    <w:p w:rsidR="00DB5257" w:rsidRPr="003563F4" w:rsidRDefault="00DB5257" w:rsidP="00DB5257">
      <w:pPr>
        <w:pStyle w:val="FootnoteText"/>
        <w:rPr>
          <w:color w:val="878787"/>
        </w:rPr>
      </w:pPr>
      <w:r>
        <w:rPr>
          <w:rStyle w:val="FootnoteReference"/>
          <w:i w:val="0"/>
          <w:color w:val="878787"/>
        </w:rPr>
        <w:footnoteRef/>
      </w:r>
      <w:r>
        <w:rPr>
          <w:color w:val="878787"/>
        </w:rPr>
        <w:t xml:space="preserve"> </w:t>
      </w:r>
      <w:hyperlink r:id="rId3" w:history="1">
        <w:r>
          <w:rPr>
            <w:color w:val="878787"/>
          </w:rPr>
          <w:t xml:space="preserve">Artiklarna </w:t>
        </w:r>
        <w:r>
          <w:rPr>
            <w:color w:val="878787"/>
          </w:rPr>
          <w:t>67–79 i förordning (EU) nr 1305/2014</w:t>
        </w:r>
      </w:hyperlink>
      <w:r>
        <w:rPr>
          <w:color w:val="878787"/>
        </w:rPr>
        <w:t xml:space="preserve">, </w:t>
      </w:r>
      <w:hyperlink r:id="rId4" w:history="1">
        <w:r>
          <w:rPr>
            <w:color w:val="878787"/>
          </w:rPr>
          <w:t>artikel 110 i förordning (EU) nr 1306/2013,</w:t>
        </w:r>
      </w:hyperlink>
      <w:r>
        <w:rPr>
          <w:color w:val="878787"/>
        </w:rPr>
        <w:t xml:space="preserve"> </w:t>
      </w:r>
      <w:hyperlink r:id="rId5" w:history="1">
        <w:r>
          <w:rPr>
            <w:color w:val="878787"/>
          </w:rPr>
          <w:t>artikel 1 a) och bilaga I i förordning (EU) nr 834/2014</w:t>
        </w:r>
      </w:hyperlink>
      <w:r>
        <w:rPr>
          <w:color w:val="878787"/>
        </w:rPr>
        <w:t xml:space="preserve">, </w:t>
      </w:r>
      <w:hyperlink r:id="rId6" w:history="1">
        <w:r>
          <w:rPr>
            <w:color w:val="878787"/>
          </w:rPr>
          <w:t>artikel 14 och bilagorna IV, V, VI och VII i förordning (EU) nr 808/2014</w:t>
        </w:r>
      </w:hyperlink>
      <w:r>
        <w:rPr>
          <w:color w:val="878787"/>
        </w:rPr>
        <w:t>.</w:t>
      </w:r>
    </w:p>
  </w:footnote>
  <w:footnote w:id="9">
    <w:p w:rsidR="00DB5257" w:rsidRPr="003563F4" w:rsidRDefault="00DB5257" w:rsidP="00DB5257">
      <w:pPr>
        <w:pStyle w:val="FootnoteText"/>
        <w:rPr>
          <w:color w:val="878787"/>
        </w:rPr>
      </w:pPr>
      <w:r>
        <w:rPr>
          <w:rStyle w:val="FootnoteReference"/>
          <w:i w:val="0"/>
          <w:color w:val="878787"/>
        </w:rPr>
        <w:footnoteRef/>
      </w:r>
      <w:r>
        <w:rPr>
          <w:color w:val="878787"/>
        </w:rPr>
        <w:t xml:space="preserve">  </w:t>
      </w:r>
      <w:r>
        <w:rPr>
          <w:color w:val="878787"/>
        </w:rPr>
        <w:t>Artikel 54 i förordning (EU) nr 1303/2013.</w:t>
      </w:r>
    </w:p>
  </w:footnote>
  <w:footnote w:id="10">
    <w:p w:rsidR="00DB5257" w:rsidRPr="003563F4" w:rsidRDefault="00DB5257" w:rsidP="00DB5257">
      <w:pPr>
        <w:pStyle w:val="FootnoteText"/>
        <w:rPr>
          <w:color w:val="878787"/>
        </w:rPr>
      </w:pPr>
      <w:r>
        <w:rPr>
          <w:rStyle w:val="FootnoteReference"/>
          <w:i w:val="0"/>
          <w:color w:val="878787"/>
        </w:rPr>
        <w:footnoteRef/>
      </w:r>
      <w:r>
        <w:rPr>
          <w:color w:val="878787"/>
        </w:rPr>
        <w:t xml:space="preserve"> </w:t>
      </w:r>
      <w:r>
        <w:rPr>
          <w:color w:val="878787"/>
        </w:rPr>
        <w:t xml:space="preserve">Artikel </w:t>
      </w:r>
      <w:r>
        <w:rPr>
          <w:color w:val="878787"/>
        </w:rPr>
        <w:t>56 i förordning (EU) nr 1303/2013.</w:t>
      </w:r>
    </w:p>
  </w:footnote>
  <w:footnote w:id="11">
    <w:p w:rsidR="00DB5257" w:rsidRPr="003563F4" w:rsidRDefault="00DB5257" w:rsidP="00DB5257">
      <w:pPr>
        <w:pStyle w:val="FootnoteText"/>
        <w:rPr>
          <w:color w:val="878787"/>
        </w:rPr>
      </w:pPr>
      <w:r>
        <w:rPr>
          <w:rStyle w:val="FootnoteReference"/>
          <w:i w:val="0"/>
          <w:color w:val="878787"/>
        </w:rPr>
        <w:footnoteRef/>
      </w:r>
      <w:r>
        <w:rPr>
          <w:color w:val="878787"/>
        </w:rPr>
        <w:t xml:space="preserve"> </w:t>
      </w:r>
      <w:r>
        <w:rPr>
          <w:color w:val="878787"/>
        </w:rPr>
        <w:t xml:space="preserve">Artikel </w:t>
      </w:r>
      <w:r>
        <w:rPr>
          <w:color w:val="878787"/>
        </w:rPr>
        <w:t>110 i förordning (EU) nr 1306/2013.</w:t>
      </w:r>
    </w:p>
  </w:footnote>
  <w:footnote w:id="12">
    <w:p w:rsidR="00DB5257" w:rsidRPr="003563F4" w:rsidRDefault="00DB5257" w:rsidP="00DB5257">
      <w:pPr>
        <w:pStyle w:val="FootnoteText"/>
        <w:rPr>
          <w:color w:val="878787"/>
        </w:rPr>
      </w:pPr>
      <w:r>
        <w:rPr>
          <w:rStyle w:val="FootnoteReference"/>
          <w:i w:val="0"/>
          <w:color w:val="878787"/>
        </w:rPr>
        <w:footnoteRef/>
      </w:r>
      <w:r>
        <w:rPr>
          <w:color w:val="878787"/>
        </w:rPr>
        <w:t xml:space="preserve"> </w:t>
      </w:r>
      <w:r>
        <w:rPr>
          <w:color w:val="878787"/>
        </w:rPr>
        <w:t xml:space="preserve">Artiklarna </w:t>
      </w:r>
      <w:r>
        <w:rPr>
          <w:color w:val="878787"/>
        </w:rPr>
        <w:t>110.3 och 110.4 i förordning (EU) nr 1306/2013.</w:t>
      </w:r>
    </w:p>
  </w:footnote>
  <w:footnote w:id="13">
    <w:p w:rsidR="00DB5257" w:rsidRPr="003563F4" w:rsidRDefault="00DB5257" w:rsidP="00DB5257">
      <w:pPr>
        <w:pStyle w:val="FootnoteText"/>
        <w:rPr>
          <w:color w:val="878787"/>
        </w:rPr>
      </w:pPr>
      <w:r>
        <w:rPr>
          <w:rStyle w:val="FootnoteReference"/>
          <w:i w:val="0"/>
          <w:color w:val="878787"/>
        </w:rPr>
        <w:footnoteRef/>
      </w:r>
      <w:r>
        <w:rPr>
          <w:color w:val="878787"/>
        </w:rPr>
        <w:t xml:space="preserve"> </w:t>
      </w:r>
      <w:r>
        <w:rPr>
          <w:color w:val="878787"/>
        </w:rPr>
        <w:t xml:space="preserve">Artiklarna 67 </w:t>
      </w:r>
      <w:r>
        <w:rPr>
          <w:color w:val="878787"/>
        </w:rPr>
        <w:t>och 68 i förordning (EU) nr 1305/2013.</w:t>
      </w:r>
    </w:p>
  </w:footnote>
  <w:footnote w:id="14">
    <w:p w:rsidR="00DB5257" w:rsidRPr="00013DFC" w:rsidRDefault="00DB5257" w:rsidP="00DB5257">
      <w:pPr>
        <w:pStyle w:val="FootnoteText"/>
        <w:rPr>
          <w:lang w:val="en-GB"/>
        </w:rPr>
      </w:pPr>
      <w:r>
        <w:rPr>
          <w:rStyle w:val="FootnoteReference"/>
          <w:i w:val="0"/>
          <w:color w:val="878787"/>
        </w:rPr>
        <w:footnoteRef/>
      </w:r>
      <w:r w:rsidRPr="00013DFC">
        <w:rPr>
          <w:color w:val="878787"/>
          <w:lang w:val="en-GB"/>
        </w:rPr>
        <w:t xml:space="preserve"> </w:t>
      </w:r>
      <w:proofErr w:type="spellStart"/>
      <w:r w:rsidRPr="00013DFC">
        <w:rPr>
          <w:color w:val="878787"/>
          <w:lang w:val="en-GB"/>
        </w:rPr>
        <w:t>Artikel</w:t>
      </w:r>
      <w:proofErr w:type="spellEnd"/>
      <w:r w:rsidRPr="00013DFC">
        <w:rPr>
          <w:color w:val="878787"/>
          <w:lang w:val="en-GB"/>
        </w:rPr>
        <w:t xml:space="preserve"> 69 </w:t>
      </w:r>
      <w:proofErr w:type="spellStart"/>
      <w:r w:rsidRPr="00013DFC">
        <w:rPr>
          <w:color w:val="878787"/>
          <w:lang w:val="en-GB"/>
        </w:rPr>
        <w:t>i</w:t>
      </w:r>
      <w:proofErr w:type="spellEnd"/>
      <w:r w:rsidRPr="00013DFC">
        <w:rPr>
          <w:color w:val="878787"/>
          <w:lang w:val="en-GB"/>
        </w:rPr>
        <w:t xml:space="preserve"> </w:t>
      </w:r>
      <w:proofErr w:type="spellStart"/>
      <w:r w:rsidRPr="00013DFC">
        <w:rPr>
          <w:color w:val="878787"/>
          <w:lang w:val="en-GB"/>
        </w:rPr>
        <w:t>förordning</w:t>
      </w:r>
      <w:proofErr w:type="spellEnd"/>
      <w:r w:rsidRPr="00013DFC">
        <w:rPr>
          <w:color w:val="878787"/>
          <w:lang w:val="en-GB"/>
        </w:rPr>
        <w:t xml:space="preserve"> (EU) </w:t>
      </w:r>
      <w:proofErr w:type="spellStart"/>
      <w:r w:rsidRPr="00013DFC">
        <w:rPr>
          <w:color w:val="878787"/>
          <w:lang w:val="en-GB"/>
        </w:rPr>
        <w:t>nr</w:t>
      </w:r>
      <w:proofErr w:type="spellEnd"/>
      <w:r w:rsidRPr="00013DFC">
        <w:rPr>
          <w:color w:val="878787"/>
          <w:lang w:val="en-GB"/>
        </w:rPr>
        <w:t xml:space="preserve"> 1305/2013.</w:t>
      </w:r>
    </w:p>
  </w:footnote>
  <w:footnote w:id="15">
    <w:p w:rsidR="00DB5257" w:rsidRPr="00013DFC" w:rsidRDefault="00DB5257" w:rsidP="00DB5257">
      <w:pPr>
        <w:pStyle w:val="FootnoteText"/>
        <w:rPr>
          <w:color w:val="878787"/>
          <w:lang w:val="en-GB"/>
        </w:rPr>
      </w:pPr>
      <w:r>
        <w:rPr>
          <w:rStyle w:val="FootnoteReference"/>
          <w:i w:val="0"/>
          <w:color w:val="878787"/>
          <w:position w:val="0"/>
        </w:rPr>
        <w:footnoteRef/>
      </w:r>
      <w:r w:rsidRPr="00013DFC">
        <w:rPr>
          <w:color w:val="878787"/>
          <w:lang w:val="en-GB"/>
        </w:rPr>
        <w:t xml:space="preserve"> </w:t>
      </w:r>
      <w:hyperlink r:id="rId7" w:history="1">
        <w:r w:rsidRPr="00013DFC">
          <w:rPr>
            <w:color w:val="878787"/>
            <w:lang w:val="en-GB"/>
          </w:rPr>
          <w:t xml:space="preserve"> Technical Handbook on the Monitoring and Evaluation of the Common Agriculture Policy 2014-2020, </w:t>
        </w:r>
        <w:proofErr w:type="spellStart"/>
        <w:r w:rsidRPr="00013DFC">
          <w:rPr>
            <w:color w:val="878787"/>
            <w:lang w:val="en-GB"/>
          </w:rPr>
          <w:t>Europeiska</w:t>
        </w:r>
        <w:proofErr w:type="spellEnd"/>
        <w:r w:rsidRPr="00013DFC">
          <w:rPr>
            <w:color w:val="878787"/>
            <w:lang w:val="en-GB"/>
          </w:rPr>
          <w:t xml:space="preserve"> </w:t>
        </w:r>
        <w:proofErr w:type="spellStart"/>
        <w:r w:rsidRPr="00013DFC">
          <w:rPr>
            <w:color w:val="878787"/>
            <w:lang w:val="en-GB"/>
          </w:rPr>
          <w:t>kommissionen</w:t>
        </w:r>
        <w:proofErr w:type="spellEnd"/>
        <w:r w:rsidRPr="00013DFC">
          <w:rPr>
            <w:color w:val="878787"/>
            <w:lang w:val="en-GB"/>
          </w:rPr>
          <w:t xml:space="preserve">, </w:t>
        </w:r>
        <w:proofErr w:type="spellStart"/>
        <w:r w:rsidRPr="00013DFC">
          <w:rPr>
            <w:color w:val="878787"/>
            <w:lang w:val="en-GB"/>
          </w:rPr>
          <w:t>juni</w:t>
        </w:r>
        <w:proofErr w:type="spellEnd"/>
        <w:r w:rsidRPr="00013DFC">
          <w:rPr>
            <w:color w:val="878787"/>
            <w:lang w:val="en-GB"/>
          </w:rPr>
          <w:t xml:space="preserve"> 2017</w:t>
        </w:r>
      </w:hyperlink>
      <w:r w:rsidRPr="00013DFC">
        <w:rPr>
          <w:rStyle w:val="Hyperlink"/>
          <w:color w:val="878787"/>
          <w:sz w:val="16"/>
          <w:u w:val="none"/>
          <w:lang w:val="en-GB"/>
        </w:rPr>
        <w:t>.</w:t>
      </w:r>
    </w:p>
  </w:footnote>
  <w:footnote w:id="16">
    <w:p w:rsidR="00DB5257" w:rsidRPr="003563F4" w:rsidRDefault="00DB5257" w:rsidP="00DB5257">
      <w:pPr>
        <w:pStyle w:val="FootnoteText"/>
        <w:rPr>
          <w:color w:val="878787"/>
        </w:rPr>
      </w:pPr>
      <w:r>
        <w:rPr>
          <w:rStyle w:val="FootnoteReference"/>
          <w:i w:val="0"/>
          <w:color w:val="878787"/>
        </w:rPr>
        <w:footnoteRef/>
      </w:r>
      <w:r>
        <w:rPr>
          <w:color w:val="878787"/>
        </w:rPr>
        <w:t xml:space="preserve"> </w:t>
      </w:r>
      <w:r>
        <w:rPr>
          <w:color w:val="878787"/>
        </w:rPr>
        <w:t>Artikel 14 i förordning (EU) nr 808/2014.</w:t>
      </w:r>
    </w:p>
  </w:footnote>
  <w:footnote w:id="17">
    <w:p w:rsidR="00DB5257" w:rsidRPr="003563F4" w:rsidRDefault="00DB5257" w:rsidP="00DB5257">
      <w:pPr>
        <w:pStyle w:val="FootnoteText"/>
        <w:rPr>
          <w:color w:val="878787"/>
        </w:rPr>
      </w:pPr>
      <w:r>
        <w:rPr>
          <w:rStyle w:val="FootnoteReference"/>
          <w:i w:val="0"/>
          <w:color w:val="878787"/>
        </w:rPr>
        <w:footnoteRef/>
      </w:r>
      <w:r>
        <w:rPr>
          <w:color w:val="878787"/>
        </w:rPr>
        <w:t xml:space="preserve"> </w:t>
      </w:r>
      <w:r>
        <w:rPr>
          <w:color w:val="878787"/>
        </w:rPr>
        <w:t xml:space="preserve">Bilaga </w:t>
      </w:r>
      <w:r>
        <w:rPr>
          <w:color w:val="878787"/>
        </w:rPr>
        <w:t>IV till förordning (EU) nr 808/2014.</w:t>
      </w:r>
    </w:p>
  </w:footnote>
  <w:footnote w:id="18">
    <w:p w:rsidR="00DB5257" w:rsidRPr="003563F4" w:rsidRDefault="00DB5257" w:rsidP="00DB5257">
      <w:pPr>
        <w:pStyle w:val="FootnoteText"/>
        <w:rPr>
          <w:color w:val="878787"/>
        </w:rPr>
      </w:pPr>
      <w:r>
        <w:rPr>
          <w:rStyle w:val="FootnoteReference"/>
          <w:i w:val="0"/>
          <w:color w:val="878787"/>
        </w:rPr>
        <w:footnoteRef/>
      </w:r>
      <w:r>
        <w:rPr>
          <w:color w:val="878787"/>
        </w:rPr>
        <w:t xml:space="preserve"> </w:t>
      </w:r>
      <w:r>
        <w:rPr>
          <w:color w:val="878787"/>
        </w:rPr>
        <w:t xml:space="preserve">Bilaga </w:t>
      </w:r>
      <w:r>
        <w:rPr>
          <w:color w:val="878787"/>
        </w:rPr>
        <w:t>V till förordning (EU) nr 808/2014.</w:t>
      </w:r>
    </w:p>
  </w:footnote>
  <w:footnote w:id="19">
    <w:p w:rsidR="00DB5257" w:rsidRPr="00013DFC" w:rsidRDefault="00DB5257" w:rsidP="00DB5257">
      <w:pPr>
        <w:pStyle w:val="FootnoteText"/>
        <w:rPr>
          <w:color w:val="878787"/>
          <w:lang w:val="nn-NO"/>
        </w:rPr>
      </w:pPr>
      <w:r>
        <w:rPr>
          <w:rStyle w:val="FootnoteReference"/>
          <w:i w:val="0"/>
          <w:color w:val="878787"/>
        </w:rPr>
        <w:footnoteRef/>
      </w:r>
      <w:r w:rsidRPr="00013DFC">
        <w:rPr>
          <w:color w:val="878787"/>
          <w:lang w:val="nn-NO"/>
        </w:rPr>
        <w:t xml:space="preserve"> </w:t>
      </w:r>
      <w:r w:rsidRPr="00013DFC">
        <w:rPr>
          <w:color w:val="878787"/>
          <w:lang w:val="nn-NO"/>
        </w:rPr>
        <w:t>Bilaga VII, punkt 2 i förordning (EU) nr 808/2014.</w:t>
      </w:r>
    </w:p>
  </w:footnote>
  <w:footnote w:id="20">
    <w:p w:rsidR="00DB5257" w:rsidRPr="00013DFC" w:rsidRDefault="00DB5257" w:rsidP="00DB5257">
      <w:pPr>
        <w:pStyle w:val="FootnoteText"/>
        <w:rPr>
          <w:color w:val="878787"/>
          <w:lang w:val="nn-NO"/>
        </w:rPr>
      </w:pPr>
      <w:r>
        <w:rPr>
          <w:rStyle w:val="FootnoteReference"/>
          <w:i w:val="0"/>
          <w:color w:val="878787"/>
        </w:rPr>
        <w:footnoteRef/>
      </w:r>
      <w:r w:rsidRPr="00013DFC">
        <w:rPr>
          <w:color w:val="878787"/>
          <w:lang w:val="nn-NO"/>
        </w:rPr>
        <w:t xml:space="preserve"> </w:t>
      </w:r>
      <w:r w:rsidRPr="00013DFC">
        <w:rPr>
          <w:color w:val="878787"/>
          <w:lang w:val="nn-NO"/>
        </w:rPr>
        <w:t xml:space="preserve">Bilaga </w:t>
      </w:r>
      <w:r w:rsidRPr="00013DFC">
        <w:rPr>
          <w:color w:val="878787"/>
          <w:lang w:val="nn-NO"/>
        </w:rPr>
        <w:t>I, DEL I, punkt 9 i förordning (EU) nr 808/2014.</w:t>
      </w:r>
    </w:p>
  </w:footnote>
  <w:footnote w:id="21">
    <w:p w:rsidR="00DB5257" w:rsidRPr="00013DFC" w:rsidRDefault="00DB5257" w:rsidP="00DB5257">
      <w:pPr>
        <w:pStyle w:val="FootnoteText"/>
        <w:rPr>
          <w:color w:val="878787"/>
          <w:lang w:val="nn-NO"/>
        </w:rPr>
      </w:pPr>
      <w:r>
        <w:rPr>
          <w:rStyle w:val="FootnoteReference"/>
          <w:i w:val="0"/>
          <w:color w:val="878787"/>
        </w:rPr>
        <w:footnoteRef/>
      </w:r>
      <w:r w:rsidRPr="00013DFC">
        <w:rPr>
          <w:color w:val="878787"/>
          <w:lang w:val="nn-NO"/>
        </w:rPr>
        <w:t xml:space="preserve"> </w:t>
      </w:r>
      <w:r w:rsidRPr="00013DFC">
        <w:rPr>
          <w:color w:val="878787"/>
          <w:lang w:val="nn-NO"/>
        </w:rPr>
        <w:t xml:space="preserve">Bilaga </w:t>
      </w:r>
      <w:r w:rsidRPr="00013DFC">
        <w:rPr>
          <w:color w:val="878787"/>
          <w:lang w:val="nn-NO"/>
        </w:rPr>
        <w:t>VII, punkt 7 i förordning (EU) nr 808/2014.</w:t>
      </w:r>
    </w:p>
  </w:footnote>
  <w:footnote w:id="22">
    <w:p w:rsidR="00DB5257" w:rsidRPr="00E53246" w:rsidRDefault="00DB5257" w:rsidP="00DB5257">
      <w:pPr>
        <w:pStyle w:val="FootnoteText"/>
      </w:pPr>
      <w:r>
        <w:rPr>
          <w:rStyle w:val="FootnoteReference"/>
          <w:i w:val="0"/>
          <w:color w:val="878787"/>
        </w:rPr>
        <w:footnoteRef/>
      </w:r>
      <w:r>
        <w:rPr>
          <w:color w:val="878787"/>
        </w:rPr>
        <w:t xml:space="preserve"> </w:t>
      </w:r>
      <w:r>
        <w:rPr>
          <w:color w:val="878787"/>
        </w:rPr>
        <w:t>Bilaga VI till förordning (EU) nr 808/2014.</w:t>
      </w:r>
    </w:p>
  </w:footnote>
  <w:footnote w:id="23">
    <w:p w:rsidR="00DB5257" w:rsidRPr="00013DFC" w:rsidRDefault="00DB5257">
      <w:pPr>
        <w:pStyle w:val="FootnoteText"/>
        <w:rPr>
          <w:lang w:val="en-GB"/>
        </w:rPr>
      </w:pPr>
      <w:r>
        <w:rPr>
          <w:rStyle w:val="FootnoteReference"/>
          <w:i w:val="0"/>
          <w:color w:val="878787"/>
        </w:rPr>
        <w:footnoteRef/>
      </w:r>
      <w:r w:rsidRPr="00013DFC">
        <w:rPr>
          <w:color w:val="878787"/>
          <w:lang w:val="en-GB"/>
        </w:rPr>
        <w:t xml:space="preserve"> </w:t>
      </w:r>
      <w:hyperlink r:id="rId8" w:history="1">
        <w:r w:rsidRPr="00013DFC">
          <w:rPr>
            <w:color w:val="878787"/>
            <w:lang w:val="en-GB"/>
          </w:rPr>
          <w:t xml:space="preserve"> Technical Handbook on the Monitoring and Evaluation of the Common Agriculture Policy 2014-2020, </w:t>
        </w:r>
        <w:proofErr w:type="spellStart"/>
        <w:r w:rsidRPr="00013DFC">
          <w:rPr>
            <w:color w:val="878787"/>
            <w:lang w:val="en-GB"/>
          </w:rPr>
          <w:t>Europeiska</w:t>
        </w:r>
        <w:proofErr w:type="spellEnd"/>
        <w:r w:rsidRPr="00013DFC">
          <w:rPr>
            <w:color w:val="878787"/>
            <w:lang w:val="en-GB"/>
          </w:rPr>
          <w:t xml:space="preserve"> </w:t>
        </w:r>
        <w:proofErr w:type="spellStart"/>
        <w:r w:rsidRPr="00013DFC">
          <w:rPr>
            <w:color w:val="878787"/>
            <w:lang w:val="en-GB"/>
          </w:rPr>
          <w:t>kommissionen</w:t>
        </w:r>
        <w:proofErr w:type="spellEnd"/>
        <w:r w:rsidRPr="00013DFC">
          <w:rPr>
            <w:color w:val="878787"/>
            <w:lang w:val="en-GB"/>
          </w:rPr>
          <w:t xml:space="preserve">, </w:t>
        </w:r>
        <w:proofErr w:type="spellStart"/>
        <w:r w:rsidRPr="00013DFC">
          <w:rPr>
            <w:color w:val="878787"/>
            <w:lang w:val="en-GB"/>
          </w:rPr>
          <w:t>juni</w:t>
        </w:r>
        <w:proofErr w:type="spellEnd"/>
        <w:r w:rsidRPr="00013DFC">
          <w:rPr>
            <w:color w:val="878787"/>
            <w:lang w:val="en-GB"/>
          </w:rPr>
          <w:t xml:space="preserve"> 2017</w:t>
        </w:r>
      </w:hyperlink>
      <w:r w:rsidRPr="00013DFC">
        <w:rPr>
          <w:rStyle w:val="Hyperlink"/>
          <w:color w:val="878787"/>
          <w:sz w:val="16"/>
          <w:u w:val="none"/>
          <w:lang w:val="en-GB"/>
        </w:rPr>
        <w:t>.</w:t>
      </w:r>
    </w:p>
  </w:footnote>
  <w:footnote w:id="24">
    <w:p w:rsidR="00DB5257" w:rsidRPr="00013DFC" w:rsidRDefault="00DB5257" w:rsidP="00DB5257">
      <w:pPr>
        <w:pStyle w:val="FootnoteText"/>
        <w:rPr>
          <w:rStyle w:val="Hyperlink"/>
          <w:sz w:val="16"/>
          <w:szCs w:val="16"/>
          <w:lang w:val="en-GB"/>
        </w:rPr>
      </w:pPr>
      <w:r>
        <w:rPr>
          <w:rStyle w:val="FootnoteReference"/>
          <w:i w:val="0"/>
          <w:color w:val="878787"/>
        </w:rPr>
        <w:footnoteRef/>
      </w:r>
      <w:r w:rsidRPr="00013DFC">
        <w:rPr>
          <w:color w:val="878787"/>
          <w:lang w:val="en-GB"/>
        </w:rPr>
        <w:t xml:space="preserve">  Mer information om </w:t>
      </w:r>
      <w:proofErr w:type="spellStart"/>
      <w:r w:rsidRPr="00013DFC">
        <w:rPr>
          <w:color w:val="878787"/>
          <w:lang w:val="en-GB"/>
        </w:rPr>
        <w:t>utvärderingscykeln</w:t>
      </w:r>
      <w:proofErr w:type="spellEnd"/>
      <w:r w:rsidRPr="00013DFC">
        <w:rPr>
          <w:color w:val="878787"/>
          <w:lang w:val="en-GB"/>
        </w:rPr>
        <w:t xml:space="preserve"> </w:t>
      </w:r>
      <w:proofErr w:type="spellStart"/>
      <w:r w:rsidRPr="00013DFC">
        <w:rPr>
          <w:color w:val="878787"/>
          <w:lang w:val="en-GB"/>
        </w:rPr>
        <w:t>finns</w:t>
      </w:r>
      <w:proofErr w:type="spellEnd"/>
      <w:r w:rsidRPr="00013DFC">
        <w:rPr>
          <w:color w:val="878787"/>
          <w:lang w:val="en-GB"/>
        </w:rPr>
        <w:t xml:space="preserve"> </w:t>
      </w:r>
      <w:proofErr w:type="spellStart"/>
      <w:r w:rsidRPr="00013DFC">
        <w:rPr>
          <w:color w:val="878787"/>
          <w:lang w:val="en-GB"/>
        </w:rPr>
        <w:t>i</w:t>
      </w:r>
      <w:proofErr w:type="spellEnd"/>
      <w:r w:rsidRPr="00013DFC">
        <w:rPr>
          <w:color w:val="878787"/>
          <w:lang w:val="en-GB"/>
        </w:rPr>
        <w:t xml:space="preserve"> </w:t>
      </w:r>
      <w:proofErr w:type="spellStart"/>
      <w:r w:rsidRPr="00013DFC">
        <w:rPr>
          <w:color w:val="878787"/>
          <w:lang w:val="en-GB"/>
        </w:rPr>
        <w:t>riktlinjerna</w:t>
      </w:r>
      <w:proofErr w:type="spellEnd"/>
      <w:r w:rsidRPr="00013DFC">
        <w:rPr>
          <w:color w:val="878787"/>
          <w:lang w:val="en-GB"/>
        </w:rPr>
        <w:t xml:space="preserve"> </w:t>
      </w:r>
      <w:hyperlink r:id="rId9" w:history="1">
        <w:r w:rsidRPr="00013DFC">
          <w:rPr>
            <w:rStyle w:val="Hyperlink"/>
            <w:sz w:val="16"/>
            <w:lang w:val="en-GB"/>
          </w:rPr>
          <w:t>Assessment of RDP results: how to prepare for reporting on evaluation in 2017</w:t>
        </w:r>
      </w:hyperlink>
      <w:r w:rsidRPr="00013DFC">
        <w:rPr>
          <w:rStyle w:val="Hyperlink"/>
          <w:sz w:val="16"/>
          <w:lang w:val="en-GB"/>
        </w:rPr>
        <w:t>.</w:t>
      </w:r>
    </w:p>
  </w:footnote>
  <w:footnote w:id="25">
    <w:p w:rsidR="00DB5257" w:rsidRPr="00013DFC" w:rsidRDefault="00DB5257" w:rsidP="00DB5257">
      <w:pPr>
        <w:pStyle w:val="FootnoteText"/>
        <w:rPr>
          <w:lang w:val="en-GB"/>
        </w:rPr>
      </w:pPr>
      <w:r>
        <w:rPr>
          <w:rStyle w:val="FootnoteReference"/>
          <w:i w:val="0"/>
          <w:color w:val="878787"/>
        </w:rPr>
        <w:footnoteRef/>
      </w:r>
      <w:r w:rsidRPr="00013DFC">
        <w:rPr>
          <w:lang w:val="en-GB"/>
        </w:rPr>
        <w:t xml:space="preserve"> FM – </w:t>
      </w:r>
      <w:proofErr w:type="spellStart"/>
      <w:r w:rsidRPr="00013DFC">
        <w:rPr>
          <w:lang w:val="en-GB"/>
        </w:rPr>
        <w:t>förvaltningsmyndighet</w:t>
      </w:r>
      <w:proofErr w:type="spellEnd"/>
      <w:r w:rsidRPr="00013DFC">
        <w:rPr>
          <w:lang w:val="en-GB"/>
        </w:rPr>
        <w:t xml:space="preserve">, </w:t>
      </w:r>
      <w:proofErr w:type="spellStart"/>
      <w:r w:rsidRPr="00013DFC">
        <w:rPr>
          <w:lang w:val="en-GB"/>
        </w:rPr>
        <w:t>ÖK</w:t>
      </w:r>
      <w:proofErr w:type="spellEnd"/>
      <w:r w:rsidRPr="00013DFC">
        <w:rPr>
          <w:lang w:val="en-GB"/>
        </w:rPr>
        <w:t xml:space="preserve"> - </w:t>
      </w:r>
      <w:proofErr w:type="spellStart"/>
      <w:r w:rsidRPr="00013DFC">
        <w:rPr>
          <w:lang w:val="en-GB"/>
        </w:rPr>
        <w:t>övervakningskommittén</w:t>
      </w:r>
      <w:proofErr w:type="spellEnd"/>
      <w:r w:rsidRPr="00013DFC">
        <w:rPr>
          <w:lang w:val="en-GB"/>
        </w:rPr>
        <w:t xml:space="preserve">, </w:t>
      </w:r>
      <w:proofErr w:type="spellStart"/>
      <w:r w:rsidRPr="00013DFC">
        <w:rPr>
          <w:lang w:val="en-GB"/>
        </w:rPr>
        <w:t>UO</w:t>
      </w:r>
      <w:proofErr w:type="spellEnd"/>
      <w:r w:rsidRPr="00013DFC">
        <w:rPr>
          <w:lang w:val="en-GB"/>
        </w:rPr>
        <w:t xml:space="preserve"> – </w:t>
      </w:r>
      <w:proofErr w:type="spellStart"/>
      <w:r w:rsidRPr="00013DFC">
        <w:rPr>
          <w:lang w:val="en-GB"/>
        </w:rPr>
        <w:t>utbetalande</w:t>
      </w:r>
      <w:proofErr w:type="spellEnd"/>
      <w:r w:rsidRPr="00013DFC">
        <w:rPr>
          <w:lang w:val="en-GB"/>
        </w:rPr>
        <w:t xml:space="preserve"> organ, </w:t>
      </w:r>
      <w:proofErr w:type="spellStart"/>
      <w:r w:rsidRPr="00013DFC">
        <w:rPr>
          <w:lang w:val="en-GB"/>
        </w:rPr>
        <w:t>UtvE</w:t>
      </w:r>
      <w:proofErr w:type="spellEnd"/>
      <w:r w:rsidRPr="00013DFC">
        <w:rPr>
          <w:lang w:val="en-GB"/>
        </w:rPr>
        <w:t xml:space="preserve"> – </w:t>
      </w:r>
      <w:proofErr w:type="spellStart"/>
      <w:r w:rsidRPr="00013DFC">
        <w:rPr>
          <w:lang w:val="en-GB"/>
        </w:rPr>
        <w:t>utvärderingsenhet</w:t>
      </w:r>
      <w:proofErr w:type="spellEnd"/>
      <w:r w:rsidRPr="00013DFC">
        <w:rPr>
          <w:lang w:val="en-GB"/>
        </w:rPr>
        <w:t xml:space="preserve">, </w:t>
      </w:r>
      <w:proofErr w:type="spellStart"/>
      <w:r w:rsidRPr="00013DFC">
        <w:rPr>
          <w:lang w:val="en-GB"/>
        </w:rPr>
        <w:t>Utv</w:t>
      </w:r>
      <w:proofErr w:type="spellEnd"/>
      <w:r w:rsidRPr="00013DFC">
        <w:rPr>
          <w:lang w:val="en-GB"/>
        </w:rPr>
        <w:t xml:space="preserve">-SG – </w:t>
      </w:r>
      <w:proofErr w:type="spellStart"/>
      <w:r w:rsidRPr="00013DFC">
        <w:rPr>
          <w:lang w:val="en-GB"/>
        </w:rPr>
        <w:t>utvärderingsstyrgrupp</w:t>
      </w:r>
      <w:proofErr w:type="spellEnd"/>
      <w:r w:rsidRPr="00013DFC">
        <w:rPr>
          <w:lang w:val="en-GB"/>
        </w:rPr>
        <w:t xml:space="preserve">, </w:t>
      </w:r>
      <w:proofErr w:type="spellStart"/>
      <w:r w:rsidRPr="00013DFC">
        <w:rPr>
          <w:lang w:val="en-GB"/>
        </w:rPr>
        <w:t>Utv</w:t>
      </w:r>
      <w:proofErr w:type="spellEnd"/>
      <w:r w:rsidRPr="00013DFC">
        <w:rPr>
          <w:lang w:val="en-GB"/>
        </w:rPr>
        <w:t xml:space="preserve"> – </w:t>
      </w:r>
      <w:proofErr w:type="spellStart"/>
      <w:r w:rsidRPr="00013DFC">
        <w:rPr>
          <w:lang w:val="en-GB"/>
        </w:rPr>
        <w:t>utvärderare</w:t>
      </w:r>
      <w:proofErr w:type="spellEnd"/>
      <w:r w:rsidRPr="00013DFC">
        <w:rPr>
          <w:lang w:val="en-GB"/>
        </w:rPr>
        <w:t xml:space="preserve">, UL – </w:t>
      </w:r>
      <w:proofErr w:type="spellStart"/>
      <w:r w:rsidRPr="00013DFC">
        <w:rPr>
          <w:lang w:val="en-GB"/>
        </w:rPr>
        <w:t>uppgiftslämnare</w:t>
      </w:r>
      <w:proofErr w:type="spellEnd"/>
      <w:r w:rsidRPr="00013DFC">
        <w:rPr>
          <w:lang w:val="en-GB"/>
        </w:rPr>
        <w:t>.</w:t>
      </w:r>
    </w:p>
  </w:footnote>
  <w:footnote w:id="26">
    <w:p w:rsidR="00DB5257" w:rsidRPr="00274AB7" w:rsidRDefault="00DB5257">
      <w:pPr>
        <w:pStyle w:val="FootnoteText"/>
      </w:pPr>
      <w:r>
        <w:rPr>
          <w:rStyle w:val="FootnoteReference"/>
          <w:i w:val="0"/>
          <w:color w:val="878787"/>
        </w:rPr>
        <w:footnoteRef/>
      </w:r>
      <w:r>
        <w:rPr>
          <w:color w:val="878787"/>
        </w:rPr>
        <w:t xml:space="preserve"> </w:t>
      </w:r>
      <w:r>
        <w:rPr>
          <w:color w:val="878787"/>
        </w:rPr>
        <w:t>ENVIEVAL var ett samarbetsprojekt inom EU (bidragsavtal nr 312071) som finansierades av Europeiska unionens sjunde ramprogram för forskning, teknisk utveckling och demonstration från januari 2013 till december 2015.</w:t>
      </w:r>
    </w:p>
  </w:footnote>
  <w:footnote w:id="27">
    <w:p w:rsidR="00DB5257" w:rsidRPr="00E53246" w:rsidRDefault="00DB5257">
      <w:pPr>
        <w:pStyle w:val="FootnoteText"/>
      </w:pPr>
      <w:r>
        <w:rPr>
          <w:rStyle w:val="FootnoteReference"/>
          <w:i w:val="0"/>
          <w:color w:val="878787"/>
        </w:rPr>
        <w:footnoteRef/>
      </w:r>
      <w:r>
        <w:t xml:space="preserve"> </w:t>
      </w:r>
      <w:r>
        <w:t xml:space="preserve">Methodological </w:t>
      </w:r>
      <w:r>
        <w:t>Handbook for the evaluation of environmental impacts of RDPs: Rapport D9.5, ENVIEVAL-projektet (bidragsavtal nr 312071)]. Bryssel: Europeiska kommissionen, Morkvenas Z, Navickas K, Gulbinas J, Jefanovas A, Schwarz G, Wolff A, Offermann F, Osterburg B, Aalders I, Miller D, Morrice J, Vlahos G, Smyrniotopoulou A, Artell J, Aakkula J, Toikkanen H, Povellato A, Longhitano D, Lasorella V, Balazs K, et al (2015), s 152.</w:t>
      </w:r>
    </w:p>
  </w:footnote>
  <w:footnote w:id="28">
    <w:p w:rsidR="00DB5257" w:rsidRPr="00E53246" w:rsidRDefault="00DB5257" w:rsidP="00DB5257">
      <w:pPr>
        <w:pStyle w:val="FootnoteText"/>
      </w:pPr>
      <w:r>
        <w:rPr>
          <w:rStyle w:val="FootnoteReference"/>
          <w:i w:val="0"/>
          <w:color w:val="878787"/>
        </w:rPr>
        <w:footnoteRef/>
      </w:r>
      <w:r>
        <w:rPr>
          <w:color w:val="878787"/>
        </w:rPr>
        <w:t xml:space="preserve"> </w:t>
      </w:r>
      <w:r>
        <w:t xml:space="preserve">Stegen </w:t>
      </w:r>
      <w:r>
        <w:t xml:space="preserve">som ska genomföras vid nettobedömningen av effekterna av landsbygdsprogrammet beskrivs vidare i </w:t>
      </w:r>
      <w:r w:rsidR="004077A5">
        <w:fldChar w:fldCharType="begin"/>
      </w:r>
      <w:r w:rsidR="004077A5">
        <w:instrText xml:space="preserve"> HYPERLINK "http:</w:instrText>
      </w:r>
      <w:r w:rsidR="004077A5">
        <w:instrText xml:space="preserve">//enrd.ec.europa.eu/enrd-static/app_templates/enrd_assets/pdf/evaluation/epe_master.pdf" </w:instrText>
      </w:r>
      <w:r w:rsidR="004077A5">
        <w:fldChar w:fldCharType="separate"/>
      </w:r>
      <w:r>
        <w:rPr>
          <w:rStyle w:val="Hyperlink"/>
          <w:sz w:val="16"/>
        </w:rPr>
        <w:t>Guidelines for the ex post evaluation of 2007-2013 RDPs</w:t>
      </w:r>
      <w:r w:rsidR="004077A5">
        <w:rPr>
          <w:rStyle w:val="Hyperlink"/>
          <w:sz w:val="16"/>
        </w:rPr>
        <w:fldChar w:fldCharType="end"/>
      </w:r>
      <w:r>
        <w:t>, främst i kapitel 4.2.3 och 4.2.4.</w:t>
      </w:r>
    </w:p>
  </w:footnote>
  <w:footnote w:id="29">
    <w:p w:rsidR="00DB5257" w:rsidRPr="00013DFC" w:rsidRDefault="00DB5257" w:rsidP="00DB5257">
      <w:pPr>
        <w:pStyle w:val="FootnoteText"/>
        <w:rPr>
          <w:lang w:val="en-GB"/>
        </w:rPr>
      </w:pPr>
      <w:r>
        <w:rPr>
          <w:rStyle w:val="FootnoteReference"/>
          <w:i w:val="0"/>
          <w:color w:val="878787"/>
        </w:rPr>
        <w:footnoteRef/>
      </w:r>
      <w:r>
        <w:t xml:space="preserve"> </w:t>
      </w:r>
      <w:r>
        <w:t xml:space="preserve">För </w:t>
      </w:r>
      <w:r>
        <w:t xml:space="preserve">ytterligare information, se ‘Landscape-moderated biodiversity effects of agri-environmental management: a meta-analysis’, Proceedings. </w:t>
      </w:r>
      <w:r w:rsidRPr="00013DFC">
        <w:rPr>
          <w:lang w:val="en-GB"/>
        </w:rPr>
        <w:t xml:space="preserve">Biological sciences / The Royal Society, 278(1713): 1894–1902, </w:t>
      </w:r>
      <w:proofErr w:type="spellStart"/>
      <w:r w:rsidRPr="00013DFC">
        <w:rPr>
          <w:lang w:val="en-GB"/>
        </w:rPr>
        <w:t>Batáry</w:t>
      </w:r>
      <w:proofErr w:type="spellEnd"/>
      <w:r w:rsidRPr="00013DFC">
        <w:rPr>
          <w:lang w:val="en-GB"/>
        </w:rPr>
        <w:t xml:space="preserve"> P, </w:t>
      </w:r>
      <w:proofErr w:type="spellStart"/>
      <w:r w:rsidRPr="00013DFC">
        <w:rPr>
          <w:lang w:val="en-GB"/>
        </w:rPr>
        <w:t>Báldi</w:t>
      </w:r>
      <w:proofErr w:type="spellEnd"/>
      <w:r w:rsidRPr="00013DFC">
        <w:rPr>
          <w:lang w:val="en-GB"/>
        </w:rPr>
        <w:t xml:space="preserve"> A, Kleijn D, </w:t>
      </w:r>
      <w:proofErr w:type="spellStart"/>
      <w:r w:rsidRPr="00013DFC">
        <w:rPr>
          <w:lang w:val="en-GB"/>
        </w:rPr>
        <w:t>Tscharntke</w:t>
      </w:r>
      <w:proofErr w:type="spellEnd"/>
      <w:r w:rsidRPr="00013DFC">
        <w:rPr>
          <w:lang w:val="en-GB"/>
        </w:rPr>
        <w:t xml:space="preserve"> T, (2011). </w:t>
      </w:r>
    </w:p>
  </w:footnote>
  <w:footnote w:id="30">
    <w:p w:rsidR="00DB5257" w:rsidRPr="00013DFC" w:rsidRDefault="00DB5257" w:rsidP="00DB5257">
      <w:pPr>
        <w:pStyle w:val="FootnoteText"/>
        <w:rPr>
          <w:lang w:val="en-GB"/>
        </w:rPr>
      </w:pPr>
      <w:r>
        <w:rPr>
          <w:rStyle w:val="FootnoteReference"/>
          <w:i w:val="0"/>
          <w:color w:val="878787"/>
        </w:rPr>
        <w:footnoteRef/>
      </w:r>
      <w:r w:rsidRPr="00013DFC">
        <w:rPr>
          <w:color w:val="878787"/>
          <w:lang w:val="en-GB"/>
        </w:rPr>
        <w:t xml:space="preserve"> </w:t>
      </w:r>
      <w:proofErr w:type="spellStart"/>
      <w:r w:rsidRPr="00013DFC">
        <w:rPr>
          <w:lang w:val="en-GB"/>
        </w:rPr>
        <w:t>För</w:t>
      </w:r>
      <w:proofErr w:type="spellEnd"/>
      <w:r w:rsidRPr="00013DFC">
        <w:rPr>
          <w:lang w:val="en-GB"/>
        </w:rPr>
        <w:t xml:space="preserve"> </w:t>
      </w:r>
      <w:proofErr w:type="spellStart"/>
      <w:r w:rsidRPr="00013DFC">
        <w:rPr>
          <w:lang w:val="en-GB"/>
        </w:rPr>
        <w:t>ytterligare</w:t>
      </w:r>
      <w:proofErr w:type="spellEnd"/>
      <w:r w:rsidRPr="00013DFC">
        <w:rPr>
          <w:lang w:val="en-GB"/>
        </w:rPr>
        <w:t xml:space="preserve"> information, </w:t>
      </w:r>
      <w:proofErr w:type="spellStart"/>
      <w:r w:rsidRPr="00013DFC">
        <w:rPr>
          <w:lang w:val="en-GB"/>
        </w:rPr>
        <w:t>se</w:t>
      </w:r>
      <w:proofErr w:type="spellEnd"/>
      <w:r w:rsidRPr="00013DFC">
        <w:rPr>
          <w:lang w:val="en-GB"/>
        </w:rPr>
        <w:t xml:space="preserve"> ‘Organic farming at local and landscape scales benefits plant diversity’, </w:t>
      </w:r>
      <w:proofErr w:type="spellStart"/>
      <w:r w:rsidRPr="00013DFC">
        <w:rPr>
          <w:lang w:val="en-GB"/>
        </w:rPr>
        <w:t>Ecography</w:t>
      </w:r>
      <w:proofErr w:type="spellEnd"/>
      <w:r w:rsidRPr="00013DFC">
        <w:rPr>
          <w:lang w:val="en-GB"/>
        </w:rPr>
        <w:t xml:space="preserve"> 33(3): 514- 522, </w:t>
      </w:r>
      <w:proofErr w:type="spellStart"/>
      <w:r w:rsidRPr="00013DFC">
        <w:rPr>
          <w:lang w:val="en-GB"/>
        </w:rPr>
        <w:t>Rundlöf</w:t>
      </w:r>
      <w:proofErr w:type="spellEnd"/>
      <w:r w:rsidRPr="00013DFC">
        <w:rPr>
          <w:lang w:val="en-GB"/>
        </w:rPr>
        <w:t xml:space="preserve"> M, </w:t>
      </w:r>
      <w:proofErr w:type="spellStart"/>
      <w:r w:rsidRPr="00013DFC">
        <w:rPr>
          <w:lang w:val="en-GB"/>
        </w:rPr>
        <w:t>Edlund</w:t>
      </w:r>
      <w:proofErr w:type="spellEnd"/>
      <w:r w:rsidRPr="00013DFC">
        <w:rPr>
          <w:lang w:val="en-GB"/>
        </w:rPr>
        <w:t xml:space="preserve"> M, Smith HG, (2009).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5257" w:rsidRPr="00E4509B" w:rsidRDefault="00DB5257" w:rsidP="00DB5257">
    <w:pPr>
      <w:pStyle w:val="Header"/>
    </w:pPr>
    <w:r>
      <w:tab/>
    </w:r>
    <w:r>
      <w:t>Del I – Vad ska rapporteras i utvärderingen av den årliga genomföranderapporten 2019?</w:t>
    </w:r>
  </w:p>
  <w:p w:rsidR="00DB5257" w:rsidRPr="002C3379" w:rsidRDefault="00DB5257" w:rsidP="00DB52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5257" w:rsidRDefault="00DB5257" w:rsidP="00DB5257">
    <w:pPr>
      <w:pStyle w:val="Header"/>
      <w:tabs>
        <w:tab w:val="clear" w:pos="9072"/>
        <w:tab w:val="right" w:pos="14175"/>
      </w:tabs>
    </w:pPr>
    <w:r>
      <w:tab/>
    </w:r>
    <w:r>
      <w:t xml:space="preserve">Del </w:t>
    </w:r>
    <w:r>
      <w:t>III – Informationsblad för att besvara de gemensamma utvärderingsfrågorna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A2DB0"/>
    <w:multiLevelType w:val="hybridMultilevel"/>
    <w:tmpl w:val="1504A016"/>
    <w:lvl w:ilvl="0" w:tplc="15A6D4D0">
      <w:start w:val="1"/>
      <w:numFmt w:val="decimal"/>
      <w:pStyle w:val="HHeadingboxes"/>
      <w:lvlText w:val="Box %1."/>
      <w:lvlJc w:val="left"/>
      <w:pPr>
        <w:tabs>
          <w:tab w:val="num" w:pos="964"/>
        </w:tabs>
        <w:ind w:left="964" w:hanging="964"/>
      </w:pPr>
      <w:rPr>
        <w:rFonts w:hint="default"/>
      </w:rPr>
    </w:lvl>
    <w:lvl w:ilvl="1" w:tplc="B67417FC" w:tentative="1">
      <w:start w:val="1"/>
      <w:numFmt w:val="lowerLetter"/>
      <w:lvlText w:val="%2."/>
      <w:lvlJc w:val="left"/>
      <w:pPr>
        <w:ind w:left="1440" w:hanging="360"/>
      </w:pPr>
    </w:lvl>
    <w:lvl w:ilvl="2" w:tplc="5FE2FB84" w:tentative="1">
      <w:start w:val="1"/>
      <w:numFmt w:val="lowerRoman"/>
      <w:lvlText w:val="%3."/>
      <w:lvlJc w:val="right"/>
      <w:pPr>
        <w:ind w:left="2160" w:hanging="180"/>
      </w:pPr>
    </w:lvl>
    <w:lvl w:ilvl="3" w:tplc="968868C2" w:tentative="1">
      <w:start w:val="1"/>
      <w:numFmt w:val="decimal"/>
      <w:lvlText w:val="%4."/>
      <w:lvlJc w:val="left"/>
      <w:pPr>
        <w:ind w:left="2880" w:hanging="360"/>
      </w:pPr>
    </w:lvl>
    <w:lvl w:ilvl="4" w:tplc="50100A2A" w:tentative="1">
      <w:start w:val="1"/>
      <w:numFmt w:val="lowerLetter"/>
      <w:lvlText w:val="%5."/>
      <w:lvlJc w:val="left"/>
      <w:pPr>
        <w:ind w:left="3600" w:hanging="360"/>
      </w:pPr>
    </w:lvl>
    <w:lvl w:ilvl="5" w:tplc="6AAEF968" w:tentative="1">
      <w:start w:val="1"/>
      <w:numFmt w:val="lowerRoman"/>
      <w:lvlText w:val="%6."/>
      <w:lvlJc w:val="right"/>
      <w:pPr>
        <w:ind w:left="4320" w:hanging="180"/>
      </w:pPr>
    </w:lvl>
    <w:lvl w:ilvl="6" w:tplc="BAD4ECCA" w:tentative="1">
      <w:start w:val="1"/>
      <w:numFmt w:val="decimal"/>
      <w:lvlText w:val="%7."/>
      <w:lvlJc w:val="left"/>
      <w:pPr>
        <w:ind w:left="5040" w:hanging="360"/>
      </w:pPr>
    </w:lvl>
    <w:lvl w:ilvl="7" w:tplc="BFA00730" w:tentative="1">
      <w:start w:val="1"/>
      <w:numFmt w:val="lowerLetter"/>
      <w:lvlText w:val="%8."/>
      <w:lvlJc w:val="left"/>
      <w:pPr>
        <w:ind w:left="5760" w:hanging="360"/>
      </w:pPr>
    </w:lvl>
    <w:lvl w:ilvl="8" w:tplc="3A42432C" w:tentative="1">
      <w:start w:val="1"/>
      <w:numFmt w:val="lowerRoman"/>
      <w:lvlText w:val="%9."/>
      <w:lvlJc w:val="right"/>
      <w:pPr>
        <w:ind w:left="6480" w:hanging="180"/>
      </w:pPr>
    </w:lvl>
  </w:abstractNum>
  <w:abstractNum w:abstractNumId="1" w15:restartNumberingAfterBreak="0">
    <w:nsid w:val="02E700E3"/>
    <w:multiLevelType w:val="hybridMultilevel"/>
    <w:tmpl w:val="4C805968"/>
    <w:lvl w:ilvl="0" w:tplc="703292BE">
      <w:start w:val="3"/>
      <w:numFmt w:val="bullet"/>
      <w:lvlText w:val="-"/>
      <w:lvlJc w:val="left"/>
      <w:pPr>
        <w:ind w:left="720" w:hanging="360"/>
      </w:pPr>
      <w:rPr>
        <w:rFonts w:ascii="Arial" w:eastAsia="Times New Roman" w:hAnsi="Arial" w:cs="Arial" w:hint="default"/>
      </w:rPr>
    </w:lvl>
    <w:lvl w:ilvl="1" w:tplc="0B7A9584" w:tentative="1">
      <w:start w:val="1"/>
      <w:numFmt w:val="bullet"/>
      <w:lvlText w:val="o"/>
      <w:lvlJc w:val="left"/>
      <w:pPr>
        <w:ind w:left="1440" w:hanging="360"/>
      </w:pPr>
      <w:rPr>
        <w:rFonts w:ascii="Courier New" w:hAnsi="Courier New" w:cs="Courier New" w:hint="default"/>
      </w:rPr>
    </w:lvl>
    <w:lvl w:ilvl="2" w:tplc="908601A2" w:tentative="1">
      <w:start w:val="1"/>
      <w:numFmt w:val="bullet"/>
      <w:lvlText w:val=""/>
      <w:lvlJc w:val="left"/>
      <w:pPr>
        <w:ind w:left="2160" w:hanging="360"/>
      </w:pPr>
      <w:rPr>
        <w:rFonts w:ascii="Wingdings" w:hAnsi="Wingdings" w:hint="default"/>
      </w:rPr>
    </w:lvl>
    <w:lvl w:ilvl="3" w:tplc="18B8A532" w:tentative="1">
      <w:start w:val="1"/>
      <w:numFmt w:val="bullet"/>
      <w:lvlText w:val=""/>
      <w:lvlJc w:val="left"/>
      <w:pPr>
        <w:ind w:left="2880" w:hanging="360"/>
      </w:pPr>
      <w:rPr>
        <w:rFonts w:ascii="Symbol" w:hAnsi="Symbol" w:hint="default"/>
      </w:rPr>
    </w:lvl>
    <w:lvl w:ilvl="4" w:tplc="E0CA4AC2" w:tentative="1">
      <w:start w:val="1"/>
      <w:numFmt w:val="bullet"/>
      <w:lvlText w:val="o"/>
      <w:lvlJc w:val="left"/>
      <w:pPr>
        <w:ind w:left="3600" w:hanging="360"/>
      </w:pPr>
      <w:rPr>
        <w:rFonts w:ascii="Courier New" w:hAnsi="Courier New" w:cs="Courier New" w:hint="default"/>
      </w:rPr>
    </w:lvl>
    <w:lvl w:ilvl="5" w:tplc="4C42DCC0" w:tentative="1">
      <w:start w:val="1"/>
      <w:numFmt w:val="bullet"/>
      <w:lvlText w:val=""/>
      <w:lvlJc w:val="left"/>
      <w:pPr>
        <w:ind w:left="4320" w:hanging="360"/>
      </w:pPr>
      <w:rPr>
        <w:rFonts w:ascii="Wingdings" w:hAnsi="Wingdings" w:hint="default"/>
      </w:rPr>
    </w:lvl>
    <w:lvl w:ilvl="6" w:tplc="592AFDA2" w:tentative="1">
      <w:start w:val="1"/>
      <w:numFmt w:val="bullet"/>
      <w:lvlText w:val=""/>
      <w:lvlJc w:val="left"/>
      <w:pPr>
        <w:ind w:left="5040" w:hanging="360"/>
      </w:pPr>
      <w:rPr>
        <w:rFonts w:ascii="Symbol" w:hAnsi="Symbol" w:hint="default"/>
      </w:rPr>
    </w:lvl>
    <w:lvl w:ilvl="7" w:tplc="BDAE3086" w:tentative="1">
      <w:start w:val="1"/>
      <w:numFmt w:val="bullet"/>
      <w:lvlText w:val="o"/>
      <w:lvlJc w:val="left"/>
      <w:pPr>
        <w:ind w:left="5760" w:hanging="360"/>
      </w:pPr>
      <w:rPr>
        <w:rFonts w:ascii="Courier New" w:hAnsi="Courier New" w:cs="Courier New" w:hint="default"/>
      </w:rPr>
    </w:lvl>
    <w:lvl w:ilvl="8" w:tplc="D876C41A" w:tentative="1">
      <w:start w:val="1"/>
      <w:numFmt w:val="bullet"/>
      <w:lvlText w:val=""/>
      <w:lvlJc w:val="left"/>
      <w:pPr>
        <w:ind w:left="6480" w:hanging="360"/>
      </w:pPr>
      <w:rPr>
        <w:rFonts w:ascii="Wingdings" w:hAnsi="Wingdings" w:hint="default"/>
      </w:rPr>
    </w:lvl>
  </w:abstractNum>
  <w:abstractNum w:abstractNumId="2" w15:restartNumberingAfterBreak="0">
    <w:nsid w:val="077E1094"/>
    <w:multiLevelType w:val="multilevel"/>
    <w:tmpl w:val="9552195C"/>
    <w:lvl w:ilvl="0">
      <w:start w:val="1"/>
      <w:numFmt w:val="decimal"/>
      <w:pStyle w:val="Subtitle"/>
      <w:lvlText w:val="Table %1"/>
      <w:lvlJc w:val="left"/>
      <w:pPr>
        <w:ind w:left="851" w:hanging="851"/>
      </w:pPr>
      <w:rPr>
        <w:rFonts w:ascii="Arial" w:hAnsi="Arial" w:cs="Times New Roman" w:hint="default"/>
        <w:b/>
        <w:bCs w:val="0"/>
        <w:i w:val="0"/>
        <w:iCs w:val="0"/>
        <w:caps w:val="0"/>
        <w:smallCaps w:val="0"/>
        <w:strike w:val="0"/>
        <w:dstrike w:val="0"/>
        <w:noProof w:val="0"/>
        <w:vanish w:val="0"/>
        <w:color w:val="000000"/>
        <w:spacing w:val="0"/>
        <w:kern w:val="0"/>
        <w:position w:val="0"/>
        <w:sz w:val="16"/>
        <w:szCs w:val="16"/>
        <w:u w:val="none"/>
        <w:effect w:val="none"/>
        <w:vertAlign w:val="baseline"/>
        <w:em w:val="none"/>
        <w:specVanish w:val="0"/>
      </w:rPr>
    </w:lvl>
    <w:lvl w:ilvl="1">
      <w:start w:val="1"/>
      <w:numFmt w:val="lowerLetter"/>
      <w:lvlText w:val="%2."/>
      <w:lvlJc w:val="left"/>
      <w:pPr>
        <w:ind w:left="2073" w:hanging="360"/>
      </w:pPr>
      <w:rPr>
        <w:rFonts w:hint="default"/>
      </w:rPr>
    </w:lvl>
    <w:lvl w:ilvl="2">
      <w:start w:val="1"/>
      <w:numFmt w:val="lowerRoman"/>
      <w:lvlText w:val="%3."/>
      <w:lvlJc w:val="right"/>
      <w:pPr>
        <w:ind w:left="2793" w:hanging="180"/>
      </w:pPr>
      <w:rPr>
        <w:rFonts w:hint="default"/>
      </w:rPr>
    </w:lvl>
    <w:lvl w:ilvl="3">
      <w:start w:val="1"/>
      <w:numFmt w:val="decimal"/>
      <w:lvlText w:val="%4."/>
      <w:lvlJc w:val="left"/>
      <w:pPr>
        <w:ind w:left="3513" w:hanging="360"/>
      </w:pPr>
      <w:rPr>
        <w:rFonts w:hint="default"/>
      </w:rPr>
    </w:lvl>
    <w:lvl w:ilvl="4">
      <w:start w:val="1"/>
      <w:numFmt w:val="lowerLetter"/>
      <w:lvlText w:val="%5."/>
      <w:lvlJc w:val="left"/>
      <w:pPr>
        <w:ind w:left="4233" w:hanging="360"/>
      </w:pPr>
      <w:rPr>
        <w:rFonts w:hint="default"/>
      </w:rPr>
    </w:lvl>
    <w:lvl w:ilvl="5">
      <w:start w:val="1"/>
      <w:numFmt w:val="lowerRoman"/>
      <w:lvlText w:val="%6."/>
      <w:lvlJc w:val="right"/>
      <w:pPr>
        <w:ind w:left="4953" w:hanging="180"/>
      </w:pPr>
      <w:rPr>
        <w:rFonts w:hint="default"/>
      </w:rPr>
    </w:lvl>
    <w:lvl w:ilvl="6">
      <w:start w:val="1"/>
      <w:numFmt w:val="decimal"/>
      <w:lvlText w:val="%7."/>
      <w:lvlJc w:val="left"/>
      <w:pPr>
        <w:ind w:left="5673" w:hanging="360"/>
      </w:pPr>
      <w:rPr>
        <w:rFonts w:hint="default"/>
      </w:rPr>
    </w:lvl>
    <w:lvl w:ilvl="7">
      <w:start w:val="1"/>
      <w:numFmt w:val="lowerLetter"/>
      <w:lvlText w:val="%8."/>
      <w:lvlJc w:val="left"/>
      <w:pPr>
        <w:ind w:left="6393" w:hanging="360"/>
      </w:pPr>
      <w:rPr>
        <w:rFonts w:hint="default"/>
      </w:rPr>
    </w:lvl>
    <w:lvl w:ilvl="8">
      <w:start w:val="1"/>
      <w:numFmt w:val="lowerRoman"/>
      <w:lvlText w:val="%9."/>
      <w:lvlJc w:val="right"/>
      <w:pPr>
        <w:ind w:left="7113" w:hanging="180"/>
      </w:pPr>
      <w:rPr>
        <w:rFonts w:hint="default"/>
      </w:rPr>
    </w:lvl>
  </w:abstractNum>
  <w:abstractNum w:abstractNumId="3" w15:restartNumberingAfterBreak="0">
    <w:nsid w:val="0AC8565D"/>
    <w:multiLevelType w:val="hybridMultilevel"/>
    <w:tmpl w:val="BB8A429A"/>
    <w:lvl w:ilvl="0" w:tplc="25767604">
      <w:start w:val="1"/>
      <w:numFmt w:val="decimal"/>
      <w:pStyle w:val="HHeadingmaps"/>
      <w:lvlText w:val="Map %1."/>
      <w:lvlJc w:val="left"/>
      <w:pPr>
        <w:tabs>
          <w:tab w:val="num" w:pos="964"/>
        </w:tabs>
        <w:ind w:left="964" w:hanging="964"/>
      </w:pPr>
      <w:rPr>
        <w:rFonts w:hint="default"/>
      </w:rPr>
    </w:lvl>
    <w:lvl w:ilvl="1" w:tplc="18BC6A7C" w:tentative="1">
      <w:start w:val="1"/>
      <w:numFmt w:val="lowerLetter"/>
      <w:lvlText w:val="%2."/>
      <w:lvlJc w:val="left"/>
      <w:pPr>
        <w:ind w:left="1440" w:hanging="360"/>
      </w:pPr>
    </w:lvl>
    <w:lvl w:ilvl="2" w:tplc="90C45B58" w:tentative="1">
      <w:start w:val="1"/>
      <w:numFmt w:val="lowerRoman"/>
      <w:lvlText w:val="%3."/>
      <w:lvlJc w:val="right"/>
      <w:pPr>
        <w:ind w:left="2160" w:hanging="180"/>
      </w:pPr>
    </w:lvl>
    <w:lvl w:ilvl="3" w:tplc="D2823A70" w:tentative="1">
      <w:start w:val="1"/>
      <w:numFmt w:val="decimal"/>
      <w:lvlText w:val="%4."/>
      <w:lvlJc w:val="left"/>
      <w:pPr>
        <w:ind w:left="2880" w:hanging="360"/>
      </w:pPr>
    </w:lvl>
    <w:lvl w:ilvl="4" w:tplc="4D5401E6" w:tentative="1">
      <w:start w:val="1"/>
      <w:numFmt w:val="lowerLetter"/>
      <w:lvlText w:val="%5."/>
      <w:lvlJc w:val="left"/>
      <w:pPr>
        <w:ind w:left="3600" w:hanging="360"/>
      </w:pPr>
    </w:lvl>
    <w:lvl w:ilvl="5" w:tplc="45A89156" w:tentative="1">
      <w:start w:val="1"/>
      <w:numFmt w:val="lowerRoman"/>
      <w:lvlText w:val="%6."/>
      <w:lvlJc w:val="right"/>
      <w:pPr>
        <w:ind w:left="4320" w:hanging="180"/>
      </w:pPr>
    </w:lvl>
    <w:lvl w:ilvl="6" w:tplc="256AA644" w:tentative="1">
      <w:start w:val="1"/>
      <w:numFmt w:val="decimal"/>
      <w:lvlText w:val="%7."/>
      <w:lvlJc w:val="left"/>
      <w:pPr>
        <w:ind w:left="5040" w:hanging="360"/>
      </w:pPr>
    </w:lvl>
    <w:lvl w:ilvl="7" w:tplc="1FBCAF7E" w:tentative="1">
      <w:start w:val="1"/>
      <w:numFmt w:val="lowerLetter"/>
      <w:lvlText w:val="%8."/>
      <w:lvlJc w:val="left"/>
      <w:pPr>
        <w:ind w:left="5760" w:hanging="360"/>
      </w:pPr>
    </w:lvl>
    <w:lvl w:ilvl="8" w:tplc="DFA41E60" w:tentative="1">
      <w:start w:val="1"/>
      <w:numFmt w:val="lowerRoman"/>
      <w:lvlText w:val="%9."/>
      <w:lvlJc w:val="right"/>
      <w:pPr>
        <w:ind w:left="6480" w:hanging="180"/>
      </w:pPr>
    </w:lvl>
  </w:abstractNum>
  <w:abstractNum w:abstractNumId="4" w15:restartNumberingAfterBreak="0">
    <w:nsid w:val="0DF342A9"/>
    <w:multiLevelType w:val="hybridMultilevel"/>
    <w:tmpl w:val="F04C2544"/>
    <w:lvl w:ilvl="0" w:tplc="4D2C0F3E">
      <w:start w:val="1"/>
      <w:numFmt w:val="decimal"/>
      <w:lvlText w:val="%1."/>
      <w:lvlJc w:val="left"/>
      <w:pPr>
        <w:ind w:left="720" w:hanging="360"/>
      </w:pPr>
      <w:rPr>
        <w:rFonts w:hint="default"/>
        <w:u w:val="single"/>
      </w:rPr>
    </w:lvl>
    <w:lvl w:ilvl="1" w:tplc="0A525D4C">
      <w:start w:val="1"/>
      <w:numFmt w:val="lowerLetter"/>
      <w:lvlText w:val="%2."/>
      <w:lvlJc w:val="left"/>
      <w:pPr>
        <w:ind w:left="1440" w:hanging="360"/>
      </w:pPr>
    </w:lvl>
    <w:lvl w:ilvl="2" w:tplc="A69A00EE">
      <w:start w:val="1"/>
      <w:numFmt w:val="lowerLetter"/>
      <w:lvlText w:val="%3)"/>
      <w:lvlJc w:val="left"/>
      <w:pPr>
        <w:ind w:left="2340" w:hanging="360"/>
      </w:pPr>
      <w:rPr>
        <w:rFonts w:hint="default"/>
      </w:rPr>
    </w:lvl>
    <w:lvl w:ilvl="3" w:tplc="188038C8" w:tentative="1">
      <w:start w:val="1"/>
      <w:numFmt w:val="decimal"/>
      <w:lvlText w:val="%4."/>
      <w:lvlJc w:val="left"/>
      <w:pPr>
        <w:ind w:left="2880" w:hanging="360"/>
      </w:pPr>
    </w:lvl>
    <w:lvl w:ilvl="4" w:tplc="D1BCC6C2" w:tentative="1">
      <w:start w:val="1"/>
      <w:numFmt w:val="lowerLetter"/>
      <w:lvlText w:val="%5."/>
      <w:lvlJc w:val="left"/>
      <w:pPr>
        <w:ind w:left="3600" w:hanging="360"/>
      </w:pPr>
    </w:lvl>
    <w:lvl w:ilvl="5" w:tplc="BBECC95C" w:tentative="1">
      <w:start w:val="1"/>
      <w:numFmt w:val="lowerRoman"/>
      <w:lvlText w:val="%6."/>
      <w:lvlJc w:val="right"/>
      <w:pPr>
        <w:ind w:left="4320" w:hanging="180"/>
      </w:pPr>
    </w:lvl>
    <w:lvl w:ilvl="6" w:tplc="8048E19C" w:tentative="1">
      <w:start w:val="1"/>
      <w:numFmt w:val="decimal"/>
      <w:lvlText w:val="%7."/>
      <w:lvlJc w:val="left"/>
      <w:pPr>
        <w:ind w:left="5040" w:hanging="360"/>
      </w:pPr>
    </w:lvl>
    <w:lvl w:ilvl="7" w:tplc="CB24AABA" w:tentative="1">
      <w:start w:val="1"/>
      <w:numFmt w:val="lowerLetter"/>
      <w:lvlText w:val="%8."/>
      <w:lvlJc w:val="left"/>
      <w:pPr>
        <w:ind w:left="5760" w:hanging="360"/>
      </w:pPr>
    </w:lvl>
    <w:lvl w:ilvl="8" w:tplc="0CDE1C22" w:tentative="1">
      <w:start w:val="1"/>
      <w:numFmt w:val="lowerRoman"/>
      <w:lvlText w:val="%9."/>
      <w:lvlJc w:val="right"/>
      <w:pPr>
        <w:ind w:left="6480" w:hanging="180"/>
      </w:pPr>
    </w:lvl>
  </w:abstractNum>
  <w:abstractNum w:abstractNumId="5" w15:restartNumberingAfterBreak="0">
    <w:nsid w:val="12CB28B3"/>
    <w:multiLevelType w:val="hybridMultilevel"/>
    <w:tmpl w:val="4A3C5D26"/>
    <w:lvl w:ilvl="0" w:tplc="5D6EE124">
      <w:start w:val="1"/>
      <w:numFmt w:val="lowerLetter"/>
      <w:lvlText w:val="%1)"/>
      <w:lvlJc w:val="left"/>
      <w:pPr>
        <w:ind w:left="720" w:hanging="360"/>
      </w:pPr>
      <w:rPr>
        <w:rFonts w:hint="default"/>
      </w:rPr>
    </w:lvl>
    <w:lvl w:ilvl="1" w:tplc="DEBEC6BC" w:tentative="1">
      <w:start w:val="1"/>
      <w:numFmt w:val="lowerLetter"/>
      <w:lvlText w:val="%2."/>
      <w:lvlJc w:val="left"/>
      <w:pPr>
        <w:ind w:left="1440" w:hanging="360"/>
      </w:pPr>
    </w:lvl>
    <w:lvl w:ilvl="2" w:tplc="94948082" w:tentative="1">
      <w:start w:val="1"/>
      <w:numFmt w:val="lowerRoman"/>
      <w:lvlText w:val="%3."/>
      <w:lvlJc w:val="right"/>
      <w:pPr>
        <w:ind w:left="2160" w:hanging="180"/>
      </w:pPr>
    </w:lvl>
    <w:lvl w:ilvl="3" w:tplc="7320F7E4" w:tentative="1">
      <w:start w:val="1"/>
      <w:numFmt w:val="decimal"/>
      <w:lvlText w:val="%4."/>
      <w:lvlJc w:val="left"/>
      <w:pPr>
        <w:ind w:left="2880" w:hanging="360"/>
      </w:pPr>
    </w:lvl>
    <w:lvl w:ilvl="4" w:tplc="664A7FE8" w:tentative="1">
      <w:start w:val="1"/>
      <w:numFmt w:val="lowerLetter"/>
      <w:lvlText w:val="%5."/>
      <w:lvlJc w:val="left"/>
      <w:pPr>
        <w:ind w:left="3600" w:hanging="360"/>
      </w:pPr>
    </w:lvl>
    <w:lvl w:ilvl="5" w:tplc="7DF8338A" w:tentative="1">
      <w:start w:val="1"/>
      <w:numFmt w:val="lowerRoman"/>
      <w:lvlText w:val="%6."/>
      <w:lvlJc w:val="right"/>
      <w:pPr>
        <w:ind w:left="4320" w:hanging="180"/>
      </w:pPr>
    </w:lvl>
    <w:lvl w:ilvl="6" w:tplc="8744E3A4" w:tentative="1">
      <w:start w:val="1"/>
      <w:numFmt w:val="decimal"/>
      <w:lvlText w:val="%7."/>
      <w:lvlJc w:val="left"/>
      <w:pPr>
        <w:ind w:left="5040" w:hanging="360"/>
      </w:pPr>
    </w:lvl>
    <w:lvl w:ilvl="7" w:tplc="B80889E6" w:tentative="1">
      <w:start w:val="1"/>
      <w:numFmt w:val="lowerLetter"/>
      <w:lvlText w:val="%8."/>
      <w:lvlJc w:val="left"/>
      <w:pPr>
        <w:ind w:left="5760" w:hanging="360"/>
      </w:pPr>
    </w:lvl>
    <w:lvl w:ilvl="8" w:tplc="C48E238C" w:tentative="1">
      <w:start w:val="1"/>
      <w:numFmt w:val="lowerRoman"/>
      <w:lvlText w:val="%9."/>
      <w:lvlJc w:val="right"/>
      <w:pPr>
        <w:ind w:left="6480" w:hanging="180"/>
      </w:pPr>
    </w:lvl>
  </w:abstractNum>
  <w:abstractNum w:abstractNumId="6" w15:restartNumberingAfterBreak="0">
    <w:nsid w:val="15C84A41"/>
    <w:multiLevelType w:val="multilevel"/>
    <w:tmpl w:val="B5F87352"/>
    <w:lvl w:ilvl="0">
      <w:start w:val="1"/>
      <w:numFmt w:val="decimal"/>
      <w:pStyle w:val="Heading1"/>
      <w:lvlText w:val="%1"/>
      <w:lvlJc w:val="left"/>
      <w:pPr>
        <w:tabs>
          <w:tab w:val="num" w:pos="474"/>
        </w:tabs>
        <w:ind w:left="262" w:hanging="148"/>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7" w15:restartNumberingAfterBreak="0">
    <w:nsid w:val="1D101BF3"/>
    <w:multiLevelType w:val="hybridMultilevel"/>
    <w:tmpl w:val="4AE6BB48"/>
    <w:lvl w:ilvl="0" w:tplc="2A58DA9A">
      <w:start w:val="1"/>
      <w:numFmt w:val="bullet"/>
      <w:pStyle w:val="HBoxbullet"/>
      <w:lvlText w:val=""/>
      <w:lvlJc w:val="left"/>
      <w:pPr>
        <w:ind w:left="440" w:hanging="360"/>
      </w:pPr>
      <w:rPr>
        <w:rFonts w:ascii="Symbol" w:hAnsi="Symbol" w:hint="default"/>
        <w:color w:val="57825E"/>
      </w:rPr>
    </w:lvl>
    <w:lvl w:ilvl="1" w:tplc="D854951A" w:tentative="1">
      <w:start w:val="1"/>
      <w:numFmt w:val="bullet"/>
      <w:lvlText w:val="o"/>
      <w:lvlJc w:val="left"/>
      <w:pPr>
        <w:ind w:left="1440" w:hanging="360"/>
      </w:pPr>
      <w:rPr>
        <w:rFonts w:ascii="Courier New" w:hAnsi="Courier New" w:cs="Courier New" w:hint="default"/>
      </w:rPr>
    </w:lvl>
    <w:lvl w:ilvl="2" w:tplc="9A2E70C6" w:tentative="1">
      <w:start w:val="1"/>
      <w:numFmt w:val="bullet"/>
      <w:lvlText w:val=""/>
      <w:lvlJc w:val="left"/>
      <w:pPr>
        <w:ind w:left="2160" w:hanging="360"/>
      </w:pPr>
      <w:rPr>
        <w:rFonts w:ascii="Wingdings" w:hAnsi="Wingdings" w:hint="default"/>
      </w:rPr>
    </w:lvl>
    <w:lvl w:ilvl="3" w:tplc="D03055DC" w:tentative="1">
      <w:start w:val="1"/>
      <w:numFmt w:val="bullet"/>
      <w:lvlText w:val=""/>
      <w:lvlJc w:val="left"/>
      <w:pPr>
        <w:ind w:left="2880" w:hanging="360"/>
      </w:pPr>
      <w:rPr>
        <w:rFonts w:ascii="Symbol" w:hAnsi="Symbol" w:hint="default"/>
      </w:rPr>
    </w:lvl>
    <w:lvl w:ilvl="4" w:tplc="467083CA" w:tentative="1">
      <w:start w:val="1"/>
      <w:numFmt w:val="bullet"/>
      <w:lvlText w:val="o"/>
      <w:lvlJc w:val="left"/>
      <w:pPr>
        <w:ind w:left="3600" w:hanging="360"/>
      </w:pPr>
      <w:rPr>
        <w:rFonts w:ascii="Courier New" w:hAnsi="Courier New" w:cs="Courier New" w:hint="default"/>
      </w:rPr>
    </w:lvl>
    <w:lvl w:ilvl="5" w:tplc="4154AB1E" w:tentative="1">
      <w:start w:val="1"/>
      <w:numFmt w:val="bullet"/>
      <w:lvlText w:val=""/>
      <w:lvlJc w:val="left"/>
      <w:pPr>
        <w:ind w:left="4320" w:hanging="360"/>
      </w:pPr>
      <w:rPr>
        <w:rFonts w:ascii="Wingdings" w:hAnsi="Wingdings" w:hint="default"/>
      </w:rPr>
    </w:lvl>
    <w:lvl w:ilvl="6" w:tplc="1304F5E0" w:tentative="1">
      <w:start w:val="1"/>
      <w:numFmt w:val="bullet"/>
      <w:lvlText w:val=""/>
      <w:lvlJc w:val="left"/>
      <w:pPr>
        <w:ind w:left="5040" w:hanging="360"/>
      </w:pPr>
      <w:rPr>
        <w:rFonts w:ascii="Symbol" w:hAnsi="Symbol" w:hint="default"/>
      </w:rPr>
    </w:lvl>
    <w:lvl w:ilvl="7" w:tplc="5358AD6E" w:tentative="1">
      <w:start w:val="1"/>
      <w:numFmt w:val="bullet"/>
      <w:lvlText w:val="o"/>
      <w:lvlJc w:val="left"/>
      <w:pPr>
        <w:ind w:left="5760" w:hanging="360"/>
      </w:pPr>
      <w:rPr>
        <w:rFonts w:ascii="Courier New" w:hAnsi="Courier New" w:cs="Courier New" w:hint="default"/>
      </w:rPr>
    </w:lvl>
    <w:lvl w:ilvl="8" w:tplc="03622978" w:tentative="1">
      <w:start w:val="1"/>
      <w:numFmt w:val="bullet"/>
      <w:lvlText w:val=""/>
      <w:lvlJc w:val="left"/>
      <w:pPr>
        <w:ind w:left="6480" w:hanging="360"/>
      </w:pPr>
      <w:rPr>
        <w:rFonts w:ascii="Wingdings" w:hAnsi="Wingdings" w:hint="default"/>
      </w:rPr>
    </w:lvl>
  </w:abstractNum>
  <w:abstractNum w:abstractNumId="8" w15:restartNumberingAfterBreak="0">
    <w:nsid w:val="27006F01"/>
    <w:multiLevelType w:val="hybridMultilevel"/>
    <w:tmpl w:val="DB9808B8"/>
    <w:lvl w:ilvl="0" w:tplc="D700D8DA">
      <w:start w:val="1"/>
      <w:numFmt w:val="bullet"/>
      <w:pStyle w:val="Hlistline3"/>
      <w:lvlText w:val="-"/>
      <w:lvlJc w:val="left"/>
      <w:pPr>
        <w:ind w:left="644" w:hanging="360"/>
      </w:pPr>
      <w:rPr>
        <w:rFonts w:ascii="Courier New" w:hAnsi="Courier New" w:hint="default"/>
        <w:color w:val="373737"/>
      </w:rPr>
    </w:lvl>
    <w:lvl w:ilvl="1" w:tplc="BFA6C93E" w:tentative="1">
      <w:start w:val="1"/>
      <w:numFmt w:val="bullet"/>
      <w:lvlText w:val="o"/>
      <w:lvlJc w:val="left"/>
      <w:pPr>
        <w:tabs>
          <w:tab w:val="num" w:pos="1440"/>
        </w:tabs>
        <w:ind w:left="1440" w:hanging="360"/>
      </w:pPr>
      <w:rPr>
        <w:rFonts w:ascii="Courier New" w:hAnsi="Courier New" w:hint="default"/>
      </w:rPr>
    </w:lvl>
    <w:lvl w:ilvl="2" w:tplc="E98A0946" w:tentative="1">
      <w:start w:val="1"/>
      <w:numFmt w:val="bullet"/>
      <w:lvlText w:val=""/>
      <w:lvlJc w:val="left"/>
      <w:pPr>
        <w:tabs>
          <w:tab w:val="num" w:pos="2160"/>
        </w:tabs>
        <w:ind w:left="2160" w:hanging="360"/>
      </w:pPr>
      <w:rPr>
        <w:rFonts w:ascii="Wingdings" w:hAnsi="Wingdings" w:hint="default"/>
      </w:rPr>
    </w:lvl>
    <w:lvl w:ilvl="3" w:tplc="3A0085B6" w:tentative="1">
      <w:start w:val="1"/>
      <w:numFmt w:val="bullet"/>
      <w:lvlText w:val=""/>
      <w:lvlJc w:val="left"/>
      <w:pPr>
        <w:tabs>
          <w:tab w:val="num" w:pos="2880"/>
        </w:tabs>
        <w:ind w:left="2880" w:hanging="360"/>
      </w:pPr>
      <w:rPr>
        <w:rFonts w:ascii="Symbol" w:hAnsi="Symbol" w:hint="default"/>
      </w:rPr>
    </w:lvl>
    <w:lvl w:ilvl="4" w:tplc="11322EB8" w:tentative="1">
      <w:start w:val="1"/>
      <w:numFmt w:val="bullet"/>
      <w:lvlText w:val="o"/>
      <w:lvlJc w:val="left"/>
      <w:pPr>
        <w:tabs>
          <w:tab w:val="num" w:pos="3600"/>
        </w:tabs>
        <w:ind w:left="3600" w:hanging="360"/>
      </w:pPr>
      <w:rPr>
        <w:rFonts w:ascii="Courier New" w:hAnsi="Courier New" w:hint="default"/>
      </w:rPr>
    </w:lvl>
    <w:lvl w:ilvl="5" w:tplc="90FCC1A8" w:tentative="1">
      <w:start w:val="1"/>
      <w:numFmt w:val="bullet"/>
      <w:lvlText w:val=""/>
      <w:lvlJc w:val="left"/>
      <w:pPr>
        <w:tabs>
          <w:tab w:val="num" w:pos="4320"/>
        </w:tabs>
        <w:ind w:left="4320" w:hanging="360"/>
      </w:pPr>
      <w:rPr>
        <w:rFonts w:ascii="Wingdings" w:hAnsi="Wingdings" w:hint="default"/>
      </w:rPr>
    </w:lvl>
    <w:lvl w:ilvl="6" w:tplc="FA1A5F16" w:tentative="1">
      <w:start w:val="1"/>
      <w:numFmt w:val="bullet"/>
      <w:lvlText w:val=""/>
      <w:lvlJc w:val="left"/>
      <w:pPr>
        <w:tabs>
          <w:tab w:val="num" w:pos="5040"/>
        </w:tabs>
        <w:ind w:left="5040" w:hanging="360"/>
      </w:pPr>
      <w:rPr>
        <w:rFonts w:ascii="Symbol" w:hAnsi="Symbol" w:hint="default"/>
      </w:rPr>
    </w:lvl>
    <w:lvl w:ilvl="7" w:tplc="30CEDA70" w:tentative="1">
      <w:start w:val="1"/>
      <w:numFmt w:val="bullet"/>
      <w:lvlText w:val="o"/>
      <w:lvlJc w:val="left"/>
      <w:pPr>
        <w:tabs>
          <w:tab w:val="num" w:pos="5760"/>
        </w:tabs>
        <w:ind w:left="5760" w:hanging="360"/>
      </w:pPr>
      <w:rPr>
        <w:rFonts w:ascii="Courier New" w:hAnsi="Courier New" w:hint="default"/>
      </w:rPr>
    </w:lvl>
    <w:lvl w:ilvl="8" w:tplc="9058197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027FC8"/>
    <w:multiLevelType w:val="hybridMultilevel"/>
    <w:tmpl w:val="FA02B858"/>
    <w:lvl w:ilvl="0" w:tplc="7E16B680">
      <w:start w:val="1"/>
      <w:numFmt w:val="bullet"/>
      <w:lvlText w:val=""/>
      <w:lvlJc w:val="left"/>
      <w:pPr>
        <w:ind w:left="720" w:hanging="360"/>
      </w:pPr>
      <w:rPr>
        <w:rFonts w:ascii="Symbol" w:hAnsi="Symbol" w:hint="default"/>
      </w:rPr>
    </w:lvl>
    <w:lvl w:ilvl="1" w:tplc="BED699F2" w:tentative="1">
      <w:start w:val="1"/>
      <w:numFmt w:val="bullet"/>
      <w:lvlText w:val="o"/>
      <w:lvlJc w:val="left"/>
      <w:pPr>
        <w:ind w:left="1440" w:hanging="360"/>
      </w:pPr>
      <w:rPr>
        <w:rFonts w:ascii="Courier New" w:hAnsi="Courier New" w:cs="Courier New" w:hint="default"/>
      </w:rPr>
    </w:lvl>
    <w:lvl w:ilvl="2" w:tplc="3D322296" w:tentative="1">
      <w:start w:val="1"/>
      <w:numFmt w:val="bullet"/>
      <w:lvlText w:val=""/>
      <w:lvlJc w:val="left"/>
      <w:pPr>
        <w:ind w:left="2160" w:hanging="360"/>
      </w:pPr>
      <w:rPr>
        <w:rFonts w:ascii="Wingdings" w:hAnsi="Wingdings" w:hint="default"/>
      </w:rPr>
    </w:lvl>
    <w:lvl w:ilvl="3" w:tplc="3654AD8C" w:tentative="1">
      <w:start w:val="1"/>
      <w:numFmt w:val="bullet"/>
      <w:lvlText w:val=""/>
      <w:lvlJc w:val="left"/>
      <w:pPr>
        <w:ind w:left="2880" w:hanging="360"/>
      </w:pPr>
      <w:rPr>
        <w:rFonts w:ascii="Symbol" w:hAnsi="Symbol" w:hint="default"/>
      </w:rPr>
    </w:lvl>
    <w:lvl w:ilvl="4" w:tplc="858000EE" w:tentative="1">
      <w:start w:val="1"/>
      <w:numFmt w:val="bullet"/>
      <w:lvlText w:val="o"/>
      <w:lvlJc w:val="left"/>
      <w:pPr>
        <w:ind w:left="3600" w:hanging="360"/>
      </w:pPr>
      <w:rPr>
        <w:rFonts w:ascii="Courier New" w:hAnsi="Courier New" w:cs="Courier New" w:hint="default"/>
      </w:rPr>
    </w:lvl>
    <w:lvl w:ilvl="5" w:tplc="EA7A0DCE" w:tentative="1">
      <w:start w:val="1"/>
      <w:numFmt w:val="bullet"/>
      <w:lvlText w:val=""/>
      <w:lvlJc w:val="left"/>
      <w:pPr>
        <w:ind w:left="4320" w:hanging="360"/>
      </w:pPr>
      <w:rPr>
        <w:rFonts w:ascii="Wingdings" w:hAnsi="Wingdings" w:hint="default"/>
      </w:rPr>
    </w:lvl>
    <w:lvl w:ilvl="6" w:tplc="E2986C24" w:tentative="1">
      <w:start w:val="1"/>
      <w:numFmt w:val="bullet"/>
      <w:lvlText w:val=""/>
      <w:lvlJc w:val="left"/>
      <w:pPr>
        <w:ind w:left="5040" w:hanging="360"/>
      </w:pPr>
      <w:rPr>
        <w:rFonts w:ascii="Symbol" w:hAnsi="Symbol" w:hint="default"/>
      </w:rPr>
    </w:lvl>
    <w:lvl w:ilvl="7" w:tplc="1E003052" w:tentative="1">
      <w:start w:val="1"/>
      <w:numFmt w:val="bullet"/>
      <w:lvlText w:val="o"/>
      <w:lvlJc w:val="left"/>
      <w:pPr>
        <w:ind w:left="5760" w:hanging="360"/>
      </w:pPr>
      <w:rPr>
        <w:rFonts w:ascii="Courier New" w:hAnsi="Courier New" w:cs="Courier New" w:hint="default"/>
      </w:rPr>
    </w:lvl>
    <w:lvl w:ilvl="8" w:tplc="170CA8B8" w:tentative="1">
      <w:start w:val="1"/>
      <w:numFmt w:val="bullet"/>
      <w:lvlText w:val=""/>
      <w:lvlJc w:val="left"/>
      <w:pPr>
        <w:ind w:left="6480" w:hanging="360"/>
      </w:pPr>
      <w:rPr>
        <w:rFonts w:ascii="Wingdings" w:hAnsi="Wingdings" w:hint="default"/>
      </w:rPr>
    </w:lvl>
  </w:abstractNum>
  <w:abstractNum w:abstractNumId="10" w15:restartNumberingAfterBreak="0">
    <w:nsid w:val="2ABA4DA5"/>
    <w:multiLevelType w:val="multilevel"/>
    <w:tmpl w:val="0E4CF65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C113FF8"/>
    <w:multiLevelType w:val="hybridMultilevel"/>
    <w:tmpl w:val="B9964EBC"/>
    <w:lvl w:ilvl="0" w:tplc="08029560">
      <w:start w:val="1"/>
      <w:numFmt w:val="bullet"/>
      <w:lvlText w:val=""/>
      <w:lvlJc w:val="left"/>
      <w:pPr>
        <w:ind w:left="775" w:hanging="360"/>
      </w:pPr>
      <w:rPr>
        <w:rFonts w:ascii="Symbol" w:hAnsi="Symbol" w:hint="default"/>
      </w:rPr>
    </w:lvl>
    <w:lvl w:ilvl="1" w:tplc="31B8AAF0" w:tentative="1">
      <w:start w:val="1"/>
      <w:numFmt w:val="bullet"/>
      <w:lvlText w:val="o"/>
      <w:lvlJc w:val="left"/>
      <w:pPr>
        <w:ind w:left="1495" w:hanging="360"/>
      </w:pPr>
      <w:rPr>
        <w:rFonts w:ascii="Courier New" w:hAnsi="Courier New" w:cs="Courier New" w:hint="default"/>
      </w:rPr>
    </w:lvl>
    <w:lvl w:ilvl="2" w:tplc="40A202A6" w:tentative="1">
      <w:start w:val="1"/>
      <w:numFmt w:val="bullet"/>
      <w:lvlText w:val=""/>
      <w:lvlJc w:val="left"/>
      <w:pPr>
        <w:ind w:left="2215" w:hanging="360"/>
      </w:pPr>
      <w:rPr>
        <w:rFonts w:ascii="Wingdings" w:hAnsi="Wingdings" w:hint="default"/>
      </w:rPr>
    </w:lvl>
    <w:lvl w:ilvl="3" w:tplc="1BB8E002" w:tentative="1">
      <w:start w:val="1"/>
      <w:numFmt w:val="bullet"/>
      <w:lvlText w:val=""/>
      <w:lvlJc w:val="left"/>
      <w:pPr>
        <w:ind w:left="2935" w:hanging="360"/>
      </w:pPr>
      <w:rPr>
        <w:rFonts w:ascii="Symbol" w:hAnsi="Symbol" w:hint="default"/>
      </w:rPr>
    </w:lvl>
    <w:lvl w:ilvl="4" w:tplc="3AD097EC" w:tentative="1">
      <w:start w:val="1"/>
      <w:numFmt w:val="bullet"/>
      <w:lvlText w:val="o"/>
      <w:lvlJc w:val="left"/>
      <w:pPr>
        <w:ind w:left="3655" w:hanging="360"/>
      </w:pPr>
      <w:rPr>
        <w:rFonts w:ascii="Courier New" w:hAnsi="Courier New" w:cs="Courier New" w:hint="default"/>
      </w:rPr>
    </w:lvl>
    <w:lvl w:ilvl="5" w:tplc="DE169C62" w:tentative="1">
      <w:start w:val="1"/>
      <w:numFmt w:val="bullet"/>
      <w:lvlText w:val=""/>
      <w:lvlJc w:val="left"/>
      <w:pPr>
        <w:ind w:left="4375" w:hanging="360"/>
      </w:pPr>
      <w:rPr>
        <w:rFonts w:ascii="Wingdings" w:hAnsi="Wingdings" w:hint="default"/>
      </w:rPr>
    </w:lvl>
    <w:lvl w:ilvl="6" w:tplc="EDA45DC6" w:tentative="1">
      <w:start w:val="1"/>
      <w:numFmt w:val="bullet"/>
      <w:lvlText w:val=""/>
      <w:lvlJc w:val="left"/>
      <w:pPr>
        <w:ind w:left="5095" w:hanging="360"/>
      </w:pPr>
      <w:rPr>
        <w:rFonts w:ascii="Symbol" w:hAnsi="Symbol" w:hint="default"/>
      </w:rPr>
    </w:lvl>
    <w:lvl w:ilvl="7" w:tplc="112287A2" w:tentative="1">
      <w:start w:val="1"/>
      <w:numFmt w:val="bullet"/>
      <w:lvlText w:val="o"/>
      <w:lvlJc w:val="left"/>
      <w:pPr>
        <w:ind w:left="5815" w:hanging="360"/>
      </w:pPr>
      <w:rPr>
        <w:rFonts w:ascii="Courier New" w:hAnsi="Courier New" w:cs="Courier New" w:hint="default"/>
      </w:rPr>
    </w:lvl>
    <w:lvl w:ilvl="8" w:tplc="D8F6F22C" w:tentative="1">
      <w:start w:val="1"/>
      <w:numFmt w:val="bullet"/>
      <w:lvlText w:val=""/>
      <w:lvlJc w:val="left"/>
      <w:pPr>
        <w:ind w:left="6535" w:hanging="360"/>
      </w:pPr>
      <w:rPr>
        <w:rFonts w:ascii="Wingdings" w:hAnsi="Wingdings" w:hint="default"/>
      </w:rPr>
    </w:lvl>
  </w:abstractNum>
  <w:abstractNum w:abstractNumId="12" w15:restartNumberingAfterBreak="0">
    <w:nsid w:val="310547BD"/>
    <w:multiLevelType w:val="hybridMultilevel"/>
    <w:tmpl w:val="70BAE8C6"/>
    <w:lvl w:ilvl="0" w:tplc="AAAE78C0">
      <w:start w:val="1"/>
      <w:numFmt w:val="decimal"/>
      <w:pStyle w:val="HHeadingfigures"/>
      <w:lvlText w:val="Figure %1."/>
      <w:lvlJc w:val="left"/>
      <w:pPr>
        <w:tabs>
          <w:tab w:val="num" w:pos="964"/>
        </w:tabs>
        <w:ind w:left="964" w:hanging="964"/>
      </w:pPr>
      <w:rPr>
        <w:rFonts w:hint="default"/>
        <w:b/>
        <w:bCs w:val="0"/>
        <w:i w:val="0"/>
        <w:iCs w:val="0"/>
        <w:caps w:val="0"/>
        <w:smallCaps w:val="0"/>
        <w:strike w:val="0"/>
        <w:dstrike w:val="0"/>
        <w:noProof w:val="0"/>
        <w:vanish w:val="0"/>
        <w:color w:val="373737"/>
        <w:spacing w:val="0"/>
        <w:kern w:val="0"/>
        <w:position w:val="0"/>
        <w:u w:val="none"/>
        <w:effect w:val="none"/>
        <w:vertAlign w:val="baseline"/>
        <w:em w:val="none"/>
        <w:specVanish w:val="0"/>
      </w:rPr>
    </w:lvl>
    <w:lvl w:ilvl="1" w:tplc="FFC8320C">
      <w:start w:val="1"/>
      <w:numFmt w:val="lowerLetter"/>
      <w:lvlText w:val="%2."/>
      <w:lvlJc w:val="left"/>
      <w:pPr>
        <w:ind w:left="1440" w:hanging="360"/>
      </w:pPr>
    </w:lvl>
    <w:lvl w:ilvl="2" w:tplc="4EB607F2" w:tentative="1">
      <w:start w:val="1"/>
      <w:numFmt w:val="lowerRoman"/>
      <w:lvlText w:val="%3."/>
      <w:lvlJc w:val="right"/>
      <w:pPr>
        <w:ind w:left="2160" w:hanging="180"/>
      </w:pPr>
    </w:lvl>
    <w:lvl w:ilvl="3" w:tplc="49584D56" w:tentative="1">
      <w:start w:val="1"/>
      <w:numFmt w:val="decimal"/>
      <w:lvlText w:val="%4."/>
      <w:lvlJc w:val="left"/>
      <w:pPr>
        <w:ind w:left="2880" w:hanging="360"/>
      </w:pPr>
    </w:lvl>
    <w:lvl w:ilvl="4" w:tplc="53569CEA" w:tentative="1">
      <w:start w:val="1"/>
      <w:numFmt w:val="lowerLetter"/>
      <w:lvlText w:val="%5."/>
      <w:lvlJc w:val="left"/>
      <w:pPr>
        <w:ind w:left="3600" w:hanging="360"/>
      </w:pPr>
    </w:lvl>
    <w:lvl w:ilvl="5" w:tplc="2AC2AA9A" w:tentative="1">
      <w:start w:val="1"/>
      <w:numFmt w:val="lowerRoman"/>
      <w:lvlText w:val="%6."/>
      <w:lvlJc w:val="right"/>
      <w:pPr>
        <w:ind w:left="4320" w:hanging="180"/>
      </w:pPr>
    </w:lvl>
    <w:lvl w:ilvl="6" w:tplc="6290AC46" w:tentative="1">
      <w:start w:val="1"/>
      <w:numFmt w:val="decimal"/>
      <w:lvlText w:val="%7."/>
      <w:lvlJc w:val="left"/>
      <w:pPr>
        <w:ind w:left="5040" w:hanging="360"/>
      </w:pPr>
    </w:lvl>
    <w:lvl w:ilvl="7" w:tplc="A84AA6CA" w:tentative="1">
      <w:start w:val="1"/>
      <w:numFmt w:val="lowerLetter"/>
      <w:lvlText w:val="%8."/>
      <w:lvlJc w:val="left"/>
      <w:pPr>
        <w:ind w:left="5760" w:hanging="360"/>
      </w:pPr>
    </w:lvl>
    <w:lvl w:ilvl="8" w:tplc="1B085EDC" w:tentative="1">
      <w:start w:val="1"/>
      <w:numFmt w:val="lowerRoman"/>
      <w:lvlText w:val="%9."/>
      <w:lvlJc w:val="right"/>
      <w:pPr>
        <w:ind w:left="6480" w:hanging="180"/>
      </w:pPr>
    </w:lvl>
  </w:abstractNum>
  <w:abstractNum w:abstractNumId="13" w15:restartNumberingAfterBreak="0">
    <w:nsid w:val="3BBC6932"/>
    <w:multiLevelType w:val="hybridMultilevel"/>
    <w:tmpl w:val="BBBE01C4"/>
    <w:lvl w:ilvl="0" w:tplc="5CF45C70">
      <w:start w:val="1"/>
      <w:numFmt w:val="bullet"/>
      <w:pStyle w:val="Hlistbullet"/>
      <w:lvlText w:val=""/>
      <w:lvlJc w:val="left"/>
      <w:pPr>
        <w:ind w:left="928" w:hanging="360"/>
      </w:pPr>
      <w:rPr>
        <w:rFonts w:ascii="Symbol" w:hAnsi="Symbol" w:hint="default"/>
        <w:color w:val="57825E"/>
        <w:sz w:val="18"/>
        <w:szCs w:val="18"/>
      </w:rPr>
    </w:lvl>
    <w:lvl w:ilvl="1" w:tplc="9CB8ACC2">
      <w:start w:val="1"/>
      <w:numFmt w:val="bullet"/>
      <w:lvlText w:val="o"/>
      <w:lvlJc w:val="left"/>
      <w:pPr>
        <w:tabs>
          <w:tab w:val="num" w:pos="1440"/>
        </w:tabs>
        <w:ind w:left="1440" w:hanging="360"/>
      </w:pPr>
      <w:rPr>
        <w:rFonts w:ascii="Courier New" w:hAnsi="Courier New" w:hint="default"/>
      </w:rPr>
    </w:lvl>
    <w:lvl w:ilvl="2" w:tplc="3946BD14">
      <w:start w:val="1"/>
      <w:numFmt w:val="bullet"/>
      <w:lvlText w:val=""/>
      <w:lvlJc w:val="left"/>
      <w:pPr>
        <w:tabs>
          <w:tab w:val="num" w:pos="2160"/>
        </w:tabs>
        <w:ind w:left="2160" w:hanging="360"/>
      </w:pPr>
      <w:rPr>
        <w:rFonts w:ascii="Wingdings" w:hAnsi="Wingdings" w:hint="default"/>
      </w:rPr>
    </w:lvl>
    <w:lvl w:ilvl="3" w:tplc="3FB4651A" w:tentative="1">
      <w:start w:val="1"/>
      <w:numFmt w:val="bullet"/>
      <w:lvlText w:val=""/>
      <w:lvlJc w:val="left"/>
      <w:pPr>
        <w:tabs>
          <w:tab w:val="num" w:pos="2880"/>
        </w:tabs>
        <w:ind w:left="2880" w:hanging="360"/>
      </w:pPr>
      <w:rPr>
        <w:rFonts w:ascii="Symbol" w:hAnsi="Symbol" w:hint="default"/>
      </w:rPr>
    </w:lvl>
    <w:lvl w:ilvl="4" w:tplc="1F50859E" w:tentative="1">
      <w:start w:val="1"/>
      <w:numFmt w:val="bullet"/>
      <w:lvlText w:val="o"/>
      <w:lvlJc w:val="left"/>
      <w:pPr>
        <w:tabs>
          <w:tab w:val="num" w:pos="3600"/>
        </w:tabs>
        <w:ind w:left="3600" w:hanging="360"/>
      </w:pPr>
      <w:rPr>
        <w:rFonts w:ascii="Courier New" w:hAnsi="Courier New" w:hint="default"/>
      </w:rPr>
    </w:lvl>
    <w:lvl w:ilvl="5" w:tplc="99D29EAA" w:tentative="1">
      <w:start w:val="1"/>
      <w:numFmt w:val="bullet"/>
      <w:lvlText w:val=""/>
      <w:lvlJc w:val="left"/>
      <w:pPr>
        <w:tabs>
          <w:tab w:val="num" w:pos="4320"/>
        </w:tabs>
        <w:ind w:left="4320" w:hanging="360"/>
      </w:pPr>
      <w:rPr>
        <w:rFonts w:ascii="Wingdings" w:hAnsi="Wingdings" w:hint="default"/>
      </w:rPr>
    </w:lvl>
    <w:lvl w:ilvl="6" w:tplc="6C44C874" w:tentative="1">
      <w:start w:val="1"/>
      <w:numFmt w:val="bullet"/>
      <w:lvlText w:val=""/>
      <w:lvlJc w:val="left"/>
      <w:pPr>
        <w:tabs>
          <w:tab w:val="num" w:pos="5040"/>
        </w:tabs>
        <w:ind w:left="5040" w:hanging="360"/>
      </w:pPr>
      <w:rPr>
        <w:rFonts w:ascii="Symbol" w:hAnsi="Symbol" w:hint="default"/>
      </w:rPr>
    </w:lvl>
    <w:lvl w:ilvl="7" w:tplc="8D8C9DEC" w:tentative="1">
      <w:start w:val="1"/>
      <w:numFmt w:val="bullet"/>
      <w:lvlText w:val="o"/>
      <w:lvlJc w:val="left"/>
      <w:pPr>
        <w:tabs>
          <w:tab w:val="num" w:pos="5760"/>
        </w:tabs>
        <w:ind w:left="5760" w:hanging="360"/>
      </w:pPr>
      <w:rPr>
        <w:rFonts w:ascii="Courier New" w:hAnsi="Courier New" w:hint="default"/>
      </w:rPr>
    </w:lvl>
    <w:lvl w:ilvl="8" w:tplc="FA726D1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677474"/>
    <w:multiLevelType w:val="hybridMultilevel"/>
    <w:tmpl w:val="9DC662A6"/>
    <w:lvl w:ilvl="0" w:tplc="DC02CDFA">
      <w:start w:val="1"/>
      <w:numFmt w:val="bullet"/>
      <w:lvlText w:val=""/>
      <w:lvlJc w:val="left"/>
      <w:pPr>
        <w:ind w:left="720" w:hanging="360"/>
      </w:pPr>
      <w:rPr>
        <w:rFonts w:ascii="Symbol" w:hAnsi="Symbol" w:hint="default"/>
      </w:rPr>
    </w:lvl>
    <w:lvl w:ilvl="1" w:tplc="93B02CBA" w:tentative="1">
      <w:start w:val="1"/>
      <w:numFmt w:val="bullet"/>
      <w:lvlText w:val="o"/>
      <w:lvlJc w:val="left"/>
      <w:pPr>
        <w:ind w:left="1440" w:hanging="360"/>
      </w:pPr>
      <w:rPr>
        <w:rFonts w:ascii="Courier New" w:hAnsi="Courier New" w:cs="Courier New" w:hint="default"/>
      </w:rPr>
    </w:lvl>
    <w:lvl w:ilvl="2" w:tplc="4F7E0DC0" w:tentative="1">
      <w:start w:val="1"/>
      <w:numFmt w:val="bullet"/>
      <w:lvlText w:val=""/>
      <w:lvlJc w:val="left"/>
      <w:pPr>
        <w:ind w:left="2160" w:hanging="360"/>
      </w:pPr>
      <w:rPr>
        <w:rFonts w:ascii="Wingdings" w:hAnsi="Wingdings" w:hint="default"/>
      </w:rPr>
    </w:lvl>
    <w:lvl w:ilvl="3" w:tplc="DF9E33AA" w:tentative="1">
      <w:start w:val="1"/>
      <w:numFmt w:val="bullet"/>
      <w:lvlText w:val=""/>
      <w:lvlJc w:val="left"/>
      <w:pPr>
        <w:ind w:left="2880" w:hanging="360"/>
      </w:pPr>
      <w:rPr>
        <w:rFonts w:ascii="Symbol" w:hAnsi="Symbol" w:hint="default"/>
      </w:rPr>
    </w:lvl>
    <w:lvl w:ilvl="4" w:tplc="7296799A" w:tentative="1">
      <w:start w:val="1"/>
      <w:numFmt w:val="bullet"/>
      <w:lvlText w:val="o"/>
      <w:lvlJc w:val="left"/>
      <w:pPr>
        <w:ind w:left="3600" w:hanging="360"/>
      </w:pPr>
      <w:rPr>
        <w:rFonts w:ascii="Courier New" w:hAnsi="Courier New" w:cs="Courier New" w:hint="default"/>
      </w:rPr>
    </w:lvl>
    <w:lvl w:ilvl="5" w:tplc="8B18BCE8" w:tentative="1">
      <w:start w:val="1"/>
      <w:numFmt w:val="bullet"/>
      <w:lvlText w:val=""/>
      <w:lvlJc w:val="left"/>
      <w:pPr>
        <w:ind w:left="4320" w:hanging="360"/>
      </w:pPr>
      <w:rPr>
        <w:rFonts w:ascii="Wingdings" w:hAnsi="Wingdings" w:hint="default"/>
      </w:rPr>
    </w:lvl>
    <w:lvl w:ilvl="6" w:tplc="81DEC8B0" w:tentative="1">
      <w:start w:val="1"/>
      <w:numFmt w:val="bullet"/>
      <w:lvlText w:val=""/>
      <w:lvlJc w:val="left"/>
      <w:pPr>
        <w:ind w:left="5040" w:hanging="360"/>
      </w:pPr>
      <w:rPr>
        <w:rFonts w:ascii="Symbol" w:hAnsi="Symbol" w:hint="default"/>
      </w:rPr>
    </w:lvl>
    <w:lvl w:ilvl="7" w:tplc="B850449E" w:tentative="1">
      <w:start w:val="1"/>
      <w:numFmt w:val="bullet"/>
      <w:lvlText w:val="o"/>
      <w:lvlJc w:val="left"/>
      <w:pPr>
        <w:ind w:left="5760" w:hanging="360"/>
      </w:pPr>
      <w:rPr>
        <w:rFonts w:ascii="Courier New" w:hAnsi="Courier New" w:cs="Courier New" w:hint="default"/>
      </w:rPr>
    </w:lvl>
    <w:lvl w:ilvl="8" w:tplc="D264C4CE" w:tentative="1">
      <w:start w:val="1"/>
      <w:numFmt w:val="bullet"/>
      <w:lvlText w:val=""/>
      <w:lvlJc w:val="left"/>
      <w:pPr>
        <w:ind w:left="6480" w:hanging="360"/>
      </w:pPr>
      <w:rPr>
        <w:rFonts w:ascii="Wingdings" w:hAnsi="Wingdings" w:hint="default"/>
      </w:rPr>
    </w:lvl>
  </w:abstractNum>
  <w:abstractNum w:abstractNumId="15" w15:restartNumberingAfterBreak="0">
    <w:nsid w:val="43A72027"/>
    <w:multiLevelType w:val="hybridMultilevel"/>
    <w:tmpl w:val="53EAC4D6"/>
    <w:lvl w:ilvl="0" w:tplc="64602A66">
      <w:start w:val="1"/>
      <w:numFmt w:val="decimal"/>
      <w:pStyle w:val="HHeadingtables"/>
      <w:lvlText w:val="Table %1."/>
      <w:lvlJc w:val="left"/>
      <w:pPr>
        <w:ind w:left="360" w:hanging="360"/>
      </w:pPr>
      <w:rPr>
        <w:specVanish w:val="0"/>
      </w:rPr>
    </w:lvl>
    <w:lvl w:ilvl="1" w:tplc="F3E4207A" w:tentative="1">
      <w:start w:val="1"/>
      <w:numFmt w:val="lowerLetter"/>
      <w:lvlText w:val="%2."/>
      <w:lvlJc w:val="left"/>
      <w:pPr>
        <w:ind w:left="-829" w:hanging="360"/>
      </w:pPr>
    </w:lvl>
    <w:lvl w:ilvl="2" w:tplc="347A930E" w:tentative="1">
      <w:start w:val="1"/>
      <w:numFmt w:val="lowerRoman"/>
      <w:lvlText w:val="%3."/>
      <w:lvlJc w:val="right"/>
      <w:pPr>
        <w:ind w:left="-109" w:hanging="180"/>
      </w:pPr>
    </w:lvl>
    <w:lvl w:ilvl="3" w:tplc="F2541B6E" w:tentative="1">
      <w:start w:val="1"/>
      <w:numFmt w:val="decimal"/>
      <w:lvlText w:val="%4."/>
      <w:lvlJc w:val="left"/>
      <w:pPr>
        <w:ind w:left="611" w:hanging="360"/>
      </w:pPr>
    </w:lvl>
    <w:lvl w:ilvl="4" w:tplc="8B4446D4" w:tentative="1">
      <w:start w:val="1"/>
      <w:numFmt w:val="lowerLetter"/>
      <w:lvlText w:val="%5."/>
      <w:lvlJc w:val="left"/>
      <w:pPr>
        <w:ind w:left="1331" w:hanging="360"/>
      </w:pPr>
    </w:lvl>
    <w:lvl w:ilvl="5" w:tplc="91CCE36E" w:tentative="1">
      <w:start w:val="1"/>
      <w:numFmt w:val="lowerRoman"/>
      <w:lvlText w:val="%6."/>
      <w:lvlJc w:val="right"/>
      <w:pPr>
        <w:ind w:left="2051" w:hanging="180"/>
      </w:pPr>
    </w:lvl>
    <w:lvl w:ilvl="6" w:tplc="B8F41E04" w:tentative="1">
      <w:start w:val="1"/>
      <w:numFmt w:val="decimal"/>
      <w:lvlText w:val="%7."/>
      <w:lvlJc w:val="left"/>
      <w:pPr>
        <w:ind w:left="2771" w:hanging="360"/>
      </w:pPr>
    </w:lvl>
    <w:lvl w:ilvl="7" w:tplc="BEA0A6EC" w:tentative="1">
      <w:start w:val="1"/>
      <w:numFmt w:val="lowerLetter"/>
      <w:lvlText w:val="%8."/>
      <w:lvlJc w:val="left"/>
      <w:pPr>
        <w:ind w:left="3491" w:hanging="360"/>
      </w:pPr>
    </w:lvl>
    <w:lvl w:ilvl="8" w:tplc="34167B94" w:tentative="1">
      <w:start w:val="1"/>
      <w:numFmt w:val="lowerRoman"/>
      <w:lvlText w:val="%9."/>
      <w:lvlJc w:val="right"/>
      <w:pPr>
        <w:ind w:left="4211" w:hanging="180"/>
      </w:pPr>
    </w:lvl>
  </w:abstractNum>
  <w:abstractNum w:abstractNumId="16" w15:restartNumberingAfterBreak="0">
    <w:nsid w:val="446B7352"/>
    <w:multiLevelType w:val="hybridMultilevel"/>
    <w:tmpl w:val="E758C420"/>
    <w:lvl w:ilvl="0" w:tplc="899CC452">
      <w:start w:val="1"/>
      <w:numFmt w:val="bullet"/>
      <w:lvlText w:val=""/>
      <w:lvlJc w:val="left"/>
      <w:pPr>
        <w:ind w:left="720" w:hanging="360"/>
      </w:pPr>
      <w:rPr>
        <w:rFonts w:ascii="Symbol" w:hAnsi="Symbol" w:hint="default"/>
      </w:rPr>
    </w:lvl>
    <w:lvl w:ilvl="1" w:tplc="0F4E82A4" w:tentative="1">
      <w:start w:val="1"/>
      <w:numFmt w:val="bullet"/>
      <w:lvlText w:val="o"/>
      <w:lvlJc w:val="left"/>
      <w:pPr>
        <w:ind w:left="1440" w:hanging="360"/>
      </w:pPr>
      <w:rPr>
        <w:rFonts w:ascii="Courier New" w:hAnsi="Courier New" w:cs="Courier New" w:hint="default"/>
      </w:rPr>
    </w:lvl>
    <w:lvl w:ilvl="2" w:tplc="38987D74" w:tentative="1">
      <w:start w:val="1"/>
      <w:numFmt w:val="bullet"/>
      <w:lvlText w:val=""/>
      <w:lvlJc w:val="left"/>
      <w:pPr>
        <w:ind w:left="2160" w:hanging="360"/>
      </w:pPr>
      <w:rPr>
        <w:rFonts w:ascii="Wingdings" w:hAnsi="Wingdings" w:hint="default"/>
      </w:rPr>
    </w:lvl>
    <w:lvl w:ilvl="3" w:tplc="5AE6A550" w:tentative="1">
      <w:start w:val="1"/>
      <w:numFmt w:val="bullet"/>
      <w:lvlText w:val=""/>
      <w:lvlJc w:val="left"/>
      <w:pPr>
        <w:ind w:left="2880" w:hanging="360"/>
      </w:pPr>
      <w:rPr>
        <w:rFonts w:ascii="Symbol" w:hAnsi="Symbol" w:hint="default"/>
      </w:rPr>
    </w:lvl>
    <w:lvl w:ilvl="4" w:tplc="691A6DA4" w:tentative="1">
      <w:start w:val="1"/>
      <w:numFmt w:val="bullet"/>
      <w:lvlText w:val="o"/>
      <w:lvlJc w:val="left"/>
      <w:pPr>
        <w:ind w:left="3600" w:hanging="360"/>
      </w:pPr>
      <w:rPr>
        <w:rFonts w:ascii="Courier New" w:hAnsi="Courier New" w:cs="Courier New" w:hint="default"/>
      </w:rPr>
    </w:lvl>
    <w:lvl w:ilvl="5" w:tplc="8C28828A" w:tentative="1">
      <w:start w:val="1"/>
      <w:numFmt w:val="bullet"/>
      <w:lvlText w:val=""/>
      <w:lvlJc w:val="left"/>
      <w:pPr>
        <w:ind w:left="4320" w:hanging="360"/>
      </w:pPr>
      <w:rPr>
        <w:rFonts w:ascii="Wingdings" w:hAnsi="Wingdings" w:hint="default"/>
      </w:rPr>
    </w:lvl>
    <w:lvl w:ilvl="6" w:tplc="4D84204A" w:tentative="1">
      <w:start w:val="1"/>
      <w:numFmt w:val="bullet"/>
      <w:lvlText w:val=""/>
      <w:lvlJc w:val="left"/>
      <w:pPr>
        <w:ind w:left="5040" w:hanging="360"/>
      </w:pPr>
      <w:rPr>
        <w:rFonts w:ascii="Symbol" w:hAnsi="Symbol" w:hint="default"/>
      </w:rPr>
    </w:lvl>
    <w:lvl w:ilvl="7" w:tplc="19FC38A2" w:tentative="1">
      <w:start w:val="1"/>
      <w:numFmt w:val="bullet"/>
      <w:lvlText w:val="o"/>
      <w:lvlJc w:val="left"/>
      <w:pPr>
        <w:ind w:left="5760" w:hanging="360"/>
      </w:pPr>
      <w:rPr>
        <w:rFonts w:ascii="Courier New" w:hAnsi="Courier New" w:cs="Courier New" w:hint="default"/>
      </w:rPr>
    </w:lvl>
    <w:lvl w:ilvl="8" w:tplc="ECC25750" w:tentative="1">
      <w:start w:val="1"/>
      <w:numFmt w:val="bullet"/>
      <w:lvlText w:val=""/>
      <w:lvlJc w:val="left"/>
      <w:pPr>
        <w:ind w:left="6480" w:hanging="360"/>
      </w:pPr>
      <w:rPr>
        <w:rFonts w:ascii="Wingdings" w:hAnsi="Wingdings" w:hint="default"/>
      </w:rPr>
    </w:lvl>
  </w:abstractNum>
  <w:abstractNum w:abstractNumId="17" w15:restartNumberingAfterBreak="0">
    <w:nsid w:val="47F8294A"/>
    <w:multiLevelType w:val="hybridMultilevel"/>
    <w:tmpl w:val="A61044DA"/>
    <w:lvl w:ilvl="0" w:tplc="A32A1850">
      <w:start w:val="1"/>
      <w:numFmt w:val="lowerLetter"/>
      <w:pStyle w:val="Hlistabc"/>
      <w:lvlText w:val="%1)"/>
      <w:lvlJc w:val="left"/>
      <w:pPr>
        <w:tabs>
          <w:tab w:val="num" w:pos="644"/>
        </w:tabs>
        <w:ind w:left="567" w:hanging="283"/>
      </w:pPr>
      <w:rPr>
        <w:rFonts w:hint="default"/>
      </w:rPr>
    </w:lvl>
    <w:lvl w:ilvl="1" w:tplc="FB6AC9DA">
      <w:start w:val="1"/>
      <w:numFmt w:val="lowerLetter"/>
      <w:lvlText w:val="%2."/>
      <w:lvlJc w:val="left"/>
      <w:pPr>
        <w:tabs>
          <w:tab w:val="num" w:pos="1440"/>
        </w:tabs>
        <w:ind w:left="1440" w:hanging="360"/>
      </w:pPr>
    </w:lvl>
    <w:lvl w:ilvl="2" w:tplc="287A4DDA" w:tentative="1">
      <w:start w:val="1"/>
      <w:numFmt w:val="lowerRoman"/>
      <w:lvlText w:val="%3."/>
      <w:lvlJc w:val="right"/>
      <w:pPr>
        <w:tabs>
          <w:tab w:val="num" w:pos="2160"/>
        </w:tabs>
        <w:ind w:left="2160" w:hanging="180"/>
      </w:pPr>
    </w:lvl>
    <w:lvl w:ilvl="3" w:tplc="2EA84478" w:tentative="1">
      <w:start w:val="1"/>
      <w:numFmt w:val="decimal"/>
      <w:lvlText w:val="%4."/>
      <w:lvlJc w:val="left"/>
      <w:pPr>
        <w:tabs>
          <w:tab w:val="num" w:pos="2880"/>
        </w:tabs>
        <w:ind w:left="2880" w:hanging="360"/>
      </w:pPr>
    </w:lvl>
    <w:lvl w:ilvl="4" w:tplc="395AB544" w:tentative="1">
      <w:start w:val="1"/>
      <w:numFmt w:val="lowerLetter"/>
      <w:lvlText w:val="%5."/>
      <w:lvlJc w:val="left"/>
      <w:pPr>
        <w:tabs>
          <w:tab w:val="num" w:pos="3600"/>
        </w:tabs>
        <w:ind w:left="3600" w:hanging="360"/>
      </w:pPr>
    </w:lvl>
    <w:lvl w:ilvl="5" w:tplc="9424C54C" w:tentative="1">
      <w:start w:val="1"/>
      <w:numFmt w:val="lowerRoman"/>
      <w:lvlText w:val="%6."/>
      <w:lvlJc w:val="right"/>
      <w:pPr>
        <w:tabs>
          <w:tab w:val="num" w:pos="4320"/>
        </w:tabs>
        <w:ind w:left="4320" w:hanging="180"/>
      </w:pPr>
    </w:lvl>
    <w:lvl w:ilvl="6" w:tplc="85E4FAF2" w:tentative="1">
      <w:start w:val="1"/>
      <w:numFmt w:val="decimal"/>
      <w:lvlText w:val="%7."/>
      <w:lvlJc w:val="left"/>
      <w:pPr>
        <w:tabs>
          <w:tab w:val="num" w:pos="5040"/>
        </w:tabs>
        <w:ind w:left="5040" w:hanging="360"/>
      </w:pPr>
    </w:lvl>
    <w:lvl w:ilvl="7" w:tplc="DC26614E" w:tentative="1">
      <w:start w:val="1"/>
      <w:numFmt w:val="lowerLetter"/>
      <w:lvlText w:val="%8."/>
      <w:lvlJc w:val="left"/>
      <w:pPr>
        <w:tabs>
          <w:tab w:val="num" w:pos="5760"/>
        </w:tabs>
        <w:ind w:left="5760" w:hanging="360"/>
      </w:pPr>
    </w:lvl>
    <w:lvl w:ilvl="8" w:tplc="86C236FE" w:tentative="1">
      <w:start w:val="1"/>
      <w:numFmt w:val="lowerRoman"/>
      <w:lvlText w:val="%9."/>
      <w:lvlJc w:val="right"/>
      <w:pPr>
        <w:tabs>
          <w:tab w:val="num" w:pos="6480"/>
        </w:tabs>
        <w:ind w:left="6480" w:hanging="180"/>
      </w:pPr>
    </w:lvl>
  </w:abstractNum>
  <w:abstractNum w:abstractNumId="18" w15:restartNumberingAfterBreak="0">
    <w:nsid w:val="4C663347"/>
    <w:multiLevelType w:val="hybridMultilevel"/>
    <w:tmpl w:val="BEE86F04"/>
    <w:lvl w:ilvl="0" w:tplc="D3726202">
      <w:start w:val="1"/>
      <w:numFmt w:val="bullet"/>
      <w:pStyle w:val="Hlistbullet2"/>
      <w:lvlText w:val="o"/>
      <w:lvlJc w:val="left"/>
      <w:pPr>
        <w:ind w:left="720" w:hanging="360"/>
      </w:pPr>
      <w:rPr>
        <w:rFonts w:ascii="Courier New" w:hAnsi="Courier New" w:hint="default"/>
        <w:color w:val="F07E31"/>
      </w:rPr>
    </w:lvl>
    <w:lvl w:ilvl="1" w:tplc="68E8168E">
      <w:start w:val="1"/>
      <w:numFmt w:val="bullet"/>
      <w:lvlText w:val="o"/>
      <w:lvlJc w:val="left"/>
      <w:pPr>
        <w:ind w:left="1440" w:hanging="360"/>
      </w:pPr>
      <w:rPr>
        <w:rFonts w:ascii="Courier New" w:hAnsi="Courier New" w:cs="Courier New" w:hint="default"/>
      </w:rPr>
    </w:lvl>
    <w:lvl w:ilvl="2" w:tplc="C6A09EFE" w:tentative="1">
      <w:start w:val="1"/>
      <w:numFmt w:val="bullet"/>
      <w:lvlText w:val=""/>
      <w:lvlJc w:val="left"/>
      <w:pPr>
        <w:ind w:left="2160" w:hanging="360"/>
      </w:pPr>
      <w:rPr>
        <w:rFonts w:ascii="Wingdings" w:hAnsi="Wingdings" w:hint="default"/>
      </w:rPr>
    </w:lvl>
    <w:lvl w:ilvl="3" w:tplc="E38A9FAA" w:tentative="1">
      <w:start w:val="1"/>
      <w:numFmt w:val="bullet"/>
      <w:lvlText w:val=""/>
      <w:lvlJc w:val="left"/>
      <w:pPr>
        <w:ind w:left="2880" w:hanging="360"/>
      </w:pPr>
      <w:rPr>
        <w:rFonts w:ascii="Symbol" w:hAnsi="Symbol" w:hint="default"/>
      </w:rPr>
    </w:lvl>
    <w:lvl w:ilvl="4" w:tplc="D8281D1A" w:tentative="1">
      <w:start w:val="1"/>
      <w:numFmt w:val="bullet"/>
      <w:lvlText w:val="o"/>
      <w:lvlJc w:val="left"/>
      <w:pPr>
        <w:ind w:left="3600" w:hanging="360"/>
      </w:pPr>
      <w:rPr>
        <w:rFonts w:ascii="Courier New" w:hAnsi="Courier New" w:cs="Courier New" w:hint="default"/>
      </w:rPr>
    </w:lvl>
    <w:lvl w:ilvl="5" w:tplc="F734180A" w:tentative="1">
      <w:start w:val="1"/>
      <w:numFmt w:val="bullet"/>
      <w:lvlText w:val=""/>
      <w:lvlJc w:val="left"/>
      <w:pPr>
        <w:ind w:left="4320" w:hanging="360"/>
      </w:pPr>
      <w:rPr>
        <w:rFonts w:ascii="Wingdings" w:hAnsi="Wingdings" w:hint="default"/>
      </w:rPr>
    </w:lvl>
    <w:lvl w:ilvl="6" w:tplc="94FE3E60" w:tentative="1">
      <w:start w:val="1"/>
      <w:numFmt w:val="bullet"/>
      <w:lvlText w:val=""/>
      <w:lvlJc w:val="left"/>
      <w:pPr>
        <w:ind w:left="5040" w:hanging="360"/>
      </w:pPr>
      <w:rPr>
        <w:rFonts w:ascii="Symbol" w:hAnsi="Symbol" w:hint="default"/>
      </w:rPr>
    </w:lvl>
    <w:lvl w:ilvl="7" w:tplc="70CCBEF8" w:tentative="1">
      <w:start w:val="1"/>
      <w:numFmt w:val="bullet"/>
      <w:lvlText w:val="o"/>
      <w:lvlJc w:val="left"/>
      <w:pPr>
        <w:ind w:left="5760" w:hanging="360"/>
      </w:pPr>
      <w:rPr>
        <w:rFonts w:ascii="Courier New" w:hAnsi="Courier New" w:cs="Courier New" w:hint="default"/>
      </w:rPr>
    </w:lvl>
    <w:lvl w:ilvl="8" w:tplc="C01C91CC" w:tentative="1">
      <w:start w:val="1"/>
      <w:numFmt w:val="bullet"/>
      <w:lvlText w:val=""/>
      <w:lvlJc w:val="left"/>
      <w:pPr>
        <w:ind w:left="6480" w:hanging="360"/>
      </w:pPr>
      <w:rPr>
        <w:rFonts w:ascii="Wingdings" w:hAnsi="Wingdings" w:hint="default"/>
      </w:rPr>
    </w:lvl>
  </w:abstractNum>
  <w:abstractNum w:abstractNumId="19" w15:restartNumberingAfterBreak="0">
    <w:nsid w:val="4D933F93"/>
    <w:multiLevelType w:val="hybridMultilevel"/>
    <w:tmpl w:val="3EFCB27A"/>
    <w:lvl w:ilvl="0" w:tplc="52261092">
      <w:start w:val="1"/>
      <w:numFmt w:val="decimal"/>
      <w:lvlText w:val="%1."/>
      <w:lvlJc w:val="left"/>
      <w:pPr>
        <w:ind w:left="928" w:hanging="360"/>
      </w:pPr>
      <w:rPr>
        <w:rFonts w:hint="default"/>
        <w:color w:val="57825E"/>
        <w:sz w:val="18"/>
        <w:szCs w:val="18"/>
      </w:rPr>
    </w:lvl>
    <w:lvl w:ilvl="1" w:tplc="38486D88">
      <w:start w:val="1"/>
      <w:numFmt w:val="bullet"/>
      <w:lvlText w:val="o"/>
      <w:lvlJc w:val="left"/>
      <w:pPr>
        <w:tabs>
          <w:tab w:val="num" w:pos="1440"/>
        </w:tabs>
        <w:ind w:left="1440" w:hanging="360"/>
      </w:pPr>
      <w:rPr>
        <w:rFonts w:ascii="Courier New" w:hAnsi="Courier New" w:hint="default"/>
      </w:rPr>
    </w:lvl>
    <w:lvl w:ilvl="2" w:tplc="52CA9870">
      <w:start w:val="1"/>
      <w:numFmt w:val="bullet"/>
      <w:lvlText w:val=""/>
      <w:lvlJc w:val="left"/>
      <w:pPr>
        <w:tabs>
          <w:tab w:val="num" w:pos="2160"/>
        </w:tabs>
        <w:ind w:left="2160" w:hanging="360"/>
      </w:pPr>
      <w:rPr>
        <w:rFonts w:ascii="Wingdings" w:hAnsi="Wingdings" w:hint="default"/>
      </w:rPr>
    </w:lvl>
    <w:lvl w:ilvl="3" w:tplc="9CC26D74" w:tentative="1">
      <w:start w:val="1"/>
      <w:numFmt w:val="bullet"/>
      <w:lvlText w:val=""/>
      <w:lvlJc w:val="left"/>
      <w:pPr>
        <w:tabs>
          <w:tab w:val="num" w:pos="2880"/>
        </w:tabs>
        <w:ind w:left="2880" w:hanging="360"/>
      </w:pPr>
      <w:rPr>
        <w:rFonts w:ascii="Symbol" w:hAnsi="Symbol" w:hint="default"/>
      </w:rPr>
    </w:lvl>
    <w:lvl w:ilvl="4" w:tplc="8D846236" w:tentative="1">
      <w:start w:val="1"/>
      <w:numFmt w:val="bullet"/>
      <w:lvlText w:val="o"/>
      <w:lvlJc w:val="left"/>
      <w:pPr>
        <w:tabs>
          <w:tab w:val="num" w:pos="3600"/>
        </w:tabs>
        <w:ind w:left="3600" w:hanging="360"/>
      </w:pPr>
      <w:rPr>
        <w:rFonts w:ascii="Courier New" w:hAnsi="Courier New" w:hint="default"/>
      </w:rPr>
    </w:lvl>
    <w:lvl w:ilvl="5" w:tplc="1A742CA4" w:tentative="1">
      <w:start w:val="1"/>
      <w:numFmt w:val="bullet"/>
      <w:lvlText w:val=""/>
      <w:lvlJc w:val="left"/>
      <w:pPr>
        <w:tabs>
          <w:tab w:val="num" w:pos="4320"/>
        </w:tabs>
        <w:ind w:left="4320" w:hanging="360"/>
      </w:pPr>
      <w:rPr>
        <w:rFonts w:ascii="Wingdings" w:hAnsi="Wingdings" w:hint="default"/>
      </w:rPr>
    </w:lvl>
    <w:lvl w:ilvl="6" w:tplc="FD52FCDA" w:tentative="1">
      <w:start w:val="1"/>
      <w:numFmt w:val="bullet"/>
      <w:lvlText w:val=""/>
      <w:lvlJc w:val="left"/>
      <w:pPr>
        <w:tabs>
          <w:tab w:val="num" w:pos="5040"/>
        </w:tabs>
        <w:ind w:left="5040" w:hanging="360"/>
      </w:pPr>
      <w:rPr>
        <w:rFonts w:ascii="Symbol" w:hAnsi="Symbol" w:hint="default"/>
      </w:rPr>
    </w:lvl>
    <w:lvl w:ilvl="7" w:tplc="B9AED616" w:tentative="1">
      <w:start w:val="1"/>
      <w:numFmt w:val="bullet"/>
      <w:lvlText w:val="o"/>
      <w:lvlJc w:val="left"/>
      <w:pPr>
        <w:tabs>
          <w:tab w:val="num" w:pos="5760"/>
        </w:tabs>
        <w:ind w:left="5760" w:hanging="360"/>
      </w:pPr>
      <w:rPr>
        <w:rFonts w:ascii="Courier New" w:hAnsi="Courier New" w:hint="default"/>
      </w:rPr>
    </w:lvl>
    <w:lvl w:ilvl="8" w:tplc="B97C3F6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E973CF"/>
    <w:multiLevelType w:val="hybridMultilevel"/>
    <w:tmpl w:val="471E9ED8"/>
    <w:lvl w:ilvl="0" w:tplc="000046E2">
      <w:start w:val="1"/>
      <w:numFmt w:val="bullet"/>
      <w:lvlText w:val=""/>
      <w:lvlJc w:val="left"/>
      <w:pPr>
        <w:ind w:left="720" w:hanging="360"/>
      </w:pPr>
      <w:rPr>
        <w:rFonts w:ascii="Symbol" w:hAnsi="Symbol" w:hint="default"/>
      </w:rPr>
    </w:lvl>
    <w:lvl w:ilvl="1" w:tplc="9F5E7096">
      <w:start w:val="1"/>
      <w:numFmt w:val="bullet"/>
      <w:lvlText w:val="o"/>
      <w:lvlJc w:val="left"/>
      <w:pPr>
        <w:ind w:left="1440" w:hanging="360"/>
      </w:pPr>
      <w:rPr>
        <w:rFonts w:ascii="Courier New" w:hAnsi="Courier New" w:cs="Courier New" w:hint="default"/>
      </w:rPr>
    </w:lvl>
    <w:lvl w:ilvl="2" w:tplc="972E2C38" w:tentative="1">
      <w:start w:val="1"/>
      <w:numFmt w:val="bullet"/>
      <w:lvlText w:val=""/>
      <w:lvlJc w:val="left"/>
      <w:pPr>
        <w:ind w:left="2160" w:hanging="360"/>
      </w:pPr>
      <w:rPr>
        <w:rFonts w:ascii="Wingdings" w:hAnsi="Wingdings" w:hint="default"/>
      </w:rPr>
    </w:lvl>
    <w:lvl w:ilvl="3" w:tplc="E1FAD020" w:tentative="1">
      <w:start w:val="1"/>
      <w:numFmt w:val="bullet"/>
      <w:lvlText w:val=""/>
      <w:lvlJc w:val="left"/>
      <w:pPr>
        <w:ind w:left="2880" w:hanging="360"/>
      </w:pPr>
      <w:rPr>
        <w:rFonts w:ascii="Symbol" w:hAnsi="Symbol" w:hint="default"/>
      </w:rPr>
    </w:lvl>
    <w:lvl w:ilvl="4" w:tplc="F2D8C808" w:tentative="1">
      <w:start w:val="1"/>
      <w:numFmt w:val="bullet"/>
      <w:lvlText w:val="o"/>
      <w:lvlJc w:val="left"/>
      <w:pPr>
        <w:ind w:left="3600" w:hanging="360"/>
      </w:pPr>
      <w:rPr>
        <w:rFonts w:ascii="Courier New" w:hAnsi="Courier New" w:cs="Courier New" w:hint="default"/>
      </w:rPr>
    </w:lvl>
    <w:lvl w:ilvl="5" w:tplc="8CB47886" w:tentative="1">
      <w:start w:val="1"/>
      <w:numFmt w:val="bullet"/>
      <w:lvlText w:val=""/>
      <w:lvlJc w:val="left"/>
      <w:pPr>
        <w:ind w:left="4320" w:hanging="360"/>
      </w:pPr>
      <w:rPr>
        <w:rFonts w:ascii="Wingdings" w:hAnsi="Wingdings" w:hint="default"/>
      </w:rPr>
    </w:lvl>
    <w:lvl w:ilvl="6" w:tplc="1A80E94C" w:tentative="1">
      <w:start w:val="1"/>
      <w:numFmt w:val="bullet"/>
      <w:lvlText w:val=""/>
      <w:lvlJc w:val="left"/>
      <w:pPr>
        <w:ind w:left="5040" w:hanging="360"/>
      </w:pPr>
      <w:rPr>
        <w:rFonts w:ascii="Symbol" w:hAnsi="Symbol" w:hint="default"/>
      </w:rPr>
    </w:lvl>
    <w:lvl w:ilvl="7" w:tplc="A99EBD92" w:tentative="1">
      <w:start w:val="1"/>
      <w:numFmt w:val="bullet"/>
      <w:lvlText w:val="o"/>
      <w:lvlJc w:val="left"/>
      <w:pPr>
        <w:ind w:left="5760" w:hanging="360"/>
      </w:pPr>
      <w:rPr>
        <w:rFonts w:ascii="Courier New" w:hAnsi="Courier New" w:cs="Courier New" w:hint="default"/>
      </w:rPr>
    </w:lvl>
    <w:lvl w:ilvl="8" w:tplc="1CF091B6" w:tentative="1">
      <w:start w:val="1"/>
      <w:numFmt w:val="bullet"/>
      <w:lvlText w:val=""/>
      <w:lvlJc w:val="left"/>
      <w:pPr>
        <w:ind w:left="6480" w:hanging="360"/>
      </w:pPr>
      <w:rPr>
        <w:rFonts w:ascii="Wingdings" w:hAnsi="Wingdings" w:hint="default"/>
      </w:rPr>
    </w:lvl>
  </w:abstractNum>
  <w:abstractNum w:abstractNumId="21" w15:restartNumberingAfterBreak="0">
    <w:nsid w:val="53FC3597"/>
    <w:multiLevelType w:val="hybridMultilevel"/>
    <w:tmpl w:val="33407086"/>
    <w:lvl w:ilvl="0" w:tplc="A844D996">
      <w:start w:val="1"/>
      <w:numFmt w:val="decimal"/>
      <w:lvlText w:val="%1."/>
      <w:lvlJc w:val="left"/>
      <w:pPr>
        <w:ind w:left="1571" w:hanging="360"/>
      </w:pPr>
    </w:lvl>
    <w:lvl w:ilvl="1" w:tplc="EDCEBCF8" w:tentative="1">
      <w:start w:val="1"/>
      <w:numFmt w:val="lowerLetter"/>
      <w:lvlText w:val="%2."/>
      <w:lvlJc w:val="left"/>
      <w:pPr>
        <w:ind w:left="2291" w:hanging="360"/>
      </w:pPr>
    </w:lvl>
    <w:lvl w:ilvl="2" w:tplc="1CDEE498" w:tentative="1">
      <w:start w:val="1"/>
      <w:numFmt w:val="lowerRoman"/>
      <w:lvlText w:val="%3."/>
      <w:lvlJc w:val="right"/>
      <w:pPr>
        <w:ind w:left="3011" w:hanging="180"/>
      </w:pPr>
    </w:lvl>
    <w:lvl w:ilvl="3" w:tplc="5136118E" w:tentative="1">
      <w:start w:val="1"/>
      <w:numFmt w:val="decimal"/>
      <w:lvlText w:val="%4."/>
      <w:lvlJc w:val="left"/>
      <w:pPr>
        <w:ind w:left="3731" w:hanging="360"/>
      </w:pPr>
    </w:lvl>
    <w:lvl w:ilvl="4" w:tplc="D9F88A72" w:tentative="1">
      <w:start w:val="1"/>
      <w:numFmt w:val="lowerLetter"/>
      <w:lvlText w:val="%5."/>
      <w:lvlJc w:val="left"/>
      <w:pPr>
        <w:ind w:left="4451" w:hanging="360"/>
      </w:pPr>
    </w:lvl>
    <w:lvl w:ilvl="5" w:tplc="9B441778" w:tentative="1">
      <w:start w:val="1"/>
      <w:numFmt w:val="lowerRoman"/>
      <w:lvlText w:val="%6."/>
      <w:lvlJc w:val="right"/>
      <w:pPr>
        <w:ind w:left="5171" w:hanging="180"/>
      </w:pPr>
    </w:lvl>
    <w:lvl w:ilvl="6" w:tplc="9EE4332E" w:tentative="1">
      <w:start w:val="1"/>
      <w:numFmt w:val="decimal"/>
      <w:lvlText w:val="%7."/>
      <w:lvlJc w:val="left"/>
      <w:pPr>
        <w:ind w:left="5891" w:hanging="360"/>
      </w:pPr>
    </w:lvl>
    <w:lvl w:ilvl="7" w:tplc="BB7ACECC" w:tentative="1">
      <w:start w:val="1"/>
      <w:numFmt w:val="lowerLetter"/>
      <w:lvlText w:val="%8."/>
      <w:lvlJc w:val="left"/>
      <w:pPr>
        <w:ind w:left="6611" w:hanging="360"/>
      </w:pPr>
    </w:lvl>
    <w:lvl w:ilvl="8" w:tplc="003A3224" w:tentative="1">
      <w:start w:val="1"/>
      <w:numFmt w:val="lowerRoman"/>
      <w:lvlText w:val="%9."/>
      <w:lvlJc w:val="right"/>
      <w:pPr>
        <w:ind w:left="7331" w:hanging="180"/>
      </w:pPr>
    </w:lvl>
  </w:abstractNum>
  <w:abstractNum w:abstractNumId="22" w15:restartNumberingAfterBreak="0">
    <w:nsid w:val="66691E4D"/>
    <w:multiLevelType w:val="hybridMultilevel"/>
    <w:tmpl w:val="4FC82400"/>
    <w:lvl w:ilvl="0" w:tplc="DEE21DB8">
      <w:numFmt w:val="bullet"/>
      <w:lvlText w:val=""/>
      <w:lvlJc w:val="left"/>
      <w:pPr>
        <w:ind w:left="720" w:hanging="360"/>
      </w:pPr>
      <w:rPr>
        <w:rFonts w:ascii="Wingdings 3" w:eastAsia="Times New Roman" w:hAnsi="Wingdings 3" w:cs="Times New Roman" w:hint="default"/>
        <w:color w:val="F07E31"/>
      </w:rPr>
    </w:lvl>
    <w:lvl w:ilvl="1" w:tplc="8D80D35C" w:tentative="1">
      <w:start w:val="1"/>
      <w:numFmt w:val="bullet"/>
      <w:lvlText w:val="o"/>
      <w:lvlJc w:val="left"/>
      <w:pPr>
        <w:ind w:left="1440" w:hanging="360"/>
      </w:pPr>
      <w:rPr>
        <w:rFonts w:ascii="Courier New" w:hAnsi="Courier New" w:cs="Courier New" w:hint="default"/>
      </w:rPr>
    </w:lvl>
    <w:lvl w:ilvl="2" w:tplc="FE1063EE" w:tentative="1">
      <w:start w:val="1"/>
      <w:numFmt w:val="bullet"/>
      <w:lvlText w:val=""/>
      <w:lvlJc w:val="left"/>
      <w:pPr>
        <w:ind w:left="2160" w:hanging="360"/>
      </w:pPr>
      <w:rPr>
        <w:rFonts w:ascii="Wingdings" w:hAnsi="Wingdings" w:hint="default"/>
      </w:rPr>
    </w:lvl>
    <w:lvl w:ilvl="3" w:tplc="0A3C15DE" w:tentative="1">
      <w:start w:val="1"/>
      <w:numFmt w:val="bullet"/>
      <w:lvlText w:val=""/>
      <w:lvlJc w:val="left"/>
      <w:pPr>
        <w:ind w:left="2880" w:hanging="360"/>
      </w:pPr>
      <w:rPr>
        <w:rFonts w:ascii="Symbol" w:hAnsi="Symbol" w:hint="default"/>
      </w:rPr>
    </w:lvl>
    <w:lvl w:ilvl="4" w:tplc="5E5A1566" w:tentative="1">
      <w:start w:val="1"/>
      <w:numFmt w:val="bullet"/>
      <w:lvlText w:val="o"/>
      <w:lvlJc w:val="left"/>
      <w:pPr>
        <w:ind w:left="3600" w:hanging="360"/>
      </w:pPr>
      <w:rPr>
        <w:rFonts w:ascii="Courier New" w:hAnsi="Courier New" w:cs="Courier New" w:hint="default"/>
      </w:rPr>
    </w:lvl>
    <w:lvl w:ilvl="5" w:tplc="3E0A5070" w:tentative="1">
      <w:start w:val="1"/>
      <w:numFmt w:val="bullet"/>
      <w:lvlText w:val=""/>
      <w:lvlJc w:val="left"/>
      <w:pPr>
        <w:ind w:left="4320" w:hanging="360"/>
      </w:pPr>
      <w:rPr>
        <w:rFonts w:ascii="Wingdings" w:hAnsi="Wingdings" w:hint="default"/>
      </w:rPr>
    </w:lvl>
    <w:lvl w:ilvl="6" w:tplc="6BFE858A" w:tentative="1">
      <w:start w:val="1"/>
      <w:numFmt w:val="bullet"/>
      <w:lvlText w:val=""/>
      <w:lvlJc w:val="left"/>
      <w:pPr>
        <w:ind w:left="5040" w:hanging="360"/>
      </w:pPr>
      <w:rPr>
        <w:rFonts w:ascii="Symbol" w:hAnsi="Symbol" w:hint="default"/>
      </w:rPr>
    </w:lvl>
    <w:lvl w:ilvl="7" w:tplc="87BCAF08" w:tentative="1">
      <w:start w:val="1"/>
      <w:numFmt w:val="bullet"/>
      <w:lvlText w:val="o"/>
      <w:lvlJc w:val="left"/>
      <w:pPr>
        <w:ind w:left="5760" w:hanging="360"/>
      </w:pPr>
      <w:rPr>
        <w:rFonts w:ascii="Courier New" w:hAnsi="Courier New" w:cs="Courier New" w:hint="default"/>
      </w:rPr>
    </w:lvl>
    <w:lvl w:ilvl="8" w:tplc="52609950" w:tentative="1">
      <w:start w:val="1"/>
      <w:numFmt w:val="bullet"/>
      <w:lvlText w:val=""/>
      <w:lvlJc w:val="left"/>
      <w:pPr>
        <w:ind w:left="6480" w:hanging="360"/>
      </w:pPr>
      <w:rPr>
        <w:rFonts w:ascii="Wingdings" w:hAnsi="Wingdings" w:hint="default"/>
      </w:rPr>
    </w:lvl>
  </w:abstractNum>
  <w:abstractNum w:abstractNumId="23" w15:restartNumberingAfterBreak="0">
    <w:nsid w:val="68F14428"/>
    <w:multiLevelType w:val="hybridMultilevel"/>
    <w:tmpl w:val="ED044B04"/>
    <w:lvl w:ilvl="0" w:tplc="051427F6">
      <w:start w:val="1"/>
      <w:numFmt w:val="bullet"/>
      <w:lvlText w:val=""/>
      <w:lvlJc w:val="left"/>
      <w:pPr>
        <w:ind w:left="720" w:hanging="360"/>
      </w:pPr>
      <w:rPr>
        <w:rFonts w:ascii="Symbol" w:hAnsi="Symbol" w:hint="default"/>
      </w:rPr>
    </w:lvl>
    <w:lvl w:ilvl="1" w:tplc="7668E924" w:tentative="1">
      <w:start w:val="1"/>
      <w:numFmt w:val="bullet"/>
      <w:lvlText w:val="o"/>
      <w:lvlJc w:val="left"/>
      <w:pPr>
        <w:ind w:left="1440" w:hanging="360"/>
      </w:pPr>
      <w:rPr>
        <w:rFonts w:ascii="Courier New" w:hAnsi="Courier New" w:cs="Courier New" w:hint="default"/>
      </w:rPr>
    </w:lvl>
    <w:lvl w:ilvl="2" w:tplc="8F0E94FE" w:tentative="1">
      <w:start w:val="1"/>
      <w:numFmt w:val="bullet"/>
      <w:lvlText w:val=""/>
      <w:lvlJc w:val="left"/>
      <w:pPr>
        <w:ind w:left="2160" w:hanging="360"/>
      </w:pPr>
      <w:rPr>
        <w:rFonts w:ascii="Wingdings" w:hAnsi="Wingdings" w:hint="default"/>
      </w:rPr>
    </w:lvl>
    <w:lvl w:ilvl="3" w:tplc="4BB6E6D8" w:tentative="1">
      <w:start w:val="1"/>
      <w:numFmt w:val="bullet"/>
      <w:lvlText w:val=""/>
      <w:lvlJc w:val="left"/>
      <w:pPr>
        <w:ind w:left="2880" w:hanging="360"/>
      </w:pPr>
      <w:rPr>
        <w:rFonts w:ascii="Symbol" w:hAnsi="Symbol" w:hint="default"/>
      </w:rPr>
    </w:lvl>
    <w:lvl w:ilvl="4" w:tplc="6FDE1408" w:tentative="1">
      <w:start w:val="1"/>
      <w:numFmt w:val="bullet"/>
      <w:lvlText w:val="o"/>
      <w:lvlJc w:val="left"/>
      <w:pPr>
        <w:ind w:left="3600" w:hanging="360"/>
      </w:pPr>
      <w:rPr>
        <w:rFonts w:ascii="Courier New" w:hAnsi="Courier New" w:cs="Courier New" w:hint="default"/>
      </w:rPr>
    </w:lvl>
    <w:lvl w:ilvl="5" w:tplc="DF927402" w:tentative="1">
      <w:start w:val="1"/>
      <w:numFmt w:val="bullet"/>
      <w:lvlText w:val=""/>
      <w:lvlJc w:val="left"/>
      <w:pPr>
        <w:ind w:left="4320" w:hanging="360"/>
      </w:pPr>
      <w:rPr>
        <w:rFonts w:ascii="Wingdings" w:hAnsi="Wingdings" w:hint="default"/>
      </w:rPr>
    </w:lvl>
    <w:lvl w:ilvl="6" w:tplc="0C7090BC" w:tentative="1">
      <w:start w:val="1"/>
      <w:numFmt w:val="bullet"/>
      <w:lvlText w:val=""/>
      <w:lvlJc w:val="left"/>
      <w:pPr>
        <w:ind w:left="5040" w:hanging="360"/>
      </w:pPr>
      <w:rPr>
        <w:rFonts w:ascii="Symbol" w:hAnsi="Symbol" w:hint="default"/>
      </w:rPr>
    </w:lvl>
    <w:lvl w:ilvl="7" w:tplc="071C0CF0" w:tentative="1">
      <w:start w:val="1"/>
      <w:numFmt w:val="bullet"/>
      <w:lvlText w:val="o"/>
      <w:lvlJc w:val="left"/>
      <w:pPr>
        <w:ind w:left="5760" w:hanging="360"/>
      </w:pPr>
      <w:rPr>
        <w:rFonts w:ascii="Courier New" w:hAnsi="Courier New" w:cs="Courier New" w:hint="default"/>
      </w:rPr>
    </w:lvl>
    <w:lvl w:ilvl="8" w:tplc="C80E782A" w:tentative="1">
      <w:start w:val="1"/>
      <w:numFmt w:val="bullet"/>
      <w:lvlText w:val=""/>
      <w:lvlJc w:val="left"/>
      <w:pPr>
        <w:ind w:left="6480" w:hanging="360"/>
      </w:pPr>
      <w:rPr>
        <w:rFonts w:ascii="Wingdings" w:hAnsi="Wingdings" w:hint="default"/>
      </w:rPr>
    </w:lvl>
  </w:abstractNum>
  <w:abstractNum w:abstractNumId="24" w15:restartNumberingAfterBreak="0">
    <w:nsid w:val="6AC72A78"/>
    <w:multiLevelType w:val="hybridMultilevel"/>
    <w:tmpl w:val="0A804530"/>
    <w:lvl w:ilvl="0" w:tplc="9D66E748">
      <w:start w:val="1"/>
      <w:numFmt w:val="bullet"/>
      <w:lvlText w:val=""/>
      <w:lvlJc w:val="left"/>
      <w:pPr>
        <w:ind w:left="778" w:hanging="360"/>
      </w:pPr>
      <w:rPr>
        <w:rFonts w:ascii="Symbol" w:hAnsi="Symbol" w:hint="default"/>
      </w:rPr>
    </w:lvl>
    <w:lvl w:ilvl="1" w:tplc="5932597E" w:tentative="1">
      <w:start w:val="1"/>
      <w:numFmt w:val="bullet"/>
      <w:lvlText w:val="o"/>
      <w:lvlJc w:val="left"/>
      <w:pPr>
        <w:ind w:left="1498" w:hanging="360"/>
      </w:pPr>
      <w:rPr>
        <w:rFonts w:ascii="Courier New" w:hAnsi="Courier New" w:cs="Courier New" w:hint="default"/>
      </w:rPr>
    </w:lvl>
    <w:lvl w:ilvl="2" w:tplc="87E60610" w:tentative="1">
      <w:start w:val="1"/>
      <w:numFmt w:val="bullet"/>
      <w:lvlText w:val=""/>
      <w:lvlJc w:val="left"/>
      <w:pPr>
        <w:ind w:left="2218" w:hanging="360"/>
      </w:pPr>
      <w:rPr>
        <w:rFonts w:ascii="Wingdings" w:hAnsi="Wingdings" w:hint="default"/>
      </w:rPr>
    </w:lvl>
    <w:lvl w:ilvl="3" w:tplc="F27891C0" w:tentative="1">
      <w:start w:val="1"/>
      <w:numFmt w:val="bullet"/>
      <w:lvlText w:val=""/>
      <w:lvlJc w:val="left"/>
      <w:pPr>
        <w:ind w:left="2938" w:hanging="360"/>
      </w:pPr>
      <w:rPr>
        <w:rFonts w:ascii="Symbol" w:hAnsi="Symbol" w:hint="default"/>
      </w:rPr>
    </w:lvl>
    <w:lvl w:ilvl="4" w:tplc="F0FEDB38" w:tentative="1">
      <w:start w:val="1"/>
      <w:numFmt w:val="bullet"/>
      <w:lvlText w:val="o"/>
      <w:lvlJc w:val="left"/>
      <w:pPr>
        <w:ind w:left="3658" w:hanging="360"/>
      </w:pPr>
      <w:rPr>
        <w:rFonts w:ascii="Courier New" w:hAnsi="Courier New" w:cs="Courier New" w:hint="default"/>
      </w:rPr>
    </w:lvl>
    <w:lvl w:ilvl="5" w:tplc="9CC84D80" w:tentative="1">
      <w:start w:val="1"/>
      <w:numFmt w:val="bullet"/>
      <w:lvlText w:val=""/>
      <w:lvlJc w:val="left"/>
      <w:pPr>
        <w:ind w:left="4378" w:hanging="360"/>
      </w:pPr>
      <w:rPr>
        <w:rFonts w:ascii="Wingdings" w:hAnsi="Wingdings" w:hint="default"/>
      </w:rPr>
    </w:lvl>
    <w:lvl w:ilvl="6" w:tplc="A3A47AF6" w:tentative="1">
      <w:start w:val="1"/>
      <w:numFmt w:val="bullet"/>
      <w:lvlText w:val=""/>
      <w:lvlJc w:val="left"/>
      <w:pPr>
        <w:ind w:left="5098" w:hanging="360"/>
      </w:pPr>
      <w:rPr>
        <w:rFonts w:ascii="Symbol" w:hAnsi="Symbol" w:hint="default"/>
      </w:rPr>
    </w:lvl>
    <w:lvl w:ilvl="7" w:tplc="C0AE6BAE" w:tentative="1">
      <w:start w:val="1"/>
      <w:numFmt w:val="bullet"/>
      <w:lvlText w:val="o"/>
      <w:lvlJc w:val="left"/>
      <w:pPr>
        <w:ind w:left="5818" w:hanging="360"/>
      </w:pPr>
      <w:rPr>
        <w:rFonts w:ascii="Courier New" w:hAnsi="Courier New" w:cs="Courier New" w:hint="default"/>
      </w:rPr>
    </w:lvl>
    <w:lvl w:ilvl="8" w:tplc="774E4DD8" w:tentative="1">
      <w:start w:val="1"/>
      <w:numFmt w:val="bullet"/>
      <w:lvlText w:val=""/>
      <w:lvlJc w:val="left"/>
      <w:pPr>
        <w:ind w:left="6538" w:hanging="360"/>
      </w:pPr>
      <w:rPr>
        <w:rFonts w:ascii="Wingdings" w:hAnsi="Wingdings" w:hint="default"/>
      </w:rPr>
    </w:lvl>
  </w:abstractNum>
  <w:abstractNum w:abstractNumId="25" w15:restartNumberingAfterBreak="0">
    <w:nsid w:val="6C4D270F"/>
    <w:multiLevelType w:val="hybridMultilevel"/>
    <w:tmpl w:val="5B761532"/>
    <w:lvl w:ilvl="0" w:tplc="E8602FCA">
      <w:start w:val="3"/>
      <w:numFmt w:val="lowerLetter"/>
      <w:lvlText w:val="%1)"/>
      <w:lvlJc w:val="left"/>
      <w:pPr>
        <w:ind w:left="720" w:hanging="360"/>
      </w:pPr>
      <w:rPr>
        <w:rFonts w:hint="default"/>
      </w:rPr>
    </w:lvl>
    <w:lvl w:ilvl="1" w:tplc="DB107B70">
      <w:start w:val="1"/>
      <w:numFmt w:val="lowerLetter"/>
      <w:lvlText w:val="%2."/>
      <w:lvlJc w:val="left"/>
      <w:pPr>
        <w:ind w:left="1440" w:hanging="360"/>
      </w:pPr>
    </w:lvl>
    <w:lvl w:ilvl="2" w:tplc="01D20C72">
      <w:start w:val="1"/>
      <w:numFmt w:val="bullet"/>
      <w:lvlText w:val=""/>
      <w:lvlJc w:val="left"/>
      <w:pPr>
        <w:ind w:left="1457" w:hanging="180"/>
      </w:pPr>
      <w:rPr>
        <w:rFonts w:ascii="Symbol" w:hAnsi="Symbol" w:hint="default"/>
        <w:color w:val="F07E31"/>
      </w:rPr>
    </w:lvl>
    <w:lvl w:ilvl="3" w:tplc="F6CA5B86" w:tentative="1">
      <w:start w:val="1"/>
      <w:numFmt w:val="decimal"/>
      <w:lvlText w:val="%4."/>
      <w:lvlJc w:val="left"/>
      <w:pPr>
        <w:ind w:left="2880" w:hanging="360"/>
      </w:pPr>
    </w:lvl>
    <w:lvl w:ilvl="4" w:tplc="AAF064E0" w:tentative="1">
      <w:start w:val="1"/>
      <w:numFmt w:val="lowerLetter"/>
      <w:lvlText w:val="%5."/>
      <w:lvlJc w:val="left"/>
      <w:pPr>
        <w:ind w:left="3600" w:hanging="360"/>
      </w:pPr>
    </w:lvl>
    <w:lvl w:ilvl="5" w:tplc="47D8888E" w:tentative="1">
      <w:start w:val="1"/>
      <w:numFmt w:val="lowerRoman"/>
      <w:lvlText w:val="%6."/>
      <w:lvlJc w:val="right"/>
      <w:pPr>
        <w:ind w:left="4320" w:hanging="180"/>
      </w:pPr>
    </w:lvl>
    <w:lvl w:ilvl="6" w:tplc="2042D4D6" w:tentative="1">
      <w:start w:val="1"/>
      <w:numFmt w:val="decimal"/>
      <w:lvlText w:val="%7."/>
      <w:lvlJc w:val="left"/>
      <w:pPr>
        <w:ind w:left="5040" w:hanging="360"/>
      </w:pPr>
    </w:lvl>
    <w:lvl w:ilvl="7" w:tplc="969083B6" w:tentative="1">
      <w:start w:val="1"/>
      <w:numFmt w:val="lowerLetter"/>
      <w:lvlText w:val="%8."/>
      <w:lvlJc w:val="left"/>
      <w:pPr>
        <w:ind w:left="5760" w:hanging="360"/>
      </w:pPr>
    </w:lvl>
    <w:lvl w:ilvl="8" w:tplc="7B864D2A" w:tentative="1">
      <w:start w:val="1"/>
      <w:numFmt w:val="lowerRoman"/>
      <w:lvlText w:val="%9."/>
      <w:lvlJc w:val="right"/>
      <w:pPr>
        <w:ind w:left="6480" w:hanging="180"/>
      </w:pPr>
    </w:lvl>
  </w:abstractNum>
  <w:abstractNum w:abstractNumId="26" w15:restartNumberingAfterBreak="0">
    <w:nsid w:val="6C5B3440"/>
    <w:multiLevelType w:val="hybridMultilevel"/>
    <w:tmpl w:val="D624ACF8"/>
    <w:lvl w:ilvl="0" w:tplc="FD0C40F4">
      <w:start w:val="1"/>
      <w:numFmt w:val="decimal"/>
      <w:lvlText w:val="%1."/>
      <w:lvlJc w:val="left"/>
      <w:pPr>
        <w:ind w:left="360" w:hanging="360"/>
      </w:pPr>
      <w:rPr>
        <w:rFonts w:hint="default"/>
        <w:b/>
      </w:rPr>
    </w:lvl>
    <w:lvl w:ilvl="1" w:tplc="23420CE2" w:tentative="1">
      <w:start w:val="1"/>
      <w:numFmt w:val="lowerLetter"/>
      <w:lvlText w:val="%2."/>
      <w:lvlJc w:val="left"/>
      <w:pPr>
        <w:ind w:left="1080" w:hanging="360"/>
      </w:pPr>
    </w:lvl>
    <w:lvl w:ilvl="2" w:tplc="B41036EE" w:tentative="1">
      <w:start w:val="1"/>
      <w:numFmt w:val="lowerRoman"/>
      <w:lvlText w:val="%3."/>
      <w:lvlJc w:val="right"/>
      <w:pPr>
        <w:ind w:left="1800" w:hanging="180"/>
      </w:pPr>
    </w:lvl>
    <w:lvl w:ilvl="3" w:tplc="AEE29274" w:tentative="1">
      <w:start w:val="1"/>
      <w:numFmt w:val="decimal"/>
      <w:lvlText w:val="%4."/>
      <w:lvlJc w:val="left"/>
      <w:pPr>
        <w:ind w:left="2520" w:hanging="360"/>
      </w:pPr>
    </w:lvl>
    <w:lvl w:ilvl="4" w:tplc="D870C492" w:tentative="1">
      <w:start w:val="1"/>
      <w:numFmt w:val="lowerLetter"/>
      <w:lvlText w:val="%5."/>
      <w:lvlJc w:val="left"/>
      <w:pPr>
        <w:ind w:left="3240" w:hanging="360"/>
      </w:pPr>
    </w:lvl>
    <w:lvl w:ilvl="5" w:tplc="B546EE92" w:tentative="1">
      <w:start w:val="1"/>
      <w:numFmt w:val="lowerRoman"/>
      <w:lvlText w:val="%6."/>
      <w:lvlJc w:val="right"/>
      <w:pPr>
        <w:ind w:left="3960" w:hanging="180"/>
      </w:pPr>
    </w:lvl>
    <w:lvl w:ilvl="6" w:tplc="112C4768" w:tentative="1">
      <w:start w:val="1"/>
      <w:numFmt w:val="decimal"/>
      <w:lvlText w:val="%7."/>
      <w:lvlJc w:val="left"/>
      <w:pPr>
        <w:ind w:left="4680" w:hanging="360"/>
      </w:pPr>
    </w:lvl>
    <w:lvl w:ilvl="7" w:tplc="D632F3EE" w:tentative="1">
      <w:start w:val="1"/>
      <w:numFmt w:val="lowerLetter"/>
      <w:lvlText w:val="%8."/>
      <w:lvlJc w:val="left"/>
      <w:pPr>
        <w:ind w:left="5400" w:hanging="360"/>
      </w:pPr>
    </w:lvl>
    <w:lvl w:ilvl="8" w:tplc="A2AE6FF8" w:tentative="1">
      <w:start w:val="1"/>
      <w:numFmt w:val="lowerRoman"/>
      <w:lvlText w:val="%9."/>
      <w:lvlJc w:val="right"/>
      <w:pPr>
        <w:ind w:left="6120" w:hanging="180"/>
      </w:pPr>
    </w:lvl>
  </w:abstractNum>
  <w:abstractNum w:abstractNumId="27" w15:restartNumberingAfterBreak="0">
    <w:nsid w:val="70D15F02"/>
    <w:multiLevelType w:val="hybridMultilevel"/>
    <w:tmpl w:val="33743E06"/>
    <w:lvl w:ilvl="0" w:tplc="3F748FBC">
      <w:start w:val="1"/>
      <w:numFmt w:val="bullet"/>
      <w:lvlText w:val=""/>
      <w:lvlJc w:val="left"/>
      <w:pPr>
        <w:ind w:left="720" w:hanging="360"/>
      </w:pPr>
      <w:rPr>
        <w:rFonts w:ascii="Symbol" w:hAnsi="Symbol" w:hint="default"/>
      </w:rPr>
    </w:lvl>
    <w:lvl w:ilvl="1" w:tplc="85626678" w:tentative="1">
      <w:start w:val="1"/>
      <w:numFmt w:val="bullet"/>
      <w:lvlText w:val="o"/>
      <w:lvlJc w:val="left"/>
      <w:pPr>
        <w:ind w:left="1440" w:hanging="360"/>
      </w:pPr>
      <w:rPr>
        <w:rFonts w:ascii="Courier New" w:hAnsi="Courier New" w:cs="Courier New" w:hint="default"/>
      </w:rPr>
    </w:lvl>
    <w:lvl w:ilvl="2" w:tplc="8A7E9F20" w:tentative="1">
      <w:start w:val="1"/>
      <w:numFmt w:val="bullet"/>
      <w:lvlText w:val=""/>
      <w:lvlJc w:val="left"/>
      <w:pPr>
        <w:ind w:left="2160" w:hanging="360"/>
      </w:pPr>
      <w:rPr>
        <w:rFonts w:ascii="Wingdings" w:hAnsi="Wingdings" w:hint="default"/>
      </w:rPr>
    </w:lvl>
    <w:lvl w:ilvl="3" w:tplc="0A3AD7CE" w:tentative="1">
      <w:start w:val="1"/>
      <w:numFmt w:val="bullet"/>
      <w:lvlText w:val=""/>
      <w:lvlJc w:val="left"/>
      <w:pPr>
        <w:ind w:left="2880" w:hanging="360"/>
      </w:pPr>
      <w:rPr>
        <w:rFonts w:ascii="Symbol" w:hAnsi="Symbol" w:hint="default"/>
      </w:rPr>
    </w:lvl>
    <w:lvl w:ilvl="4" w:tplc="9A8A0BB2" w:tentative="1">
      <w:start w:val="1"/>
      <w:numFmt w:val="bullet"/>
      <w:lvlText w:val="o"/>
      <w:lvlJc w:val="left"/>
      <w:pPr>
        <w:ind w:left="3600" w:hanging="360"/>
      </w:pPr>
      <w:rPr>
        <w:rFonts w:ascii="Courier New" w:hAnsi="Courier New" w:cs="Courier New" w:hint="default"/>
      </w:rPr>
    </w:lvl>
    <w:lvl w:ilvl="5" w:tplc="2AFC4D46" w:tentative="1">
      <w:start w:val="1"/>
      <w:numFmt w:val="bullet"/>
      <w:lvlText w:val=""/>
      <w:lvlJc w:val="left"/>
      <w:pPr>
        <w:ind w:left="4320" w:hanging="360"/>
      </w:pPr>
      <w:rPr>
        <w:rFonts w:ascii="Wingdings" w:hAnsi="Wingdings" w:hint="default"/>
      </w:rPr>
    </w:lvl>
    <w:lvl w:ilvl="6" w:tplc="FE165C5C" w:tentative="1">
      <w:start w:val="1"/>
      <w:numFmt w:val="bullet"/>
      <w:lvlText w:val=""/>
      <w:lvlJc w:val="left"/>
      <w:pPr>
        <w:ind w:left="5040" w:hanging="360"/>
      </w:pPr>
      <w:rPr>
        <w:rFonts w:ascii="Symbol" w:hAnsi="Symbol" w:hint="default"/>
      </w:rPr>
    </w:lvl>
    <w:lvl w:ilvl="7" w:tplc="CA721060" w:tentative="1">
      <w:start w:val="1"/>
      <w:numFmt w:val="bullet"/>
      <w:lvlText w:val="o"/>
      <w:lvlJc w:val="left"/>
      <w:pPr>
        <w:ind w:left="5760" w:hanging="360"/>
      </w:pPr>
      <w:rPr>
        <w:rFonts w:ascii="Courier New" w:hAnsi="Courier New" w:cs="Courier New" w:hint="default"/>
      </w:rPr>
    </w:lvl>
    <w:lvl w:ilvl="8" w:tplc="A606D35C" w:tentative="1">
      <w:start w:val="1"/>
      <w:numFmt w:val="bullet"/>
      <w:lvlText w:val=""/>
      <w:lvlJc w:val="left"/>
      <w:pPr>
        <w:ind w:left="6480" w:hanging="360"/>
      </w:pPr>
      <w:rPr>
        <w:rFonts w:ascii="Wingdings" w:hAnsi="Wingdings" w:hint="default"/>
      </w:rPr>
    </w:lvl>
  </w:abstractNum>
  <w:abstractNum w:abstractNumId="28" w15:restartNumberingAfterBreak="0">
    <w:nsid w:val="76916E6D"/>
    <w:multiLevelType w:val="hybridMultilevel"/>
    <w:tmpl w:val="19704124"/>
    <w:lvl w:ilvl="0" w:tplc="C9D46FC0">
      <w:start w:val="1"/>
      <w:numFmt w:val="bullet"/>
      <w:lvlText w:val=""/>
      <w:lvlJc w:val="left"/>
      <w:pPr>
        <w:ind w:left="720" w:hanging="360"/>
      </w:pPr>
      <w:rPr>
        <w:rFonts w:ascii="Symbol" w:hAnsi="Symbol" w:hint="default"/>
      </w:rPr>
    </w:lvl>
    <w:lvl w:ilvl="1" w:tplc="7F8465CA" w:tentative="1">
      <w:start w:val="1"/>
      <w:numFmt w:val="bullet"/>
      <w:lvlText w:val="o"/>
      <w:lvlJc w:val="left"/>
      <w:pPr>
        <w:ind w:left="1440" w:hanging="360"/>
      </w:pPr>
      <w:rPr>
        <w:rFonts w:ascii="Courier New" w:hAnsi="Courier New" w:cs="Courier New" w:hint="default"/>
      </w:rPr>
    </w:lvl>
    <w:lvl w:ilvl="2" w:tplc="803C1766" w:tentative="1">
      <w:start w:val="1"/>
      <w:numFmt w:val="bullet"/>
      <w:lvlText w:val=""/>
      <w:lvlJc w:val="left"/>
      <w:pPr>
        <w:ind w:left="2160" w:hanging="360"/>
      </w:pPr>
      <w:rPr>
        <w:rFonts w:ascii="Wingdings" w:hAnsi="Wingdings" w:hint="default"/>
      </w:rPr>
    </w:lvl>
    <w:lvl w:ilvl="3" w:tplc="1038A39E" w:tentative="1">
      <w:start w:val="1"/>
      <w:numFmt w:val="bullet"/>
      <w:lvlText w:val=""/>
      <w:lvlJc w:val="left"/>
      <w:pPr>
        <w:ind w:left="2880" w:hanging="360"/>
      </w:pPr>
      <w:rPr>
        <w:rFonts w:ascii="Symbol" w:hAnsi="Symbol" w:hint="default"/>
      </w:rPr>
    </w:lvl>
    <w:lvl w:ilvl="4" w:tplc="75B89E7C" w:tentative="1">
      <w:start w:val="1"/>
      <w:numFmt w:val="bullet"/>
      <w:lvlText w:val="o"/>
      <w:lvlJc w:val="left"/>
      <w:pPr>
        <w:ind w:left="3600" w:hanging="360"/>
      </w:pPr>
      <w:rPr>
        <w:rFonts w:ascii="Courier New" w:hAnsi="Courier New" w:cs="Courier New" w:hint="default"/>
      </w:rPr>
    </w:lvl>
    <w:lvl w:ilvl="5" w:tplc="A36E42F2" w:tentative="1">
      <w:start w:val="1"/>
      <w:numFmt w:val="bullet"/>
      <w:lvlText w:val=""/>
      <w:lvlJc w:val="left"/>
      <w:pPr>
        <w:ind w:left="4320" w:hanging="360"/>
      </w:pPr>
      <w:rPr>
        <w:rFonts w:ascii="Wingdings" w:hAnsi="Wingdings" w:hint="default"/>
      </w:rPr>
    </w:lvl>
    <w:lvl w:ilvl="6" w:tplc="BF4C5A2A" w:tentative="1">
      <w:start w:val="1"/>
      <w:numFmt w:val="bullet"/>
      <w:lvlText w:val=""/>
      <w:lvlJc w:val="left"/>
      <w:pPr>
        <w:ind w:left="5040" w:hanging="360"/>
      </w:pPr>
      <w:rPr>
        <w:rFonts w:ascii="Symbol" w:hAnsi="Symbol" w:hint="default"/>
      </w:rPr>
    </w:lvl>
    <w:lvl w:ilvl="7" w:tplc="723E0E78" w:tentative="1">
      <w:start w:val="1"/>
      <w:numFmt w:val="bullet"/>
      <w:lvlText w:val="o"/>
      <w:lvlJc w:val="left"/>
      <w:pPr>
        <w:ind w:left="5760" w:hanging="360"/>
      </w:pPr>
      <w:rPr>
        <w:rFonts w:ascii="Courier New" w:hAnsi="Courier New" w:cs="Courier New" w:hint="default"/>
      </w:rPr>
    </w:lvl>
    <w:lvl w:ilvl="8" w:tplc="95F45024" w:tentative="1">
      <w:start w:val="1"/>
      <w:numFmt w:val="bullet"/>
      <w:lvlText w:val=""/>
      <w:lvlJc w:val="left"/>
      <w:pPr>
        <w:ind w:left="6480" w:hanging="360"/>
      </w:pPr>
      <w:rPr>
        <w:rFonts w:ascii="Wingdings" w:hAnsi="Wingdings" w:hint="default"/>
      </w:rPr>
    </w:lvl>
  </w:abstractNum>
  <w:abstractNum w:abstractNumId="29" w15:restartNumberingAfterBreak="0">
    <w:nsid w:val="795D33D3"/>
    <w:multiLevelType w:val="multilevel"/>
    <w:tmpl w:val="EC66BD28"/>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1146"/>
        </w:tabs>
        <w:ind w:left="426"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30" w15:restartNumberingAfterBreak="0">
    <w:nsid w:val="7E752836"/>
    <w:multiLevelType w:val="hybridMultilevel"/>
    <w:tmpl w:val="EA7050F0"/>
    <w:lvl w:ilvl="0" w:tplc="D6144ACC">
      <w:start w:val="1"/>
      <w:numFmt w:val="bullet"/>
      <w:pStyle w:val="Htablebullet"/>
      <w:lvlText w:val=""/>
      <w:lvlJc w:val="left"/>
      <w:pPr>
        <w:ind w:left="360" w:hanging="360"/>
      </w:pPr>
      <w:rPr>
        <w:rFonts w:ascii="Symbol" w:hAnsi="Symbol" w:hint="default"/>
        <w:color w:val="57825E"/>
      </w:rPr>
    </w:lvl>
    <w:lvl w:ilvl="1" w:tplc="F6665C86" w:tentative="1">
      <w:start w:val="1"/>
      <w:numFmt w:val="bullet"/>
      <w:lvlText w:val="o"/>
      <w:lvlJc w:val="left"/>
      <w:pPr>
        <w:tabs>
          <w:tab w:val="num" w:pos="1440"/>
        </w:tabs>
        <w:ind w:left="1440" w:hanging="360"/>
      </w:pPr>
      <w:rPr>
        <w:rFonts w:ascii="Courier New" w:hAnsi="Courier New" w:hint="default"/>
      </w:rPr>
    </w:lvl>
    <w:lvl w:ilvl="2" w:tplc="1DAEFA4E" w:tentative="1">
      <w:start w:val="1"/>
      <w:numFmt w:val="bullet"/>
      <w:lvlText w:val=""/>
      <w:lvlJc w:val="left"/>
      <w:pPr>
        <w:tabs>
          <w:tab w:val="num" w:pos="2160"/>
        </w:tabs>
        <w:ind w:left="2160" w:hanging="360"/>
      </w:pPr>
      <w:rPr>
        <w:rFonts w:ascii="Wingdings" w:hAnsi="Wingdings" w:hint="default"/>
      </w:rPr>
    </w:lvl>
    <w:lvl w:ilvl="3" w:tplc="4892824C" w:tentative="1">
      <w:start w:val="1"/>
      <w:numFmt w:val="bullet"/>
      <w:lvlText w:val=""/>
      <w:lvlJc w:val="left"/>
      <w:pPr>
        <w:tabs>
          <w:tab w:val="num" w:pos="2880"/>
        </w:tabs>
        <w:ind w:left="2880" w:hanging="360"/>
      </w:pPr>
      <w:rPr>
        <w:rFonts w:ascii="Symbol" w:hAnsi="Symbol" w:hint="default"/>
      </w:rPr>
    </w:lvl>
    <w:lvl w:ilvl="4" w:tplc="30E8860C" w:tentative="1">
      <w:start w:val="1"/>
      <w:numFmt w:val="bullet"/>
      <w:lvlText w:val="o"/>
      <w:lvlJc w:val="left"/>
      <w:pPr>
        <w:tabs>
          <w:tab w:val="num" w:pos="3600"/>
        </w:tabs>
        <w:ind w:left="3600" w:hanging="360"/>
      </w:pPr>
      <w:rPr>
        <w:rFonts w:ascii="Courier New" w:hAnsi="Courier New" w:hint="default"/>
      </w:rPr>
    </w:lvl>
    <w:lvl w:ilvl="5" w:tplc="E77C4608" w:tentative="1">
      <w:start w:val="1"/>
      <w:numFmt w:val="bullet"/>
      <w:lvlText w:val=""/>
      <w:lvlJc w:val="left"/>
      <w:pPr>
        <w:tabs>
          <w:tab w:val="num" w:pos="4320"/>
        </w:tabs>
        <w:ind w:left="4320" w:hanging="360"/>
      </w:pPr>
      <w:rPr>
        <w:rFonts w:ascii="Wingdings" w:hAnsi="Wingdings" w:hint="default"/>
      </w:rPr>
    </w:lvl>
    <w:lvl w:ilvl="6" w:tplc="28CA593A" w:tentative="1">
      <w:start w:val="1"/>
      <w:numFmt w:val="bullet"/>
      <w:lvlText w:val=""/>
      <w:lvlJc w:val="left"/>
      <w:pPr>
        <w:tabs>
          <w:tab w:val="num" w:pos="5040"/>
        </w:tabs>
        <w:ind w:left="5040" w:hanging="360"/>
      </w:pPr>
      <w:rPr>
        <w:rFonts w:ascii="Symbol" w:hAnsi="Symbol" w:hint="default"/>
      </w:rPr>
    </w:lvl>
    <w:lvl w:ilvl="7" w:tplc="5FD86EC6" w:tentative="1">
      <w:start w:val="1"/>
      <w:numFmt w:val="bullet"/>
      <w:lvlText w:val="o"/>
      <w:lvlJc w:val="left"/>
      <w:pPr>
        <w:tabs>
          <w:tab w:val="num" w:pos="5760"/>
        </w:tabs>
        <w:ind w:left="5760" w:hanging="360"/>
      </w:pPr>
      <w:rPr>
        <w:rFonts w:ascii="Courier New" w:hAnsi="Courier New" w:hint="default"/>
      </w:rPr>
    </w:lvl>
    <w:lvl w:ilvl="8" w:tplc="25404D02"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3"/>
  </w:num>
  <w:num w:numId="3">
    <w:abstractNumId w:val="17"/>
  </w:num>
  <w:num w:numId="4">
    <w:abstractNumId w:val="8"/>
  </w:num>
  <w:num w:numId="5">
    <w:abstractNumId w:val="30"/>
  </w:num>
  <w:num w:numId="6">
    <w:abstractNumId w:val="29"/>
  </w:num>
  <w:num w:numId="7">
    <w:abstractNumId w:val="15"/>
  </w:num>
  <w:num w:numId="8">
    <w:abstractNumId w:val="12"/>
  </w:num>
  <w:num w:numId="9">
    <w:abstractNumId w:val="3"/>
  </w:num>
  <w:num w:numId="10">
    <w:abstractNumId w:val="0"/>
  </w:num>
  <w:num w:numId="11">
    <w:abstractNumId w:val="7"/>
  </w:num>
  <w:num w:numId="12">
    <w:abstractNumId w:val="18"/>
  </w:num>
  <w:num w:numId="13">
    <w:abstractNumId w:val="4"/>
  </w:num>
  <w:num w:numId="14">
    <w:abstractNumId w:val="17"/>
    <w:lvlOverride w:ilvl="0">
      <w:startOverride w:val="1"/>
    </w:lvlOverride>
  </w:num>
  <w:num w:numId="15">
    <w:abstractNumId w:val="10"/>
  </w:num>
  <w:num w:numId="16">
    <w:abstractNumId w:val="1"/>
  </w:num>
  <w:num w:numId="17">
    <w:abstractNumId w:val="26"/>
  </w:num>
  <w:num w:numId="18">
    <w:abstractNumId w:val="25"/>
  </w:num>
  <w:num w:numId="19">
    <w:abstractNumId w:val="2"/>
  </w:num>
  <w:num w:numId="20">
    <w:abstractNumId w:val="5"/>
  </w:num>
  <w:num w:numId="21">
    <w:abstractNumId w:val="20"/>
  </w:num>
  <w:num w:numId="22">
    <w:abstractNumId w:val="12"/>
  </w:num>
  <w:num w:numId="23">
    <w:abstractNumId w:val="22"/>
  </w:num>
  <w:num w:numId="24">
    <w:abstractNumId w:val="21"/>
  </w:num>
  <w:num w:numId="25">
    <w:abstractNumId w:val="19"/>
  </w:num>
  <w:num w:numId="26">
    <w:abstractNumId w:val="9"/>
  </w:num>
  <w:num w:numId="27">
    <w:abstractNumId w:val="28"/>
  </w:num>
  <w:num w:numId="28">
    <w:abstractNumId w:val="23"/>
  </w:num>
  <w:num w:numId="29">
    <w:abstractNumId w:val="24"/>
  </w:num>
  <w:num w:numId="30">
    <w:abstractNumId w:val="27"/>
  </w:num>
  <w:num w:numId="31">
    <w:abstractNumId w:val="16"/>
  </w:num>
  <w:num w:numId="32">
    <w:abstractNumId w:val="14"/>
  </w:num>
  <w:num w:numId="33">
    <w:abstractNumId w:val="13"/>
  </w:num>
  <w:num w:numId="34">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mirrorMargin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284"/>
  <w:doNotHyphenateCap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LW_DocType" w:val="WTEMPLATE_ORANGE_2017"/>
  </w:docVars>
  <w:rsids>
    <w:rsidRoot w:val="00CD63F6"/>
    <w:rsid w:val="00010AEA"/>
    <w:rsid w:val="00013DFC"/>
    <w:rsid w:val="000371C7"/>
    <w:rsid w:val="00073365"/>
    <w:rsid w:val="000A3269"/>
    <w:rsid w:val="000C190D"/>
    <w:rsid w:val="001B5B8F"/>
    <w:rsid w:val="001D39D0"/>
    <w:rsid w:val="0026113A"/>
    <w:rsid w:val="00270E71"/>
    <w:rsid w:val="002B337C"/>
    <w:rsid w:val="003E5351"/>
    <w:rsid w:val="004077A5"/>
    <w:rsid w:val="00424C43"/>
    <w:rsid w:val="004373C3"/>
    <w:rsid w:val="004E378D"/>
    <w:rsid w:val="00521F93"/>
    <w:rsid w:val="00574B67"/>
    <w:rsid w:val="00612732"/>
    <w:rsid w:val="006645FF"/>
    <w:rsid w:val="006F112E"/>
    <w:rsid w:val="007216C0"/>
    <w:rsid w:val="00742641"/>
    <w:rsid w:val="00743E8D"/>
    <w:rsid w:val="00755161"/>
    <w:rsid w:val="007921BF"/>
    <w:rsid w:val="007E0063"/>
    <w:rsid w:val="007F011F"/>
    <w:rsid w:val="007F3B18"/>
    <w:rsid w:val="007F553D"/>
    <w:rsid w:val="008036BE"/>
    <w:rsid w:val="008224F7"/>
    <w:rsid w:val="008C5111"/>
    <w:rsid w:val="008C748D"/>
    <w:rsid w:val="00920AAC"/>
    <w:rsid w:val="00996843"/>
    <w:rsid w:val="009D1A3E"/>
    <w:rsid w:val="009F570C"/>
    <w:rsid w:val="00A3652D"/>
    <w:rsid w:val="00AD2E14"/>
    <w:rsid w:val="00B17C82"/>
    <w:rsid w:val="00B255FA"/>
    <w:rsid w:val="00B52922"/>
    <w:rsid w:val="00B540CE"/>
    <w:rsid w:val="00B663C6"/>
    <w:rsid w:val="00B937C0"/>
    <w:rsid w:val="00BA581F"/>
    <w:rsid w:val="00BF5B76"/>
    <w:rsid w:val="00C46443"/>
    <w:rsid w:val="00C9529C"/>
    <w:rsid w:val="00CA5F28"/>
    <w:rsid w:val="00CD63F6"/>
    <w:rsid w:val="00D27C24"/>
    <w:rsid w:val="00D35C4D"/>
    <w:rsid w:val="00DA5925"/>
    <w:rsid w:val="00DB5257"/>
    <w:rsid w:val="00E1400E"/>
    <w:rsid w:val="00EC3B03"/>
    <w:rsid w:val="00EE21E1"/>
    <w:rsid w:val="00F02B64"/>
    <w:rsid w:val="00F159E5"/>
    <w:rsid w:val="00F5678E"/>
    <w:rsid w:val="00F7628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F5C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emiHidden/>
    <w:qFormat/>
    <w:rsid w:val="00F300FF"/>
    <w:pPr>
      <w:spacing w:before="60" w:after="140" w:line="220" w:lineRule="atLeast"/>
      <w:jc w:val="both"/>
    </w:pPr>
    <w:rPr>
      <w:rFonts w:ascii="Arial" w:hAnsi="Arial"/>
      <w:sz w:val="18"/>
      <w:szCs w:val="24"/>
    </w:rPr>
  </w:style>
  <w:style w:type="paragraph" w:styleId="Heading1">
    <w:name w:val="heading 1"/>
    <w:basedOn w:val="Normal"/>
    <w:next w:val="Normal"/>
    <w:semiHidden/>
    <w:qFormat/>
    <w:rsid w:val="00E465E1"/>
    <w:pPr>
      <w:keepNext/>
      <w:framePr w:hSpace="142" w:vSpace="142" w:wrap="notBeside" w:vAnchor="page" w:hAnchor="margin" w:y="1532"/>
      <w:numPr>
        <w:numId w:val="1"/>
      </w:numPr>
      <w:pBdr>
        <w:left w:val="single" w:sz="48" w:space="8" w:color="33CCCC"/>
      </w:pBdr>
      <w:tabs>
        <w:tab w:val="clear" w:pos="474"/>
        <w:tab w:val="left" w:pos="227"/>
      </w:tabs>
      <w:suppressAutoHyphens/>
      <w:spacing w:after="20" w:line="240" w:lineRule="auto"/>
      <w:ind w:left="227" w:hanging="227"/>
      <w:jc w:val="left"/>
      <w:outlineLvl w:val="0"/>
    </w:pPr>
    <w:rPr>
      <w:rFonts w:cs="Arial"/>
      <w:b/>
      <w:bCs/>
      <w:kern w:val="32"/>
      <w:sz w:val="24"/>
      <w:szCs w:val="32"/>
    </w:rPr>
  </w:style>
  <w:style w:type="paragraph" w:styleId="Heading2">
    <w:name w:val="heading 2"/>
    <w:aliases w:val="Titre B,no vale,Heading 2 Char1,Heading 2 Char Char"/>
    <w:basedOn w:val="Normal"/>
    <w:next w:val="Normal"/>
    <w:uiPriority w:val="9"/>
    <w:qFormat/>
    <w:rsid w:val="00E465E1"/>
    <w:pPr>
      <w:keepNext/>
      <w:numPr>
        <w:ilvl w:val="1"/>
        <w:numId w:val="1"/>
      </w:numPr>
      <w:tabs>
        <w:tab w:val="clear" w:pos="360"/>
        <w:tab w:val="left" w:pos="454"/>
      </w:tabs>
      <w:suppressAutoHyphens/>
      <w:spacing w:before="240" w:line="260" w:lineRule="exact"/>
      <w:ind w:left="454" w:hanging="454"/>
      <w:jc w:val="left"/>
      <w:outlineLvl w:val="1"/>
    </w:pPr>
    <w:rPr>
      <w:rFonts w:cs="Arial"/>
      <w:b/>
      <w:bCs/>
      <w:iCs/>
      <w:sz w:val="22"/>
      <w:szCs w:val="28"/>
    </w:rPr>
  </w:style>
  <w:style w:type="paragraph" w:styleId="Heading3">
    <w:name w:val="heading 3"/>
    <w:aliases w:val="H3,no vale1,no vale1 Car"/>
    <w:basedOn w:val="Normal"/>
    <w:next w:val="Normal"/>
    <w:qFormat/>
    <w:rsid w:val="00E465E1"/>
    <w:pPr>
      <w:keepNext/>
      <w:numPr>
        <w:ilvl w:val="2"/>
        <w:numId w:val="1"/>
      </w:numPr>
      <w:tabs>
        <w:tab w:val="clear" w:pos="720"/>
        <w:tab w:val="left" w:pos="567"/>
      </w:tabs>
      <w:suppressAutoHyphens/>
      <w:spacing w:before="240" w:line="240" w:lineRule="exact"/>
      <w:ind w:left="567" w:hanging="567"/>
      <w:jc w:val="left"/>
      <w:outlineLvl w:val="2"/>
    </w:pPr>
    <w:rPr>
      <w:rFonts w:cs="Arial"/>
      <w:b/>
      <w:bCs/>
      <w:color w:val="5F5F5F"/>
      <w:sz w:val="20"/>
      <w:szCs w:val="26"/>
    </w:rPr>
  </w:style>
  <w:style w:type="paragraph" w:styleId="Heading4">
    <w:name w:val="heading 4"/>
    <w:basedOn w:val="Normal"/>
    <w:next w:val="Normal"/>
    <w:semiHidden/>
    <w:qFormat/>
    <w:rsid w:val="00E465E1"/>
    <w:pPr>
      <w:keepNext/>
      <w:numPr>
        <w:ilvl w:val="3"/>
        <w:numId w:val="1"/>
      </w:numPr>
      <w:tabs>
        <w:tab w:val="clear" w:pos="1080"/>
        <w:tab w:val="left" w:pos="680"/>
      </w:tabs>
      <w:suppressAutoHyphens/>
      <w:spacing w:before="240"/>
      <w:ind w:left="680" w:hanging="680"/>
      <w:jc w:val="left"/>
      <w:outlineLvl w:val="3"/>
    </w:pPr>
    <w:rPr>
      <w:b/>
      <w:bCs/>
      <w:color w:val="5F5F5F"/>
      <w:szCs w:val="28"/>
    </w:rPr>
  </w:style>
  <w:style w:type="paragraph" w:styleId="Heading5">
    <w:name w:val="heading 5"/>
    <w:basedOn w:val="Normal"/>
    <w:next w:val="Normal"/>
    <w:semiHidden/>
    <w:qFormat/>
    <w:rsid w:val="00E465E1"/>
    <w:pPr>
      <w:suppressAutoHyphens/>
      <w:spacing w:before="200" w:after="100"/>
      <w:jc w:val="left"/>
      <w:outlineLvl w:val="4"/>
    </w:pPr>
    <w:rPr>
      <w:b/>
      <w:bCs/>
      <w:iCs/>
      <w:color w:val="5F5F5F"/>
      <w:szCs w:val="26"/>
    </w:rPr>
  </w:style>
  <w:style w:type="paragraph" w:styleId="Heading6">
    <w:name w:val="heading 6"/>
    <w:basedOn w:val="Normal"/>
    <w:next w:val="Normal"/>
    <w:semiHidden/>
    <w:qFormat/>
    <w:rsid w:val="00E465E1"/>
    <w:pPr>
      <w:suppressAutoHyphens/>
      <w:spacing w:before="140" w:line="200" w:lineRule="exact"/>
      <w:jc w:val="left"/>
      <w:outlineLvl w:val="5"/>
    </w:pPr>
    <w:rPr>
      <w:b/>
      <w:bCs/>
      <w:color w:val="808080"/>
      <w:sz w:val="16"/>
      <w:szCs w:val="22"/>
    </w:rPr>
  </w:style>
  <w:style w:type="paragraph" w:styleId="Heading7">
    <w:name w:val="heading 7"/>
    <w:basedOn w:val="Normal"/>
    <w:next w:val="Normal"/>
    <w:qFormat/>
    <w:rsid w:val="00E465E1"/>
    <w:pPr>
      <w:suppressAutoHyphens/>
      <w:spacing w:before="140" w:line="200" w:lineRule="exact"/>
      <w:jc w:val="left"/>
      <w:outlineLvl w:val="6"/>
    </w:pPr>
    <w:rPr>
      <w:b/>
      <w:color w:val="808080"/>
      <w:sz w:val="16"/>
    </w:rPr>
  </w:style>
  <w:style w:type="paragraph" w:styleId="Heading8">
    <w:name w:val="heading 8"/>
    <w:basedOn w:val="Normal"/>
    <w:next w:val="Normal"/>
    <w:qFormat/>
    <w:rsid w:val="00E465E1"/>
    <w:pPr>
      <w:suppressAutoHyphens/>
      <w:spacing w:before="140" w:line="200" w:lineRule="exact"/>
      <w:jc w:val="left"/>
      <w:outlineLvl w:val="7"/>
    </w:pPr>
    <w:rPr>
      <w:b/>
      <w:iCs/>
      <w:color w:val="808080"/>
      <w:sz w:val="16"/>
    </w:rPr>
  </w:style>
  <w:style w:type="paragraph" w:styleId="Heading9">
    <w:name w:val="heading 9"/>
    <w:basedOn w:val="Heading1"/>
    <w:next w:val="Normal"/>
    <w:semiHidden/>
    <w:qFormat/>
    <w:rsid w:val="00E465E1"/>
    <w:pPr>
      <w:framePr w:wrap="notBeside"/>
      <w:numPr>
        <w:numId w:val="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next w:val="Normal"/>
    <w:uiPriority w:val="39"/>
    <w:rsid w:val="00364BFD"/>
    <w:pPr>
      <w:tabs>
        <w:tab w:val="left" w:pos="454"/>
        <w:tab w:val="right" w:leader="dot" w:pos="9072"/>
      </w:tabs>
      <w:suppressAutoHyphens/>
      <w:spacing w:before="60" w:line="280" w:lineRule="exact"/>
      <w:ind w:left="454" w:hanging="454"/>
    </w:pPr>
    <w:rPr>
      <w:rFonts w:ascii="Arial" w:hAnsi="Arial"/>
      <w:color w:val="373737"/>
      <w:szCs w:val="22"/>
    </w:rPr>
  </w:style>
  <w:style w:type="paragraph" w:styleId="Header">
    <w:name w:val="header"/>
    <w:rsid w:val="00BD09F4"/>
    <w:pPr>
      <w:tabs>
        <w:tab w:val="right" w:pos="9072"/>
      </w:tabs>
      <w:spacing w:before="60"/>
    </w:pPr>
    <w:rPr>
      <w:rFonts w:ascii="Arial" w:hAnsi="Arial"/>
      <w:color w:val="F07E31"/>
      <w:sz w:val="18"/>
    </w:rPr>
  </w:style>
  <w:style w:type="paragraph" w:styleId="Footer">
    <w:name w:val="footer"/>
    <w:link w:val="FooterChar"/>
    <w:uiPriority w:val="99"/>
    <w:rsid w:val="00D86941"/>
    <w:pPr>
      <w:tabs>
        <w:tab w:val="right" w:pos="8618"/>
      </w:tabs>
      <w:ind w:left="-907" w:right="-907"/>
      <w:jc w:val="center"/>
    </w:pPr>
    <w:rPr>
      <w:rFonts w:ascii="Arial" w:hAnsi="Arial"/>
      <w:color w:val="373737"/>
      <w:sz w:val="22"/>
    </w:rPr>
  </w:style>
  <w:style w:type="character" w:styleId="PageNumber">
    <w:name w:val="page number"/>
    <w:basedOn w:val="DefaultParagraphFont"/>
    <w:semiHidden/>
    <w:rsid w:val="00E465E1"/>
    <w:rPr>
      <w:rFonts w:ascii="Arial" w:hAnsi="Arial"/>
      <w:color w:val="808080"/>
      <w:sz w:val="18"/>
      <w:lang w:val="sv-SE" w:eastAsia="sv-SE"/>
    </w:rPr>
  </w:style>
  <w:style w:type="paragraph" w:customStyle="1" w:styleId="HTitle2">
    <w:name w:val="H_Title2"/>
    <w:basedOn w:val="Normal"/>
    <w:qFormat/>
    <w:rsid w:val="00364BFD"/>
    <w:pPr>
      <w:autoSpaceDE w:val="0"/>
      <w:autoSpaceDN w:val="0"/>
      <w:adjustRightInd w:val="0"/>
      <w:spacing w:before="0" w:after="120" w:line="280" w:lineRule="atLeast"/>
      <w:jc w:val="left"/>
    </w:pPr>
    <w:rPr>
      <w:smallCaps/>
      <w:color w:val="373737"/>
      <w:sz w:val="44"/>
      <w:szCs w:val="52"/>
    </w:rPr>
  </w:style>
  <w:style w:type="paragraph" w:customStyle="1" w:styleId="Hlistbullet">
    <w:name w:val="H_list_bullet"/>
    <w:rsid w:val="00C42303"/>
    <w:pPr>
      <w:numPr>
        <w:numId w:val="2"/>
      </w:numPr>
      <w:spacing w:before="60" w:after="60" w:line="220" w:lineRule="atLeast"/>
      <w:ind w:left="567" w:hanging="567"/>
      <w:jc w:val="both"/>
    </w:pPr>
    <w:rPr>
      <w:rFonts w:ascii="Arial" w:hAnsi="Arial"/>
      <w:color w:val="373737"/>
    </w:rPr>
  </w:style>
  <w:style w:type="paragraph" w:customStyle="1" w:styleId="Hlistbullet2">
    <w:name w:val="H_list_bullet2"/>
    <w:basedOn w:val="Hlistbullet"/>
    <w:next w:val="HStandard"/>
    <w:rsid w:val="00735F08"/>
    <w:pPr>
      <w:numPr>
        <w:numId w:val="12"/>
      </w:numPr>
      <w:ind w:left="1134" w:hanging="567"/>
    </w:pPr>
  </w:style>
  <w:style w:type="paragraph" w:customStyle="1" w:styleId="Hlistabc">
    <w:name w:val="H_list_abc"/>
    <w:rsid w:val="00364BFD"/>
    <w:pPr>
      <w:numPr>
        <w:numId w:val="3"/>
      </w:numPr>
      <w:spacing w:before="60" w:after="60" w:line="220" w:lineRule="atLeast"/>
      <w:jc w:val="both"/>
    </w:pPr>
    <w:rPr>
      <w:rFonts w:ascii="Arial" w:hAnsi="Arial"/>
      <w:color w:val="373737"/>
    </w:rPr>
  </w:style>
  <w:style w:type="paragraph" w:customStyle="1" w:styleId="Hlistabc2">
    <w:name w:val="H_list_abc_2"/>
    <w:basedOn w:val="Hlistabc"/>
    <w:next w:val="HStandard"/>
    <w:rsid w:val="00801FF1"/>
    <w:pPr>
      <w:spacing w:after="140"/>
      <w:ind w:left="1134"/>
    </w:pPr>
  </w:style>
  <w:style w:type="paragraph" w:customStyle="1" w:styleId="HTitle1">
    <w:name w:val="H_Title1"/>
    <w:basedOn w:val="Normal"/>
    <w:rsid w:val="00364BFD"/>
    <w:pPr>
      <w:autoSpaceDE w:val="0"/>
      <w:autoSpaceDN w:val="0"/>
      <w:adjustRightInd w:val="0"/>
      <w:spacing w:before="0" w:after="120" w:line="280" w:lineRule="atLeast"/>
    </w:pPr>
    <w:rPr>
      <w:bCs/>
      <w:smallCaps/>
      <w:color w:val="F07E31"/>
      <w:sz w:val="60"/>
      <w:szCs w:val="32"/>
    </w:rPr>
  </w:style>
  <w:style w:type="paragraph" w:customStyle="1" w:styleId="Autor">
    <w:name w:val="Autor"/>
    <w:basedOn w:val="Normal"/>
    <w:rsid w:val="00EE61BF"/>
    <w:pPr>
      <w:spacing w:before="0" w:after="0" w:line="280" w:lineRule="exact"/>
      <w:jc w:val="left"/>
    </w:pPr>
    <w:rPr>
      <w:sz w:val="20"/>
    </w:rPr>
  </w:style>
  <w:style w:type="paragraph" w:customStyle="1" w:styleId="HTitle3">
    <w:name w:val="H_Title3"/>
    <w:basedOn w:val="Autor"/>
    <w:rsid w:val="00364BFD"/>
    <w:rPr>
      <w:smallCaps/>
      <w:color w:val="373737"/>
      <w:sz w:val="28"/>
    </w:rPr>
  </w:style>
  <w:style w:type="paragraph" w:styleId="TOC1">
    <w:name w:val="toc 1"/>
    <w:next w:val="Normal"/>
    <w:uiPriority w:val="39"/>
    <w:rsid w:val="002807DC"/>
    <w:pPr>
      <w:tabs>
        <w:tab w:val="left" w:pos="454"/>
        <w:tab w:val="right" w:leader="dot" w:pos="9072"/>
      </w:tabs>
      <w:suppressAutoHyphens/>
      <w:spacing w:before="60" w:line="280" w:lineRule="exact"/>
      <w:ind w:left="454" w:hanging="454"/>
    </w:pPr>
    <w:rPr>
      <w:rFonts w:ascii="Arial" w:hAnsi="Arial"/>
      <w:noProof/>
      <w:color w:val="373737"/>
    </w:rPr>
  </w:style>
  <w:style w:type="paragraph" w:styleId="TOC3">
    <w:name w:val="toc 3"/>
    <w:next w:val="Normal"/>
    <w:uiPriority w:val="39"/>
    <w:rsid w:val="00364BFD"/>
    <w:pPr>
      <w:tabs>
        <w:tab w:val="left" w:pos="1021"/>
        <w:tab w:val="right" w:leader="dot" w:pos="9072"/>
      </w:tabs>
      <w:suppressAutoHyphens/>
      <w:spacing w:before="60" w:line="280" w:lineRule="exact"/>
      <w:ind w:left="1021" w:hanging="567"/>
    </w:pPr>
    <w:rPr>
      <w:rFonts w:ascii="Arial" w:hAnsi="Arial"/>
      <w:color w:val="373737"/>
      <w:sz w:val="18"/>
    </w:rPr>
  </w:style>
  <w:style w:type="paragraph" w:customStyle="1" w:styleId="Fuzeilequerformat">
    <w:name w:val="Fußzeile_querformat"/>
    <w:basedOn w:val="Footer"/>
    <w:rsid w:val="00EE61BF"/>
    <w:pPr>
      <w:tabs>
        <w:tab w:val="clear" w:pos="8618"/>
        <w:tab w:val="right" w:pos="12871"/>
      </w:tabs>
    </w:pPr>
  </w:style>
  <w:style w:type="paragraph" w:styleId="TableofFigures">
    <w:name w:val="table of figures"/>
    <w:next w:val="HStandard"/>
    <w:uiPriority w:val="99"/>
    <w:rsid w:val="000B6372"/>
    <w:pPr>
      <w:tabs>
        <w:tab w:val="left" w:pos="851"/>
        <w:tab w:val="right" w:leader="dot" w:pos="7711"/>
      </w:tabs>
      <w:suppressAutoHyphens/>
      <w:spacing w:before="60" w:line="280" w:lineRule="exact"/>
      <w:ind w:left="851" w:right="284" w:hanging="851"/>
    </w:pPr>
    <w:rPr>
      <w:rFonts w:ascii="Arial" w:hAnsi="Arial"/>
      <w:color w:val="373737"/>
    </w:rPr>
  </w:style>
  <w:style w:type="paragraph" w:customStyle="1" w:styleId="Hlistline3">
    <w:name w:val="H_list_line3"/>
    <w:rsid w:val="00BD09F4"/>
    <w:pPr>
      <w:numPr>
        <w:numId w:val="4"/>
      </w:numPr>
      <w:spacing w:before="60" w:after="60" w:line="220" w:lineRule="atLeast"/>
      <w:ind w:left="851" w:hanging="284"/>
    </w:pPr>
    <w:rPr>
      <w:rFonts w:ascii="Arial" w:hAnsi="Arial"/>
      <w:color w:val="373737"/>
    </w:rPr>
  </w:style>
  <w:style w:type="paragraph" w:customStyle="1" w:styleId="Hlistline4">
    <w:name w:val="H_list_line4"/>
    <w:basedOn w:val="Hlistline3"/>
    <w:next w:val="HStandard"/>
    <w:rsid w:val="00BD09F4"/>
    <w:pPr>
      <w:ind w:left="1135"/>
    </w:pPr>
  </w:style>
  <w:style w:type="paragraph" w:customStyle="1" w:styleId="HSource">
    <w:name w:val="H_Source"/>
    <w:next w:val="HStandard"/>
    <w:rsid w:val="008D52EA"/>
    <w:pPr>
      <w:suppressAutoHyphens/>
      <w:spacing w:before="60" w:after="60"/>
      <w:jc w:val="center"/>
    </w:pPr>
    <w:rPr>
      <w:rFonts w:ascii="Arial" w:hAnsi="Arial"/>
      <w:i/>
      <w:color w:val="373737"/>
      <w:sz w:val="16"/>
    </w:rPr>
  </w:style>
  <w:style w:type="paragraph" w:customStyle="1" w:styleId="Htableleft">
    <w:name w:val="H_table_left"/>
    <w:rsid w:val="00BD09F4"/>
    <w:pPr>
      <w:suppressAutoHyphens/>
      <w:spacing w:before="40" w:after="40"/>
    </w:pPr>
    <w:rPr>
      <w:rFonts w:ascii="Arial" w:hAnsi="Arial"/>
      <w:color w:val="373737"/>
      <w:sz w:val="18"/>
    </w:rPr>
  </w:style>
  <w:style w:type="paragraph" w:customStyle="1" w:styleId="Htablecentered">
    <w:name w:val="H_table_centered"/>
    <w:basedOn w:val="Htableleft"/>
    <w:rsid w:val="00EE61BF"/>
    <w:pPr>
      <w:jc w:val="center"/>
    </w:pPr>
  </w:style>
  <w:style w:type="paragraph" w:customStyle="1" w:styleId="Htableleftbolt">
    <w:name w:val="H_table_left_bolt"/>
    <w:basedOn w:val="Htableleft"/>
    <w:rsid w:val="00EE61BF"/>
    <w:rPr>
      <w:b/>
      <w:color w:val="FFFFFF"/>
    </w:rPr>
  </w:style>
  <w:style w:type="paragraph" w:customStyle="1" w:styleId="Htablecenteredbolt">
    <w:name w:val="H_table_centered_bolt"/>
    <w:basedOn w:val="Htablecentered"/>
    <w:rsid w:val="00BD09F4"/>
    <w:rPr>
      <w:b/>
      <w:color w:val="FFFFFF"/>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link w:val="FootnoteTextChar"/>
    <w:uiPriority w:val="99"/>
    <w:qFormat/>
    <w:rsid w:val="000D3DB8"/>
    <w:pPr>
      <w:spacing w:line="180" w:lineRule="exact"/>
      <w:ind w:left="170" w:hanging="170"/>
      <w:jc w:val="both"/>
    </w:pPr>
    <w:rPr>
      <w:rFonts w:ascii="Arial" w:hAnsi="Arial"/>
      <w:color w:val="808080"/>
      <w:sz w:val="16"/>
    </w:rPr>
  </w:style>
  <w:style w:type="paragraph" w:customStyle="1" w:styleId="Htablebullet">
    <w:name w:val="H_table_bullet"/>
    <w:basedOn w:val="Htableleft"/>
    <w:rsid w:val="00BD09F4"/>
    <w:pPr>
      <w:numPr>
        <w:numId w:val="5"/>
      </w:numPr>
      <w:ind w:left="170" w:hanging="170"/>
    </w:p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basedOn w:val="DefaultParagraphFont"/>
    <w:uiPriority w:val="99"/>
    <w:rsid w:val="00364BFD"/>
    <w:rPr>
      <w:rFonts w:ascii="Arial" w:hAnsi="Arial"/>
      <w:i/>
      <w:color w:val="373737"/>
      <w:position w:val="6"/>
      <w:sz w:val="12"/>
      <w:vertAlign w:val="baseline"/>
      <w:lang w:val="sv-SE" w:eastAsia="sv-SE"/>
    </w:rPr>
  </w:style>
  <w:style w:type="paragraph" w:customStyle="1" w:styleId="HContent">
    <w:name w:val="H_Content"/>
    <w:basedOn w:val="Heading1"/>
    <w:next w:val="HStandard"/>
    <w:rsid w:val="00364BFD"/>
    <w:pPr>
      <w:pageBreakBefore/>
      <w:framePr w:hSpace="0" w:vSpace="0" w:wrap="auto" w:vAnchor="margin" w:hAnchor="text" w:yAlign="inline"/>
      <w:numPr>
        <w:numId w:val="0"/>
      </w:numPr>
      <w:pBdr>
        <w:left w:val="none" w:sz="0" w:space="0" w:color="auto"/>
      </w:pBdr>
      <w:spacing w:before="360" w:after="360" w:line="280" w:lineRule="atLeast"/>
    </w:pPr>
    <w:rPr>
      <w:caps/>
      <w:color w:val="F07E31"/>
      <w:sz w:val="20"/>
    </w:rPr>
  </w:style>
  <w:style w:type="paragraph" w:customStyle="1" w:styleId="HHeading1">
    <w:name w:val="H_Heading 1"/>
    <w:next w:val="HStandard"/>
    <w:rsid w:val="008D52EA"/>
    <w:pPr>
      <w:keepNext/>
      <w:keepLines/>
      <w:pageBreakBefore/>
      <w:numPr>
        <w:numId w:val="6"/>
      </w:numPr>
      <w:tabs>
        <w:tab w:val="left" w:pos="567"/>
      </w:tabs>
      <w:spacing w:before="360" w:after="360" w:line="280" w:lineRule="atLeast"/>
      <w:ind w:left="567" w:hanging="567"/>
      <w:outlineLvl w:val="0"/>
    </w:pPr>
    <w:rPr>
      <w:rFonts w:ascii="Arial" w:hAnsi="Arial"/>
      <w:b/>
      <w:caps/>
      <w:color w:val="F07E31"/>
    </w:rPr>
  </w:style>
  <w:style w:type="paragraph" w:customStyle="1" w:styleId="HHeading2">
    <w:name w:val="H_Heading 2"/>
    <w:next w:val="HStandard"/>
    <w:rsid w:val="007B4B9E"/>
    <w:pPr>
      <w:keepNext/>
      <w:keepLines/>
      <w:numPr>
        <w:ilvl w:val="1"/>
        <w:numId w:val="6"/>
      </w:numPr>
      <w:tabs>
        <w:tab w:val="left" w:pos="567"/>
      </w:tabs>
      <w:spacing w:before="240" w:after="140" w:line="260" w:lineRule="exact"/>
      <w:ind w:left="567" w:hanging="567"/>
      <w:outlineLvl w:val="1"/>
    </w:pPr>
    <w:rPr>
      <w:rFonts w:ascii="Arial" w:hAnsi="Arial"/>
      <w:b/>
      <w:color w:val="373737"/>
    </w:rPr>
  </w:style>
  <w:style w:type="paragraph" w:customStyle="1" w:styleId="HHeading3">
    <w:name w:val="H_Heading 3"/>
    <w:next w:val="HStandard"/>
    <w:rsid w:val="00B63445"/>
    <w:pPr>
      <w:keepNext/>
      <w:keepLines/>
      <w:numPr>
        <w:ilvl w:val="2"/>
        <w:numId w:val="6"/>
      </w:numPr>
      <w:tabs>
        <w:tab w:val="clear" w:pos="1146"/>
        <w:tab w:val="num" w:pos="709"/>
      </w:tabs>
      <w:spacing w:before="240" w:after="140" w:line="240" w:lineRule="exact"/>
      <w:ind w:left="709" w:hanging="709"/>
      <w:outlineLvl w:val="2"/>
    </w:pPr>
    <w:rPr>
      <w:rFonts w:ascii="Arial" w:hAnsi="Arial"/>
      <w:color w:val="F07E31"/>
    </w:rPr>
  </w:style>
  <w:style w:type="paragraph" w:customStyle="1" w:styleId="HHeading4">
    <w:name w:val="H_Heading 4"/>
    <w:next w:val="HStandard"/>
    <w:rsid w:val="00364BFD"/>
    <w:pPr>
      <w:keepNext/>
      <w:keepLines/>
      <w:tabs>
        <w:tab w:val="left" w:pos="680"/>
      </w:tabs>
      <w:spacing w:before="240" w:after="240" w:line="280" w:lineRule="atLeast"/>
      <w:outlineLvl w:val="3"/>
    </w:pPr>
    <w:rPr>
      <w:rFonts w:ascii="Arial" w:hAnsi="Arial"/>
      <w:b/>
      <w:color w:val="57825E"/>
    </w:rPr>
  </w:style>
  <w:style w:type="character" w:styleId="Hyperlink">
    <w:name w:val="Hyperlink"/>
    <w:basedOn w:val="DefaultParagraphFont"/>
    <w:uiPriority w:val="99"/>
    <w:rsid w:val="00BD09F4"/>
    <w:rPr>
      <w:rFonts w:ascii="Arial" w:hAnsi="Arial"/>
      <w:color w:val="F07E31"/>
      <w:sz w:val="20"/>
      <w:u w:val="single"/>
      <w:lang w:val="sv-SE" w:eastAsia="sv-SE"/>
    </w:rPr>
  </w:style>
  <w:style w:type="paragraph" w:customStyle="1" w:styleId="HStandard">
    <w:name w:val="H_Standard"/>
    <w:link w:val="HStandardCar"/>
    <w:rsid w:val="00364BFD"/>
    <w:pPr>
      <w:spacing w:after="120" w:line="280" w:lineRule="atLeast"/>
      <w:jc w:val="both"/>
    </w:pPr>
    <w:rPr>
      <w:rFonts w:ascii="Arial" w:hAnsi="Arial"/>
      <w:color w:val="373737"/>
    </w:rPr>
  </w:style>
  <w:style w:type="paragraph" w:styleId="DocumentMap">
    <w:name w:val="Document Map"/>
    <w:basedOn w:val="Normal"/>
    <w:semiHidden/>
    <w:rsid w:val="00E465E1"/>
    <w:pPr>
      <w:shd w:val="clear" w:color="auto" w:fill="000080"/>
    </w:pPr>
    <w:rPr>
      <w:rFonts w:ascii="Tahoma" w:hAnsi="Tahoma" w:cs="Tahoma"/>
    </w:rPr>
  </w:style>
  <w:style w:type="paragraph" w:styleId="BalloonText">
    <w:name w:val="Balloon Text"/>
    <w:basedOn w:val="Normal"/>
    <w:link w:val="BalloonTextChar"/>
    <w:uiPriority w:val="99"/>
    <w:semiHidden/>
    <w:unhideWhenUsed/>
    <w:rsid w:val="0046410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10C"/>
    <w:rPr>
      <w:rFonts w:ascii="Tahoma" w:hAnsi="Tahoma" w:cs="Tahoma"/>
      <w:sz w:val="16"/>
      <w:szCs w:val="16"/>
      <w:lang w:val="sv-SE" w:eastAsia="sv-SE"/>
    </w:rPr>
  </w:style>
  <w:style w:type="table" w:styleId="TableGrid">
    <w:name w:val="Table Grid"/>
    <w:basedOn w:val="TableNormal"/>
    <w:uiPriority w:val="39"/>
    <w:rsid w:val="00756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rsid w:val="00BD09F4"/>
    <w:pPr>
      <w:numPr>
        <w:numId w:val="7"/>
      </w:numPr>
      <w:spacing w:before="200" w:after="140"/>
    </w:pPr>
    <w:rPr>
      <w:rFonts w:ascii="Arial" w:hAnsi="Arial"/>
      <w:b/>
      <w:color w:val="373737"/>
      <w:sz w:val="16"/>
    </w:rPr>
  </w:style>
  <w:style w:type="paragraph" w:customStyle="1" w:styleId="HHeadingfigures">
    <w:name w:val="H_Heading_figures"/>
    <w:basedOn w:val="HHeadingtables"/>
    <w:next w:val="HStandard"/>
    <w:qFormat/>
    <w:rsid w:val="00E52947"/>
    <w:pPr>
      <w:keepNext/>
      <w:keepLines/>
      <w:numPr>
        <w:numId w:val="22"/>
      </w:numPr>
      <w:tabs>
        <w:tab w:val="clear" w:pos="964"/>
        <w:tab w:val="num" w:pos="2666"/>
      </w:tabs>
      <w:spacing w:before="240"/>
      <w:ind w:left="567" w:hanging="567"/>
    </w:pPr>
  </w:style>
  <w:style w:type="paragraph" w:customStyle="1" w:styleId="HHeadingmaps">
    <w:name w:val="H_Heading_maps"/>
    <w:basedOn w:val="HHeadingtables"/>
    <w:next w:val="HStandard"/>
    <w:qFormat/>
    <w:rsid w:val="005B4B85"/>
    <w:pPr>
      <w:keepNext/>
      <w:keepLines/>
      <w:numPr>
        <w:numId w:val="9"/>
      </w:numPr>
      <w:outlineLvl w:val="5"/>
    </w:pPr>
  </w:style>
  <w:style w:type="paragraph" w:customStyle="1" w:styleId="HHeadingboxes">
    <w:name w:val="H_Heading_boxes"/>
    <w:basedOn w:val="HHeadingtables"/>
    <w:next w:val="HStandard"/>
    <w:qFormat/>
    <w:rsid w:val="00BD09F4"/>
    <w:pPr>
      <w:numPr>
        <w:numId w:val="10"/>
      </w:numPr>
      <w:ind w:left="851" w:hanging="851"/>
    </w:pPr>
  </w:style>
  <w:style w:type="paragraph" w:customStyle="1" w:styleId="HBox">
    <w:name w:val="H_Box"/>
    <w:next w:val="HStandard"/>
    <w:qFormat/>
    <w:rsid w:val="00BD09F4"/>
    <w:pPr>
      <w:pBdr>
        <w:top w:val="single" w:sz="4" w:space="4" w:color="F07E31"/>
        <w:left w:val="single" w:sz="4" w:space="4" w:color="F07E31"/>
        <w:bottom w:val="single" w:sz="4" w:space="4" w:color="F07E31"/>
        <w:right w:val="single" w:sz="4" w:space="4" w:color="F07E31"/>
      </w:pBdr>
      <w:shd w:val="clear" w:color="auto" w:fill="FCE5D5"/>
      <w:jc w:val="both"/>
    </w:pPr>
    <w:rPr>
      <w:rFonts w:ascii="Arial" w:hAnsi="Arial"/>
      <w:color w:val="373737"/>
    </w:rPr>
  </w:style>
  <w:style w:type="paragraph" w:customStyle="1" w:styleId="HBoxbullet">
    <w:name w:val="H_Box_bullet"/>
    <w:next w:val="HStandard"/>
    <w:qFormat/>
    <w:rsid w:val="00BD09F4"/>
    <w:pPr>
      <w:numPr>
        <w:numId w:val="11"/>
      </w:numPr>
      <w:pBdr>
        <w:top w:val="single" w:sz="4" w:space="4" w:color="F07E31"/>
        <w:left w:val="single" w:sz="4" w:space="8" w:color="F07E31"/>
        <w:bottom w:val="single" w:sz="4" w:space="4" w:color="F07E31"/>
        <w:right w:val="single" w:sz="4" w:space="4" w:color="F07E31"/>
      </w:pBdr>
      <w:shd w:val="clear" w:color="auto" w:fill="FCE5D5"/>
      <w:ind w:left="363" w:hanging="284"/>
      <w:jc w:val="both"/>
    </w:pPr>
    <w:rPr>
      <w:rFonts w:ascii="Arial" w:hAnsi="Arial"/>
      <w:color w:val="373737"/>
    </w:rPr>
  </w:style>
  <w:style w:type="paragraph" w:customStyle="1" w:styleId="Hdisclaimer">
    <w:name w:val="H_disclaimer"/>
    <w:qFormat/>
    <w:rsid w:val="00364BFD"/>
    <w:pPr>
      <w:spacing w:after="120" w:line="280" w:lineRule="atLeast"/>
      <w:jc w:val="both"/>
    </w:pPr>
    <w:rPr>
      <w:rFonts w:ascii="Arial" w:hAnsi="Arial" w:cs="Arial"/>
      <w:color w:val="373737"/>
      <w:sz w:val="18"/>
      <w:szCs w:val="18"/>
    </w:rPr>
  </w:style>
  <w:style w:type="paragraph" w:styleId="EndnoteText">
    <w:name w:val="endnote text"/>
    <w:basedOn w:val="Normal"/>
    <w:link w:val="EndnoteTextChar"/>
    <w:uiPriority w:val="99"/>
    <w:semiHidden/>
    <w:unhideWhenUsed/>
    <w:rsid w:val="00F15219"/>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F15219"/>
    <w:rPr>
      <w:rFonts w:ascii="Arial" w:hAnsi="Arial"/>
      <w:lang w:val="sv-SE" w:eastAsia="sv-SE"/>
    </w:rPr>
  </w:style>
  <w:style w:type="character" w:styleId="EndnoteReference">
    <w:name w:val="endnote reference"/>
    <w:basedOn w:val="DefaultParagraphFont"/>
    <w:uiPriority w:val="99"/>
    <w:semiHidden/>
    <w:unhideWhenUsed/>
    <w:rsid w:val="00F15219"/>
    <w:rPr>
      <w:vertAlign w:val="superscript"/>
      <w:lang w:val="sv-SE" w:eastAsia="sv-SE"/>
    </w:rPr>
  </w:style>
  <w:style w:type="character" w:styleId="CommentReference">
    <w:name w:val="annotation reference"/>
    <w:basedOn w:val="DefaultParagraphFont"/>
    <w:uiPriority w:val="99"/>
    <w:semiHidden/>
    <w:unhideWhenUsed/>
    <w:rsid w:val="006C1066"/>
    <w:rPr>
      <w:sz w:val="16"/>
      <w:szCs w:val="16"/>
      <w:lang w:val="sv-SE" w:eastAsia="sv-SE"/>
    </w:rPr>
  </w:style>
  <w:style w:type="paragraph" w:styleId="CommentText">
    <w:name w:val="annotation text"/>
    <w:basedOn w:val="Normal"/>
    <w:link w:val="CommentTextChar"/>
    <w:uiPriority w:val="99"/>
    <w:unhideWhenUsed/>
    <w:rsid w:val="006C1066"/>
    <w:pPr>
      <w:spacing w:line="240" w:lineRule="auto"/>
    </w:pPr>
    <w:rPr>
      <w:sz w:val="20"/>
      <w:szCs w:val="20"/>
    </w:rPr>
  </w:style>
  <w:style w:type="character" w:customStyle="1" w:styleId="CommentTextChar">
    <w:name w:val="Comment Text Char"/>
    <w:basedOn w:val="DefaultParagraphFont"/>
    <w:link w:val="CommentText"/>
    <w:uiPriority w:val="99"/>
    <w:rsid w:val="006C1066"/>
    <w:rPr>
      <w:rFonts w:ascii="Arial" w:hAnsi="Arial"/>
      <w:lang w:val="sv-SE" w:eastAsia="sv-SE"/>
    </w:rPr>
  </w:style>
  <w:style w:type="paragraph" w:styleId="CommentSubject">
    <w:name w:val="annotation subject"/>
    <w:basedOn w:val="CommentText"/>
    <w:next w:val="CommentText"/>
    <w:link w:val="CommentSubjectChar"/>
    <w:uiPriority w:val="99"/>
    <w:semiHidden/>
    <w:unhideWhenUsed/>
    <w:rsid w:val="006C1066"/>
    <w:rPr>
      <w:b/>
      <w:bCs/>
    </w:rPr>
  </w:style>
  <w:style w:type="character" w:customStyle="1" w:styleId="CommentSubjectChar">
    <w:name w:val="Comment Subject Char"/>
    <w:basedOn w:val="CommentTextChar"/>
    <w:link w:val="CommentSubject"/>
    <w:uiPriority w:val="99"/>
    <w:semiHidden/>
    <w:rsid w:val="006C1066"/>
    <w:rPr>
      <w:rFonts w:ascii="Arial" w:hAnsi="Arial"/>
      <w:b/>
      <w:bCs/>
      <w:lang w:val="sv-SE" w:eastAsia="sv-SE"/>
    </w:rPr>
  </w:style>
  <w:style w:type="paragraph" w:styleId="ListParagraph">
    <w:name w:val="List Paragraph"/>
    <w:basedOn w:val="Normal"/>
    <w:uiPriority w:val="34"/>
    <w:qFormat/>
    <w:rsid w:val="00CD63F6"/>
    <w:pPr>
      <w:spacing w:before="0" w:after="160" w:line="259" w:lineRule="auto"/>
      <w:ind w:left="720"/>
      <w:contextualSpacing/>
      <w:jc w:val="left"/>
    </w:pPr>
    <w:rPr>
      <w:rFonts w:ascii="Calibri" w:eastAsia="Calibri" w:hAnsi="Calibri"/>
      <w:sz w:val="22"/>
      <w:szCs w:val="22"/>
    </w:rPr>
  </w:style>
  <w:style w:type="character" w:customStyle="1" w:styleId="FootnoteTextChar">
    <w:name w:val="Footnote Text Char"/>
    <w:aliases w:val="Fußnote Char,Geneva 9 Char,Font: Geneva 9 Char,Boston 10 Char,f Char,ft Char,Footnote Text Char Char Char Char Char Char Char Char Char Char Char,Footnote Text Char Char Char,Footnote Text2 Char,ft2 Char"/>
    <w:basedOn w:val="DefaultParagraphFont"/>
    <w:link w:val="FootnoteText"/>
    <w:uiPriority w:val="99"/>
    <w:rsid w:val="000D3DB8"/>
    <w:rPr>
      <w:rFonts w:ascii="Arial" w:hAnsi="Arial"/>
      <w:color w:val="808080"/>
      <w:sz w:val="16"/>
      <w:lang w:val="sv-SE" w:eastAsia="sv-SE" w:bidi="ar-SA"/>
    </w:rPr>
  </w:style>
  <w:style w:type="paragraph" w:styleId="Title">
    <w:name w:val="Title"/>
    <w:basedOn w:val="Normal"/>
    <w:next w:val="Normal"/>
    <w:link w:val="TitleChar"/>
    <w:uiPriority w:val="10"/>
    <w:qFormat/>
    <w:rsid w:val="00CD63F6"/>
    <w:pPr>
      <w:spacing w:before="0" w:after="0" w:line="240" w:lineRule="auto"/>
      <w:contextualSpacing/>
      <w:jc w:val="left"/>
    </w:pPr>
    <w:rPr>
      <w:rFonts w:ascii="Cambria" w:hAnsi="Cambria"/>
      <w:spacing w:val="-10"/>
      <w:kern w:val="28"/>
      <w:sz w:val="56"/>
      <w:szCs w:val="56"/>
    </w:rPr>
  </w:style>
  <w:style w:type="character" w:customStyle="1" w:styleId="TitleChar">
    <w:name w:val="Title Char"/>
    <w:basedOn w:val="DefaultParagraphFont"/>
    <w:link w:val="Title"/>
    <w:uiPriority w:val="10"/>
    <w:rsid w:val="00CD63F6"/>
    <w:rPr>
      <w:rFonts w:ascii="Cambria" w:eastAsia="Times New Roman" w:hAnsi="Cambria" w:cs="Times New Roman"/>
      <w:spacing w:val="-10"/>
      <w:kern w:val="28"/>
      <w:sz w:val="56"/>
      <w:szCs w:val="56"/>
      <w:lang w:val="sv-SE" w:eastAsia="sv-SE"/>
    </w:rPr>
  </w:style>
  <w:style w:type="paragraph" w:customStyle="1" w:styleId="CM1">
    <w:name w:val="CM1"/>
    <w:basedOn w:val="Normal"/>
    <w:next w:val="Normal"/>
    <w:uiPriority w:val="99"/>
    <w:rsid w:val="001C2076"/>
    <w:pPr>
      <w:autoSpaceDE w:val="0"/>
      <w:autoSpaceDN w:val="0"/>
      <w:adjustRightInd w:val="0"/>
      <w:spacing w:before="0" w:after="0" w:line="240" w:lineRule="auto"/>
      <w:jc w:val="left"/>
    </w:pPr>
    <w:rPr>
      <w:rFonts w:ascii="EUAlbertina" w:eastAsia="Calibri" w:hAnsi="EUAlbertina"/>
      <w:sz w:val="24"/>
    </w:rPr>
  </w:style>
  <w:style w:type="paragraph" w:styleId="Caption">
    <w:name w:val="caption"/>
    <w:basedOn w:val="Normal"/>
    <w:next w:val="Normal"/>
    <w:uiPriority w:val="35"/>
    <w:unhideWhenUsed/>
    <w:qFormat/>
    <w:rsid w:val="001C2076"/>
    <w:pPr>
      <w:spacing w:before="0" w:after="200" w:line="240" w:lineRule="auto"/>
      <w:jc w:val="left"/>
    </w:pPr>
    <w:rPr>
      <w:rFonts w:ascii="Calibri" w:eastAsia="Calibri" w:hAnsi="Calibri"/>
      <w:i/>
      <w:iCs/>
      <w:color w:val="373737"/>
      <w:szCs w:val="18"/>
    </w:rPr>
  </w:style>
  <w:style w:type="table" w:customStyle="1" w:styleId="Tabukasmriekou5tmavzvraznenie61">
    <w:name w:val="Tabuľka s mriežkou 5 – tmavá – zvýraznenie 61"/>
    <w:basedOn w:val="TableNormal"/>
    <w:uiPriority w:val="50"/>
    <w:rsid w:val="00932C3E"/>
    <w:rPr>
      <w:rFonts w:ascii="Calibri" w:eastAsia="Calibri" w:hAnsi="Calibri"/>
      <w:sz w:val="22"/>
      <w:szCs w:val="22"/>
      <w:lang w:val="sk-SK"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7EEE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BAB8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BAB8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BAB8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BAB80"/>
      </w:tcPr>
    </w:tblStylePr>
    <w:tblStylePr w:type="band1Vert">
      <w:tblPr/>
      <w:tcPr>
        <w:shd w:val="clear" w:color="auto" w:fill="D0DDCC"/>
      </w:tcPr>
    </w:tblStylePr>
    <w:tblStylePr w:type="band1Horz">
      <w:tblPr/>
      <w:tcPr>
        <w:shd w:val="clear" w:color="auto" w:fill="D0DDCC"/>
      </w:tcPr>
    </w:tblStylePr>
  </w:style>
  <w:style w:type="character" w:customStyle="1" w:styleId="FooterChar">
    <w:name w:val="Footer Char"/>
    <w:basedOn w:val="DefaultParagraphFont"/>
    <w:link w:val="Footer"/>
    <w:uiPriority w:val="99"/>
    <w:rsid w:val="00D52AFB"/>
    <w:rPr>
      <w:rFonts w:ascii="Arial" w:hAnsi="Arial"/>
      <w:color w:val="373737"/>
      <w:sz w:val="22"/>
      <w:lang w:val="sv-SE" w:eastAsia="sv-SE" w:bidi="ar-SA"/>
    </w:rPr>
  </w:style>
  <w:style w:type="paragraph" w:styleId="Revision">
    <w:name w:val="Revision"/>
    <w:hidden/>
    <w:uiPriority w:val="99"/>
    <w:semiHidden/>
    <w:rsid w:val="003B25C7"/>
    <w:rPr>
      <w:rFonts w:ascii="Arial" w:hAnsi="Arial"/>
      <w:sz w:val="18"/>
      <w:szCs w:val="24"/>
    </w:rPr>
  </w:style>
  <w:style w:type="paragraph" w:customStyle="1" w:styleId="Pavpage3">
    <w:name w:val="Pavé page 3"/>
    <w:basedOn w:val="Normal"/>
    <w:qFormat/>
    <w:rsid w:val="003C228A"/>
    <w:pPr>
      <w:spacing w:before="0" w:after="120" w:line="280" w:lineRule="atLeast"/>
      <w:jc w:val="left"/>
    </w:pPr>
    <w:rPr>
      <w:rFonts w:ascii="Helvetica" w:hAnsi="Helvetica" w:cs="Arial"/>
      <w:smallCaps/>
      <w:color w:val="DF6532"/>
      <w:sz w:val="44"/>
      <w:szCs w:val="44"/>
    </w:rPr>
  </w:style>
  <w:style w:type="character" w:styleId="FollowedHyperlink">
    <w:name w:val="FollowedHyperlink"/>
    <w:basedOn w:val="DefaultParagraphFont"/>
    <w:uiPriority w:val="99"/>
    <w:semiHidden/>
    <w:unhideWhenUsed/>
    <w:rsid w:val="00810ED5"/>
    <w:rPr>
      <w:color w:val="F07E31"/>
      <w:u w:val="single"/>
      <w:lang w:val="sv-SE" w:eastAsia="sv-SE"/>
    </w:rPr>
  </w:style>
  <w:style w:type="character" w:customStyle="1" w:styleId="shorttext">
    <w:name w:val="short_text"/>
    <w:basedOn w:val="DefaultParagraphFont"/>
    <w:rsid w:val="00190D63"/>
  </w:style>
  <w:style w:type="character" w:styleId="Emphasis">
    <w:name w:val="Emphasis"/>
    <w:basedOn w:val="DefaultParagraphFont"/>
    <w:uiPriority w:val="20"/>
    <w:qFormat/>
    <w:rsid w:val="00744BAA"/>
    <w:rPr>
      <w:i/>
      <w:iCs/>
      <w:lang w:val="sv-SE" w:eastAsia="sv-SE"/>
    </w:rPr>
  </w:style>
  <w:style w:type="paragraph" w:styleId="HTMLPreformatted">
    <w:name w:val="HTML Preformatted"/>
    <w:basedOn w:val="Normal"/>
    <w:link w:val="HTMLPreformattedChar"/>
    <w:uiPriority w:val="99"/>
    <w:semiHidden/>
    <w:unhideWhenUsed/>
    <w:rsid w:val="00C36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36C67"/>
    <w:rPr>
      <w:rFonts w:ascii="Courier New" w:hAnsi="Courier New" w:cs="Courier New"/>
      <w:lang w:val="sv-SE" w:eastAsia="sv-SE"/>
    </w:rPr>
  </w:style>
  <w:style w:type="character" w:customStyle="1" w:styleId="NichtaufgelsteErwhnung1">
    <w:name w:val="Nicht aufgelöste Erwähnung1"/>
    <w:basedOn w:val="DefaultParagraphFont"/>
    <w:uiPriority w:val="99"/>
    <w:semiHidden/>
    <w:unhideWhenUsed/>
    <w:rsid w:val="005B75BD"/>
    <w:rPr>
      <w:color w:val="808080"/>
      <w:lang w:val="sv-SE" w:eastAsia="sv-SE"/>
    </w:rPr>
  </w:style>
  <w:style w:type="character" w:customStyle="1" w:styleId="UnresolvedMention1">
    <w:name w:val="Unresolved Mention1"/>
    <w:basedOn w:val="DefaultParagraphFont"/>
    <w:uiPriority w:val="99"/>
    <w:semiHidden/>
    <w:unhideWhenUsed/>
    <w:rsid w:val="001D32F7"/>
    <w:rPr>
      <w:color w:val="808080"/>
      <w:lang w:val="sv-SE" w:eastAsia="sv-SE"/>
    </w:rPr>
  </w:style>
  <w:style w:type="paragraph" w:customStyle="1" w:styleId="Normal12PTcouleurgris">
    <w:name w:val="Normal + 12PT couleur gris"/>
    <w:basedOn w:val="Normal"/>
    <w:qFormat/>
    <w:rsid w:val="00041A27"/>
    <w:pPr>
      <w:spacing w:before="0" w:after="0" w:line="259" w:lineRule="auto"/>
    </w:pPr>
    <w:rPr>
      <w:rFonts w:eastAsia="Calibri" w:cs="Arial"/>
      <w:color w:val="6F6F6F"/>
      <w:sz w:val="24"/>
      <w:szCs w:val="18"/>
    </w:rPr>
  </w:style>
  <w:style w:type="table" w:customStyle="1" w:styleId="11">
    <w:name w:val="Πίνακας 1 με ανοιχτόχρωμο πλέγμα1"/>
    <w:basedOn w:val="TableNormal"/>
    <w:uiPriority w:val="46"/>
    <w:rsid w:val="00C1242D"/>
    <w:tblPr>
      <w:tblStyleRowBandSize w:val="1"/>
      <w:tblStyleColBandSize w:val="1"/>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bCs/>
      </w:rPr>
      <w:tblPr/>
      <w:tcPr>
        <w:tcBorders>
          <w:bottom w:val="single" w:sz="12" w:space="0" w:color="878787"/>
        </w:tcBorders>
      </w:tcPr>
    </w:tblStylePr>
    <w:tblStylePr w:type="lastRow">
      <w:rPr>
        <w:b/>
        <w:bCs/>
      </w:rPr>
      <w:tblPr/>
      <w:tcPr>
        <w:tcBorders>
          <w:top w:val="double" w:sz="2" w:space="0" w:color="878787"/>
        </w:tcBorders>
      </w:tcPr>
    </w:tblStylePr>
    <w:tblStylePr w:type="firstCol">
      <w:rPr>
        <w:b/>
        <w:bCs/>
      </w:rPr>
    </w:tblStylePr>
    <w:tblStylePr w:type="lastCol">
      <w:rPr>
        <w:b/>
        <w:bCs/>
      </w:rPr>
    </w:tblStylePr>
  </w:style>
  <w:style w:type="numbering" w:customStyle="1" w:styleId="1">
    <w:name w:val="Στυλ1"/>
    <w:uiPriority w:val="99"/>
    <w:rsid w:val="00801FF1"/>
  </w:style>
  <w:style w:type="table" w:customStyle="1" w:styleId="Tabukasmriekou1svetl1">
    <w:name w:val="Tabuľka s mriežkou 1 – svetlá1"/>
    <w:basedOn w:val="TableNormal"/>
    <w:uiPriority w:val="46"/>
    <w:rsid w:val="00B25279"/>
    <w:tblPr>
      <w:tblStyleRowBandSize w:val="1"/>
      <w:tblStyleColBandSize w:val="1"/>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b/>
        <w:bCs/>
      </w:rPr>
      <w:tblPr/>
      <w:tcPr>
        <w:tcBorders>
          <w:bottom w:val="single" w:sz="12" w:space="0" w:color="878787"/>
        </w:tcBorders>
      </w:tcPr>
    </w:tblStylePr>
    <w:tblStylePr w:type="lastRow">
      <w:rPr>
        <w:b/>
        <w:bCs/>
      </w:rPr>
      <w:tblPr/>
      <w:tcPr>
        <w:tcBorders>
          <w:top w:val="double" w:sz="2" w:space="0" w:color="878787"/>
        </w:tcBorders>
      </w:tcPr>
    </w:tblStylePr>
    <w:tblStylePr w:type="firstCol">
      <w:rPr>
        <w:b/>
        <w:bCs/>
      </w:rPr>
    </w:tblStylePr>
    <w:tblStylePr w:type="lastCol">
      <w:rPr>
        <w:b/>
        <w:bCs/>
      </w:rPr>
    </w:tblStylePr>
  </w:style>
  <w:style w:type="paragraph" w:customStyle="1" w:styleId="H-Titre2">
    <w:name w:val="H-Titre 2"/>
    <w:basedOn w:val="Normal"/>
    <w:qFormat/>
    <w:rsid w:val="0004609A"/>
    <w:pPr>
      <w:spacing w:before="0" w:after="120" w:line="280" w:lineRule="atLeast"/>
      <w:jc w:val="left"/>
    </w:pPr>
    <w:rPr>
      <w:rFonts w:cs="Arial"/>
      <w:b/>
      <w:bCs/>
      <w:color w:val="FFFFFF"/>
      <w:szCs w:val="44"/>
    </w:rPr>
  </w:style>
  <w:style w:type="paragraph" w:customStyle="1" w:styleId="H-Titre1">
    <w:name w:val="H-Titre 1"/>
    <w:basedOn w:val="Normal"/>
    <w:qFormat/>
    <w:rsid w:val="00BC03B8"/>
    <w:pPr>
      <w:spacing w:before="0" w:after="120" w:line="280" w:lineRule="atLeast"/>
      <w:jc w:val="left"/>
    </w:pPr>
    <w:rPr>
      <w:rFonts w:cs="Arial"/>
      <w:b/>
      <w:color w:val="373737"/>
      <w:szCs w:val="60"/>
    </w:rPr>
  </w:style>
  <w:style w:type="paragraph" w:styleId="NormalWeb">
    <w:name w:val="Normal (Web)"/>
    <w:basedOn w:val="Normal"/>
    <w:uiPriority w:val="99"/>
    <w:unhideWhenUsed/>
    <w:rsid w:val="00BB68D4"/>
    <w:pPr>
      <w:spacing w:before="100" w:beforeAutospacing="1" w:after="100" w:afterAutospacing="1" w:line="240" w:lineRule="auto"/>
      <w:jc w:val="left"/>
    </w:pPr>
    <w:rPr>
      <w:rFonts w:ascii="Times New Roman" w:eastAsia="Calibri" w:hAnsi="Times New Roman"/>
      <w:sz w:val="24"/>
    </w:rPr>
  </w:style>
  <w:style w:type="paragraph" w:styleId="Subtitle">
    <w:name w:val="Subtitle"/>
    <w:basedOn w:val="Normal"/>
    <w:link w:val="SubtitleChar"/>
    <w:uiPriority w:val="11"/>
    <w:qFormat/>
    <w:rsid w:val="00C008A4"/>
    <w:pPr>
      <w:numPr>
        <w:numId w:val="19"/>
      </w:numPr>
      <w:spacing w:before="120" w:after="120" w:line="280" w:lineRule="atLeast"/>
      <w:outlineLvl w:val="1"/>
    </w:pPr>
    <w:rPr>
      <w:b/>
      <w:sz w:val="16"/>
      <w:szCs w:val="16"/>
    </w:rPr>
  </w:style>
  <w:style w:type="character" w:customStyle="1" w:styleId="SubtitleChar">
    <w:name w:val="Subtitle Char"/>
    <w:basedOn w:val="DefaultParagraphFont"/>
    <w:link w:val="Subtitle"/>
    <w:uiPriority w:val="11"/>
    <w:rsid w:val="00C008A4"/>
    <w:rPr>
      <w:rFonts w:ascii="Arial" w:hAnsi="Arial"/>
      <w:b/>
      <w:sz w:val="16"/>
      <w:szCs w:val="16"/>
      <w:lang w:val="sv-SE" w:eastAsia="sv-SE"/>
    </w:rPr>
  </w:style>
  <w:style w:type="character" w:customStyle="1" w:styleId="Heading4Char2Char1">
    <w:name w:val="Heading 4 Char2 Char1"/>
    <w:basedOn w:val="DefaultParagraphFont"/>
    <w:uiPriority w:val="99"/>
    <w:rsid w:val="00123367"/>
    <w:rPr>
      <w:rFonts w:ascii="Arial" w:hAnsi="Arial"/>
      <w:i/>
      <w:color w:val="373737"/>
      <w:position w:val="6"/>
      <w:sz w:val="12"/>
      <w:vertAlign w:val="baseline"/>
      <w:lang w:val="sv-SE" w:eastAsia="sv-SE"/>
    </w:rPr>
  </w:style>
  <w:style w:type="character" w:styleId="Strong">
    <w:name w:val="Strong"/>
    <w:basedOn w:val="DefaultParagraphFont"/>
    <w:uiPriority w:val="22"/>
    <w:qFormat/>
    <w:rsid w:val="00753F39"/>
    <w:rPr>
      <w:b/>
      <w:bCs/>
      <w:lang w:val="sv-SE" w:eastAsia="sv-SE"/>
    </w:rPr>
  </w:style>
  <w:style w:type="table" w:customStyle="1" w:styleId="Mriekatabuky1">
    <w:name w:val="Mriežka tabuľky1"/>
    <w:basedOn w:val="TableNormal"/>
    <w:next w:val="TableGrid"/>
    <w:uiPriority w:val="39"/>
    <w:rsid w:val="00D12A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
    <w:name w:val="Mriežka tabuľky2"/>
    <w:basedOn w:val="TableNormal"/>
    <w:next w:val="TableGrid"/>
    <w:uiPriority w:val="39"/>
    <w:rsid w:val="009B22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
    <w:name w:val="Mriežka tabuľky3"/>
    <w:basedOn w:val="TableNormal"/>
    <w:next w:val="TableGrid"/>
    <w:uiPriority w:val="39"/>
    <w:rsid w:val="00676E1E"/>
    <w:rPr>
      <w:rFonts w:ascii="Calibri" w:eastAsia="Calibri" w:hAnsi="Calibri"/>
      <w:sz w:val="22"/>
      <w:szCs w:val="22"/>
      <w:lang w:val="sk-S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
    <w:name w:val="Mriežka tabuľky4"/>
    <w:basedOn w:val="TableNormal"/>
    <w:next w:val="TableGrid"/>
    <w:uiPriority w:val="39"/>
    <w:rsid w:val="00546E33"/>
    <w:rPr>
      <w:rFonts w:ascii="Calibri" w:eastAsia="Calibri" w:hAnsi="Calibri"/>
      <w:sz w:val="22"/>
      <w:szCs w:val="22"/>
      <w:lang w:val="sk-S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2">
    <w:name w:val="Nicht aufgelöste Erwähnung2"/>
    <w:basedOn w:val="DefaultParagraphFont"/>
    <w:uiPriority w:val="99"/>
    <w:semiHidden/>
    <w:unhideWhenUsed/>
    <w:rsid w:val="00E828C2"/>
    <w:rPr>
      <w:color w:val="808080"/>
      <w:lang w:val="sv-SE" w:eastAsia="sv-SE"/>
    </w:rPr>
  </w:style>
  <w:style w:type="table" w:customStyle="1" w:styleId="Tabukasmriekou5tmavzvraznenie11">
    <w:name w:val="Tabuľka s mriežkou 5 – tmavá – zvýraznenie 11"/>
    <w:basedOn w:val="TableNormal"/>
    <w:uiPriority w:val="50"/>
    <w:rsid w:val="0036599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CE5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07E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07E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07E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07E31"/>
      </w:tcPr>
    </w:tblStylePr>
    <w:tblStylePr w:type="band1Vert">
      <w:tblPr/>
      <w:tcPr>
        <w:shd w:val="clear" w:color="auto" w:fill="F9CBAC"/>
      </w:tcPr>
    </w:tblStylePr>
    <w:tblStylePr w:type="band1Horz">
      <w:tblPr/>
      <w:tcPr>
        <w:shd w:val="clear" w:color="auto" w:fill="F9CBAC"/>
      </w:tcPr>
    </w:tblStylePr>
  </w:style>
  <w:style w:type="character" w:styleId="PlaceholderText">
    <w:name w:val="Placeholder Text"/>
    <w:basedOn w:val="DefaultParagraphFont"/>
    <w:uiPriority w:val="99"/>
    <w:semiHidden/>
    <w:rsid w:val="00C2385E"/>
    <w:rPr>
      <w:color w:val="808080"/>
      <w:lang w:val="sv-SE" w:eastAsia="sv-SE"/>
    </w:rPr>
  </w:style>
  <w:style w:type="character" w:customStyle="1" w:styleId="NichtaufgelsteErwhnung3">
    <w:name w:val="Nicht aufgelöste Erwähnung3"/>
    <w:basedOn w:val="DefaultParagraphFont"/>
    <w:uiPriority w:val="99"/>
    <w:semiHidden/>
    <w:unhideWhenUsed/>
    <w:rsid w:val="00F83CA0"/>
    <w:rPr>
      <w:color w:val="808080"/>
      <w:lang w:val="sv-SE" w:eastAsia="sv-SE"/>
    </w:rPr>
  </w:style>
  <w:style w:type="character" w:customStyle="1" w:styleId="NichtaufgelsteErwhnung4">
    <w:name w:val="Nicht aufgelöste Erwähnung4"/>
    <w:basedOn w:val="DefaultParagraphFont"/>
    <w:uiPriority w:val="99"/>
    <w:semiHidden/>
    <w:unhideWhenUsed/>
    <w:rsid w:val="00CD220A"/>
    <w:rPr>
      <w:color w:val="808080"/>
      <w:lang w:val="sv-SE" w:eastAsia="sv-SE"/>
    </w:rPr>
  </w:style>
  <w:style w:type="character" w:customStyle="1" w:styleId="HStandardCar">
    <w:name w:val="H_Standard Car"/>
    <w:basedOn w:val="DefaultParagraphFont"/>
    <w:link w:val="HStandard"/>
    <w:rsid w:val="00BB6B80"/>
    <w:rPr>
      <w:rFonts w:ascii="Arial" w:hAnsi="Arial"/>
      <w:color w:val="373737"/>
      <w:lang w:val="sv-SE" w:eastAsia="sv-SE" w:bidi="ar-SA"/>
    </w:rPr>
  </w:style>
  <w:style w:type="character" w:customStyle="1" w:styleId="UnresolvedMention2">
    <w:name w:val="Unresolved Mention2"/>
    <w:basedOn w:val="DefaultParagraphFont"/>
    <w:uiPriority w:val="99"/>
    <w:semiHidden/>
    <w:unhideWhenUsed/>
    <w:rsid w:val="00B50856"/>
    <w:rPr>
      <w:color w:val="808080"/>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ec.europa.eu/agriculture/sites/agriculture/files/cap-indicators/result/rd-target-indicators_en.pdf" TargetMode="External"/><Relationship Id="rId26" Type="http://schemas.openxmlformats.org/officeDocument/2006/relationships/hyperlink" Target="http://ec.europa.eu/eurostat/web/europe-2020-indicators/europe-2020-strategy/targets" TargetMode="External"/><Relationship Id="rId39" Type="http://schemas.openxmlformats.org/officeDocument/2006/relationships/hyperlink" Target="https://enrd.ec.europa.eu/news-events/news/ex-post-evaluation-rdps-2007-2013_en" TargetMode="External"/><Relationship Id="rId21" Type="http://schemas.openxmlformats.org/officeDocument/2006/relationships/hyperlink" Target="https://enrd.ec.europa.eu/evaluation/publications/evaluation-leaderclld_en" TargetMode="External"/><Relationship Id="rId34" Type="http://schemas.openxmlformats.org/officeDocument/2006/relationships/image" Target="media/image7.emf"/><Relationship Id="rId42" Type="http://schemas.openxmlformats.org/officeDocument/2006/relationships/hyperlink" Target="http://enrd.ec.europa.eu/enrd-static/app_templates/enrd_assets/pdf/evaluation/epe_master.pdf" TargetMode="External"/><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ec.europa.eu/sfc/en/system/files/ged/RDP_Annex%2011.pdf" TargetMode="External"/><Relationship Id="rId25" Type="http://schemas.openxmlformats.org/officeDocument/2006/relationships/hyperlink" Target="https://enrd.ec.europa.eu/evaluation/publications/evaluation-innovation-rural-development-programmes-2014-2020_en" TargetMode="External"/><Relationship Id="rId33" Type="http://schemas.openxmlformats.org/officeDocument/2006/relationships/image" Target="media/image6.png"/><Relationship Id="rId38" Type="http://schemas.openxmlformats.org/officeDocument/2006/relationships/hyperlink" Target="https://ec.europa.eu/agriculture/sites/agriculture/files/evaluation/guidelines/2007-2013-ex-post_en.pdf" TargetMode="External"/><Relationship Id="rId46" Type="http://schemas.openxmlformats.org/officeDocument/2006/relationships/image" Target="media/image10.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nrd.ec.europa.eu/sites/enrd/files/twg-01_rdp_results.pdf" TargetMode="External"/><Relationship Id="rId20" Type="http://schemas.openxmlformats.org/officeDocument/2006/relationships/hyperlink" Target="https://enrd.ec.europa.eu/evaluation/publications/guidelines-assessment-rdp-results-how-prepare-reporting-evaluation-2017_en" TargetMode="External"/><Relationship Id="rId29" Type="http://schemas.openxmlformats.org/officeDocument/2006/relationships/hyperlink" Target="https://enrd.ec.europa.eu/sites/enrd/files/uploaded-files/wp_evaluation_questions_2015.pdf" TargetMode="External"/><Relationship Id="rId41" Type="http://schemas.openxmlformats.org/officeDocument/2006/relationships/hyperlink" Target="http://enrd.ec.europa.eu/enrd-static/app_templates/enrd_assets/pdf/evaluation/epe_master.pdf" TargetMode="External"/><Relationship Id="rId54"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ec.europa.eu/agriculture/cap-indicators/context_en" TargetMode="External"/><Relationship Id="rId32" Type="http://schemas.openxmlformats.org/officeDocument/2006/relationships/image" Target="media/image5.png"/><Relationship Id="rId37" Type="http://schemas.openxmlformats.org/officeDocument/2006/relationships/hyperlink" Target="https://ec.europa.eu/agriculture/sites/agriculture/files/evaluation/guidelines/2007-2013-ex-post_en.pdf" TargetMode="External"/><Relationship Id="rId40" Type="http://schemas.openxmlformats.org/officeDocument/2006/relationships/hyperlink" Target="https://enrd.ec.europa.eu/news-events/news/ex-post-evaluation-rdps-2007-2013_en" TargetMode="External"/><Relationship Id="rId45" Type="http://schemas.openxmlformats.org/officeDocument/2006/relationships/image" Target="media/image9.png"/><Relationship Id="rId53" Type="http://schemas.openxmlformats.org/officeDocument/2006/relationships/image" Target="media/image17.png"/><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s://ec.europa.eu/agriculture/sites/agriculture/files/cap-indicators/impact/2016-impact-indicators-fiches.pdf" TargetMode="External"/><Relationship Id="rId28" Type="http://schemas.openxmlformats.org/officeDocument/2006/relationships/hyperlink" Target="https://ec.europa.eu/agriculture/cap-indicators/context/2016/2016-context-indicators-fiches.pdf" TargetMode="External"/><Relationship Id="rId36" Type="http://schemas.openxmlformats.org/officeDocument/2006/relationships/hyperlink" Target="https://www.envieval.eu/fileadmin/envieval/dissemination/deliverables/D9.5_Handbook_for_the_evaluation_of_environmental_impacts_of_RDPs.pdf" TargetMode="External"/><Relationship Id="rId49" Type="http://schemas.openxmlformats.org/officeDocument/2006/relationships/image" Target="media/image13.png"/><Relationship Id="rId57"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hyperlink" Target="https://ec.europa.eu/agriculture/sites/agriculture/files/cap-indicators/result/complementary-result-indicator-fiches-pillar-ii_en.pdf" TargetMode="External"/><Relationship Id="rId31" Type="http://schemas.openxmlformats.org/officeDocument/2006/relationships/footer" Target="footer4.xml"/><Relationship Id="rId44" Type="http://schemas.openxmlformats.org/officeDocument/2006/relationships/hyperlink" Target="https://ec.europa.eu/agriculture/sites/agriculture/files/evaluation/guidelines/2007-2013-ex-post_en.pdf" TargetMode="External"/><Relationship Id="rId52" Type="http://schemas.openxmlformats.org/officeDocument/2006/relationships/image" Target="media/image16.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nrd.ec.europa.eu/evaluation/publications/guidelines-assessment-rdp-results-how-prepare-reporting-evaluation-2017_en" TargetMode="External"/><Relationship Id="rId22" Type="http://schemas.openxmlformats.org/officeDocument/2006/relationships/hyperlink" Target="https://enrd.ec.europa.eu/evaluation/publications/evaluation-innovation-rural-development-programmes-2014-2020_en" TargetMode="External"/><Relationship Id="rId27" Type="http://schemas.openxmlformats.org/officeDocument/2006/relationships/hyperlink" Target="http://ec.europa.eu/eurostat/documents/4411192/4411431/Europe_2020_Targets.pdf" TargetMode="External"/><Relationship Id="rId30" Type="http://schemas.openxmlformats.org/officeDocument/2006/relationships/footer" Target="footer3.xml"/><Relationship Id="rId35" Type="http://schemas.openxmlformats.org/officeDocument/2006/relationships/image" Target="media/image8.emf"/><Relationship Id="rId43" Type="http://schemas.openxmlformats.org/officeDocument/2006/relationships/hyperlink" Target="https://ec.europa.eu/agriculture/sites/agriculture/files/evaluation/guidelines/2007-2013-ex-post_en.pdf" TargetMode="External"/><Relationship Id="rId48" Type="http://schemas.openxmlformats.org/officeDocument/2006/relationships/image" Target="media/image12.png"/><Relationship Id="rId56" Type="http://schemas.openxmlformats.org/officeDocument/2006/relationships/image" Target="media/image20.png"/><Relationship Id="rId8" Type="http://schemas.openxmlformats.org/officeDocument/2006/relationships/image" Target="media/image1.jpeg"/><Relationship Id="rId51" Type="http://schemas.openxmlformats.org/officeDocument/2006/relationships/image" Target="media/image15.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agriculture/sites/agriculture/files/evaluation/guidelines/2017-update-technical-handbook-monitoring-evaluation-framework_en.pdf" TargetMode="External"/><Relationship Id="rId3" Type="http://schemas.openxmlformats.org/officeDocument/2006/relationships/hyperlink" Target="file:///C:\Users\wimmer\AppData\Local\Microsoft\Windows\INetCache\Content.Outlook\3TA5XJ7V\ur-lex.europa.eu\legal-content\EN\TXT\%3furi=uriserv:OJ.L_.2014.356.01.0438.01.ENG" TargetMode="External"/><Relationship Id="rId7" Type="http://schemas.openxmlformats.org/officeDocument/2006/relationships/hyperlink" Target="https://ec.europa.eu/agriculture/sites/agriculture/files/evaluation/guidelines/2017-update-technical-handbook-monitoring-evaluation-framework_en.pdf" TargetMode="External"/><Relationship Id="rId2" Type="http://schemas.openxmlformats.org/officeDocument/2006/relationships/hyperlink" Target="http://eur-lex.europa.eu/legal-content/sv/ALL/?uri=CELEX%3A32014R0808" TargetMode="External"/><Relationship Id="rId1" Type="http://schemas.openxmlformats.org/officeDocument/2006/relationships/hyperlink" Target="https://enrd.ec.europa.eu/sites/enrd/files/uploaded-files/twg-05-ep-june2015_0.pdf" TargetMode="External"/><Relationship Id="rId6" Type="http://schemas.openxmlformats.org/officeDocument/2006/relationships/hyperlink" Target="http://eur-lex.europa.eu/legal-content/sv/ALL/?uri=CELEX%3A32014R0808" TargetMode="External"/><Relationship Id="rId5" Type="http://schemas.openxmlformats.org/officeDocument/2006/relationships/hyperlink" Target="http://eur-lex.europa.eu/legal-content/SV/TXT/?uri=CELEX%3A32014R0834" TargetMode="External"/><Relationship Id="rId4" Type="http://schemas.openxmlformats.org/officeDocument/2006/relationships/hyperlink" Target="http://eur-lex.europa.eu/legal-content/SV/TXT/?uri=celex:32013R1306" TargetMode="External"/><Relationship Id="rId9" Type="http://schemas.openxmlformats.org/officeDocument/2006/relationships/hyperlink" Target="https://enrd.ec.europa.eu/evaluation/publications/guidelines-assessment-rdp-results-how-prepare-reporting-evaluation-2017_en"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0523E5-794D-43AD-BE93-B21CFB0C2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7178</Words>
  <Characters>40917</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48000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2018-11-20T08:47:00Z</dcterms:created>
  <dcterms:modified xsi:type="dcterms:W3CDTF">2018-11-20T08:52:00Z</dcterms:modified>
</cp:coreProperties>
</file>