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6061" w:rsidRPr="00571D58" w:rsidRDefault="00A4550A" w:rsidP="0017331C">
      <w:pPr>
        <w:pStyle w:val="HHeadingboxes"/>
        <w:numPr>
          <w:ilvl w:val="0"/>
          <w:numId w:val="0"/>
        </w:numPr>
      </w:pPr>
      <w:r>
        <w:rPr>
          <w:noProof/>
          <w:lang w:val="en-GB" w:eastAsia="en-GB" w:bidi="lo-LA"/>
        </w:rPr>
        <w:drawing>
          <wp:anchor distT="0" distB="0" distL="114300" distR="114300" simplePos="0" relativeHeight="251653631" behindDoc="1" locked="0" layoutInCell="1" allowOverlap="1" wp14:anchorId="25F00338" wp14:editId="03B83E8F">
            <wp:simplePos x="0" y="0"/>
            <wp:positionH relativeFrom="margin">
              <wp:posOffset>-911860</wp:posOffset>
            </wp:positionH>
            <wp:positionV relativeFrom="margin">
              <wp:posOffset>-956945</wp:posOffset>
            </wp:positionV>
            <wp:extent cx="7561580" cy="10683240"/>
            <wp:effectExtent l="0" t="0" r="1270" b="381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ne-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1580" cy="10683240"/>
                    </a:xfrm>
                    <a:prstGeom prst="rect">
                      <a:avLst/>
                    </a:prstGeom>
                  </pic:spPr>
                </pic:pic>
              </a:graphicData>
            </a:graphic>
          </wp:anchor>
        </w:drawing>
      </w:r>
      <w:r w:rsidR="000B213F">
        <w:rPr>
          <w:noProof/>
          <w:szCs w:val="24"/>
          <w:lang w:val="en-GB" w:eastAsia="en-GB" w:bidi="lo-LA"/>
        </w:rPr>
        <mc:AlternateContent>
          <mc:Choice Requires="wps">
            <w:drawing>
              <wp:anchor distT="0" distB="0" distL="114300" distR="114300" simplePos="0" relativeHeight="251654656" behindDoc="1" locked="0" layoutInCell="1" allowOverlap="1" wp14:anchorId="4E44A4CD" wp14:editId="3A7336CC">
                <wp:simplePos x="0" y="0"/>
                <wp:positionH relativeFrom="page">
                  <wp:posOffset>2053590</wp:posOffset>
                </wp:positionH>
                <wp:positionV relativeFrom="page">
                  <wp:posOffset>5022215</wp:posOffset>
                </wp:positionV>
                <wp:extent cx="4775835" cy="3150870"/>
                <wp:effectExtent l="0" t="0" r="5715" b="11430"/>
                <wp:wrapTight wrapText="bothSides">
                  <wp:wrapPolygon edited="0">
                    <wp:start x="0" y="0"/>
                    <wp:lineTo x="0" y="21548"/>
                    <wp:lineTo x="21540" y="21548"/>
                    <wp:lineTo x="21540" y="0"/>
                    <wp:lineTo x="0" y="0"/>
                  </wp:wrapPolygon>
                </wp:wrapTight>
                <wp:docPr id="9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835" cy="315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2D8" w:rsidRPr="00E76949" w:rsidRDefault="00A472D8" w:rsidP="00E76949">
                            <w:pPr>
                              <w:pStyle w:val="HTitle1"/>
                            </w:pPr>
                            <w:r>
                              <w:t>PAMATNOSTĀDNES</w:t>
                            </w:r>
                          </w:p>
                          <w:p w:rsidR="00A472D8" w:rsidRPr="00196DF6" w:rsidRDefault="00A472D8" w:rsidP="00196DF6">
                            <w:pPr>
                              <w:pStyle w:val="HTitle2"/>
                            </w:pPr>
                            <w:r>
                              <w:t>LAP sasniegumu un ietekmes izvērtējums 2019. gadā</w:t>
                            </w:r>
                          </w:p>
                          <w:p w:rsidR="00A472D8" w:rsidRPr="00F15219" w:rsidRDefault="00A472D8" w:rsidP="00196DF6">
                            <w:pPr>
                              <w:pStyle w:val="HTitle2"/>
                            </w:pPr>
                          </w:p>
                          <w:p w:rsidR="00A472D8" w:rsidRPr="00435F02" w:rsidRDefault="00A472D8" w:rsidP="00196DF6">
                            <w:pPr>
                              <w:pStyle w:val="HTitle3"/>
                              <w:rPr>
                                <w:color w:val="auto"/>
                              </w:rPr>
                            </w:pPr>
                            <w:r>
                              <w:rPr>
                                <w:color w:val="auto"/>
                              </w:rPr>
                              <w:t>2018. gada augusts</w:t>
                            </w:r>
                          </w:p>
                          <w:p w:rsidR="00A472D8" w:rsidRDefault="00A472D8" w:rsidP="00196DF6">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44A4CD" id="_x0000_t202" coordsize="21600,21600" o:spt="202" path="m,l,21600r21600,l21600,xe">
                <v:stroke joinstyle="miter"/>
                <v:path gradientshapeok="t" o:connecttype="rect"/>
              </v:shapetype>
              <v:shape id="Text Box 5" o:spid="_x0000_s1026" type="#_x0000_t202" style="position:absolute;margin-left:161.7pt;margin-top:395.45pt;width:376.05pt;height:248.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0tFsgIAAKw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" filled="f" stroked="f">
                <v:textbox inset="0,0,0,0">
                  <w:txbxContent>
                    <w:p w:rsidR="00A472D8" w:rsidRPr="00E76949" w:rsidRDefault="00A472D8" w:rsidP="00E76949">
                      <w:pPr>
                        <w:pStyle w:val="HTitle1"/>
                      </w:pPr>
                      <w:r>
                        <w:t>PAMATNOSTĀDNES</w:t>
                      </w:r>
                    </w:p>
                    <w:p w:rsidR="00A472D8" w:rsidRPr="00196DF6" w:rsidRDefault="00A472D8" w:rsidP="00196DF6">
                      <w:pPr>
                        <w:pStyle w:val="HTitle2"/>
                      </w:pPr>
                      <w:r>
                        <w:t>LAP sasniegumu un ietekmes izvērtējums 2019. gadā</w:t>
                      </w:r>
                    </w:p>
                    <w:p w:rsidR="00A472D8" w:rsidRPr="00F15219" w:rsidRDefault="00A472D8" w:rsidP="00196DF6">
                      <w:pPr>
                        <w:pStyle w:val="HTitle2"/>
                      </w:pPr>
                    </w:p>
                    <w:p w:rsidR="00A472D8" w:rsidRPr="00435F02" w:rsidRDefault="00A472D8" w:rsidP="00196DF6">
                      <w:pPr>
                        <w:pStyle w:val="HTitle3"/>
                        <w:rPr>
                          <w:color w:val="auto"/>
                        </w:rPr>
                      </w:pPr>
                      <w:r>
                        <w:rPr>
                          <w:color w:val="auto"/>
                        </w:rPr>
                        <w:t>2018. gada augusts</w:t>
                      </w:r>
                    </w:p>
                    <w:p w:rsidR="00A472D8" w:rsidRDefault="00A472D8" w:rsidP="00196DF6">
                      <w:pPr>
                        <w:pStyle w:val="HTitle3"/>
                      </w:pPr>
                    </w:p>
                  </w:txbxContent>
                </v:textbox>
                <w10:wrap type="tight" anchorx="page" anchory="page"/>
              </v:shape>
            </w:pict>
          </mc:Fallback>
        </mc:AlternateContent>
      </w:r>
      <w:r w:rsidR="000B213F">
        <w:t xml:space="preserve"> </w:t>
      </w:r>
      <w:r w:rsidR="000B213F">
        <w:br w:type="page"/>
      </w:r>
    </w:p>
    <w:p w:rsidR="00016061" w:rsidRPr="00571D58" w:rsidRDefault="000B213F" w:rsidP="007C6797">
      <w:pPr>
        <w:pStyle w:val="HStandard"/>
      </w:pPr>
      <w:r>
        <w:rPr>
          <w:noProof/>
          <w:lang w:val="en-GB" w:eastAsia="en-GB" w:bidi="lo-LA"/>
        </w:rPr>
        <w:lastRenderedPageBreak/>
        <mc:AlternateContent>
          <mc:Choice Requires="wps">
            <w:drawing>
              <wp:anchor distT="0" distB="0" distL="114300" distR="114300" simplePos="0" relativeHeight="251664896" behindDoc="0" locked="0" layoutInCell="1" allowOverlap="1" wp14:anchorId="710A0048" wp14:editId="27B9B1A2">
                <wp:simplePos x="0" y="0"/>
                <wp:positionH relativeFrom="margin">
                  <wp:posOffset>-426085</wp:posOffset>
                </wp:positionH>
                <wp:positionV relativeFrom="paragraph">
                  <wp:posOffset>4095115</wp:posOffset>
                </wp:positionV>
                <wp:extent cx="6583680" cy="5161915"/>
                <wp:effectExtent l="0" t="0" r="0" b="0"/>
                <wp:wrapNone/>
                <wp:docPr id="9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A472D8" w:rsidRPr="00811EF1" w:rsidRDefault="00A472D8" w:rsidP="00811EF1">
                            <w:pPr>
                              <w:pStyle w:val="Hdisclaimer"/>
                            </w:pPr>
                            <w:r>
                              <w:t>Paziņojums par autortiesībām</w:t>
                            </w:r>
                          </w:p>
                          <w:p w:rsidR="00A472D8" w:rsidRPr="00811EF1" w:rsidRDefault="00A472D8" w:rsidP="00811EF1">
                            <w:pPr>
                              <w:pStyle w:val="Hdisclaimer"/>
                            </w:pPr>
                            <w:r>
                              <w:t>© Eiropas Savienība, 2018. gads</w:t>
                            </w:r>
                          </w:p>
                          <w:p w:rsidR="00A472D8" w:rsidRPr="00811EF1" w:rsidRDefault="00A472D8" w:rsidP="00811EF1">
                            <w:pPr>
                              <w:pStyle w:val="Hdisclaimer"/>
                            </w:pPr>
                            <w:r>
                              <w:t>Reproducēt ir atļauts ar norādi uz avotu.</w:t>
                            </w:r>
                          </w:p>
                          <w:p w:rsidR="00A472D8" w:rsidRPr="00811EF1" w:rsidRDefault="00A472D8" w:rsidP="00811EF1">
                            <w:pPr>
                              <w:pStyle w:val="Hdisclaimer"/>
                            </w:pPr>
                            <w:r>
                              <w:t xml:space="preserve">Ieteiktā norāde: </w:t>
                            </w:r>
                          </w:p>
                          <w:p w:rsidR="00A472D8" w:rsidRDefault="00A472D8" w:rsidP="00435F02">
                            <w:pPr>
                              <w:pStyle w:val="Hdisclaimer"/>
                            </w:pPr>
                            <w:r>
                              <w:t xml:space="preserve">EIROPAS KOMISIJA — Lauksaimniecības un lauku attīstības ģenerāldirektorāts — C.4 nodaļa (2018): Pamatnostādnes. LAP sasniegumu un ietekmes izvērtējums 2019. gadā. Brisele, 2018. gada augusts. </w:t>
                            </w:r>
                          </w:p>
                          <w:p w:rsidR="00A472D8" w:rsidRPr="00811EF1" w:rsidRDefault="00A472D8" w:rsidP="00811EF1">
                            <w:pPr>
                              <w:pStyle w:val="Hdisclaimer"/>
                            </w:pPr>
                            <w:r>
                              <w:t>Atruna</w:t>
                            </w:r>
                          </w:p>
                          <w:p w:rsidR="00A472D8" w:rsidRPr="00811EF1" w:rsidRDefault="00A472D8" w:rsidP="00811EF1">
                            <w:pPr>
                              <w:pStyle w:val="Hdisclaimer"/>
                            </w:pPr>
                            <w:r>
                              <w:t>Par šajās pamatnostādnēs minēto informāciju un uzskatiem ir atbildīgi to autori, un pamatnostādnes var neatspoguļot Komisijas oficiālo viedokli. Komisija negarantē šajās pamatnostādnēs iekļauto datu precizitāti. Ne Komisija, ne arī kāda cita persona, kas rīkojas Komisijas vārdā, nevar tikt uzskatīta par atbildīgu par šajā dokumentā iekļautās informācijas iespējamo izmantošanu.</w:t>
                            </w:r>
                          </w:p>
                          <w:p w:rsidR="00A472D8" w:rsidRPr="00811EF1" w:rsidRDefault="00A472D8" w:rsidP="005B24FC">
                            <w:pPr>
                              <w:pStyle w:val="Hdisclaimer"/>
                              <w:tabs>
                                <w:tab w:val="right" w:pos="10065"/>
                              </w:tabs>
                            </w:pPr>
                            <w:r>
                              <w:rPr>
                                <w:noProof/>
                                <w:color w:val="auto"/>
                                <w:lang w:val="en-GB" w:eastAsia="en-GB" w:bidi="lo-LA"/>
                              </w:rPr>
                              <w:drawing>
                                <wp:inline distT="0" distB="0" distL="0" distR="0" wp14:anchorId="48CE8984" wp14:editId="367E6AB0">
                                  <wp:extent cx="1676400" cy="792474"/>
                                  <wp:effectExtent l="0" t="0" r="0" b="8255"/>
                                  <wp:docPr id="6"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9">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color w:val="auto"/>
                                <w:lang w:val="en-GB" w:eastAsia="en-GB" w:bidi="lo-LA"/>
                              </w:rPr>
                              <w:drawing>
                                <wp:inline distT="0" distB="0" distL="0" distR="0" wp14:anchorId="2ACFC4B2" wp14:editId="7FB9A392">
                                  <wp:extent cx="1808480" cy="665125"/>
                                  <wp:effectExtent l="0" t="0" r="1270" b="1905"/>
                                  <wp:docPr id="9"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A472D8" w:rsidRPr="00811EF1" w:rsidRDefault="00A472D8" w:rsidP="00811EF1">
                            <w:pPr>
                              <w:pStyle w:val="Hdisclaimer"/>
                            </w:pPr>
                            <w:r>
                              <w:t xml:space="preserve">Novērtēšanas palīdzības dienests atbild par novērtējuma veikšanu Eiropas Lauku attīstības tīklā (ELAT), sniedzot norādījumus par LAP novērtēšanu un Eiropas Komisijas AGRI ĢD C.4 nodaļas “Uzraudzība un novērtēšana” kompetences jomā esošo politiku. Lai uzlabotu ES lauku attīstības politikas novērtēšanu, Novērtēšanas palīdzības dienests atbalsta visas novērtēšanā ieinteresētās personas, jo īpaši AGRI ĢD, valstu iestādes, LAP vadošās iestādes un vērtētājus, tālab izstrādājot un izplatot piemērotas metodikas </w:t>
                            </w:r>
                            <w:r>
                              <w:t>un instrumentus, apkopojot paraugprakses un nodrošinot to apmaiņu; veidojot spējas un sazinoties ar tīkla locekļiem ar novērtēšanu saistītos jautājumos.</w:t>
                            </w:r>
                          </w:p>
                          <w:p w:rsidR="00A472D8" w:rsidRPr="00811EF1" w:rsidRDefault="00A472D8" w:rsidP="00811EF1">
                            <w:pPr>
                              <w:pStyle w:val="Hdisclaimer"/>
                            </w:pPr>
                            <w:r>
                              <w:t xml:space="preserve">Papildu informācija par Eiropas Novērtēšanas palīdzības dienestu lauku attīstības jautājumos ir pieejama </w:t>
                            </w:r>
                            <w:r>
                              <w:rPr>
                                <w:i/>
                              </w:rPr>
                              <w:t>Europa</w:t>
                            </w:r>
                            <w:r>
                              <w:t xml:space="preserve"> tīmekļa serverī (http://enrd.ec.europa.eu).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A0048" id="Text Box 7" o:spid="_x0000_s1027" type="#_x0000_t202" style="position:absolute;left:0;text-align:left;margin-left:-33.55pt;margin-top:322.45pt;width:518.4pt;height:406.4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" stroked="f">
                <v:fill opacity="0"/>
                <v:textbox>
                  <w:txbxContent>
                    <w:p w:rsidR="00A472D8" w:rsidRPr="00811EF1" w:rsidRDefault="00A472D8" w:rsidP="00811EF1">
                      <w:pPr>
                        <w:pStyle w:val="Hdisclaimer"/>
                      </w:pPr>
                      <w:r>
                        <w:t>Paziņojums par autortiesībām</w:t>
                      </w:r>
                    </w:p>
                    <w:p w:rsidR="00A472D8" w:rsidRPr="00811EF1" w:rsidRDefault="00A472D8" w:rsidP="00811EF1">
                      <w:pPr>
                        <w:pStyle w:val="Hdisclaimer"/>
                      </w:pPr>
                      <w:r>
                        <w:t>© Eiropas Savienība, 2018. gads</w:t>
                      </w:r>
                    </w:p>
                    <w:p w:rsidR="00A472D8" w:rsidRPr="00811EF1" w:rsidRDefault="00A472D8" w:rsidP="00811EF1">
                      <w:pPr>
                        <w:pStyle w:val="Hdisclaimer"/>
                      </w:pPr>
                      <w:r>
                        <w:t>Reproducēt ir atļauts ar norādi uz avotu.</w:t>
                      </w:r>
                    </w:p>
                    <w:p w:rsidR="00A472D8" w:rsidRPr="00811EF1" w:rsidRDefault="00A472D8" w:rsidP="00811EF1">
                      <w:pPr>
                        <w:pStyle w:val="Hdisclaimer"/>
                      </w:pPr>
                      <w:r>
                        <w:t xml:space="preserve">Ieteiktā norāde: </w:t>
                      </w:r>
                    </w:p>
                    <w:p w:rsidR="00A472D8" w:rsidRDefault="00A472D8" w:rsidP="00435F02">
                      <w:pPr>
                        <w:pStyle w:val="Hdisclaimer"/>
                      </w:pPr>
                      <w:r>
                        <w:t xml:space="preserve">EIROPAS KOMISIJA — Lauksaimniecības un lauku attīstības ģenerāldirektorāts — C.4 nodaļa (2018): Pamatnostādnes. LAP sasniegumu un ietekmes izvērtējums 2019. gadā. Brisele, 2018. gada augusts. </w:t>
                      </w:r>
                    </w:p>
                    <w:p w:rsidR="00A472D8" w:rsidRPr="00811EF1" w:rsidRDefault="00A472D8" w:rsidP="00811EF1">
                      <w:pPr>
                        <w:pStyle w:val="Hdisclaimer"/>
                      </w:pPr>
                      <w:r>
                        <w:t>Atruna</w:t>
                      </w:r>
                    </w:p>
                    <w:p w:rsidR="00A472D8" w:rsidRPr="00811EF1" w:rsidRDefault="00A472D8" w:rsidP="00811EF1">
                      <w:pPr>
                        <w:pStyle w:val="Hdisclaimer"/>
                      </w:pPr>
                      <w:r>
                        <w:t>Par šajās pamatnostādnēs minēto informāciju un uzskatiem ir atbildīgi to autori, un pamatnostādnes var neatspoguļot Komisijas oficiālo viedokli. Komisija negarantē šajās pamatnostādnēs iekļauto datu precizitāti. Ne Komisija, ne arī kāda cita persona, kas rīkojas Komisijas vārdā, nevar tikt uzskatīta par atbildīgu par šajā dokumentā iekļautās informācijas iespējamo izmantošanu.</w:t>
                      </w:r>
                    </w:p>
                    <w:p w:rsidR="00A472D8" w:rsidRPr="00811EF1" w:rsidRDefault="00A472D8" w:rsidP="005B24FC">
                      <w:pPr>
                        <w:pStyle w:val="Hdisclaimer"/>
                        <w:tabs>
                          <w:tab w:val="right" w:pos="10065"/>
                        </w:tabs>
                      </w:pPr>
                      <w:r>
                        <w:rPr>
                          <w:noProof/>
                          <w:color w:val="auto"/>
                          <w:lang w:val="en-GB" w:eastAsia="en-GB" w:bidi="lo-LA"/>
                        </w:rPr>
                        <w:drawing>
                          <wp:inline distT="0" distB="0" distL="0" distR="0" wp14:anchorId="48CE8984" wp14:editId="367E6AB0">
                            <wp:extent cx="1676400" cy="792474"/>
                            <wp:effectExtent l="0" t="0" r="0" b="8255"/>
                            <wp:docPr id="6"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9">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color w:val="auto"/>
                          <w:lang w:val="en-GB" w:eastAsia="en-GB" w:bidi="lo-LA"/>
                        </w:rPr>
                        <w:drawing>
                          <wp:inline distT="0" distB="0" distL="0" distR="0" wp14:anchorId="2ACFC4B2" wp14:editId="7FB9A392">
                            <wp:extent cx="1808480" cy="665125"/>
                            <wp:effectExtent l="0" t="0" r="1270" b="1905"/>
                            <wp:docPr id="9"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A472D8" w:rsidRPr="00811EF1" w:rsidRDefault="00A472D8" w:rsidP="00811EF1">
                      <w:pPr>
                        <w:pStyle w:val="Hdisclaimer"/>
                      </w:pPr>
                      <w:r>
                        <w:t xml:space="preserve">Novērtēšanas palīdzības dienests atbild par novērtējuma veikšanu Eiropas Lauku attīstības tīklā (ELAT), sniedzot norādījumus par LAP novērtēšanu un Eiropas Komisijas AGRI ĢD C.4 nodaļas “Uzraudzība un novērtēšana” kompetences jomā esošo politiku. Lai uzlabotu ES lauku attīstības politikas novērtēšanu, Novērtēšanas palīdzības dienests atbalsta visas novērtēšanā ieinteresētās personas, jo īpaši AGRI ĢD, valstu iestādes, LAP vadošās iestādes un vērtētājus, tālab izstrādājot un izplatot piemērotas metodikas </w:t>
                      </w:r>
                      <w:r>
                        <w:t>un instrumentus, apkopojot paraugprakses un nodrošinot to apmaiņu; veidojot spējas un sazinoties ar tīkla locekļiem ar novērtēšanu saistītos jautājumos.</w:t>
                      </w:r>
                    </w:p>
                    <w:p w:rsidR="00A472D8" w:rsidRPr="00811EF1" w:rsidRDefault="00A472D8" w:rsidP="00811EF1">
                      <w:pPr>
                        <w:pStyle w:val="Hdisclaimer"/>
                      </w:pPr>
                      <w:r>
                        <w:t xml:space="preserve">Papildu informācija par Eiropas Novērtēšanas palīdzības dienestu lauku attīstības jautājumos ir pieejama </w:t>
                      </w:r>
                      <w:r>
                        <w:rPr>
                          <w:i/>
                        </w:rPr>
                        <w:t>Europa</w:t>
                      </w:r>
                      <w:r>
                        <w:t xml:space="preserve"> tīmekļa serverī (http://enrd.ec.europa.eu).</w:t>
                      </w:r>
                    </w:p>
                  </w:txbxContent>
                </v:textbox>
                <w10:wrap anchorx="margin"/>
              </v:shape>
            </w:pict>
          </mc:Fallback>
        </mc:AlternateContent>
      </w:r>
      <w:r>
        <w:br w:type="page"/>
      </w:r>
    </w:p>
    <w:p w:rsidR="00016061" w:rsidRPr="00571D58" w:rsidRDefault="00016061" w:rsidP="007C6797">
      <w:pPr>
        <w:pStyle w:val="HStandard"/>
      </w:pPr>
    </w:p>
    <w:p w:rsidR="00016061" w:rsidRPr="00571D58" w:rsidRDefault="00016061" w:rsidP="007C6797">
      <w:pPr>
        <w:pStyle w:val="HStandard"/>
      </w:pPr>
    </w:p>
    <w:p w:rsidR="00016061" w:rsidRPr="00571D58" w:rsidRDefault="00016061" w:rsidP="007C6797">
      <w:pPr>
        <w:pStyle w:val="HStandard"/>
      </w:pPr>
    </w:p>
    <w:p w:rsidR="00016061" w:rsidRPr="00571D58" w:rsidRDefault="000B213F" w:rsidP="007C6797">
      <w:pPr>
        <w:pStyle w:val="HStandard"/>
      </w:pPr>
      <w:r>
        <w:rPr>
          <w:noProof/>
          <w:lang w:val="en-GB" w:eastAsia="en-GB" w:bidi="lo-LA"/>
        </w:rPr>
        <mc:AlternateContent>
          <mc:Choice Requires="wps">
            <w:drawing>
              <wp:anchor distT="0" distB="0" distL="114300" distR="114300" simplePos="0" relativeHeight="251665920" behindDoc="1" locked="0" layoutInCell="1" allowOverlap="1" wp14:anchorId="19E067D9" wp14:editId="50FCBB0F">
                <wp:simplePos x="0" y="0"/>
                <wp:positionH relativeFrom="page">
                  <wp:posOffset>2204720</wp:posOffset>
                </wp:positionH>
                <wp:positionV relativeFrom="page">
                  <wp:posOffset>5175250</wp:posOffset>
                </wp:positionV>
                <wp:extent cx="4958080" cy="3855720"/>
                <wp:effectExtent l="0" t="0" r="13970" b="11430"/>
                <wp:wrapTight wrapText="bothSides">
                  <wp:wrapPolygon edited="0">
                    <wp:start x="0" y="0"/>
                    <wp:lineTo x="0" y="21557"/>
                    <wp:lineTo x="21578" y="21557"/>
                    <wp:lineTo x="21578" y="0"/>
                    <wp:lineTo x="0" y="0"/>
                  </wp:wrapPolygon>
                </wp:wrapTight>
                <wp:docPr id="9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2D8" w:rsidRPr="00F15219" w:rsidRDefault="00A472D8" w:rsidP="00E76949">
                            <w:pPr>
                              <w:pStyle w:val="HTitle1"/>
                            </w:pPr>
                            <w:r>
                              <w:t>Pamatnostādnes</w:t>
                            </w:r>
                          </w:p>
                          <w:p w:rsidR="00A472D8" w:rsidRPr="00F15219" w:rsidRDefault="00A472D8" w:rsidP="00BE49CF">
                            <w:pPr>
                              <w:pStyle w:val="HTitle2"/>
                            </w:pPr>
                            <w:r>
                              <w:t>LAP SASNIEGUMU UN IETEKMES IZVĒRTĒJUMS 2019. GADĀ</w:t>
                            </w:r>
                          </w:p>
                          <w:p w:rsidR="00A472D8" w:rsidRPr="00F15219" w:rsidRDefault="00A472D8" w:rsidP="00196DF6">
                            <w:pPr>
                              <w:pStyle w:val="HTitle2"/>
                            </w:pPr>
                          </w:p>
                          <w:p w:rsidR="00A472D8" w:rsidRPr="00D46054" w:rsidRDefault="00A472D8" w:rsidP="00BE49CF">
                            <w:pPr>
                              <w:pStyle w:val="HTitle3"/>
                              <w:rPr>
                                <w:color w:val="auto"/>
                              </w:rPr>
                            </w:pPr>
                            <w:r>
                              <w:rPr>
                                <w:color w:val="auto"/>
                              </w:rPr>
                              <w:t>2018. gada augusts</w:t>
                            </w:r>
                          </w:p>
                          <w:p w:rsidR="00A472D8" w:rsidRPr="00D46054" w:rsidRDefault="00A472D8" w:rsidP="00196DF6">
                            <w:pPr>
                              <w:pStyle w:val="HTitle3"/>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067D9" id="Text Box 16" o:spid="_x0000_s1028" type="#_x0000_t202" style="position:absolute;left:0;text-align:left;margin-left:173.6pt;margin-top:407.5pt;width:390.4pt;height:303.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82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" filled="f" stroked="f">
                <v:textbox inset="0,0,0,0">
                  <w:txbxContent>
                    <w:p w:rsidR="00A472D8" w:rsidRPr="00F15219" w:rsidRDefault="00A472D8" w:rsidP="00E76949">
                      <w:pPr>
                        <w:pStyle w:val="HTitle1"/>
                      </w:pPr>
                      <w:r>
                        <w:t>Pamatnostādnes</w:t>
                      </w:r>
                    </w:p>
                    <w:p w:rsidR="00A472D8" w:rsidRPr="00F15219" w:rsidRDefault="00A472D8" w:rsidP="00BE49CF">
                      <w:pPr>
                        <w:pStyle w:val="HTitle2"/>
                      </w:pPr>
                      <w:r>
                        <w:t>LAP SASNIEGUMU UN IETEKMES IZVĒRTĒJUMS 2019. GADĀ</w:t>
                      </w:r>
                    </w:p>
                    <w:p w:rsidR="00A472D8" w:rsidRPr="00F15219" w:rsidRDefault="00A472D8" w:rsidP="00196DF6">
                      <w:pPr>
                        <w:pStyle w:val="HTitle2"/>
                      </w:pPr>
                    </w:p>
                    <w:p w:rsidR="00A472D8" w:rsidRPr="00D46054" w:rsidRDefault="00A472D8" w:rsidP="00BE49CF">
                      <w:pPr>
                        <w:pStyle w:val="HTitle3"/>
                        <w:rPr>
                          <w:color w:val="auto"/>
                        </w:rPr>
                      </w:pPr>
                      <w:r>
                        <w:rPr>
                          <w:color w:val="auto"/>
                        </w:rPr>
                        <w:t>2018. gada augusts</w:t>
                      </w:r>
                    </w:p>
                    <w:p w:rsidR="00A472D8" w:rsidRPr="00D46054" w:rsidRDefault="00A472D8" w:rsidP="00196DF6">
                      <w:pPr>
                        <w:pStyle w:val="HTitle3"/>
                        <w:rPr>
                          <w:color w:val="auto"/>
                        </w:rPr>
                      </w:pPr>
                    </w:p>
                  </w:txbxContent>
                </v:textbox>
                <w10:wrap type="tight" anchorx="page" anchory="page"/>
              </v:shape>
            </w:pict>
          </mc:Fallback>
        </mc:AlternateContent>
      </w:r>
    </w:p>
    <w:p w:rsidR="00016061" w:rsidRPr="00571D58" w:rsidRDefault="00016061" w:rsidP="007C6797">
      <w:pPr>
        <w:pStyle w:val="HStandard"/>
        <w:sectPr w:rsidR="00016061" w:rsidRPr="00571D58" w:rsidSect="00FA7E7B">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134" w:left="1440" w:header="284" w:footer="709" w:gutter="0"/>
          <w:cols w:space="708"/>
          <w:titlePg/>
          <w:docGrid w:linePitch="360"/>
        </w:sectPr>
      </w:pPr>
    </w:p>
    <w:p w:rsidR="008B6E5C" w:rsidRPr="00571D58" w:rsidRDefault="008B6E5C">
      <w:pPr>
        <w:spacing w:before="0" w:after="0" w:line="240" w:lineRule="auto"/>
        <w:jc w:val="left"/>
        <w:rPr>
          <w:rFonts w:cs="Arial"/>
          <w:b/>
          <w:bCs/>
          <w:caps/>
          <w:color w:val="F07E31" w:themeColor="accent1"/>
          <w:kern w:val="32"/>
          <w:sz w:val="20"/>
          <w:szCs w:val="32"/>
        </w:rPr>
      </w:pPr>
      <w:r>
        <w:lastRenderedPageBreak/>
        <w:br w:type="page"/>
      </w:r>
    </w:p>
    <w:p w:rsidR="000B62C2" w:rsidRPr="00571D58" w:rsidRDefault="000B62C2" w:rsidP="000B62C2">
      <w:pPr>
        <w:pStyle w:val="HContent"/>
      </w:pPr>
      <w:r>
        <w:lastRenderedPageBreak/>
        <w:t>Saturs</w:t>
      </w:r>
    </w:p>
    <w:p w:rsidR="00FB5A40" w:rsidRDefault="00FB5A40" w:rsidP="00FB5A40">
      <w:r>
        <w:t>Pateicības</w:t>
      </w:r>
      <w:r>
        <w:tab/>
        <w:t>1</w:t>
      </w:r>
    </w:p>
    <w:p w:rsidR="00FB5A40" w:rsidRDefault="00FB5A40" w:rsidP="00FB5A40">
      <w:r>
        <w:t>IEVADS</w:t>
      </w:r>
      <w:r w:rsidR="003962DB">
        <w:tab/>
      </w:r>
      <w:r w:rsidR="003962DB">
        <w:tab/>
      </w:r>
      <w:r>
        <w:t>2</w:t>
      </w:r>
    </w:p>
    <w:p w:rsidR="00FB5A40" w:rsidRDefault="00FB5A40" w:rsidP="00FB5A40">
      <w:r>
        <w:t>1.</w:t>
      </w:r>
      <w:r>
        <w:tab/>
      </w:r>
      <w:r w:rsidR="003962DB">
        <w:t>Par kuriem novērtēšanas aspektiem jāziņo 2019. gadā iesniegtajā GĪZ? (I daļa)</w:t>
      </w:r>
      <w:r w:rsidR="003962DB">
        <w:tab/>
      </w:r>
      <w:r w:rsidR="003962DB">
        <w:tab/>
      </w:r>
      <w:r>
        <w:t>3</w:t>
      </w:r>
    </w:p>
    <w:p w:rsidR="00FB5A40" w:rsidRDefault="00FB5A40" w:rsidP="00FB5A40">
      <w:r>
        <w:t>1.1.</w:t>
      </w:r>
      <w:r>
        <w:tab/>
        <w:t>Tiesiskais regulējums un galvenās novērtēšanas prioritātes 2019. gadā</w:t>
      </w:r>
      <w:r>
        <w:tab/>
      </w:r>
      <w:r w:rsidR="00001565">
        <w:tab/>
      </w:r>
      <w:r>
        <w:t>3</w:t>
      </w:r>
    </w:p>
    <w:p w:rsidR="00FB5A40" w:rsidRDefault="00FB5A40" w:rsidP="00FB5A40">
      <w:r>
        <w:t>1.2.</w:t>
      </w:r>
      <w:r>
        <w:tab/>
        <w:t>Kā ziņot par KNJ 2019. gadā?</w:t>
      </w:r>
      <w:r>
        <w:tab/>
        <w:t>6</w:t>
      </w:r>
    </w:p>
    <w:p w:rsidR="00FB5A40" w:rsidRDefault="00FB5A40" w:rsidP="00FB5A40">
      <w:r>
        <w:t>1.3.</w:t>
      </w:r>
      <w:r>
        <w:tab/>
        <w:t>Sagatavošanās GĪZ 2019. gadā</w:t>
      </w:r>
      <w:r>
        <w:tab/>
        <w:t>8</w:t>
      </w:r>
    </w:p>
    <w:p w:rsidR="00FB5A40" w:rsidRDefault="00FB5A40" w:rsidP="00FB5A40">
      <w:r>
        <w:t>2.</w:t>
      </w:r>
      <w:r>
        <w:tab/>
        <w:t xml:space="preserve">LAP ietekmes </w:t>
      </w:r>
      <w:r w:rsidR="00CC4511">
        <w:t>iz</w:t>
      </w:r>
      <w:r>
        <w:t>vērtēšanas pieejas 2019. gadā (II daļa)</w:t>
      </w:r>
      <w:r>
        <w:tab/>
        <w:t>12</w:t>
      </w:r>
    </w:p>
    <w:p w:rsidR="00FB5A40" w:rsidRDefault="00FB5A40" w:rsidP="00FB5A40">
      <w:r>
        <w:t>2.1.</w:t>
      </w:r>
      <w:r>
        <w:tab/>
        <w:t>Piemērotu novērtēšanas pieeju izvēle</w:t>
      </w:r>
      <w:r w:rsidR="00CC4511">
        <w:t xml:space="preserve"> LAP ietekmes izvērtēšanai</w:t>
      </w:r>
      <w:r>
        <w:tab/>
        <w:t>12</w:t>
      </w:r>
    </w:p>
    <w:p w:rsidR="00FB5A40" w:rsidRDefault="00FB5A40" w:rsidP="00FB5A40">
      <w:r>
        <w:t>2.1.1.</w:t>
      </w:r>
      <w:r>
        <w:tab/>
        <w:t>Kā var izmantot loģikas modeļus, lai noteiktu, kuras novērtēšanas pieejas ir piemērotas?</w:t>
      </w:r>
      <w:r>
        <w:tab/>
      </w:r>
      <w:r w:rsidR="00001565">
        <w:tab/>
      </w:r>
      <w:r>
        <w:t>12</w:t>
      </w:r>
    </w:p>
    <w:p w:rsidR="00FB5A40" w:rsidRDefault="00FB5A40" w:rsidP="00FB5A40">
      <w:r>
        <w:t>2.1.2.</w:t>
      </w:r>
      <w:r>
        <w:tab/>
        <w:t xml:space="preserve">Ieteicamo </w:t>
      </w:r>
      <w:r w:rsidR="00CC4511">
        <w:t xml:space="preserve">novērtēšanas pieeju pārskats </w:t>
      </w:r>
      <w:r>
        <w:t xml:space="preserve">KLP ietekmes rādītāju </w:t>
      </w:r>
      <w:r w:rsidR="00CC4511">
        <w:t>izvērtēšanai</w:t>
      </w:r>
      <w:r>
        <w:tab/>
        <w:t>23</w:t>
      </w:r>
    </w:p>
    <w:p w:rsidR="00016061" w:rsidRPr="001C6ACF" w:rsidRDefault="00542440" w:rsidP="000B62C2">
      <w:pPr>
        <w:pStyle w:val="HContent"/>
      </w:pPr>
      <w:r>
        <w:lastRenderedPageBreak/>
        <w:t xml:space="preserve">Tabulas un attēli </w:t>
      </w:r>
    </w:p>
    <w:p w:rsidR="00FB5A40" w:rsidRDefault="00FB5A40" w:rsidP="00FB5A40">
      <w:r>
        <w:t>1. tabula.</w:t>
      </w:r>
      <w:r>
        <w:tab/>
        <w:t>Norādījumi par atbilžu sniegšanu uz KNJ GĪZ 2019. gadā</w:t>
      </w:r>
      <w:r>
        <w:tab/>
        <w:t>7</w:t>
      </w:r>
    </w:p>
    <w:p w:rsidR="00FB5A40" w:rsidRDefault="00FB5A40" w:rsidP="00FB5A40">
      <w:r>
        <w:t>2. tabula.</w:t>
      </w:r>
      <w:r>
        <w:tab/>
        <w:t>Ieteicamo novērtēšanas soļu kontrollapa 2019.gadā</w:t>
      </w:r>
      <w:r>
        <w:tab/>
      </w:r>
      <w:r w:rsidR="002E159B">
        <w:tab/>
      </w:r>
      <w:r>
        <w:t>9</w:t>
      </w:r>
    </w:p>
    <w:p w:rsidR="00FB5A40" w:rsidRDefault="00FB5A40" w:rsidP="00FB5A40">
      <w:r>
        <w:t>3. tabula.</w:t>
      </w:r>
      <w:r>
        <w:tab/>
        <w:t xml:space="preserve">KLP ietekmes rādītāju </w:t>
      </w:r>
      <w:r w:rsidR="00001565">
        <w:t xml:space="preserve">ieteicamo </w:t>
      </w:r>
      <w:r w:rsidR="002E159B">
        <w:t>no</w:t>
      </w:r>
      <w:r>
        <w:t>vērtēšanas pieeju piemēri</w:t>
      </w:r>
      <w:r>
        <w:tab/>
      </w:r>
      <w:r w:rsidR="002E159B">
        <w:tab/>
      </w:r>
      <w:r>
        <w:t>24</w:t>
      </w:r>
    </w:p>
    <w:p w:rsidR="00FE491B" w:rsidRPr="00571D58" w:rsidRDefault="00FE491B" w:rsidP="00FE491B">
      <w:pPr>
        <w:pStyle w:val="HContent"/>
      </w:pPr>
      <w:r>
        <w:lastRenderedPageBreak/>
        <w:t>Akronīmu saraksts</w:t>
      </w:r>
    </w:p>
    <w:p w:rsidR="00240D34" w:rsidRPr="001C6ACF" w:rsidRDefault="00240D34" w:rsidP="00FE491B">
      <w:pPr>
        <w:pStyle w:val="HStandard"/>
        <w:ind w:left="993" w:hanging="993"/>
      </w:pPr>
      <w:r>
        <w:t>AA</w:t>
      </w:r>
      <w:r>
        <w:tab/>
      </w:r>
      <w:r>
        <w:tab/>
        <w:t>Atšķirība atšķirībās</w:t>
      </w:r>
    </w:p>
    <w:p w:rsidR="00240D34" w:rsidRPr="001C6ACF" w:rsidRDefault="00240D34" w:rsidP="00FE491B">
      <w:pPr>
        <w:pStyle w:val="HStandard"/>
        <w:ind w:left="993" w:hanging="993"/>
      </w:pPr>
      <w:r>
        <w:t>ADV</w:t>
      </w:r>
      <w:r>
        <w:tab/>
      </w:r>
      <w:r>
        <w:tab/>
        <w:t>Augstas dabas vērtības (ADV) lauksaimniecība</w:t>
      </w:r>
    </w:p>
    <w:p w:rsidR="00240D34" w:rsidRPr="00FB6C06" w:rsidRDefault="00240D34" w:rsidP="00FE491B">
      <w:pPr>
        <w:pStyle w:val="HStandard"/>
        <w:ind w:left="993" w:hanging="993"/>
      </w:pPr>
      <w:r w:rsidRPr="00E47399">
        <w:rPr>
          <w:i/>
          <w:iCs/>
        </w:rPr>
        <w:t>AEI</w:t>
      </w:r>
      <w:r>
        <w:tab/>
      </w:r>
      <w:r>
        <w:tab/>
        <w:t>Agrovides rādītāji</w:t>
      </w:r>
    </w:p>
    <w:p w:rsidR="00240D34" w:rsidRPr="00336531" w:rsidRDefault="00240D34" w:rsidP="00FE491B">
      <w:pPr>
        <w:pStyle w:val="HStandard"/>
        <w:ind w:left="993" w:hanging="993"/>
      </w:pPr>
      <w:r w:rsidRPr="00E47399">
        <w:rPr>
          <w:i/>
          <w:iCs/>
        </w:rPr>
        <w:t>AEI</w:t>
      </w:r>
      <w:r>
        <w:tab/>
      </w:r>
      <w:r>
        <w:tab/>
        <w:t>Lauksaimnieciskās uzņēmējdarbības ienākumi</w:t>
      </w:r>
    </w:p>
    <w:p w:rsidR="00240D34" w:rsidRPr="007645B4" w:rsidRDefault="00240D34" w:rsidP="00FE491B">
      <w:pPr>
        <w:pStyle w:val="HStandard"/>
        <w:ind w:left="993" w:hanging="993"/>
      </w:pPr>
      <w:r w:rsidRPr="00E47399">
        <w:rPr>
          <w:i/>
          <w:iCs/>
        </w:rPr>
        <w:t>AFI</w:t>
      </w:r>
      <w:r>
        <w:tab/>
      </w:r>
      <w:r>
        <w:tab/>
        <w:t>Lauksaimniecības faktora ienākumi</w:t>
      </w:r>
    </w:p>
    <w:p w:rsidR="00240D34" w:rsidRPr="001C6ACF" w:rsidRDefault="00240D34" w:rsidP="00FE491B">
      <w:pPr>
        <w:pStyle w:val="HStandard"/>
        <w:ind w:left="993" w:hanging="993"/>
      </w:pPr>
      <w:r>
        <w:t>AGRI ĢD</w:t>
      </w:r>
      <w:r>
        <w:tab/>
      </w:r>
      <w:r>
        <w:tab/>
        <w:t>Lauksaimniecības un lauku attīstības ģenerāldirektorāts</w:t>
      </w:r>
    </w:p>
    <w:p w:rsidR="00240D34" w:rsidRPr="001C6ACF" w:rsidRDefault="00240D34" w:rsidP="00FE491B">
      <w:pPr>
        <w:pStyle w:val="HStandard"/>
        <w:ind w:left="993" w:hanging="993"/>
      </w:pPr>
      <w:r w:rsidRPr="00E47399">
        <w:rPr>
          <w:i/>
          <w:iCs/>
        </w:rPr>
        <w:t>ANC</w:t>
      </w:r>
      <w:r>
        <w:tab/>
      </w:r>
      <w:r>
        <w:tab/>
        <w:t>Apgabali, kuros ir dabas radīti ierobežojumi</w:t>
      </w:r>
    </w:p>
    <w:p w:rsidR="00240D34" w:rsidRPr="00FB5A40" w:rsidRDefault="00240D34" w:rsidP="00FE491B">
      <w:pPr>
        <w:pStyle w:val="HStandard"/>
        <w:ind w:left="993" w:hanging="993"/>
      </w:pPr>
      <w:r>
        <w:t>AOO</w:t>
      </w:r>
      <w:r>
        <w:tab/>
      </w:r>
      <w:r>
        <w:tab/>
        <w:t>Augsnes organiskais ogleklis</w:t>
      </w:r>
    </w:p>
    <w:p w:rsidR="00240D34" w:rsidRPr="00FB5A40" w:rsidRDefault="00240D34" w:rsidP="00FE491B">
      <w:pPr>
        <w:pStyle w:val="HStandard"/>
        <w:ind w:left="993" w:hanging="993"/>
      </w:pPr>
      <w:r>
        <w:t>AOV</w:t>
      </w:r>
      <w:r>
        <w:tab/>
      </w:r>
      <w:r>
        <w:tab/>
        <w:t xml:space="preserve">Augsnes organiskā viela </w:t>
      </w:r>
    </w:p>
    <w:p w:rsidR="00240D34" w:rsidRPr="001C6ACF" w:rsidRDefault="00240D34" w:rsidP="00FE491B">
      <w:pPr>
        <w:pStyle w:val="HStandard"/>
        <w:ind w:left="993" w:hanging="993"/>
      </w:pPr>
      <w:r w:rsidRPr="00E47399">
        <w:rPr>
          <w:i/>
          <w:iCs/>
        </w:rPr>
        <w:t>AROPE</w:t>
      </w:r>
      <w:r>
        <w:tab/>
      </w:r>
      <w:r>
        <w:tab/>
        <w:t>Nabadzības vai sociālās atstumtības riskam pakļautas personas</w:t>
      </w:r>
    </w:p>
    <w:p w:rsidR="00240D34" w:rsidRPr="001C6ACF" w:rsidRDefault="00240D34" w:rsidP="00FE491B">
      <w:pPr>
        <w:pStyle w:val="HStandard"/>
        <w:ind w:left="993" w:hanging="993"/>
      </w:pPr>
      <w:r>
        <w:t xml:space="preserve">AVL </w:t>
      </w:r>
      <w:r>
        <w:tab/>
      </w:r>
      <w:r>
        <w:tab/>
        <w:t>Aprēķināms vispārējais līdzsvars</w:t>
      </w:r>
    </w:p>
    <w:p w:rsidR="00240D34" w:rsidRPr="001C6ACF" w:rsidRDefault="00240D34" w:rsidP="00FE491B">
      <w:pPr>
        <w:pStyle w:val="HStandard"/>
        <w:ind w:left="993" w:hanging="993"/>
      </w:pPr>
      <w:r w:rsidRPr="00E47399">
        <w:rPr>
          <w:i/>
          <w:iCs/>
        </w:rPr>
        <w:t>AWU</w:t>
      </w:r>
      <w:r>
        <w:tab/>
      </w:r>
      <w:r>
        <w:tab/>
        <w:t>Gada darba vienība</w:t>
      </w:r>
    </w:p>
    <w:p w:rsidR="00240D34" w:rsidRPr="001C6ACF" w:rsidRDefault="00240D34" w:rsidP="00FE491B">
      <w:pPr>
        <w:pStyle w:val="HStandard"/>
        <w:ind w:left="993" w:hanging="993"/>
      </w:pPr>
      <w:r w:rsidRPr="000D6687">
        <w:rPr>
          <w:i/>
        </w:rPr>
        <w:t>CMES</w:t>
      </w:r>
      <w:r>
        <w:t xml:space="preserve"> </w:t>
      </w:r>
      <w:r>
        <w:tab/>
      </w:r>
      <w:r>
        <w:tab/>
        <w:t>Vienotā uzraudzības un novērtēšanas sistēma</w:t>
      </w:r>
    </w:p>
    <w:p w:rsidR="00240D34" w:rsidRPr="001C6ACF" w:rsidRDefault="00240D34" w:rsidP="00FE491B">
      <w:pPr>
        <w:pStyle w:val="HStandard"/>
        <w:ind w:left="993" w:hanging="993"/>
      </w:pPr>
      <w:r>
        <w:rPr>
          <w:i/>
        </w:rPr>
        <w:t>CORINE</w:t>
      </w:r>
      <w:r>
        <w:tab/>
      </w:r>
      <w:r>
        <w:tab/>
        <w:t>Informācijas par vidi saskaņošana</w:t>
      </w:r>
    </w:p>
    <w:p w:rsidR="00240D34" w:rsidRPr="001C6ACF" w:rsidRDefault="00240D34" w:rsidP="00FE491B">
      <w:pPr>
        <w:pStyle w:val="HStandard"/>
        <w:ind w:left="993" w:hanging="993"/>
      </w:pPr>
      <w:r>
        <w:t>DD</w:t>
      </w:r>
      <w:r>
        <w:tab/>
      </w:r>
      <w:r>
        <w:tab/>
        <w:t>Darba dokuments</w:t>
      </w:r>
    </w:p>
    <w:p w:rsidR="00240D34" w:rsidRPr="001C6ACF" w:rsidRDefault="00240D34" w:rsidP="00FE491B">
      <w:pPr>
        <w:pStyle w:val="HStandard"/>
        <w:ind w:left="993" w:hanging="993"/>
      </w:pPr>
      <w:r>
        <w:t>DS</w:t>
      </w:r>
      <w:r>
        <w:tab/>
      </w:r>
      <w:r>
        <w:tab/>
        <w:t>Datu sniedzējs</w:t>
      </w:r>
    </w:p>
    <w:p w:rsidR="00240D34" w:rsidRPr="001C6ACF" w:rsidRDefault="00240D34" w:rsidP="00FE491B">
      <w:pPr>
        <w:pStyle w:val="HStandard"/>
        <w:ind w:left="993" w:hanging="993"/>
      </w:pPr>
      <w:r>
        <w:t>DU</w:t>
      </w:r>
      <w:r>
        <w:tab/>
      </w:r>
      <w:r>
        <w:tab/>
        <w:t>Darba uzdevums</w:t>
      </w:r>
    </w:p>
    <w:p w:rsidR="00240D34" w:rsidRPr="001C6ACF" w:rsidRDefault="00240D34" w:rsidP="00FE491B">
      <w:pPr>
        <w:pStyle w:val="HStandard"/>
        <w:ind w:left="993" w:hanging="993"/>
      </w:pPr>
      <w:r>
        <w:t>DV</w:t>
      </w:r>
      <w:r>
        <w:tab/>
      </w:r>
      <w:r>
        <w:tab/>
        <w:t>Dalībvalsts</w:t>
      </w:r>
    </w:p>
    <w:p w:rsidR="00240D34" w:rsidRPr="001C6ACF" w:rsidRDefault="00240D34" w:rsidP="00FE491B">
      <w:pPr>
        <w:pStyle w:val="HStandard"/>
        <w:ind w:left="993" w:hanging="993"/>
      </w:pPr>
      <w:r w:rsidRPr="00E47399">
        <w:rPr>
          <w:i/>
          <w:iCs/>
        </w:rPr>
        <w:t>EAA</w:t>
      </w:r>
      <w:r>
        <w:tab/>
      </w:r>
      <w:r>
        <w:tab/>
        <w:t>Lauksaimniecības ekonomiskais konts</w:t>
      </w:r>
    </w:p>
    <w:p w:rsidR="00240D34" w:rsidRPr="001C6ACF" w:rsidRDefault="00240D34" w:rsidP="00FE491B">
      <w:pPr>
        <w:pStyle w:val="HStandard"/>
        <w:ind w:left="993" w:hanging="993"/>
      </w:pPr>
      <w:r w:rsidRPr="00E47399">
        <w:rPr>
          <w:i/>
          <w:iCs/>
        </w:rPr>
        <w:t>EAP</w:t>
      </w:r>
      <w:r>
        <w:tab/>
      </w:r>
      <w:r>
        <w:tab/>
        <w:t>Vides rīcības programma</w:t>
      </w:r>
    </w:p>
    <w:p w:rsidR="00240D34" w:rsidRPr="001C6ACF" w:rsidRDefault="00240D34" w:rsidP="00FE491B">
      <w:pPr>
        <w:pStyle w:val="HStandard"/>
        <w:ind w:left="993" w:hanging="993"/>
      </w:pPr>
      <w:r w:rsidRPr="00E47399">
        <w:rPr>
          <w:i/>
          <w:iCs/>
        </w:rPr>
        <w:t>EDGAR</w:t>
      </w:r>
      <w:r>
        <w:tab/>
      </w:r>
      <w:r>
        <w:tab/>
        <w:t>Globālās atmosfēras pētniecības emisiju datubāze</w:t>
      </w:r>
    </w:p>
    <w:p w:rsidR="00240D34" w:rsidRPr="001C6ACF" w:rsidRDefault="00240D34" w:rsidP="00FE491B">
      <w:pPr>
        <w:pStyle w:val="HStandard"/>
        <w:ind w:left="993" w:hanging="993"/>
      </w:pPr>
      <w:r>
        <w:t>EIP</w:t>
      </w:r>
      <w:r>
        <w:tab/>
      </w:r>
      <w:r>
        <w:tab/>
        <w:t>Eiropas inovācijas partnerība</w:t>
      </w:r>
    </w:p>
    <w:p w:rsidR="00240D34" w:rsidRPr="001C6ACF" w:rsidRDefault="00240D34" w:rsidP="00FE491B">
      <w:pPr>
        <w:pStyle w:val="HStandard"/>
        <w:ind w:left="993" w:hanging="993"/>
      </w:pPr>
      <w:r>
        <w:t>ELFLA</w:t>
      </w:r>
      <w:r>
        <w:tab/>
      </w:r>
      <w:r>
        <w:tab/>
        <w:t>Eiropas Lauksaimniecības fonds lauku attīstībai</w:t>
      </w:r>
    </w:p>
    <w:p w:rsidR="00240D34" w:rsidRPr="001C6ACF" w:rsidRDefault="00240D34" w:rsidP="00FE491B">
      <w:pPr>
        <w:pStyle w:val="HStandard"/>
        <w:ind w:left="993" w:hanging="993"/>
      </w:pPr>
      <w:r>
        <w:t>ES</w:t>
      </w:r>
      <w:r>
        <w:tab/>
      </w:r>
      <w:r>
        <w:tab/>
        <w:t>Eiropas Savienība</w:t>
      </w:r>
    </w:p>
    <w:p w:rsidR="00240D34" w:rsidRPr="001C6ACF" w:rsidRDefault="00240D34" w:rsidP="00FE491B">
      <w:pPr>
        <w:pStyle w:val="HStandard"/>
        <w:ind w:left="993" w:hanging="993"/>
      </w:pPr>
      <w:r w:rsidRPr="00E47399">
        <w:rPr>
          <w:i/>
          <w:iCs/>
        </w:rPr>
        <w:t>ESDAC</w:t>
      </w:r>
      <w:r>
        <w:tab/>
      </w:r>
      <w:r>
        <w:tab/>
        <w:t>Eiropas Augšņu datu centrs</w:t>
      </w:r>
    </w:p>
    <w:p w:rsidR="00240D34" w:rsidRPr="001C6ACF" w:rsidRDefault="00240D34" w:rsidP="00FE491B">
      <w:pPr>
        <w:pStyle w:val="HStandard"/>
        <w:ind w:left="993" w:hanging="993"/>
      </w:pPr>
      <w:r>
        <w:t>ESIF</w:t>
      </w:r>
      <w:r>
        <w:tab/>
      </w:r>
      <w:r>
        <w:tab/>
        <w:t>Eiropas strukturālie un investīciju fondi</w:t>
      </w:r>
    </w:p>
    <w:p w:rsidR="00240D34" w:rsidRPr="001C6ACF" w:rsidRDefault="00240D34" w:rsidP="00FE491B">
      <w:pPr>
        <w:pStyle w:val="HStandard"/>
        <w:ind w:left="993" w:hanging="993"/>
      </w:pPr>
      <w:r w:rsidRPr="00E47399">
        <w:rPr>
          <w:i/>
          <w:iCs/>
        </w:rPr>
        <w:t>FADN</w:t>
      </w:r>
      <w:r>
        <w:tab/>
      </w:r>
      <w:r>
        <w:tab/>
        <w:t>Lauku saimniecību grāmatvedības datu tīkls</w:t>
      </w:r>
    </w:p>
    <w:p w:rsidR="00240D34" w:rsidRPr="001C6ACF" w:rsidRDefault="00240D34" w:rsidP="00FE491B">
      <w:pPr>
        <w:pStyle w:val="HStandard"/>
        <w:ind w:left="993" w:hanging="993"/>
      </w:pPr>
      <w:r w:rsidRPr="00E47399">
        <w:rPr>
          <w:i/>
          <w:iCs/>
        </w:rPr>
        <w:t>FBI</w:t>
      </w:r>
      <w:r>
        <w:tab/>
      </w:r>
      <w:r>
        <w:tab/>
        <w:t>Lauku putnu indekss</w:t>
      </w:r>
    </w:p>
    <w:p w:rsidR="00240D34" w:rsidRPr="001C6ACF" w:rsidRDefault="00240D34" w:rsidP="00FE491B">
      <w:pPr>
        <w:pStyle w:val="HStandard"/>
        <w:ind w:left="993" w:hanging="993"/>
      </w:pPr>
      <w:r w:rsidRPr="00E47399">
        <w:rPr>
          <w:i/>
          <w:iCs/>
        </w:rPr>
        <w:t>FWU</w:t>
      </w:r>
      <w:r>
        <w:tab/>
      </w:r>
      <w:r>
        <w:tab/>
        <w:t xml:space="preserve">Ģimenes darba vienība </w:t>
      </w:r>
    </w:p>
    <w:p w:rsidR="00240D34" w:rsidRPr="001C6ACF" w:rsidRDefault="00240D34" w:rsidP="00FE491B">
      <w:pPr>
        <w:pStyle w:val="HStandard"/>
        <w:ind w:left="993" w:hanging="993"/>
      </w:pPr>
      <w:r w:rsidRPr="00E47399">
        <w:rPr>
          <w:i/>
          <w:iCs/>
        </w:rPr>
        <w:t>GAEC</w:t>
      </w:r>
      <w:r>
        <w:tab/>
      </w:r>
      <w:r>
        <w:tab/>
        <w:t>Labi lauksaimniecības un vides apstākļi</w:t>
      </w:r>
    </w:p>
    <w:p w:rsidR="00240D34" w:rsidRPr="001C6ACF" w:rsidRDefault="00240D34" w:rsidP="00FE491B">
      <w:pPr>
        <w:pStyle w:val="HStandard"/>
        <w:ind w:left="993" w:hanging="993"/>
      </w:pPr>
      <w:r>
        <w:rPr>
          <w:i/>
        </w:rPr>
        <w:t>GERD</w:t>
      </w:r>
      <w:r>
        <w:tab/>
      </w:r>
      <w:r>
        <w:tab/>
        <w:t>Bruto iekšzemes izdevumi pētniecībai un izstrādei</w:t>
      </w:r>
    </w:p>
    <w:p w:rsidR="00240D34" w:rsidRPr="001C6ACF" w:rsidRDefault="00240D34" w:rsidP="00FE491B">
      <w:pPr>
        <w:pStyle w:val="HStandard"/>
        <w:ind w:left="993" w:hanging="993"/>
      </w:pPr>
      <w:r w:rsidRPr="00E47399">
        <w:rPr>
          <w:i/>
          <w:iCs/>
        </w:rPr>
        <w:t>GES</w:t>
      </w:r>
      <w:r>
        <w:tab/>
      </w:r>
      <w:r>
        <w:tab/>
        <w:t>Labs ekoloģiskais stāvoklis</w:t>
      </w:r>
    </w:p>
    <w:p w:rsidR="00240D34" w:rsidRPr="001C6ACF" w:rsidRDefault="00240D34" w:rsidP="00FE491B">
      <w:pPr>
        <w:pStyle w:val="HStandard"/>
        <w:ind w:left="993" w:hanging="993"/>
      </w:pPr>
      <w:r>
        <w:t>GĪZ</w:t>
      </w:r>
      <w:r>
        <w:tab/>
      </w:r>
      <w:r>
        <w:tab/>
        <w:t>Gada īstenošanas ziņojums</w:t>
      </w:r>
    </w:p>
    <w:p w:rsidR="00240D34" w:rsidRPr="001C6ACF" w:rsidRDefault="00240D34" w:rsidP="00FE491B">
      <w:pPr>
        <w:pStyle w:val="HStandard"/>
        <w:ind w:left="993" w:hanging="993"/>
      </w:pPr>
      <w:r w:rsidRPr="00E47399">
        <w:rPr>
          <w:i/>
          <w:iCs/>
        </w:rPr>
        <w:lastRenderedPageBreak/>
        <w:t>GNB</w:t>
      </w:r>
      <w:r>
        <w:tab/>
      </w:r>
      <w:r>
        <w:tab/>
        <w:t>Barības vielu kopējā bilance</w:t>
      </w:r>
    </w:p>
    <w:p w:rsidR="00240D34" w:rsidRPr="001C6ACF" w:rsidRDefault="00240D34" w:rsidP="00FE491B">
      <w:pPr>
        <w:pStyle w:val="HStandard"/>
        <w:ind w:left="993" w:hanging="993"/>
      </w:pPr>
      <w:r w:rsidRPr="00E47399">
        <w:rPr>
          <w:i/>
          <w:iCs/>
        </w:rPr>
        <w:t>GRIT</w:t>
      </w:r>
      <w:r>
        <w:tab/>
      </w:r>
      <w:r>
        <w:tab/>
        <w:t>Reģionālo izejvielu un produkcijas tabulu ģenerēšana</w:t>
      </w:r>
    </w:p>
    <w:p w:rsidR="00240D34" w:rsidRPr="001C6ACF" w:rsidRDefault="00240D34" w:rsidP="00FE491B">
      <w:pPr>
        <w:pStyle w:val="HStandard"/>
        <w:ind w:left="993" w:hanging="993"/>
      </w:pPr>
      <w:r>
        <w:t>GV</w:t>
      </w:r>
      <w:r>
        <w:tab/>
      </w:r>
      <w:r>
        <w:tab/>
        <w:t>Ganāmpulka vienība</w:t>
      </w:r>
    </w:p>
    <w:p w:rsidR="00240D34" w:rsidRPr="001C6ACF" w:rsidRDefault="00240D34" w:rsidP="00FE491B">
      <w:pPr>
        <w:pStyle w:val="HStandard"/>
        <w:ind w:left="993" w:hanging="993"/>
      </w:pPr>
      <w:r>
        <w:t>ĢIS</w:t>
      </w:r>
      <w:r>
        <w:tab/>
      </w:r>
      <w:r>
        <w:tab/>
        <w:t>Ģeogrāfiskās informācijas sistēma</w:t>
      </w:r>
    </w:p>
    <w:p w:rsidR="00240D34" w:rsidRPr="001C6ACF" w:rsidRDefault="00240D34" w:rsidP="00FE491B">
      <w:pPr>
        <w:pStyle w:val="HStandard"/>
        <w:ind w:left="993" w:hanging="993"/>
      </w:pPr>
      <w:r w:rsidRPr="00E47399">
        <w:rPr>
          <w:i/>
          <w:iCs/>
        </w:rPr>
        <w:t>IACS</w:t>
      </w:r>
      <w:r>
        <w:tab/>
      </w:r>
      <w:r>
        <w:tab/>
        <w:t>Integrētā administrācijas un kontroles sistēma</w:t>
      </w:r>
    </w:p>
    <w:p w:rsidR="00240D34" w:rsidRPr="001C6ACF" w:rsidRDefault="00240D34" w:rsidP="00FE491B">
      <w:pPr>
        <w:pStyle w:val="HStandard"/>
        <w:ind w:left="993" w:hanging="993"/>
      </w:pPr>
      <w:r>
        <w:t>IKP</w:t>
      </w:r>
      <w:r>
        <w:tab/>
      </w:r>
      <w:r>
        <w:tab/>
        <w:t xml:space="preserve">Iekšzemes kopprodukts </w:t>
      </w:r>
    </w:p>
    <w:p w:rsidR="00240D34" w:rsidRPr="00482ABA" w:rsidRDefault="00240D34" w:rsidP="00FE491B">
      <w:pPr>
        <w:pStyle w:val="HStandard"/>
        <w:ind w:left="993" w:hanging="993"/>
      </w:pPr>
      <w:r>
        <w:t xml:space="preserve">IKT </w:t>
      </w:r>
      <w:r>
        <w:tab/>
      </w:r>
      <w:r>
        <w:tab/>
        <w:t>Informācijas un komunikācijas tehnoloģijas</w:t>
      </w:r>
    </w:p>
    <w:p w:rsidR="00240D34" w:rsidRPr="00482ABA" w:rsidRDefault="00240D34" w:rsidP="00FE491B">
      <w:pPr>
        <w:pStyle w:val="HStandard"/>
        <w:ind w:left="993" w:hanging="993"/>
      </w:pPr>
      <w:r>
        <w:t>IL</w:t>
      </w:r>
      <w:r>
        <w:tab/>
      </w:r>
      <w:r>
        <w:tab/>
        <w:t>Intervences loģika</w:t>
      </w:r>
    </w:p>
    <w:p w:rsidR="00240D34" w:rsidRPr="001C6ACF" w:rsidRDefault="00240D34" w:rsidP="00FE491B">
      <w:pPr>
        <w:pStyle w:val="HStandard"/>
        <w:ind w:left="993" w:hanging="993"/>
      </w:pPr>
      <w:r>
        <w:t>ILZP</w:t>
      </w:r>
      <w:r>
        <w:tab/>
      </w:r>
      <w:r>
        <w:tab/>
        <w:t>Izmantotā lauksaimniecības zemes platība</w:t>
      </w:r>
    </w:p>
    <w:p w:rsidR="00240D34" w:rsidRPr="00FB5A40" w:rsidRDefault="00240D34" w:rsidP="00FE491B">
      <w:pPr>
        <w:pStyle w:val="HStandard"/>
        <w:ind w:left="993" w:hanging="993"/>
      </w:pPr>
      <w:r>
        <w:t>IM</w:t>
      </w:r>
      <w:r>
        <w:tab/>
      </w:r>
      <w:r>
        <w:tab/>
        <w:t>Instrumentālie mainīgie</w:t>
      </w:r>
    </w:p>
    <w:p w:rsidR="00240D34" w:rsidRPr="001C6ACF" w:rsidRDefault="00240D34" w:rsidP="00FE491B">
      <w:pPr>
        <w:pStyle w:val="HStandard"/>
        <w:ind w:left="993" w:hanging="993"/>
      </w:pPr>
      <w:r>
        <w:t>IPA</w:t>
      </w:r>
      <w:r>
        <w:tab/>
      </w:r>
      <w:r>
        <w:tab/>
        <w:t>Izejvielu un produkcijas analīze</w:t>
      </w:r>
    </w:p>
    <w:p w:rsidR="00240D34" w:rsidRPr="001C6ACF" w:rsidRDefault="00240D34" w:rsidP="00FE491B">
      <w:pPr>
        <w:pStyle w:val="HStandard"/>
        <w:ind w:left="993" w:hanging="993"/>
      </w:pPr>
      <w:r w:rsidRPr="00E47399">
        <w:rPr>
          <w:i/>
          <w:iCs/>
        </w:rPr>
        <w:t>IPPC</w:t>
      </w:r>
      <w:r>
        <w:tab/>
      </w:r>
      <w:r>
        <w:tab/>
        <w:t>Piesārņojuma integrēta novēršana un kontrole</w:t>
      </w:r>
    </w:p>
    <w:p w:rsidR="00240D34" w:rsidRPr="001C6ACF" w:rsidRDefault="00240D34" w:rsidP="00FE491B">
      <w:pPr>
        <w:pStyle w:val="HStandard"/>
        <w:ind w:left="993" w:hanging="993"/>
      </w:pPr>
      <w:r>
        <w:t>IR</w:t>
      </w:r>
      <w:r>
        <w:tab/>
      </w:r>
      <w:r>
        <w:tab/>
        <w:t>Ietekmes rādītājs</w:t>
      </w:r>
    </w:p>
    <w:p w:rsidR="00240D34" w:rsidRPr="001C6ACF" w:rsidRDefault="00240D34" w:rsidP="00FE491B">
      <w:pPr>
        <w:pStyle w:val="HStandard"/>
        <w:ind w:left="993" w:hanging="993"/>
      </w:pPr>
      <w:r>
        <w:rPr>
          <w:i/>
        </w:rPr>
        <w:t>JRC</w:t>
      </w:r>
      <w:r>
        <w:tab/>
      </w:r>
      <w:r>
        <w:tab/>
        <w:t>Kopīgais pētniecības centrs</w:t>
      </w:r>
    </w:p>
    <w:p w:rsidR="00240D34" w:rsidRPr="001C6ACF" w:rsidRDefault="00240D34" w:rsidP="00FE491B">
      <w:pPr>
        <w:pStyle w:val="HStandard"/>
        <w:ind w:left="993" w:hanging="993"/>
      </w:pPr>
      <w:r>
        <w:t>KKR</w:t>
      </w:r>
      <w:r>
        <w:tab/>
      </w:r>
      <w:r>
        <w:tab/>
        <w:t>Kopējie konteksta rādītāji</w:t>
      </w:r>
    </w:p>
    <w:p w:rsidR="00240D34" w:rsidRPr="001C6ACF" w:rsidRDefault="00240D34" w:rsidP="00FE491B">
      <w:pPr>
        <w:pStyle w:val="HStandard"/>
        <w:ind w:left="993" w:hanging="993"/>
      </w:pPr>
      <w:r>
        <w:t>KLP</w:t>
      </w:r>
      <w:r>
        <w:tab/>
      </w:r>
      <w:r>
        <w:tab/>
        <w:t xml:space="preserve">Kopējā lauksaimniecības politika </w:t>
      </w:r>
    </w:p>
    <w:p w:rsidR="00240D34" w:rsidRPr="001C6ACF" w:rsidRDefault="00240D34" w:rsidP="00FE491B">
      <w:pPr>
        <w:pStyle w:val="HStandard"/>
        <w:ind w:left="993" w:hanging="993"/>
      </w:pPr>
      <w:r>
        <w:t>KNJ</w:t>
      </w:r>
      <w:r>
        <w:tab/>
      </w:r>
      <w:r>
        <w:tab/>
        <w:t>Kopējie novērtēšanas jautājumi</w:t>
      </w:r>
    </w:p>
    <w:p w:rsidR="00240D34" w:rsidRPr="001C6ACF" w:rsidRDefault="00240D34" w:rsidP="00FE491B">
      <w:pPr>
        <w:pStyle w:val="HStandard"/>
        <w:ind w:left="993" w:hanging="993"/>
      </w:pPr>
      <w:r>
        <w:t>LAP</w:t>
      </w:r>
      <w:r>
        <w:tab/>
      </w:r>
      <w:r>
        <w:tab/>
        <w:t>Lauku attīstības programma</w:t>
      </w:r>
    </w:p>
    <w:p w:rsidR="00240D34" w:rsidRPr="001C6ACF" w:rsidRDefault="00240D34" w:rsidP="00FE491B">
      <w:pPr>
        <w:pStyle w:val="HStandard"/>
        <w:ind w:left="993" w:hanging="993"/>
      </w:pPr>
      <w:r w:rsidRPr="00E47399">
        <w:rPr>
          <w:i/>
          <w:iCs/>
        </w:rPr>
        <w:t>LAU</w:t>
      </w:r>
      <w:r>
        <w:tab/>
      </w:r>
      <w:r>
        <w:tab/>
        <w:t>Zemes administratīvā vienība</w:t>
      </w:r>
    </w:p>
    <w:p w:rsidR="00240D34" w:rsidRPr="001C6ACF" w:rsidRDefault="00240D34" w:rsidP="00FE491B">
      <w:pPr>
        <w:pStyle w:val="HStandard"/>
        <w:ind w:left="993" w:hanging="993"/>
      </w:pPr>
      <w:r>
        <w:rPr>
          <w:i/>
        </w:rPr>
        <w:t>LUCAS</w:t>
      </w:r>
      <w:r>
        <w:tab/>
      </w:r>
      <w:r>
        <w:tab/>
        <w:t>Zemes izmantošanas un zemes pārklājuma statistiskais apsekojums</w:t>
      </w:r>
    </w:p>
    <w:p w:rsidR="00240D34" w:rsidRPr="001C6ACF" w:rsidRDefault="00240D34" w:rsidP="00FE491B">
      <w:pPr>
        <w:pStyle w:val="HStandard"/>
        <w:ind w:left="993" w:hanging="993"/>
      </w:pPr>
      <w:r>
        <w:rPr>
          <w:i/>
        </w:rPr>
        <w:t>LULUCF</w:t>
      </w:r>
      <w:r>
        <w:tab/>
      </w:r>
      <w:r>
        <w:tab/>
        <w:t>Zemes izmantošana, zemes izmantošanas maiņa un mežsaimniecība</w:t>
      </w:r>
    </w:p>
    <w:p w:rsidR="00240D34" w:rsidRPr="001C6ACF" w:rsidRDefault="00240D34" w:rsidP="00FE491B">
      <w:pPr>
        <w:pStyle w:val="HStandard"/>
        <w:ind w:left="993" w:hanging="993"/>
      </w:pPr>
      <w:r>
        <w:t>MA</w:t>
      </w:r>
      <w:r>
        <w:tab/>
      </w:r>
      <w:r>
        <w:tab/>
        <w:t>Maksājumu aģentūra</w:t>
      </w:r>
    </w:p>
    <w:p w:rsidR="00240D34" w:rsidRPr="001C6ACF" w:rsidRDefault="00240D34" w:rsidP="00FE491B">
      <w:pPr>
        <w:pStyle w:val="HStandard"/>
        <w:ind w:left="993" w:hanging="993"/>
      </w:pPr>
      <w:r w:rsidRPr="00E47399">
        <w:rPr>
          <w:i/>
          <w:iCs/>
        </w:rPr>
        <w:t>MAPP</w:t>
      </w:r>
      <w:r>
        <w:tab/>
      </w:r>
      <w:r>
        <w:tab/>
        <w:t>Programmu un projektu ietekmes novērtējuma metode</w:t>
      </w:r>
    </w:p>
    <w:p w:rsidR="00240D34" w:rsidRPr="001C6ACF" w:rsidRDefault="00240D34" w:rsidP="00FE491B">
      <w:pPr>
        <w:pStyle w:val="HStandard"/>
        <w:ind w:left="993" w:hanging="993"/>
      </w:pPr>
      <w:r>
        <w:t>MR</w:t>
      </w:r>
      <w:r>
        <w:tab/>
      </w:r>
      <w:r>
        <w:tab/>
        <w:t>Mērķa rādītājs</w:t>
      </w:r>
    </w:p>
    <w:p w:rsidR="00240D34" w:rsidRPr="001C6ACF" w:rsidRDefault="00240D34" w:rsidP="00FE491B">
      <w:pPr>
        <w:pStyle w:val="HStandard"/>
        <w:ind w:left="993" w:hanging="993"/>
      </w:pPr>
      <w:r>
        <w:t>ND</w:t>
      </w:r>
      <w:r>
        <w:tab/>
      </w:r>
      <w:r>
        <w:tab/>
        <w:t>Nitrātu direktīva</w:t>
      </w:r>
    </w:p>
    <w:p w:rsidR="00240D34" w:rsidRPr="001C6ACF" w:rsidRDefault="00240D34" w:rsidP="00FE491B">
      <w:pPr>
        <w:pStyle w:val="HStandard"/>
        <w:ind w:left="993" w:hanging="993"/>
      </w:pPr>
      <w:r w:rsidRPr="00E47399">
        <w:rPr>
          <w:i/>
          <w:iCs/>
        </w:rPr>
        <w:t>NRN</w:t>
      </w:r>
      <w:r>
        <w:tab/>
      </w:r>
      <w:r>
        <w:tab/>
        <w:t>Valsts lauku tīkls</w:t>
      </w:r>
    </w:p>
    <w:p w:rsidR="00240D34" w:rsidRPr="001C6ACF" w:rsidRDefault="00240D34" w:rsidP="00FE491B">
      <w:pPr>
        <w:pStyle w:val="HStandard"/>
        <w:ind w:left="993" w:hanging="993"/>
      </w:pPr>
      <w:r>
        <w:t>NRS</w:t>
      </w:r>
      <w:r>
        <w:tab/>
      </w:r>
      <w:r>
        <w:tab/>
        <w:t>Noslieces rezultātu saskaņošana</w:t>
      </w:r>
    </w:p>
    <w:p w:rsidR="00240D34" w:rsidRPr="001C6ACF" w:rsidRDefault="00240D34" w:rsidP="00FE491B">
      <w:pPr>
        <w:pStyle w:val="HStandard"/>
        <w:ind w:left="993" w:hanging="993"/>
      </w:pPr>
      <w:r>
        <w:rPr>
          <w:i/>
        </w:rPr>
        <w:t>NUTS</w:t>
      </w:r>
      <w:r>
        <w:tab/>
      </w:r>
      <w:r>
        <w:tab/>
        <w:t>Kopēja statistiski teritoriālo vienību klasifikācija</w:t>
      </w:r>
      <w:r>
        <w:tab/>
      </w:r>
    </w:p>
    <w:p w:rsidR="00240D34" w:rsidRPr="001C6ACF" w:rsidRDefault="00240D34" w:rsidP="00FE491B">
      <w:pPr>
        <w:pStyle w:val="HStandard"/>
        <w:ind w:left="993" w:hanging="993"/>
      </w:pPr>
      <w:r>
        <w:t xml:space="preserve">NVG </w:t>
      </w:r>
      <w:r>
        <w:tab/>
      </w:r>
      <w:r>
        <w:tab/>
        <w:t>Novērtējuma vadības grupa</w:t>
      </w:r>
    </w:p>
    <w:p w:rsidR="00240D34" w:rsidRPr="001C6ACF" w:rsidRDefault="00240D34" w:rsidP="00FE491B">
      <w:pPr>
        <w:pStyle w:val="HStandard"/>
        <w:ind w:left="993" w:hanging="993"/>
      </w:pPr>
      <w:r>
        <w:t>NVO</w:t>
      </w:r>
      <w:r>
        <w:tab/>
      </w:r>
      <w:r>
        <w:tab/>
        <w:t>Nevalstiska organizācija</w:t>
      </w:r>
    </w:p>
    <w:p w:rsidR="00240D34" w:rsidRPr="001C6ACF" w:rsidRDefault="00240D34" w:rsidP="00FE491B">
      <w:pPr>
        <w:pStyle w:val="HStandard"/>
        <w:ind w:left="993" w:hanging="993"/>
      </w:pPr>
      <w:r>
        <w:t>P</w:t>
      </w:r>
      <w:r>
        <w:tab/>
      </w:r>
      <w:r>
        <w:tab/>
        <w:t xml:space="preserve">Pasākums </w:t>
      </w:r>
    </w:p>
    <w:p w:rsidR="00240D34" w:rsidRPr="001C6ACF" w:rsidRDefault="00240D34" w:rsidP="00FE491B">
      <w:pPr>
        <w:pStyle w:val="HStandard"/>
        <w:ind w:left="993" w:hanging="993"/>
      </w:pPr>
      <w:r>
        <w:t>PJ</w:t>
      </w:r>
      <w:r>
        <w:tab/>
      </w:r>
      <w:r>
        <w:tab/>
        <w:t>Prioritārā joma</w:t>
      </w:r>
    </w:p>
    <w:p w:rsidR="00240D34" w:rsidRPr="001C6ACF" w:rsidRDefault="00240D34" w:rsidP="00FE491B">
      <w:pPr>
        <w:pStyle w:val="HStandard"/>
        <w:ind w:left="993" w:hanging="993"/>
      </w:pPr>
      <w:r>
        <w:t>PSNK</w:t>
      </w:r>
      <w:r>
        <w:tab/>
      </w:r>
      <w:r>
        <w:tab/>
        <w:t>Programmai specifisks novērtēšanas jautājums</w:t>
      </w:r>
    </w:p>
    <w:p w:rsidR="00240D34" w:rsidRPr="001C6ACF" w:rsidRDefault="00240D34" w:rsidP="00FE491B">
      <w:pPr>
        <w:pStyle w:val="HStandard"/>
        <w:ind w:left="993" w:hanging="993"/>
      </w:pPr>
      <w:r>
        <w:t>RNP</w:t>
      </w:r>
      <w:r>
        <w:tab/>
      </w:r>
      <w:r>
        <w:tab/>
        <w:t xml:space="preserve">Regresijas neturpināšanas projekts </w:t>
      </w:r>
    </w:p>
    <w:p w:rsidR="00240D34" w:rsidRPr="001C6ACF" w:rsidRDefault="00240D34" w:rsidP="00FE491B">
      <w:pPr>
        <w:pStyle w:val="HStandard"/>
        <w:ind w:left="993" w:hanging="993"/>
      </w:pPr>
      <w:r>
        <w:t>RR</w:t>
      </w:r>
      <w:r>
        <w:tab/>
      </w:r>
      <w:r>
        <w:tab/>
        <w:t>Rezultātu rādītāji</w:t>
      </w:r>
    </w:p>
    <w:p w:rsidR="00240D34" w:rsidRPr="001C6ACF" w:rsidRDefault="00240D34" w:rsidP="00FE491B">
      <w:pPr>
        <w:pStyle w:val="HStandard"/>
        <w:ind w:left="993" w:hanging="993"/>
      </w:pPr>
      <w:r w:rsidRPr="00E47399">
        <w:rPr>
          <w:i/>
          <w:iCs/>
        </w:rPr>
        <w:lastRenderedPageBreak/>
        <w:t>RUSLE</w:t>
      </w:r>
      <w:r>
        <w:tab/>
      </w:r>
      <w:r>
        <w:tab/>
        <w:t>Pārskatītais universālais augsnes erozijas vienādojums</w:t>
      </w:r>
    </w:p>
    <w:p w:rsidR="00240D34" w:rsidRPr="001C6ACF" w:rsidRDefault="00240D34" w:rsidP="00FE491B">
      <w:pPr>
        <w:pStyle w:val="HStandard"/>
        <w:ind w:left="993" w:hanging="993"/>
      </w:pPr>
      <w:r w:rsidRPr="00E47399">
        <w:rPr>
          <w:i/>
          <w:iCs/>
        </w:rPr>
        <w:t>SAM</w:t>
      </w:r>
      <w:r>
        <w:tab/>
      </w:r>
      <w:r>
        <w:tab/>
        <w:t>Sociālās uzskaites matrica</w:t>
      </w:r>
    </w:p>
    <w:p w:rsidR="00240D34" w:rsidRPr="001C6ACF" w:rsidRDefault="00240D34" w:rsidP="00FE491B">
      <w:pPr>
        <w:pStyle w:val="HStandard"/>
        <w:ind w:left="993" w:hanging="993"/>
      </w:pPr>
      <w:r w:rsidRPr="00E47399">
        <w:rPr>
          <w:i/>
          <w:iCs/>
        </w:rPr>
        <w:t>SAPM</w:t>
      </w:r>
      <w:r>
        <w:tab/>
      </w:r>
      <w:r>
        <w:tab/>
        <w:t>Lauksaimnieciskās ražošanas metožu apsekojums</w:t>
      </w:r>
    </w:p>
    <w:p w:rsidR="00240D34" w:rsidRPr="001C6ACF" w:rsidRDefault="00240D34" w:rsidP="00FE491B">
      <w:pPr>
        <w:pStyle w:val="HStandard"/>
        <w:ind w:left="993" w:hanging="993"/>
      </w:pPr>
      <w:r w:rsidRPr="00E47399">
        <w:rPr>
          <w:i/>
          <w:iCs/>
        </w:rPr>
        <w:t>SEBI</w:t>
      </w:r>
      <w:r>
        <w:tab/>
      </w:r>
      <w:r>
        <w:tab/>
        <w:t>Eiropas bioloģiskās daudzveidības rādītāju saskaņošana</w:t>
      </w:r>
    </w:p>
    <w:p w:rsidR="00240D34" w:rsidRPr="001C6ACF" w:rsidRDefault="00240D34" w:rsidP="00FE491B">
      <w:pPr>
        <w:pStyle w:val="HStandard"/>
        <w:ind w:left="993" w:hanging="993"/>
      </w:pPr>
      <w:r>
        <w:t>SEG</w:t>
      </w:r>
      <w:r>
        <w:tab/>
      </w:r>
      <w:r>
        <w:tab/>
        <w:t>Siltumnīcefekta gāze</w:t>
      </w:r>
    </w:p>
    <w:p w:rsidR="00240D34" w:rsidRPr="001C6ACF" w:rsidRDefault="00240D34" w:rsidP="00FE491B">
      <w:pPr>
        <w:pStyle w:val="HStandard"/>
        <w:ind w:left="993" w:hanging="993"/>
      </w:pPr>
      <w:r>
        <w:rPr>
          <w:i/>
        </w:rPr>
        <w:t>SFC</w:t>
      </w:r>
      <w:r>
        <w:tab/>
      </w:r>
      <w:r>
        <w:tab/>
        <w:t>Dalītas līdzekļu pārvaldības kopējā sistēma</w:t>
      </w:r>
    </w:p>
    <w:p w:rsidR="00240D34" w:rsidRPr="001C6ACF" w:rsidRDefault="00240D34" w:rsidP="00FE491B">
      <w:pPr>
        <w:pStyle w:val="HStandard"/>
        <w:ind w:left="993" w:hanging="993"/>
      </w:pPr>
      <w:r>
        <w:t>SVID</w:t>
      </w:r>
      <w:r>
        <w:tab/>
      </w:r>
      <w:r>
        <w:tab/>
        <w:t>Stiprās puses, vājās puses, iespējas, draudi</w:t>
      </w:r>
    </w:p>
    <w:p w:rsidR="00240D34" w:rsidRPr="001C6ACF" w:rsidRDefault="00240D34" w:rsidP="00FE491B">
      <w:pPr>
        <w:pStyle w:val="HStandard"/>
        <w:ind w:left="993" w:hanging="993"/>
      </w:pPr>
      <w:r>
        <w:t>SVVA</w:t>
      </w:r>
      <w:r>
        <w:tab/>
      </w:r>
      <w:r>
        <w:tab/>
        <w:t>Sabiedrības virzīta vietējā attīstība</w:t>
      </w:r>
    </w:p>
    <w:p w:rsidR="00240D34" w:rsidRPr="001C6ACF" w:rsidRDefault="00240D34" w:rsidP="00FE491B">
      <w:pPr>
        <w:pStyle w:val="HStandard"/>
        <w:ind w:left="993" w:hanging="993"/>
      </w:pPr>
      <w:r>
        <w:t>TBN</w:t>
      </w:r>
      <w:r>
        <w:tab/>
      </w:r>
      <w:r>
        <w:tab/>
        <w:t>Teorijā balstīts novērtējums</w:t>
      </w:r>
    </w:p>
    <w:p w:rsidR="00240D34" w:rsidRPr="001C6ACF" w:rsidRDefault="00240D34" w:rsidP="00FE491B">
      <w:pPr>
        <w:pStyle w:val="HStandard"/>
        <w:ind w:left="993" w:hanging="993"/>
      </w:pPr>
      <w:r w:rsidRPr="00E47399">
        <w:rPr>
          <w:i/>
          <w:iCs/>
        </w:rPr>
        <w:t>TFP</w:t>
      </w:r>
      <w:r>
        <w:tab/>
      </w:r>
      <w:r>
        <w:tab/>
        <w:t>Kopējā faktoru produktivitāte</w:t>
      </w:r>
    </w:p>
    <w:p w:rsidR="00240D34" w:rsidRPr="001C6ACF" w:rsidRDefault="00240D34" w:rsidP="00FE491B">
      <w:pPr>
        <w:pStyle w:val="HStandard"/>
        <w:ind w:left="993" w:hanging="993"/>
      </w:pPr>
      <w:r>
        <w:t>TP</w:t>
      </w:r>
      <w:r>
        <w:tab/>
      </w:r>
      <w:r>
        <w:tab/>
        <w:t>Tehniskā palīdzība</w:t>
      </w:r>
    </w:p>
    <w:p w:rsidR="00240D34" w:rsidRPr="001C6ACF" w:rsidRDefault="00240D34" w:rsidP="00FE491B">
      <w:pPr>
        <w:pStyle w:val="HStandard"/>
        <w:ind w:left="993" w:hanging="993"/>
      </w:pPr>
      <w:r>
        <w:t>UBA</w:t>
      </w:r>
      <w:r>
        <w:tab/>
      </w:r>
      <w:r>
        <w:tab/>
        <w:t>Upes baseina apgabals</w:t>
      </w:r>
    </w:p>
    <w:p w:rsidR="00240D34" w:rsidRPr="001C6ACF" w:rsidRDefault="00240D34" w:rsidP="00FE491B">
      <w:pPr>
        <w:pStyle w:val="HStandard"/>
        <w:ind w:left="993" w:hanging="993"/>
      </w:pPr>
      <w:r>
        <w:t>UK</w:t>
      </w:r>
      <w:r>
        <w:tab/>
      </w:r>
      <w:r>
        <w:tab/>
        <w:t>Uzraudzības komiteja</w:t>
      </w:r>
    </w:p>
    <w:p w:rsidR="00240D34" w:rsidRPr="001C6ACF" w:rsidRDefault="00240D34" w:rsidP="00FE491B">
      <w:pPr>
        <w:pStyle w:val="HStandard"/>
        <w:ind w:left="993" w:hanging="993"/>
      </w:pPr>
      <w:r>
        <w:t>ŪPD</w:t>
      </w:r>
      <w:r>
        <w:tab/>
      </w:r>
      <w:r>
        <w:tab/>
        <w:t>Ūdens pamatdirektīva</w:t>
      </w:r>
    </w:p>
    <w:p w:rsidR="00240D34" w:rsidRPr="001C6ACF" w:rsidRDefault="00240D34" w:rsidP="00FE491B">
      <w:pPr>
        <w:pStyle w:val="HStandard"/>
        <w:ind w:left="993" w:hanging="993"/>
      </w:pPr>
      <w:r>
        <w:t>VAA</w:t>
      </w:r>
      <w:r>
        <w:tab/>
      </w:r>
      <w:r>
        <w:tab/>
        <w:t>Vidējā apstrādes ietekme uz apstrādātajiem</w:t>
      </w:r>
    </w:p>
    <w:p w:rsidR="00240D34" w:rsidRPr="001C6ACF" w:rsidRDefault="00240D34" w:rsidP="00FE491B">
      <w:pPr>
        <w:pStyle w:val="HStandard"/>
        <w:ind w:left="993" w:hanging="993"/>
      </w:pPr>
      <w:r>
        <w:t>Vērt. v.</w:t>
      </w:r>
      <w:r>
        <w:tab/>
      </w:r>
      <w:r>
        <w:tab/>
        <w:t>Vērtēšanas vienība</w:t>
      </w:r>
    </w:p>
    <w:p w:rsidR="00240D34" w:rsidRPr="001C6ACF" w:rsidRDefault="00240D34" w:rsidP="00FE491B">
      <w:pPr>
        <w:pStyle w:val="HStandard"/>
        <w:ind w:left="993" w:hanging="993"/>
      </w:pPr>
      <w:r>
        <w:t>Vērt.</w:t>
      </w:r>
      <w:r>
        <w:tab/>
      </w:r>
      <w:r>
        <w:tab/>
        <w:t>Vērtētājs</w:t>
      </w:r>
    </w:p>
    <w:p w:rsidR="00240D34" w:rsidRPr="001C6ACF" w:rsidRDefault="00240D34" w:rsidP="00FE491B">
      <w:pPr>
        <w:pStyle w:val="HStandard"/>
        <w:ind w:left="993" w:hanging="993"/>
      </w:pPr>
      <w:r>
        <w:t>VI</w:t>
      </w:r>
      <w:r>
        <w:tab/>
      </w:r>
      <w:r>
        <w:tab/>
        <w:t>Vadošā iestāde</w:t>
      </w:r>
    </w:p>
    <w:p w:rsidR="00240D34" w:rsidRPr="00FB5A40" w:rsidRDefault="00240D34" w:rsidP="00FE491B">
      <w:pPr>
        <w:pStyle w:val="HStandard"/>
        <w:ind w:left="993" w:hanging="993"/>
      </w:pPr>
      <w:r>
        <w:t>VK</w:t>
      </w:r>
      <w:r>
        <w:tab/>
      </w:r>
      <w:r>
        <w:tab/>
        <w:t>Vērtēšanas kritēriji</w:t>
      </w:r>
    </w:p>
    <w:p w:rsidR="00240D34" w:rsidRPr="001C6ACF" w:rsidRDefault="00240D34" w:rsidP="00FE491B">
      <w:pPr>
        <w:pStyle w:val="HStandard"/>
        <w:ind w:left="993" w:hanging="993"/>
      </w:pPr>
      <w:r>
        <w:t>VNRS</w:t>
      </w:r>
      <w:r>
        <w:tab/>
      </w:r>
      <w:r>
        <w:tab/>
        <w:t>Vispārināta noslieces rezultātu saskaņošana</w:t>
      </w:r>
    </w:p>
    <w:p w:rsidR="00240D34" w:rsidRPr="001C6ACF" w:rsidRDefault="00240D34" w:rsidP="00FE491B">
      <w:pPr>
        <w:pStyle w:val="HStandard"/>
        <w:ind w:left="993" w:hanging="993"/>
      </w:pPr>
      <w:r>
        <w:t>ZGIS</w:t>
      </w:r>
      <w:r>
        <w:tab/>
      </w:r>
      <w:r>
        <w:tab/>
        <w:t>Zemes gabalu identifikācijas sistēma</w:t>
      </w:r>
    </w:p>
    <w:p w:rsidR="00D32538" w:rsidRPr="001C6ACF" w:rsidRDefault="00D32538" w:rsidP="0095356C">
      <w:pPr>
        <w:pStyle w:val="HStandard"/>
        <w:ind w:left="993" w:hanging="993"/>
        <w:sectPr w:rsidR="00D32538" w:rsidRPr="001C6ACF" w:rsidSect="00C702ED">
          <w:headerReference w:type="default" r:id="rId17"/>
          <w:footerReference w:type="first" r:id="rId18"/>
          <w:pgSz w:w="11906" w:h="16838" w:code="9"/>
          <w:pgMar w:top="1440" w:right="1440" w:bottom="1134" w:left="1440" w:header="567" w:footer="737" w:gutter="0"/>
          <w:cols w:space="708"/>
          <w:titlePg/>
          <w:docGrid w:linePitch="360"/>
        </w:sectPr>
      </w:pPr>
    </w:p>
    <w:p w:rsidR="006F7D30" w:rsidRPr="001C6ACF" w:rsidRDefault="006F7D30" w:rsidP="006F7D30">
      <w:pPr>
        <w:pStyle w:val="HHeading1"/>
        <w:numPr>
          <w:ilvl w:val="0"/>
          <w:numId w:val="0"/>
        </w:numPr>
        <w:rPr>
          <w:sz w:val="28"/>
        </w:rPr>
      </w:pPr>
      <w:r>
        <w:rPr>
          <w:sz w:val="28"/>
        </w:rPr>
        <w:lastRenderedPageBreak/>
        <w:t>Pateicības</w:t>
      </w:r>
    </w:p>
    <w:p w:rsidR="00EB120C" w:rsidRPr="001C6ACF" w:rsidRDefault="00EB120C" w:rsidP="00EB120C">
      <w:pPr>
        <w:spacing w:after="120" w:line="280" w:lineRule="atLeast"/>
        <w:rPr>
          <w:rFonts w:ascii="Calibri" w:hAnsi="Calibri"/>
          <w:i/>
          <w:iCs/>
          <w:color w:val="373737" w:themeColor="text1"/>
          <w:sz w:val="20"/>
          <w:szCs w:val="20"/>
        </w:rPr>
      </w:pPr>
      <w:r>
        <w:rPr>
          <w:i/>
          <w:color w:val="373737" w:themeColor="text1"/>
          <w:sz w:val="20"/>
        </w:rPr>
        <w:t>Šīs pamatnostādnes sagatavoj</w:t>
      </w:r>
      <w:r w:rsidR="00490322">
        <w:rPr>
          <w:i/>
          <w:color w:val="373737" w:themeColor="text1"/>
          <w:sz w:val="20"/>
        </w:rPr>
        <w:t>a</w:t>
      </w:r>
      <w:r>
        <w:rPr>
          <w:i/>
          <w:color w:val="373737" w:themeColor="text1"/>
          <w:sz w:val="20"/>
        </w:rPr>
        <w:t xml:space="preserve"> starptautiska lauku attīstības vērtēšanas ekspertu grupa, </w:t>
      </w:r>
      <w:r w:rsidR="000D6687">
        <w:rPr>
          <w:i/>
          <w:color w:val="373737" w:themeColor="text1"/>
          <w:sz w:val="20"/>
        </w:rPr>
        <w:t xml:space="preserve">t. sk. </w:t>
      </w:r>
      <w:r w:rsidRPr="00F67434">
        <w:rPr>
          <w:iCs/>
          <w:color w:val="373737" w:themeColor="text1"/>
          <w:sz w:val="20"/>
        </w:rPr>
        <w:t>Jerzy Michalek</w:t>
      </w:r>
      <w:r>
        <w:rPr>
          <w:i/>
          <w:color w:val="373737" w:themeColor="text1"/>
          <w:sz w:val="20"/>
        </w:rPr>
        <w:t xml:space="preserve"> (ietekme uz nozari), </w:t>
      </w:r>
      <w:r w:rsidRPr="00F67434">
        <w:rPr>
          <w:iCs/>
          <w:color w:val="373737" w:themeColor="text1"/>
          <w:sz w:val="20"/>
        </w:rPr>
        <w:t>Demetrios Psaltopoulos</w:t>
      </w:r>
      <w:r>
        <w:rPr>
          <w:i/>
          <w:color w:val="373737" w:themeColor="text1"/>
          <w:sz w:val="20"/>
        </w:rPr>
        <w:t xml:space="preserve"> (sociālekonomiskā ietekme), </w:t>
      </w:r>
      <w:r w:rsidRPr="00F67434">
        <w:rPr>
          <w:iCs/>
          <w:color w:val="373737" w:themeColor="text1"/>
          <w:sz w:val="20"/>
        </w:rPr>
        <w:t>Marili Parisaki</w:t>
      </w:r>
      <w:r>
        <w:rPr>
          <w:i/>
          <w:color w:val="373737" w:themeColor="text1"/>
          <w:sz w:val="20"/>
        </w:rPr>
        <w:t xml:space="preserve"> (kvalitatīvās metodes), </w:t>
      </w:r>
      <w:r w:rsidRPr="00F67434">
        <w:rPr>
          <w:iCs/>
          <w:color w:val="373737" w:themeColor="text1"/>
          <w:sz w:val="20"/>
        </w:rPr>
        <w:t>Tomáš Ratinger</w:t>
      </w:r>
      <w:r>
        <w:rPr>
          <w:i/>
          <w:color w:val="373737" w:themeColor="text1"/>
          <w:sz w:val="20"/>
        </w:rPr>
        <w:t xml:space="preserve"> (ietekme uz nozari), </w:t>
      </w:r>
      <w:r w:rsidRPr="00F67434">
        <w:rPr>
          <w:iCs/>
          <w:color w:val="373737" w:themeColor="text1"/>
          <w:sz w:val="20"/>
        </w:rPr>
        <w:t>Gerald Schwarz</w:t>
      </w:r>
      <w:r>
        <w:rPr>
          <w:i/>
          <w:color w:val="373737" w:themeColor="text1"/>
          <w:sz w:val="20"/>
        </w:rPr>
        <w:t xml:space="preserve"> (ietekme uz vidi), </w:t>
      </w:r>
      <w:r w:rsidRPr="00F67434">
        <w:rPr>
          <w:iCs/>
          <w:color w:val="373737" w:themeColor="text1"/>
          <w:sz w:val="20"/>
        </w:rPr>
        <w:t>Dimitris Skuras</w:t>
      </w:r>
      <w:r>
        <w:rPr>
          <w:i/>
          <w:color w:val="373737" w:themeColor="text1"/>
          <w:sz w:val="20"/>
        </w:rPr>
        <w:t xml:space="preserve"> (ietekme uz vidi), </w:t>
      </w:r>
      <w:r w:rsidRPr="00F67434">
        <w:rPr>
          <w:iCs/>
          <w:color w:val="373737" w:themeColor="text1"/>
          <w:sz w:val="20"/>
        </w:rPr>
        <w:t>Darko Znaor</w:t>
      </w:r>
      <w:r>
        <w:rPr>
          <w:i/>
          <w:color w:val="373737" w:themeColor="text1"/>
          <w:sz w:val="20"/>
        </w:rPr>
        <w:t xml:space="preserve"> (ietekme uz vidi). Saistīto tematisko darba grupu koordinēja Novērtēšanas palīdzības dienests </w:t>
      </w:r>
      <w:r w:rsidRPr="00F67434">
        <w:rPr>
          <w:iCs/>
          <w:color w:val="373737" w:themeColor="text1"/>
          <w:sz w:val="20"/>
        </w:rPr>
        <w:t>Jela Tvrdonova</w:t>
      </w:r>
      <w:r>
        <w:rPr>
          <w:i/>
          <w:color w:val="373737" w:themeColor="text1"/>
          <w:sz w:val="20"/>
        </w:rPr>
        <w:t xml:space="preserve"> un </w:t>
      </w:r>
      <w:r w:rsidRPr="00F67434">
        <w:rPr>
          <w:iCs/>
          <w:color w:val="373737" w:themeColor="text1"/>
          <w:sz w:val="20"/>
        </w:rPr>
        <w:t>Hannes Wimmer</w:t>
      </w:r>
      <w:r>
        <w:rPr>
          <w:i/>
          <w:color w:val="373737" w:themeColor="text1"/>
          <w:sz w:val="20"/>
        </w:rPr>
        <w:t xml:space="preserve"> vadībā. </w:t>
      </w:r>
      <w:r w:rsidRPr="00F67434">
        <w:rPr>
          <w:iCs/>
          <w:color w:val="373737" w:themeColor="text1"/>
          <w:sz w:val="20"/>
        </w:rPr>
        <w:t>Valérie Dumont</w:t>
      </w:r>
      <w:r>
        <w:rPr>
          <w:i/>
          <w:color w:val="373737" w:themeColor="text1"/>
          <w:sz w:val="20"/>
        </w:rPr>
        <w:t xml:space="preserve">, </w:t>
      </w:r>
      <w:r w:rsidRPr="00F67434">
        <w:rPr>
          <w:iCs/>
          <w:color w:val="373737" w:themeColor="text1"/>
          <w:sz w:val="20"/>
        </w:rPr>
        <w:t>Myles Stiffler</w:t>
      </w:r>
      <w:r>
        <w:rPr>
          <w:i/>
          <w:color w:val="373737" w:themeColor="text1"/>
          <w:sz w:val="20"/>
        </w:rPr>
        <w:t xml:space="preserve">, </w:t>
      </w:r>
      <w:r w:rsidRPr="00F67434">
        <w:rPr>
          <w:iCs/>
          <w:color w:val="373737" w:themeColor="text1"/>
          <w:sz w:val="20"/>
        </w:rPr>
        <w:t>Matteo Metta</w:t>
      </w:r>
      <w:r>
        <w:rPr>
          <w:i/>
          <w:color w:val="373737" w:themeColor="text1"/>
          <w:sz w:val="20"/>
        </w:rPr>
        <w:t xml:space="preserve">, </w:t>
      </w:r>
      <w:r w:rsidRPr="00F67434">
        <w:rPr>
          <w:iCs/>
          <w:color w:val="373737" w:themeColor="text1"/>
          <w:sz w:val="20"/>
        </w:rPr>
        <w:t>Valdis Kudins</w:t>
      </w:r>
      <w:r>
        <w:rPr>
          <w:i/>
          <w:color w:val="373737" w:themeColor="text1"/>
          <w:sz w:val="20"/>
        </w:rPr>
        <w:t xml:space="preserve"> un </w:t>
      </w:r>
      <w:r w:rsidRPr="00F67434">
        <w:rPr>
          <w:iCs/>
          <w:color w:val="373737" w:themeColor="text1"/>
          <w:sz w:val="20"/>
        </w:rPr>
        <w:t>Harriet Mackaill-Hill</w:t>
      </w:r>
      <w:r>
        <w:rPr>
          <w:i/>
          <w:color w:val="373737" w:themeColor="text1"/>
          <w:sz w:val="20"/>
        </w:rPr>
        <w:t xml:space="preserve"> palīdzēja izstrād</w:t>
      </w:r>
      <w:r w:rsidR="006C637F">
        <w:rPr>
          <w:i/>
          <w:color w:val="373737" w:themeColor="text1"/>
          <w:sz w:val="20"/>
        </w:rPr>
        <w:t>es darbā</w:t>
      </w:r>
      <w:r>
        <w:rPr>
          <w:i/>
          <w:color w:val="373737" w:themeColor="text1"/>
          <w:sz w:val="20"/>
        </w:rPr>
        <w:t xml:space="preserve"> un nodrošināja galīgo pamatnostādņu kvalitāti un vizuālo izskatu. </w:t>
      </w:r>
    </w:p>
    <w:p w:rsidR="00EB120C" w:rsidRPr="001C6ACF" w:rsidRDefault="00EB120C" w:rsidP="00EB120C">
      <w:pPr>
        <w:spacing w:after="120" w:line="280" w:lineRule="atLeast"/>
        <w:rPr>
          <w:i/>
          <w:iCs/>
          <w:color w:val="373737" w:themeColor="text1"/>
          <w:sz w:val="20"/>
          <w:szCs w:val="20"/>
        </w:rPr>
      </w:pPr>
      <w:r>
        <w:rPr>
          <w:i/>
          <w:color w:val="373737" w:themeColor="text1"/>
          <w:sz w:val="20"/>
        </w:rPr>
        <w:t>Vairāki eksperti piedalījās kā salīdzinošās vērtēšanas veicēji (</w:t>
      </w:r>
      <w:r w:rsidRPr="00F67434">
        <w:rPr>
          <w:iCs/>
          <w:color w:val="373737" w:themeColor="text1"/>
          <w:sz w:val="20"/>
        </w:rPr>
        <w:t>Rolf Bergs</w:t>
      </w:r>
      <w:r>
        <w:rPr>
          <w:i/>
          <w:color w:val="373737" w:themeColor="text1"/>
          <w:sz w:val="20"/>
        </w:rPr>
        <w:t xml:space="preserve">, </w:t>
      </w:r>
      <w:r w:rsidRPr="00F67434">
        <w:rPr>
          <w:iCs/>
          <w:color w:val="373737" w:themeColor="text1"/>
          <w:sz w:val="20"/>
        </w:rPr>
        <w:t>Kit Macleod</w:t>
      </w:r>
      <w:r>
        <w:rPr>
          <w:i/>
          <w:color w:val="373737" w:themeColor="text1"/>
          <w:sz w:val="20"/>
        </w:rPr>
        <w:t xml:space="preserve">, </w:t>
      </w:r>
      <w:r w:rsidRPr="00F67434">
        <w:rPr>
          <w:iCs/>
          <w:color w:val="373737" w:themeColor="text1"/>
          <w:sz w:val="20"/>
        </w:rPr>
        <w:t>Žymantas Morkvėnas</w:t>
      </w:r>
      <w:r>
        <w:rPr>
          <w:i/>
          <w:color w:val="373737" w:themeColor="text1"/>
          <w:sz w:val="20"/>
        </w:rPr>
        <w:t>). Lauksaimniecības un lauku attīstības ĢD pārstāvji nodrošināja pamatnostādņu atbilstību ES politikas satvaram.</w:t>
      </w:r>
    </w:p>
    <w:p w:rsidR="006F7D30" w:rsidRPr="001C6ACF" w:rsidRDefault="00EB120C" w:rsidP="00EB120C">
      <w:pPr>
        <w:pStyle w:val="HStandard"/>
      </w:pPr>
      <w:r>
        <w:rPr>
          <w:i/>
        </w:rPr>
        <w:t xml:space="preserve">Dalībvalstu pārstāvji sniedza komentārus par pamatnostādņu projekta versijām apspriešanas sanāksmēs, kas notika 2018. gada janvārī un aprīlī. KLP uzraudzības un vērtēšanas ekspertu grupas biedri komentārus par galīgo projektu </w:t>
      </w:r>
      <w:r w:rsidR="006C637F">
        <w:rPr>
          <w:i/>
        </w:rPr>
        <w:t xml:space="preserve">sniedza </w:t>
      </w:r>
      <w:r>
        <w:rPr>
          <w:i/>
        </w:rPr>
        <w:t>2018. gada jūnijā. </w:t>
      </w:r>
    </w:p>
    <w:p w:rsidR="00860B72" w:rsidRPr="001C6ACF" w:rsidRDefault="00860B72" w:rsidP="000B2A17">
      <w:pPr>
        <w:pStyle w:val="HStandard"/>
      </w:pPr>
    </w:p>
    <w:p w:rsidR="008E728A" w:rsidRPr="001C6ACF" w:rsidRDefault="008549B5" w:rsidP="008E3ACB">
      <w:pPr>
        <w:pStyle w:val="HHeading1"/>
        <w:numPr>
          <w:ilvl w:val="0"/>
          <w:numId w:val="0"/>
        </w:numPr>
        <w:rPr>
          <w:sz w:val="28"/>
        </w:rPr>
      </w:pPr>
      <w:r>
        <w:rPr>
          <w:sz w:val="28"/>
        </w:rPr>
        <w:lastRenderedPageBreak/>
        <w:t>IEVADS</w:t>
      </w:r>
    </w:p>
    <w:p w:rsidR="00CD63F6" w:rsidRPr="001C6ACF" w:rsidRDefault="00CD63F6" w:rsidP="00CD63F6">
      <w:pPr>
        <w:pStyle w:val="HHeading4"/>
      </w:pPr>
      <w:r>
        <w:t>Novērtēšanas nozīm</w:t>
      </w:r>
      <w:r w:rsidR="00C84CE5">
        <w:t>ība</w:t>
      </w:r>
    </w:p>
    <w:p w:rsidR="00CD63F6" w:rsidRPr="001C6ACF" w:rsidRDefault="00CD63F6" w:rsidP="00CD63F6">
      <w:pPr>
        <w:pStyle w:val="HStandard"/>
      </w:pPr>
      <w:r>
        <w:t xml:space="preserve">Eiropas strukturālie un investīciju fondi (ESIF) ir svarīgi </w:t>
      </w:r>
      <w:r>
        <w:rPr>
          <w:b/>
        </w:rPr>
        <w:t>publiski instrumenti</w:t>
      </w:r>
      <w:r w:rsidR="00C84CE5">
        <w:t xml:space="preserve">, kas atbalsta </w:t>
      </w:r>
      <w:r>
        <w:t>ar galvenajām Savienības prioritātēm saistīt</w:t>
      </w:r>
      <w:r w:rsidR="00C84CE5">
        <w:t>as</w:t>
      </w:r>
      <w:r>
        <w:t xml:space="preserve"> darbīb</w:t>
      </w:r>
      <w:r w:rsidR="00C84CE5">
        <w:t>as un ko</w:t>
      </w:r>
      <w:r>
        <w:t xml:space="preserve"> dalībvalstīs un reģionos īsteno ar </w:t>
      </w:r>
      <w:r w:rsidR="0062264F">
        <w:t xml:space="preserve">daudzgadu programmu palīdzību. Tāpēc politikas veidotāju un sabiedrības interesēs ir zināt, vai </w:t>
      </w:r>
      <w:r>
        <w:t xml:space="preserve">nauda tiek tērēta saprātīgi un sasniedz plānotos rezultātus un vai iejaukšanās ir vērsta uz pareizajiem </w:t>
      </w:r>
      <w:r w:rsidR="00A4550A">
        <w:t>saņēmējiem</w:t>
      </w:r>
      <w:r>
        <w:t xml:space="preserve">, lai izpildītu ES politikas mērķus. </w:t>
      </w:r>
    </w:p>
    <w:p w:rsidR="00CD63F6" w:rsidRPr="001C6ACF" w:rsidRDefault="00CD63F6" w:rsidP="00CC00DA">
      <w:pPr>
        <w:pStyle w:val="HStandard"/>
      </w:pPr>
      <w:r>
        <w:rPr>
          <w:b/>
        </w:rPr>
        <w:t>Novērtēšana</w:t>
      </w:r>
      <w:r>
        <w:t xml:space="preserve"> ir rīks politikas efektivitātes, lietderības, rezultātu un ietekmes</w:t>
      </w:r>
      <w:r>
        <w:rPr>
          <w:rStyle w:val="FootnoteReference"/>
        </w:rPr>
        <w:footnoteReference w:id="1"/>
      </w:r>
      <w:r>
        <w:t xml:space="preserve">, būtiskuma, saskaņotības un ES pievienotās vērtības mērīšanai, lai pārliecinātos par tās pārskatatbildību un pārredzamību un galu galā uzlabotu tās uzbūvi. Saistībā ar lauku attīstību </w:t>
      </w:r>
      <w:r>
        <w:rPr>
          <w:b/>
        </w:rPr>
        <w:t>2014.–2020. gada plānošanas periodā</w:t>
      </w:r>
      <w:r>
        <w:t xml:space="preserve"> ir divi novērtēšanas atskaites punkti. Viens 2017. gadā, kad ieinteresētās personas </w:t>
      </w:r>
      <w:r w:rsidR="00001565">
        <w:t>iz</w:t>
      </w:r>
      <w:r>
        <w:t xml:space="preserve">vērtē politikas rezultātus, un otrs 2019. gadā, kad tiek mērīti politikas rezultāti un ietekme. Turklāt </w:t>
      </w:r>
      <w:r>
        <w:rPr>
          <w:b/>
        </w:rPr>
        <w:t>pēc plānošanas perioda</w:t>
      </w:r>
      <w:r>
        <w:t xml:space="preserve"> tiek veikts </w:t>
      </w:r>
      <w:r>
        <w:rPr>
          <w:i/>
        </w:rPr>
        <w:t>ex post</w:t>
      </w:r>
      <w:r>
        <w:t xml:space="preserve"> novērtējums.</w:t>
      </w:r>
      <w:r>
        <w:rPr>
          <w:b/>
        </w:rPr>
        <w:t xml:space="preserve"> </w:t>
      </w:r>
    </w:p>
    <w:p w:rsidR="00CD63F6" w:rsidRPr="001C6ACF" w:rsidRDefault="00CD63F6" w:rsidP="005C0884">
      <w:pPr>
        <w:pStyle w:val="HHeading4"/>
      </w:pPr>
      <w:r>
        <w:t xml:space="preserve">Pamatnostādņu mērķis </w:t>
      </w:r>
    </w:p>
    <w:p w:rsidR="00CD63F6" w:rsidRPr="00571D58" w:rsidRDefault="00BD7C99" w:rsidP="00CD63F6">
      <w:pPr>
        <w:pStyle w:val="HStandard"/>
      </w:pPr>
      <w:r>
        <w:t>Tiesiskais regulējums paredz, ka dalībvalstīm 2019. gadā ir jāziņo par LAP sasniegumiem ceļā uz programmas mērķiem un tās ieguldījumu ES stratēģijā gudrai, ilgtspējīgai un integrējošai izaugsmei. Šo prasību izpilda ar 2019. gadā iesniegtu gada īstenošanas ziņojumu (GĪZ). Novērtējum</w:t>
      </w:r>
      <w:r w:rsidR="00C969B0">
        <w:t>os</w:t>
      </w:r>
      <w:r>
        <w:t xml:space="preserve"> būtu jā</w:t>
      </w:r>
      <w:r w:rsidR="00CC4511">
        <w:t>iz</w:t>
      </w:r>
      <w:r>
        <w:t xml:space="preserve">vērtē programmas </w:t>
      </w:r>
      <w:r w:rsidR="00C969B0">
        <w:t>neto</w:t>
      </w:r>
      <w:r>
        <w:t xml:space="preserve"> ieguldījums KLP ietekmes rādītāju vērtību izmaiņās un jāatbild uz novērtē</w:t>
      </w:r>
      <w:r w:rsidR="000D6687">
        <w:t>šanas</w:t>
      </w:r>
      <w:r>
        <w:t xml:space="preserve"> jautājumiem</w:t>
      </w:r>
      <w:r>
        <w:rPr>
          <w:rStyle w:val="FootnoteReference"/>
        </w:rPr>
        <w:footnoteReference w:id="2"/>
      </w:r>
      <w:r>
        <w:t xml:space="preserve">. </w:t>
      </w:r>
    </w:p>
    <w:p w:rsidR="00CD63F6" w:rsidRPr="001C6ACF" w:rsidRDefault="009642AA" w:rsidP="009F77FD">
      <w:pPr>
        <w:pStyle w:val="HStandard"/>
      </w:pPr>
      <w:r>
        <w:t xml:space="preserve">Šo pamatnostādņu mērķis ir </w:t>
      </w:r>
      <w:r>
        <w:rPr>
          <w:b/>
        </w:rPr>
        <w:t>izskatīt problēmas</w:t>
      </w:r>
      <w:r>
        <w:t xml:space="preserve">, kas saistītas ar GĪZ </w:t>
      </w:r>
      <w:r w:rsidR="00C84CE5">
        <w:t xml:space="preserve">novērtēšanas darbībām </w:t>
      </w:r>
      <w:r>
        <w:t xml:space="preserve">2019. gadā, </w:t>
      </w:r>
      <w:r>
        <w:rPr>
          <w:b/>
        </w:rPr>
        <w:t>piedāvāt</w:t>
      </w:r>
      <w:r>
        <w:t xml:space="preserve"> </w:t>
      </w:r>
      <w:r>
        <w:rPr>
          <w:b/>
        </w:rPr>
        <w:t>praktiskas pieejas</w:t>
      </w:r>
      <w:r>
        <w:t xml:space="preserve"> LAP </w:t>
      </w:r>
      <w:r w:rsidR="00C969B0">
        <w:t>neto</w:t>
      </w:r>
      <w:r>
        <w:t xml:space="preserve"> ieguldījuma vērtēšanai KLP </w:t>
      </w:r>
      <w:r w:rsidR="00524177">
        <w:t xml:space="preserve">kopējos </w:t>
      </w:r>
      <w:r>
        <w:t xml:space="preserve">ietekmes rādītājos un </w:t>
      </w:r>
      <w:r w:rsidR="00CC4511">
        <w:t>iz</w:t>
      </w:r>
      <w:r>
        <w:t xml:space="preserve">vērtēt virzību uz ES līmeņa mērķu sasniegšanu, kā arī </w:t>
      </w:r>
      <w:r>
        <w:rPr>
          <w:b/>
        </w:rPr>
        <w:t>sniegt atbalstu</w:t>
      </w:r>
      <w:r>
        <w:t xml:space="preserve">, </w:t>
      </w:r>
      <w:r>
        <w:rPr>
          <w:b/>
        </w:rPr>
        <w:t>sagatavojot atbildes</w:t>
      </w:r>
      <w:r>
        <w:t xml:space="preserve"> uz </w:t>
      </w:r>
      <w:r w:rsidR="000D6687">
        <w:t>kopējiem novērtēšanas jautājumiem (KNJ</w:t>
      </w:r>
      <w:r w:rsidR="00C84CE5">
        <w:t>)</w:t>
      </w:r>
      <w:r w:rsidR="000D6687">
        <w:t xml:space="preserve"> Nr. </w:t>
      </w:r>
      <w:r>
        <w:t>22–30 un ziņojot Eiropas Komisijai par novērtēšanas konstatējumiem GĪZ, kas iesniegti 2019. gadā.</w:t>
      </w:r>
    </w:p>
    <w:p w:rsidR="00CD63F6" w:rsidRPr="001C6ACF" w:rsidRDefault="00CD63F6" w:rsidP="005C0884">
      <w:pPr>
        <w:pStyle w:val="HHeading4"/>
      </w:pPr>
      <w:r>
        <w:t xml:space="preserve">Pamatnostādņu struktūra un saturs </w:t>
      </w:r>
    </w:p>
    <w:p w:rsidR="00CD63F6" w:rsidRPr="001C6ACF" w:rsidRDefault="00BD7C99" w:rsidP="005C0884">
      <w:pPr>
        <w:pStyle w:val="HStandard"/>
      </w:pPr>
      <w:r>
        <w:rPr>
          <w:b/>
        </w:rPr>
        <w:t xml:space="preserve">NESAISTOŠAJĀS </w:t>
      </w:r>
      <w:r w:rsidR="006D57EE">
        <w:rPr>
          <w:b/>
        </w:rPr>
        <w:t>pamatnostādnēs</w:t>
      </w:r>
      <w:r w:rsidR="00BD02FA">
        <w:t xml:space="preserve"> "</w:t>
      </w:r>
      <w:r>
        <w:t xml:space="preserve">LAP sasniegumu un ietekmes </w:t>
      </w:r>
      <w:r w:rsidR="00CC4511">
        <w:t>iz</w:t>
      </w:r>
      <w:r>
        <w:t>vērtējums 2019. </w:t>
      </w:r>
      <w:r w:rsidR="00BD02FA">
        <w:t>g</w:t>
      </w:r>
      <w:r>
        <w:t>adā</w:t>
      </w:r>
      <w:r w:rsidR="00BD02FA">
        <w:t>"</w:t>
      </w:r>
      <w:r>
        <w:t xml:space="preserve"> ir</w:t>
      </w:r>
      <w:r w:rsidR="00C84CE5">
        <w:t xml:space="preserve"> šādas daļas</w:t>
      </w:r>
      <w:r>
        <w:t xml:space="preserve">: </w:t>
      </w:r>
    </w:p>
    <w:p w:rsidR="00CD63F6" w:rsidRPr="001C6ACF" w:rsidRDefault="008358D0" w:rsidP="00AD4DC6">
      <w:pPr>
        <w:pStyle w:val="Hlistbullet"/>
        <w:spacing w:line="276" w:lineRule="auto"/>
      </w:pPr>
      <w:r>
        <w:rPr>
          <w:b/>
          <w:color w:val="F07E31" w:themeColor="accent1"/>
        </w:rPr>
        <w:t xml:space="preserve">I DAĻA (galvenokārt vadošajām iestādēm) — </w:t>
      </w:r>
      <w:r>
        <w:t xml:space="preserve">sniegta informācija par juridiskajām prasībām un noteikts, kā </w:t>
      </w:r>
      <w:r w:rsidR="00C84CE5">
        <w:t xml:space="preserve">2019. gadā </w:t>
      </w:r>
      <w:r>
        <w:t xml:space="preserve">jāziņo par </w:t>
      </w:r>
      <w:r w:rsidR="00C84CE5">
        <w:t>KNJ Nr. </w:t>
      </w:r>
      <w:r>
        <w:t>22–30. I daļā ir iekļautas atsauces uz citiem pašreizējiem norādījumiem</w:t>
      </w:r>
      <w:r w:rsidR="00001565">
        <w:t>.</w:t>
      </w:r>
    </w:p>
    <w:p w:rsidR="00CD63F6" w:rsidRPr="001C6ACF" w:rsidRDefault="008358D0" w:rsidP="00AD4DC6">
      <w:pPr>
        <w:pStyle w:val="Hlistbullet"/>
        <w:spacing w:line="276" w:lineRule="auto"/>
      </w:pPr>
      <w:r>
        <w:rPr>
          <w:b/>
          <w:color w:val="F07E31" w:themeColor="accent1"/>
        </w:rPr>
        <w:t>II DAĻA (galvenokārt vērtētājiem) —</w:t>
      </w:r>
      <w:r>
        <w:t xml:space="preserve"> sniegts metodoloģisks atbalsts II pīlāra (ietekme uz nozari, vidi un sociālekonomiskā ietekme) kop</w:t>
      </w:r>
      <w:r w:rsidR="00B23B3A">
        <w:t>ējo</w:t>
      </w:r>
      <w:r>
        <w:t xml:space="preserve"> ietekmes rādītāju </w:t>
      </w:r>
      <w:r w:rsidR="00CC4511">
        <w:t>iz</w:t>
      </w:r>
      <w:r>
        <w:t>vērtēšanai. Šajā daļā ir izklāstīta intervences loģika, papildu novērtēšanas elementu lietošana, paskaidrotas datu prasības un vērtēšanas vienības, un tā palīdz lasītājam izvēlēties piemērotākās novērtēšanas pieejas LAP ieguldījumu</w:t>
      </w:r>
      <w:r w:rsidR="001C74A1">
        <w:t xml:space="preserve"> </w:t>
      </w:r>
      <w:r w:rsidR="006A3DCB">
        <w:t>neto</w:t>
      </w:r>
      <w:r w:rsidR="001C74A1">
        <w:t xml:space="preserve"> ietekmes</w:t>
      </w:r>
      <w:r>
        <w:t xml:space="preserve"> noteikšanai KLP ietekmes rādītāju vērtībās. Turklāt II daļā ir arī ieteiktas pieejas LAP ieguldījumu </w:t>
      </w:r>
      <w:r w:rsidR="00CC4511">
        <w:t>iz</w:t>
      </w:r>
      <w:r>
        <w:t xml:space="preserve">vērtēšanai ceļā uz </w:t>
      </w:r>
      <w:r w:rsidR="000D6687">
        <w:t>stratēģijas "Eiropa 2020"</w:t>
      </w:r>
      <w:r>
        <w:t xml:space="preserve"> un inovācijas īstenošanu</w:t>
      </w:r>
      <w:r w:rsidR="00001565">
        <w:t>.</w:t>
      </w:r>
    </w:p>
    <w:p w:rsidR="00800238" w:rsidRPr="001C6ACF" w:rsidRDefault="00800238" w:rsidP="00AD4DC6">
      <w:pPr>
        <w:pStyle w:val="Hlistbullet"/>
        <w:spacing w:line="276" w:lineRule="auto"/>
      </w:pPr>
      <w:r>
        <w:rPr>
          <w:b/>
          <w:color w:val="F07E31" w:themeColor="accent1"/>
        </w:rPr>
        <w:t>III DAĻA —</w:t>
      </w:r>
      <w:r>
        <w:rPr>
          <w:color w:val="F07E31" w:themeColor="accent1"/>
        </w:rPr>
        <w:t xml:space="preserve"> </w:t>
      </w:r>
      <w:r>
        <w:t>norādīt</w:t>
      </w:r>
      <w:r w:rsidR="00AA27BE">
        <w:t>as datu lapas</w:t>
      </w:r>
      <w:r>
        <w:t xml:space="preserve"> atbilžu sniegšanai uz</w:t>
      </w:r>
      <w:r w:rsidR="00011E21">
        <w:t xml:space="preserve"> KNJ Nr.</w:t>
      </w:r>
      <w:r>
        <w:t xml:space="preserve"> 22–30</w:t>
      </w:r>
      <w:r w:rsidR="00001565">
        <w:t>.</w:t>
      </w:r>
    </w:p>
    <w:p w:rsidR="00CD63F6" w:rsidRPr="001C6ACF" w:rsidRDefault="0017331C" w:rsidP="00AD4DC6">
      <w:pPr>
        <w:pStyle w:val="Hlistbullet"/>
        <w:spacing w:line="276" w:lineRule="auto"/>
      </w:pPr>
      <w:r>
        <w:rPr>
          <w:b/>
          <w:color w:val="F07E31" w:themeColor="accent1"/>
        </w:rPr>
        <w:t>IV</w:t>
      </w:r>
      <w:r w:rsidR="00FE491B">
        <w:rPr>
          <w:b/>
          <w:color w:val="F07E31" w:themeColor="accent1"/>
        </w:rPr>
        <w:t xml:space="preserve"> DAĻA — </w:t>
      </w:r>
      <w:r w:rsidR="00FE491B">
        <w:t>ietverts tehniskais pielikums, kurā iekļauta sīk</w:t>
      </w:r>
      <w:r w:rsidR="00C84CE5">
        <w:t>āk</w:t>
      </w:r>
      <w:r w:rsidR="00FE491B">
        <w:t xml:space="preserve"> izklāstīta informācija par pieejām KLP ietekmes rādītāju </w:t>
      </w:r>
      <w:r w:rsidR="00CC4511">
        <w:t>iz</w:t>
      </w:r>
      <w:r w:rsidR="00FE491B">
        <w:t xml:space="preserve">vērtēšanai un terminu glosārijs. </w:t>
      </w:r>
    </w:p>
    <w:p w:rsidR="003962DB" w:rsidRPr="001C6ACF" w:rsidRDefault="003962DB" w:rsidP="003962DB">
      <w:pPr>
        <w:pStyle w:val="HHeading1"/>
        <w:tabs>
          <w:tab w:val="clear" w:pos="474"/>
          <w:tab w:val="clear" w:pos="567"/>
        </w:tabs>
        <w:rPr>
          <w:sz w:val="28"/>
        </w:rPr>
      </w:pPr>
      <w:r>
        <w:rPr>
          <w:sz w:val="28"/>
        </w:rPr>
        <w:lastRenderedPageBreak/>
        <w:t>Par kuriem novērtēšanas aspektiem jāziņo 2019. gadā iesniegtajā GĪZ? (I daļa)</w:t>
      </w:r>
    </w:p>
    <w:p w:rsidR="001C2076" w:rsidRPr="001C6ACF" w:rsidRDefault="000C5796" w:rsidP="00E35440">
      <w:pPr>
        <w:pStyle w:val="HHeading2"/>
      </w:pPr>
      <w:r>
        <w:t xml:space="preserve">Tiesiskais regulējums un galvenās novērtēšanas prioritātes 2019. gadā </w:t>
      </w:r>
    </w:p>
    <w:p w:rsidR="00B013D7" w:rsidRPr="00571D58" w:rsidRDefault="006A3698" w:rsidP="001C2076">
      <w:pPr>
        <w:pStyle w:val="HStandard"/>
      </w:pPr>
      <w:r>
        <w:t>Sākot ar 2016. gada jūniju, katru gadu līdz 2024. gadam</w:t>
      </w:r>
      <w:r>
        <w:rPr>
          <w:rStyle w:val="FootnoteReference"/>
        </w:rPr>
        <w:footnoteReference w:id="3"/>
      </w:r>
      <w:r>
        <w:t xml:space="preserve"> dalībvalstis iesniedz Eiropas Komisijai GĪZ. GĪZ sniedz informāciju par LAP īstenošanu, kā arī par novērtēšanas plāna īstenošanas virzību</w:t>
      </w:r>
      <w:r>
        <w:rPr>
          <w:rStyle w:val="FootnoteReference"/>
        </w:rPr>
        <w:footnoteReference w:id="4"/>
      </w:r>
      <w:r>
        <w:t xml:space="preserve">. </w:t>
      </w:r>
    </w:p>
    <w:p w:rsidR="001C2076" w:rsidRPr="0036731C" w:rsidRDefault="001C2076" w:rsidP="001C2076">
      <w:pPr>
        <w:pStyle w:val="HStandard"/>
      </w:pPr>
      <w:r>
        <w:rPr>
          <w:b/>
        </w:rPr>
        <w:t>GĪZ 2017. gadā</w:t>
      </w:r>
      <w:r>
        <w:t xml:space="preserve"> bija iekļaut</w:t>
      </w:r>
      <w:r w:rsidR="00C84CE5">
        <w:t>a</w:t>
      </w:r>
      <w:r>
        <w:t xml:space="preserve"> programm</w:t>
      </w:r>
      <w:r w:rsidR="00C84CE5">
        <w:t>as</w:t>
      </w:r>
      <w:r>
        <w:t xml:space="preserve"> sasniegum</w:t>
      </w:r>
      <w:r w:rsidR="00C84CE5">
        <w:t>u apmēra noteikšana</w:t>
      </w:r>
      <w:r>
        <w:t xml:space="preserve"> (</w:t>
      </w:r>
      <w:r w:rsidR="00F31C18">
        <w:t>iz</w:t>
      </w:r>
      <w:r>
        <w:t xml:space="preserve">vērtējot rezultātu rādītājus, </w:t>
      </w:r>
      <w:r w:rsidR="000D6687">
        <w:t xml:space="preserve">t. sk. </w:t>
      </w:r>
      <w:r>
        <w:t>papildu rezultātu rādītājus). Tika izmantoti vērtēšanas kritēriji, lai interpretētu rezultātu rādītājus un atbildētu uz</w:t>
      </w:r>
      <w:r w:rsidR="00011E21">
        <w:t xml:space="preserve"> KNJ Nr. </w:t>
      </w:r>
      <w:r>
        <w:t>1–21</w:t>
      </w:r>
      <w:r>
        <w:rPr>
          <w:rStyle w:val="FootnoteReference"/>
        </w:rPr>
        <w:footnoteReference w:id="5"/>
      </w:r>
      <w:r>
        <w:t xml:space="preserve">. </w:t>
      </w:r>
      <w:r>
        <w:rPr>
          <w:i/>
        </w:rPr>
        <w:t xml:space="preserve">Pamatnostādnes </w:t>
      </w:r>
      <w:hyperlink r:id="rId19">
        <w:r w:rsidR="00CE4E98">
          <w:rPr>
            <w:rStyle w:val="Hyperlink"/>
            <w:i/>
          </w:rPr>
          <w:t>"</w:t>
        </w:r>
        <w:r>
          <w:rPr>
            <w:rStyle w:val="Hyperlink"/>
            <w:i/>
          </w:rPr>
          <w:t xml:space="preserve">LAP rezultātu </w:t>
        </w:r>
        <w:r w:rsidR="00F31C18">
          <w:rPr>
            <w:rStyle w:val="Hyperlink"/>
            <w:i/>
          </w:rPr>
          <w:t>iz</w:t>
        </w:r>
        <w:r>
          <w:rPr>
            <w:rStyle w:val="Hyperlink"/>
            <w:i/>
          </w:rPr>
          <w:t>vērtēšana: kā sagatavoties ziņošanai par novērtējumu 2017. </w:t>
        </w:r>
        <w:r w:rsidR="00CE4E98">
          <w:rPr>
            <w:rStyle w:val="Hyperlink"/>
            <w:i/>
          </w:rPr>
          <w:t>g</w:t>
        </w:r>
        <w:r>
          <w:rPr>
            <w:rStyle w:val="Hyperlink"/>
            <w:i/>
          </w:rPr>
          <w:t>adā</w:t>
        </w:r>
        <w:r w:rsidR="00CE4E98">
          <w:rPr>
            <w:rStyle w:val="Hyperlink"/>
            <w:i/>
          </w:rPr>
          <w:t>"</w:t>
        </w:r>
      </w:hyperlink>
      <w:r>
        <w:t xml:space="preserve"> arī var palīdzēt veikt šīs darbības, kas padara tās piemērotas uzdevuma izpildei arī 2019. gadā</w:t>
      </w:r>
      <w:r>
        <w:rPr>
          <w:rStyle w:val="FootnoteReference"/>
        </w:rPr>
        <w:footnoteReference w:id="6"/>
      </w:r>
      <w:r>
        <w:t xml:space="preserve">. </w:t>
      </w:r>
    </w:p>
    <w:p w:rsidR="00BA41C1" w:rsidRPr="001C6ACF" w:rsidRDefault="001C2076" w:rsidP="001C2076">
      <w:pPr>
        <w:pStyle w:val="HStandard"/>
      </w:pPr>
      <w:r>
        <w:rPr>
          <w:b/>
        </w:rPr>
        <w:t xml:space="preserve">2019. gadā </w:t>
      </w:r>
      <w:r w:rsidRPr="00F67434">
        <w:rPr>
          <w:bCs/>
        </w:rPr>
        <w:t>iesniegtais</w:t>
      </w:r>
      <w:r>
        <w:rPr>
          <w:b/>
        </w:rPr>
        <w:t xml:space="preserve"> GĪZ</w:t>
      </w:r>
      <w:r>
        <w:t xml:space="preserve"> paredz, ka ir jāatjaunina novērtēšanas konstatējumi, kuri tika paziņoti 2017. gadā, un </w:t>
      </w:r>
      <w:r>
        <w:rPr>
          <w:u w:val="single"/>
        </w:rPr>
        <w:t>papildus</w:t>
      </w:r>
      <w:r>
        <w:t xml:space="preserve"> tajā ir jāiekļauj:</w:t>
      </w:r>
    </w:p>
    <w:p w:rsidR="00BA41C1" w:rsidRPr="001C6ACF" w:rsidRDefault="001C2076" w:rsidP="00BA41C1">
      <w:pPr>
        <w:pStyle w:val="Hlistbullet"/>
      </w:pPr>
      <w:r>
        <w:t xml:space="preserve">LAP ietekmes </w:t>
      </w:r>
      <w:r w:rsidR="00F31C18">
        <w:t>iz</w:t>
      </w:r>
      <w:r>
        <w:t xml:space="preserve">vērtējuma konstatējumi, kas izdarīti, pamatojoties uz KLP ietekmes rādītāju </w:t>
      </w:r>
      <w:r w:rsidR="00F44053">
        <w:t xml:space="preserve">neto </w:t>
      </w:r>
      <w:r>
        <w:t xml:space="preserve">vērtību aprēķinu un interpretāciju; </w:t>
      </w:r>
    </w:p>
    <w:p w:rsidR="00BA41C1" w:rsidRPr="001C6ACF" w:rsidRDefault="00BA41C1" w:rsidP="00BA41C1">
      <w:pPr>
        <w:pStyle w:val="Hlistbullet"/>
      </w:pPr>
      <w:r>
        <w:t xml:space="preserve">LAP ieguldījumi ES stratēģijā gudrai, ilgtspējīgai un integrējošai izaugsmei, kā arī bioloģiskās daudzveidības stratēģijā; un </w:t>
      </w:r>
    </w:p>
    <w:p w:rsidR="001C2076" w:rsidRPr="001C6ACF" w:rsidRDefault="00BA41C1" w:rsidP="00BA41C1">
      <w:pPr>
        <w:pStyle w:val="Hlistbullet"/>
      </w:pPr>
      <w:r>
        <w:t xml:space="preserve">atbildes uz KNJ par 2014.–2020. gada LAP saistībā ar ES līmeņa mērķiem (t. i., </w:t>
      </w:r>
      <w:r w:rsidR="00011E21">
        <w:t>KNJ Nr. </w:t>
      </w:r>
      <w:r>
        <w:t>22–30).</w:t>
      </w:r>
    </w:p>
    <w:p w:rsidR="001C2076" w:rsidRPr="0036731C" w:rsidRDefault="009F5AEB" w:rsidP="001C2076">
      <w:pPr>
        <w:pStyle w:val="HStandard"/>
      </w:pPr>
      <w:r>
        <w:t>Tālāk attēlā</w:t>
      </w:r>
      <w:r w:rsidR="00CA1C02">
        <w:t xml:space="preserve"> ir sniegts pārskats par galvenajām ziņošanas prasībām attiecībā uz novērtējumu GĪZ visā plānošanas periodā, kā norādīts tiesiskajā regulējumā</w:t>
      </w:r>
      <w:r w:rsidR="00CA1C02">
        <w:rPr>
          <w:rStyle w:val="FootnoteReference"/>
        </w:rPr>
        <w:footnoteReference w:id="7"/>
      </w:r>
      <w:r w:rsidR="00CA1C02">
        <w:t xml:space="preserve"> un saistītajos norādījumos. </w:t>
      </w:r>
    </w:p>
    <w:p w:rsidR="001C2076" w:rsidRPr="00FB6C06" w:rsidRDefault="00CA1C02" w:rsidP="00E52947">
      <w:pPr>
        <w:pStyle w:val="HHeadingfigures"/>
      </w:pPr>
      <w:r>
        <w:t xml:space="preserve">Ziņošana par novērtēšanu (saskaņā ar Regulas (ES) Nr. 808/2014 VII pielikumu) </w:t>
      </w:r>
    </w:p>
    <w:p w:rsidR="001C2076" w:rsidRPr="00571D58" w:rsidRDefault="00A12CD4" w:rsidP="00744BAA">
      <w:pPr>
        <w:pStyle w:val="HStandard"/>
        <w:jc w:val="center"/>
      </w:pPr>
      <w:r w:rsidRPr="00A12CD4">
        <w:rPr>
          <w:noProof/>
          <w:lang w:val="en-GB" w:eastAsia="en-GB" w:bidi="lo-LA"/>
        </w:rPr>
        <w:drawing>
          <wp:inline distT="0" distB="0" distL="0" distR="0" wp14:anchorId="0F729EBD" wp14:editId="3B407FD8">
            <wp:extent cx="5731510" cy="3371839"/>
            <wp:effectExtent l="0" t="0" r="254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371839"/>
                    </a:xfrm>
                    <a:prstGeom prst="rect">
                      <a:avLst/>
                    </a:prstGeom>
                    <a:noFill/>
                    <a:ln>
                      <a:noFill/>
                    </a:ln>
                  </pic:spPr>
                </pic:pic>
              </a:graphicData>
            </a:graphic>
          </wp:inline>
        </w:drawing>
      </w:r>
    </w:p>
    <w:p w:rsidR="001C2076" w:rsidRPr="007645B4" w:rsidRDefault="001C2076" w:rsidP="008D52EA">
      <w:pPr>
        <w:pStyle w:val="HSource"/>
        <w:rPr>
          <w:i w:val="0"/>
        </w:rPr>
      </w:pPr>
      <w:r>
        <w:lastRenderedPageBreak/>
        <w:t>Avots: Eiropas Novērtēšanas palīdzības dienests lauku attīstības jautājumos (2018)</w:t>
      </w:r>
    </w:p>
    <w:p w:rsidR="00E52E73" w:rsidRPr="007645B4" w:rsidRDefault="00E52E73" w:rsidP="00E52E73">
      <w:pPr>
        <w:pStyle w:val="HHeading4"/>
      </w:pPr>
      <w:r>
        <w:t xml:space="preserve">Tiesiskais regulējums </w:t>
      </w:r>
    </w:p>
    <w:p w:rsidR="00DE65AB" w:rsidRPr="001C6ACF" w:rsidRDefault="00BA41C1" w:rsidP="001C2076">
      <w:pPr>
        <w:pStyle w:val="HStandard"/>
      </w:pPr>
      <w:r>
        <w:t>Tiesiskais regulējums un vienotā uzraudzības un novērtēšanas sistēma (</w:t>
      </w:r>
      <w:r w:rsidR="000D6687" w:rsidRPr="000D6687">
        <w:rPr>
          <w:i/>
        </w:rPr>
        <w:t>CMES</w:t>
      </w:r>
      <w:r>
        <w:t xml:space="preserve">) ir LAP novērtēšanas pamats. </w:t>
      </w:r>
    </w:p>
    <w:p w:rsidR="001A2395" w:rsidRPr="00863E73" w:rsidRDefault="00BA41C1" w:rsidP="001C2076">
      <w:pPr>
        <w:pStyle w:val="HStandard"/>
      </w:pPr>
      <w:r>
        <w:rPr>
          <w:b/>
        </w:rPr>
        <w:t>Tiesiskais regulējums</w:t>
      </w:r>
      <w:r>
        <w:rPr>
          <w:rStyle w:val="FootnoteReference"/>
        </w:rPr>
        <w:footnoteReference w:id="8"/>
      </w:r>
      <w:r>
        <w:t xml:space="preserve"> ir LAP sasniegumu un ieguldījum</w:t>
      </w:r>
      <w:r w:rsidR="00001565">
        <w:t>u</w:t>
      </w:r>
      <w:r>
        <w:t xml:space="preserve"> augstākos ES politikas mērķos novērtējuma pamatā. </w:t>
      </w:r>
    </w:p>
    <w:p w:rsidR="001C2076" w:rsidRPr="001C6ACF" w:rsidRDefault="00CA1C02" w:rsidP="001C2076">
      <w:pPr>
        <w:pStyle w:val="HStandard"/>
      </w:pPr>
      <w:r>
        <w:t xml:space="preserve">Novērtēšanas </w:t>
      </w:r>
      <w:r>
        <w:rPr>
          <w:b/>
        </w:rPr>
        <w:t>vispārīgie noteikumi</w:t>
      </w:r>
      <w:r>
        <w:t xml:space="preserve"> ir izklāstīti </w:t>
      </w:r>
      <w:r>
        <w:rPr>
          <w:b/>
        </w:rPr>
        <w:t>Regulā (ES) Nr. 1303/2013</w:t>
      </w:r>
      <w:r>
        <w:t xml:space="preserve"> un precizē novērtējuma nozīmi:</w:t>
      </w:r>
    </w:p>
    <w:p w:rsidR="001C2076" w:rsidRPr="001C6ACF" w:rsidRDefault="001C2076" w:rsidP="008D52EA">
      <w:pPr>
        <w:pStyle w:val="Hlistbullet"/>
      </w:pPr>
      <w:r>
        <w:t xml:space="preserve">programmu </w:t>
      </w:r>
      <w:r w:rsidR="009F5AEB">
        <w:t xml:space="preserve">izstrādes </w:t>
      </w:r>
      <w:r>
        <w:t xml:space="preserve">un īstenošanas kvalitātes uzlabošanā un </w:t>
      </w:r>
    </w:p>
    <w:p w:rsidR="001C2076" w:rsidRPr="00571D58" w:rsidRDefault="001C2076" w:rsidP="008D52EA">
      <w:pPr>
        <w:pStyle w:val="Hlistbullet"/>
      </w:pPr>
      <w:r>
        <w:t xml:space="preserve">programmas efektivitātes, lietderības un ietekmes </w:t>
      </w:r>
      <w:r w:rsidR="00F31C18">
        <w:t>iz</w:t>
      </w:r>
      <w:r>
        <w:t>vērtējumā</w:t>
      </w:r>
      <w:r>
        <w:rPr>
          <w:rStyle w:val="FootnoteReference"/>
        </w:rPr>
        <w:footnoteReference w:id="9"/>
      </w:r>
      <w:r>
        <w:t xml:space="preserve">. </w:t>
      </w:r>
    </w:p>
    <w:p w:rsidR="00087412" w:rsidRPr="001C6ACF" w:rsidRDefault="00D42EC7" w:rsidP="001C2076">
      <w:pPr>
        <w:pStyle w:val="HStandard"/>
      </w:pPr>
      <w:r>
        <w:t xml:space="preserve">Šajā nolūkā dalībvalstis </w:t>
      </w:r>
      <w:r w:rsidR="009F5AEB">
        <w:t>nodrošina</w:t>
      </w:r>
      <w:r w:rsidR="009F5AEB">
        <w:rPr>
          <w:b/>
        </w:rPr>
        <w:t xml:space="preserve"> no</w:t>
      </w:r>
      <w:r>
        <w:rPr>
          <w:b/>
        </w:rPr>
        <w:t>vērtējumu veikšanai vajadzīgos resursus</w:t>
      </w:r>
      <w:r>
        <w:t xml:space="preserve"> un nodrošina procedūras,</w:t>
      </w:r>
      <w:r w:rsidR="009F5AEB">
        <w:t xml:space="preserve"> kas vajadzīgas,</w:t>
      </w:r>
      <w:r>
        <w:t xml:space="preserve"> lai </w:t>
      </w:r>
      <w:r>
        <w:rPr>
          <w:b/>
        </w:rPr>
        <w:t xml:space="preserve">sagatavotu un savāktu </w:t>
      </w:r>
      <w:r w:rsidR="009F5AEB">
        <w:rPr>
          <w:b/>
        </w:rPr>
        <w:t>no</w:t>
      </w:r>
      <w:r>
        <w:rPr>
          <w:b/>
        </w:rPr>
        <w:t>vērtējumiem vajadzīgos datus</w:t>
      </w:r>
      <w:r>
        <w:t xml:space="preserve">, </w:t>
      </w:r>
      <w:r w:rsidR="000D6687">
        <w:t xml:space="preserve">t.sk. </w:t>
      </w:r>
      <w:r>
        <w:t xml:space="preserve">datus, kas saistīti ar </w:t>
      </w:r>
      <w:r w:rsidR="009F5AEB">
        <w:t xml:space="preserve">vispārīgiem </w:t>
      </w:r>
      <w:r>
        <w:t>un attiecīgā gadījumā programma</w:t>
      </w:r>
      <w:r w:rsidR="00001565">
        <w:t>i specifiskiem</w:t>
      </w:r>
      <w:r>
        <w:t xml:space="preserve"> rādītājiem. </w:t>
      </w:r>
    </w:p>
    <w:p w:rsidR="001C2076" w:rsidRPr="00571D58" w:rsidRDefault="001C2076" w:rsidP="001C2076">
      <w:pPr>
        <w:pStyle w:val="HStandard"/>
      </w:pPr>
      <w:r>
        <w:t>Novērtē</w:t>
      </w:r>
      <w:r w:rsidR="00BE4122">
        <w:t>šanu</w:t>
      </w:r>
      <w:r>
        <w:t xml:space="preserve"> veic saskaņā ar </w:t>
      </w:r>
      <w:r>
        <w:rPr>
          <w:b/>
        </w:rPr>
        <w:t>novērtēšanas plānu</w:t>
      </w:r>
      <w:r>
        <w:t xml:space="preserve">, un novērtējuma konstatējumus uzrauga saskaņā ar fonda īpašajiem noteikumiem. Vismaz reizi plānošanas periodā novērtējumā noskaidro, kā </w:t>
      </w:r>
      <w:r w:rsidR="000D7FDC">
        <w:t xml:space="preserve">ESIF </w:t>
      </w:r>
      <w:r>
        <w:t>atbalsts ir veicinājis katras prioritātes mērķu sasniegšanu</w:t>
      </w:r>
      <w:r>
        <w:rPr>
          <w:rStyle w:val="FootnoteReference"/>
        </w:rPr>
        <w:footnoteReference w:id="10"/>
      </w:r>
      <w:r>
        <w:t>.</w:t>
      </w:r>
    </w:p>
    <w:p w:rsidR="001C2076" w:rsidRPr="00571D58" w:rsidRDefault="001C2076" w:rsidP="001C2076">
      <w:pPr>
        <w:pStyle w:val="HStandard"/>
      </w:pPr>
      <w:r>
        <w:rPr>
          <w:b/>
        </w:rPr>
        <w:t>Regulā (ES) Nr. 1306/2013</w:t>
      </w:r>
      <w:r>
        <w:t xml:space="preserve"> ir precizētas uzraudzības un novērtē</w:t>
      </w:r>
      <w:r w:rsidR="009F5AEB">
        <w:t>šanas</w:t>
      </w:r>
      <w:r>
        <w:t xml:space="preserve"> prasības attiecībā uz kopējo lauksaimniecības politiku (KLP)</w:t>
      </w:r>
      <w:r>
        <w:rPr>
          <w:rStyle w:val="FootnoteReference"/>
        </w:rPr>
        <w:footnoteReference w:id="11"/>
      </w:r>
      <w:r>
        <w:t xml:space="preserve">. Tajā ir noteikts, ka Eiropas Komisija nodrošina KLP īstenošanu, sasniedzot tās </w:t>
      </w:r>
      <w:r>
        <w:rPr>
          <w:b/>
        </w:rPr>
        <w:t>kopīgos mērķus</w:t>
      </w:r>
      <w:r>
        <w:t>. Visu KLP instrumentu kopējā ietekme tiek mērīta un vērtēta, pamatojoties uz informāciju, kas iegūta dalībvalst</w:t>
      </w:r>
      <w:r w:rsidR="009F5AEB">
        <w:t>īs</w:t>
      </w:r>
      <w:r>
        <w:t xml:space="preserve"> veikto uzraudzības un novērtēšanas darbību laikā.</w:t>
      </w:r>
      <w:r>
        <w:rPr>
          <w:b/>
        </w:rPr>
        <w:t xml:space="preserve"> </w:t>
      </w:r>
      <w:r>
        <w:t>Kop</w:t>
      </w:r>
      <w:r w:rsidR="00BE4122">
        <w:t>īgos</w:t>
      </w:r>
      <w:r>
        <w:t xml:space="preserve"> mērķus vērtē, piemērojot </w:t>
      </w:r>
      <w:r>
        <w:rPr>
          <w:b/>
        </w:rPr>
        <w:t>kop</w:t>
      </w:r>
      <w:r w:rsidR="00B23B3A">
        <w:rPr>
          <w:b/>
        </w:rPr>
        <w:t>ējo</w:t>
      </w:r>
      <w:r w:rsidR="00E27C06">
        <w:rPr>
          <w:b/>
        </w:rPr>
        <w:t>s</w:t>
      </w:r>
      <w:r>
        <w:rPr>
          <w:b/>
        </w:rPr>
        <w:t xml:space="preserve"> ietekmes rādītājus</w:t>
      </w:r>
      <w:r>
        <w:t xml:space="preserve">, savukārt pamatā esošos īpašos mērķus vērtē, izmantojot </w:t>
      </w:r>
      <w:r>
        <w:rPr>
          <w:b/>
        </w:rPr>
        <w:t>kop</w:t>
      </w:r>
      <w:r w:rsidR="00B23B3A">
        <w:rPr>
          <w:b/>
        </w:rPr>
        <w:t>ēj</w:t>
      </w:r>
      <w:r w:rsidR="00E27C06">
        <w:rPr>
          <w:b/>
        </w:rPr>
        <w:t>os</w:t>
      </w:r>
      <w:r>
        <w:rPr>
          <w:b/>
        </w:rPr>
        <w:t xml:space="preserve"> rezultātu rādītājus</w:t>
      </w:r>
      <w:r>
        <w:t>. Apkopotās informācijas pamatā ir vispāratzīti datu avoti, piemēram, lauku saimniecību grāmatvedības datu tīkls (</w:t>
      </w:r>
      <w:r w:rsidR="009F5AEB" w:rsidRPr="00CF4FF3">
        <w:rPr>
          <w:i/>
          <w:iCs/>
        </w:rPr>
        <w:t>FADN</w:t>
      </w:r>
      <w:r>
        <w:t xml:space="preserve">) un </w:t>
      </w:r>
      <w:r>
        <w:rPr>
          <w:i/>
        </w:rPr>
        <w:t>Eurostat</w:t>
      </w:r>
      <w:r>
        <w:t>. Eiropas Komisija ņem vērā datu vajadzības un iespējamo datu avotu sinerģiju, jo īpaši vajadzības gadījumā to izmantošanu statistikas nolūkā</w:t>
      </w:r>
      <w:r>
        <w:rPr>
          <w:rStyle w:val="FootnoteReference"/>
        </w:rPr>
        <w:footnoteReference w:id="12"/>
      </w:r>
      <w:r>
        <w:t>.</w:t>
      </w:r>
    </w:p>
    <w:p w:rsidR="001C2076" w:rsidRPr="001C6ACF" w:rsidRDefault="001C2076" w:rsidP="001C2076">
      <w:pPr>
        <w:pStyle w:val="HStandard"/>
      </w:pPr>
      <w:r>
        <w:rPr>
          <w:b/>
        </w:rPr>
        <w:t xml:space="preserve">Regula (ES) Nr. 1305/2013 </w:t>
      </w:r>
      <w:r w:rsidR="009F5AEB">
        <w:rPr>
          <w:b/>
        </w:rPr>
        <w:t xml:space="preserve">nosaka </w:t>
      </w:r>
      <w:r>
        <w:rPr>
          <w:b/>
        </w:rPr>
        <w:t>vienotu uzraudzības un novērtēšanas sistēmu</w:t>
      </w:r>
      <w:r>
        <w:t>, tās mērķus</w:t>
      </w:r>
      <w:r>
        <w:rPr>
          <w:rStyle w:val="FootnoteReference"/>
        </w:rPr>
        <w:footnoteReference w:id="13"/>
      </w:r>
      <w:r>
        <w:t xml:space="preserve"> un kop</w:t>
      </w:r>
      <w:r w:rsidR="00B23B3A">
        <w:t>ēj</w:t>
      </w:r>
      <w:r>
        <w:t>os rādītājus</w:t>
      </w:r>
      <w:r>
        <w:rPr>
          <w:rStyle w:val="FootnoteReference"/>
        </w:rPr>
        <w:footnoteReference w:id="14"/>
      </w:r>
      <w:r>
        <w:t>. Šie rādītāji attiecas uz sākotnējo situāciju (konteksta rādītāji), kā arī uz programmas finansiālo izpildi, iznākumiem, rezultātiem un ietekmi. Kop</w:t>
      </w:r>
      <w:r w:rsidR="00B23B3A">
        <w:t>ēj</w:t>
      </w:r>
      <w:r>
        <w:t xml:space="preserve">o rādītāju pamatā ir pieejamie dati, un tie ir saistīti ar lauku attīstības politikas regulējuma struktūru un mērķiem un ļauj </w:t>
      </w:r>
      <w:r w:rsidR="00F31C18">
        <w:t>iz</w:t>
      </w:r>
      <w:r>
        <w:t xml:space="preserve">vērtēt politikas īstenošanas progresu, lietderību un efektivitāti attiecībā </w:t>
      </w:r>
      <w:r w:rsidR="009F5AEB">
        <w:t xml:space="preserve">uz </w:t>
      </w:r>
      <w:r>
        <w:t>Savienības, valsts un programmas mērķiem un uzdevumiem.</w:t>
      </w:r>
    </w:p>
    <w:p w:rsidR="001C2076" w:rsidRPr="001C6ACF" w:rsidRDefault="001C2076" w:rsidP="001C2076">
      <w:pPr>
        <w:pStyle w:val="HStandard"/>
        <w:rPr>
          <w:b/>
        </w:rPr>
      </w:pPr>
      <w:r>
        <w:t>Lauku attīstības programmu ietekmi vērtē, izmantojot kop</w:t>
      </w:r>
      <w:r w:rsidR="00B23B3A">
        <w:t>ēj</w:t>
      </w:r>
      <w:r w:rsidR="00E27C06">
        <w:t>os</w:t>
      </w:r>
      <w:r>
        <w:t xml:space="preserve"> (kā arī papildu un programmai </w:t>
      </w:r>
      <w:r w:rsidR="0001311F">
        <w:t>specifisk</w:t>
      </w:r>
      <w:r w:rsidR="00B31A67">
        <w:t>o</w:t>
      </w:r>
      <w:r w:rsidR="0001311F">
        <w:t>s</w:t>
      </w:r>
      <w:r>
        <w:t xml:space="preserve">) ietekmes rādītājus. </w:t>
      </w:r>
      <w:r>
        <w:rPr>
          <w:b/>
        </w:rPr>
        <w:t xml:space="preserve">Par programmas ietekmes </w:t>
      </w:r>
      <w:r w:rsidR="00F31C18">
        <w:rPr>
          <w:b/>
        </w:rPr>
        <w:t xml:space="preserve">izvērtēšanu </w:t>
      </w:r>
      <w:r>
        <w:rPr>
          <w:b/>
        </w:rPr>
        <w:t xml:space="preserve">atbild katra dalībvalsts. </w:t>
      </w:r>
    </w:p>
    <w:p w:rsidR="00E52E73" w:rsidRPr="001C6ACF" w:rsidRDefault="00E52E73" w:rsidP="00E52E73">
      <w:pPr>
        <w:pStyle w:val="HHeading4"/>
      </w:pPr>
      <w:r>
        <w:t>Kopīgie novērtēšanas elementi</w:t>
      </w:r>
    </w:p>
    <w:p w:rsidR="00D42EC7" w:rsidRPr="00CB20AA" w:rsidRDefault="003D188A" w:rsidP="00D42EC7">
      <w:pPr>
        <w:pStyle w:val="HStandard"/>
      </w:pPr>
      <w:r w:rsidRPr="00CF4FF3">
        <w:rPr>
          <w:i/>
          <w:iCs/>
        </w:rPr>
        <w:t>CMES</w:t>
      </w:r>
      <w:r>
        <w:t xml:space="preserve"> </w:t>
      </w:r>
      <w:r w:rsidR="00D42EC7">
        <w:t>ir KLP kopīgās uzraudzības un novērtēšanas sistēmas (KUNS)</w:t>
      </w:r>
      <w:r w:rsidR="00D42EC7">
        <w:rPr>
          <w:rStyle w:val="FootnoteReference"/>
        </w:rPr>
        <w:footnoteReference w:id="15"/>
      </w:r>
      <w:r w:rsidR="00D42EC7">
        <w:t xml:space="preserve"> daļa un ietver vairākus norāžu dokumentus par </w:t>
      </w:r>
      <w:r w:rsidR="000D6687">
        <w:t xml:space="preserve">kopējo novērtēšanas </w:t>
      </w:r>
      <w:r w:rsidR="00D42EC7">
        <w:t xml:space="preserve">jautājumu un rādītāju izmantošanu lauku attīstības </w:t>
      </w:r>
      <w:r w:rsidR="00D42EC7">
        <w:lastRenderedPageBreak/>
        <w:t xml:space="preserve">politikas uzraudzībā un novērtēšanā. Komisijas Īstenošanas </w:t>
      </w:r>
      <w:r w:rsidR="00D42EC7">
        <w:rPr>
          <w:b/>
        </w:rPr>
        <w:t>regulā (ES) Nr. 808/2014</w:t>
      </w:r>
      <w:r w:rsidR="00D42EC7">
        <w:rPr>
          <w:rStyle w:val="FootnoteReference"/>
          <w:b/>
        </w:rPr>
        <w:footnoteReference w:id="16"/>
      </w:r>
      <w:r w:rsidR="00D42EC7">
        <w:t xml:space="preserve"> ir sīkāk aprakstīta </w:t>
      </w:r>
      <w:r w:rsidR="000D6687" w:rsidRPr="000D6687">
        <w:rPr>
          <w:i/>
        </w:rPr>
        <w:t>CMES</w:t>
      </w:r>
      <w:r w:rsidR="00D42EC7">
        <w:t xml:space="preserve"> un norādīti tās elementi: </w:t>
      </w:r>
    </w:p>
    <w:p w:rsidR="001C2076" w:rsidRPr="00FB6C06" w:rsidRDefault="001C2076" w:rsidP="008D52EA">
      <w:pPr>
        <w:pStyle w:val="Hlistbullet"/>
      </w:pPr>
      <w:r>
        <w:t xml:space="preserve">intervences loģika, kurā redzama mijiedarbība starp prioritātēm, prioritārajām jomām un pasākumiem; </w:t>
      </w:r>
    </w:p>
    <w:p w:rsidR="001C2076" w:rsidRPr="00571D58" w:rsidRDefault="001C2076" w:rsidP="008D52EA">
      <w:pPr>
        <w:pStyle w:val="Hlistbullet"/>
      </w:pPr>
      <w:r>
        <w:t>kop</w:t>
      </w:r>
      <w:r w:rsidR="00B23B3A">
        <w:t>ēj</w:t>
      </w:r>
      <w:r w:rsidR="00E27C06">
        <w:t>i</w:t>
      </w:r>
      <w:r w:rsidR="00EE3E5E">
        <w:t>e</w:t>
      </w:r>
      <w:r>
        <w:t xml:space="preserve"> konteksta, rezultātu un iznākuma rādītāji, ieskaitot rādītājus, kas jāizmanto kvantitatīvo mērķu noteikšanai attiecībā uz lauku attīstības prioritārajām jomām</w:t>
      </w:r>
      <w:r>
        <w:rPr>
          <w:rStyle w:val="FootnoteReference"/>
        </w:rPr>
        <w:footnoteReference w:id="17"/>
      </w:r>
      <w:r>
        <w:t xml:space="preserve">; </w:t>
      </w:r>
    </w:p>
    <w:p w:rsidR="001C2076" w:rsidRPr="00571D58" w:rsidRDefault="001C2076" w:rsidP="008D52EA">
      <w:pPr>
        <w:pStyle w:val="Hlistbullet"/>
      </w:pPr>
      <w:r>
        <w:t>kopēji</w:t>
      </w:r>
      <w:r w:rsidR="003D188A">
        <w:t>e</w:t>
      </w:r>
      <w:r>
        <w:t xml:space="preserve"> novērtēšanas jautājumi</w:t>
      </w:r>
      <w:r>
        <w:rPr>
          <w:rStyle w:val="FootnoteReference"/>
        </w:rPr>
        <w:footnoteReference w:id="18"/>
      </w:r>
      <w:r>
        <w:t>;</w:t>
      </w:r>
    </w:p>
    <w:p w:rsidR="001C2076" w:rsidRPr="00FB6C06" w:rsidRDefault="001C2076" w:rsidP="008D52EA">
      <w:pPr>
        <w:pStyle w:val="Hlistbullet"/>
      </w:pPr>
      <w:r>
        <w:t xml:space="preserve">datu vākšana, uzglabāšana un pārsūtīšana; </w:t>
      </w:r>
    </w:p>
    <w:p w:rsidR="001C2076" w:rsidRPr="00571D58" w:rsidRDefault="001C2076" w:rsidP="008D52EA">
      <w:pPr>
        <w:pStyle w:val="Hlistbullet"/>
      </w:pPr>
      <w:r>
        <w:t>regulāra ziņošana par uzraudzības un novērtēšanas darbībām</w:t>
      </w:r>
      <w:r>
        <w:rPr>
          <w:rStyle w:val="FootnoteReference"/>
        </w:rPr>
        <w:footnoteReference w:id="19"/>
      </w:r>
      <w:r>
        <w:t xml:space="preserve">; </w:t>
      </w:r>
    </w:p>
    <w:p w:rsidR="001C2076" w:rsidRPr="00571D58" w:rsidRDefault="001C2076" w:rsidP="008D52EA">
      <w:pPr>
        <w:pStyle w:val="Hlistbullet"/>
      </w:pPr>
      <w:r>
        <w:t>novērtēšanas plāns</w:t>
      </w:r>
      <w:r>
        <w:rPr>
          <w:rStyle w:val="FootnoteReference"/>
        </w:rPr>
        <w:footnoteReference w:id="20"/>
      </w:r>
      <w:r>
        <w:t xml:space="preserve">; </w:t>
      </w:r>
    </w:p>
    <w:p w:rsidR="001C2076" w:rsidRPr="00571D58" w:rsidRDefault="001C2076" w:rsidP="008D52EA">
      <w:pPr>
        <w:pStyle w:val="Hlistbullet"/>
      </w:pPr>
      <w:r>
        <w:rPr>
          <w:i/>
        </w:rPr>
        <w:t>ex ante</w:t>
      </w:r>
      <w:r>
        <w:t xml:space="preserve"> un </w:t>
      </w:r>
      <w:r>
        <w:rPr>
          <w:i/>
        </w:rPr>
        <w:t>ex post</w:t>
      </w:r>
      <w:r>
        <w:t xml:space="preserve"> novērtējumi un visas pārējās novērtēšanas darbības, kas saistītas ar lauku attīstības programmu, ieskaitot tās, kas nepieciešamas, lai izpildītu stingrākas prasības, kuras attiecas uz 2017. un 2019. </w:t>
      </w:r>
      <w:r w:rsidR="003D188A">
        <w:t xml:space="preserve">gadā iesniegtajiem </w:t>
      </w:r>
      <w:r>
        <w:t>gada īstenošanas ziņojumiem</w:t>
      </w:r>
      <w:r>
        <w:rPr>
          <w:rStyle w:val="FootnoteReference"/>
        </w:rPr>
        <w:footnoteReference w:id="21"/>
      </w:r>
      <w:r>
        <w:t>;</w:t>
      </w:r>
    </w:p>
    <w:p w:rsidR="001C2076" w:rsidRPr="00571D58" w:rsidRDefault="001C2076" w:rsidP="008D52EA">
      <w:pPr>
        <w:pStyle w:val="Hlistbullet"/>
      </w:pPr>
      <w:r>
        <w:t>atbalsts, kas ļauj visiem dalībniekiem, kuri ir atbildīgi par uzraudzību un novērtēšanu, veikt savus pienākumus</w:t>
      </w:r>
      <w:r>
        <w:rPr>
          <w:rStyle w:val="FootnoteReference"/>
        </w:rPr>
        <w:footnoteReference w:id="22"/>
      </w:r>
      <w:r>
        <w:t xml:space="preserve">. </w:t>
      </w:r>
    </w:p>
    <w:p w:rsidR="00F40273" w:rsidRPr="00CB20AA" w:rsidRDefault="00D42EC7" w:rsidP="001C2076">
      <w:pPr>
        <w:pStyle w:val="HStandard"/>
      </w:pPr>
      <w:r>
        <w:t xml:space="preserve">Eiropas Komisija arī nodrošina </w:t>
      </w:r>
      <w:r w:rsidR="00AA27BE">
        <w:t xml:space="preserve">detalizētas </w:t>
      </w:r>
      <w:r w:rsidR="00AA27BE" w:rsidRPr="00AA27BE">
        <w:rPr>
          <w:b/>
          <w:bCs/>
        </w:rPr>
        <w:t>datu lapas</w:t>
      </w:r>
      <w:r>
        <w:t xml:space="preserve"> attiecībā uz katru kop</w:t>
      </w:r>
      <w:r w:rsidR="00B23B3A">
        <w:t>ēj</w:t>
      </w:r>
      <w:r>
        <w:t xml:space="preserve">o rādītāju, par ko jāziņo 2017. un 2019. gadā iesniegtajos GĪZ, </w:t>
      </w:r>
      <w:r w:rsidR="000D6687">
        <w:t xml:space="preserve">t. sk. </w:t>
      </w:r>
      <w:r>
        <w:t>16 </w:t>
      </w:r>
      <w:r w:rsidR="00E27C06">
        <w:t>kop</w:t>
      </w:r>
      <w:r w:rsidR="00B23B3A">
        <w:t>ēj</w:t>
      </w:r>
      <w:r w:rsidR="00E27C06">
        <w:t xml:space="preserve">iem </w:t>
      </w:r>
      <w:hyperlink r:id="rId21">
        <w:r>
          <w:rPr>
            <w:rStyle w:val="Hyperlink"/>
          </w:rPr>
          <w:t>KLP ietekmes rādītājiem</w:t>
        </w:r>
      </w:hyperlink>
      <w:r>
        <w:t xml:space="preserve">. </w:t>
      </w:r>
      <w:r>
        <w:rPr>
          <w:b/>
        </w:rPr>
        <w:t xml:space="preserve">Katra ietekmes rādītāja </w:t>
      </w:r>
      <w:r w:rsidR="00AA27BE">
        <w:rPr>
          <w:b/>
        </w:rPr>
        <w:t>datu lapā</w:t>
      </w:r>
      <w:r w:rsidR="00AA27BE">
        <w:t xml:space="preserve"> </w:t>
      </w:r>
      <w:r>
        <w:t>ir saite uz:</w:t>
      </w:r>
    </w:p>
    <w:p w:rsidR="00F40273" w:rsidRPr="001C6ACF" w:rsidRDefault="00A3244E" w:rsidP="00DA263D">
      <w:pPr>
        <w:pStyle w:val="Hlistbullet"/>
      </w:pPr>
      <w:r>
        <w:t xml:space="preserve">tā attiecīgo politikas mērķi; </w:t>
      </w:r>
    </w:p>
    <w:p w:rsidR="00F40273" w:rsidRPr="001C6ACF" w:rsidRDefault="001C2076" w:rsidP="00DA263D">
      <w:pPr>
        <w:pStyle w:val="Hlistbullet"/>
      </w:pPr>
      <w:r>
        <w:t xml:space="preserve">rādītāja definīciju; </w:t>
      </w:r>
    </w:p>
    <w:p w:rsidR="00F40273" w:rsidRPr="001C6ACF" w:rsidRDefault="001C2076" w:rsidP="00DA263D">
      <w:pPr>
        <w:pStyle w:val="Hlistbullet"/>
      </w:pPr>
      <w:r>
        <w:t xml:space="preserve">mērvienību; </w:t>
      </w:r>
    </w:p>
    <w:p w:rsidR="00F40273" w:rsidRPr="001C6ACF" w:rsidRDefault="001C2076" w:rsidP="00DA263D">
      <w:pPr>
        <w:pStyle w:val="Hlistbullet"/>
      </w:pPr>
      <w:r>
        <w:t xml:space="preserve">aprēķina metodiku/formulu; </w:t>
      </w:r>
    </w:p>
    <w:p w:rsidR="00F40273" w:rsidRPr="001C6ACF" w:rsidRDefault="001C2076" w:rsidP="00DA263D">
      <w:pPr>
        <w:pStyle w:val="Hlistbullet"/>
      </w:pPr>
      <w:r>
        <w:t xml:space="preserve">datu prasībām un avotiem; </w:t>
      </w:r>
    </w:p>
    <w:p w:rsidR="00F40273" w:rsidRPr="001C6ACF" w:rsidRDefault="003304E5" w:rsidP="00DA263D">
      <w:pPr>
        <w:pStyle w:val="Hlistbullet"/>
      </w:pPr>
      <w:r>
        <w:t xml:space="preserve">datu vākšanas apmēru un biežumu; </w:t>
      </w:r>
    </w:p>
    <w:p w:rsidR="001C2076" w:rsidRPr="001C6ACF" w:rsidRDefault="001C2076" w:rsidP="00DA263D">
      <w:pPr>
        <w:pStyle w:val="Hlistbullet"/>
      </w:pPr>
      <w:r>
        <w:t xml:space="preserve">informāciju par datu vākšanas aizkavēšanos. </w:t>
      </w:r>
    </w:p>
    <w:p w:rsidR="001C2076" w:rsidRPr="001C6ACF" w:rsidRDefault="001C2076" w:rsidP="001C2076">
      <w:pPr>
        <w:pStyle w:val="HStandard"/>
      </w:pPr>
      <w:r>
        <w:t xml:space="preserve">LAP ietekmes </w:t>
      </w:r>
      <w:r w:rsidR="00F31C18">
        <w:t xml:space="preserve">izvērtēšanā </w:t>
      </w:r>
      <w:r>
        <w:t xml:space="preserve">izmanto </w:t>
      </w:r>
      <w:r>
        <w:rPr>
          <w:b/>
        </w:rPr>
        <w:t>13 no 16 kop</w:t>
      </w:r>
      <w:r w:rsidR="00B23B3A">
        <w:rPr>
          <w:b/>
        </w:rPr>
        <w:t>ēj</w:t>
      </w:r>
      <w:r w:rsidR="0001311F">
        <w:rPr>
          <w:b/>
        </w:rPr>
        <w:t>iem</w:t>
      </w:r>
      <w:r>
        <w:rPr>
          <w:b/>
        </w:rPr>
        <w:t xml:space="preserve"> KLP ietekmes rādītājiem</w:t>
      </w:r>
      <w:r>
        <w:t>:</w:t>
      </w:r>
    </w:p>
    <w:p w:rsidR="001C2076" w:rsidRPr="001C6ACF" w:rsidRDefault="001C2076" w:rsidP="008D52EA">
      <w:pPr>
        <w:pStyle w:val="Hlistbullet"/>
      </w:pPr>
      <w:r>
        <w:t>I.01 Lauksaimnieciskās uzņēmējdarbības ienākumi,</w:t>
      </w:r>
    </w:p>
    <w:p w:rsidR="001C2076" w:rsidRPr="001C6ACF" w:rsidRDefault="001C2076" w:rsidP="008D52EA">
      <w:pPr>
        <w:pStyle w:val="Hlistbullet"/>
      </w:pPr>
      <w:r>
        <w:t>I.02 Lauksaimniecības faktoru ienākumi,</w:t>
      </w:r>
    </w:p>
    <w:p w:rsidR="001C2076" w:rsidRPr="001C6ACF" w:rsidRDefault="001C2076" w:rsidP="008D52EA">
      <w:pPr>
        <w:pStyle w:val="Hlistbullet"/>
      </w:pPr>
      <w:r>
        <w:t>I.03 Kopējais faktoru ražīgums lauksaimniecībā,</w:t>
      </w:r>
    </w:p>
    <w:p w:rsidR="001C2076" w:rsidRPr="001C6ACF" w:rsidRDefault="001C2076" w:rsidP="008D52EA">
      <w:pPr>
        <w:pStyle w:val="Hlistbullet"/>
      </w:pPr>
      <w:r>
        <w:t>I.07 Lauksaimniecības emisijas,</w:t>
      </w:r>
    </w:p>
    <w:p w:rsidR="001C2076" w:rsidRPr="001C6ACF" w:rsidRDefault="001C2076" w:rsidP="008D52EA">
      <w:pPr>
        <w:pStyle w:val="Hlistbullet"/>
      </w:pPr>
      <w:r>
        <w:t>I.08 Lauku putnu indekss,</w:t>
      </w:r>
    </w:p>
    <w:p w:rsidR="001C2076" w:rsidRPr="001C6ACF" w:rsidRDefault="001C2076" w:rsidP="008D52EA">
      <w:pPr>
        <w:pStyle w:val="Hlistbullet"/>
      </w:pPr>
      <w:r>
        <w:t>I.09 Augstas dabas vērtības (ADV) lauksaimniecība,</w:t>
      </w:r>
    </w:p>
    <w:p w:rsidR="001C2076" w:rsidRPr="001C6ACF" w:rsidRDefault="001C2076" w:rsidP="008D52EA">
      <w:pPr>
        <w:pStyle w:val="Hlistbullet"/>
      </w:pPr>
      <w:r>
        <w:t>I.10 Ūdens ieguve lauksaimniecībā,</w:t>
      </w:r>
    </w:p>
    <w:p w:rsidR="001C2076" w:rsidRPr="001C6ACF" w:rsidRDefault="001C2076" w:rsidP="008D52EA">
      <w:pPr>
        <w:pStyle w:val="Hlistbullet"/>
      </w:pPr>
      <w:r>
        <w:t>I.11 Ūdens kvalitāte,</w:t>
      </w:r>
    </w:p>
    <w:p w:rsidR="001C2076" w:rsidRPr="001C6ACF" w:rsidRDefault="001C2076" w:rsidP="008D52EA">
      <w:pPr>
        <w:pStyle w:val="Hlistbullet"/>
      </w:pPr>
      <w:r>
        <w:t>I.12 Augsnes organiskās vielas aramzemē,</w:t>
      </w:r>
    </w:p>
    <w:p w:rsidR="001C2076" w:rsidRPr="001C6ACF" w:rsidRDefault="001C2076" w:rsidP="008D52EA">
      <w:pPr>
        <w:pStyle w:val="Hlistbullet"/>
      </w:pPr>
      <w:r>
        <w:t>I.13 Ūdens izraisīta augsnes erozija,</w:t>
      </w:r>
    </w:p>
    <w:p w:rsidR="001C2076" w:rsidRPr="001C6ACF" w:rsidRDefault="001C2076" w:rsidP="008D52EA">
      <w:pPr>
        <w:pStyle w:val="Hlistbullet"/>
      </w:pPr>
      <w:r>
        <w:t>I.14 Nodarbinātības līmenis laukos,</w:t>
      </w:r>
    </w:p>
    <w:p w:rsidR="001C2076" w:rsidRPr="001C6ACF" w:rsidRDefault="001C2076" w:rsidP="008D52EA">
      <w:pPr>
        <w:pStyle w:val="Hlistbullet"/>
      </w:pPr>
      <w:r>
        <w:t>I.15 Nabadzības līmenis laukos,</w:t>
      </w:r>
    </w:p>
    <w:p w:rsidR="001C2076" w:rsidRPr="001C6ACF" w:rsidRDefault="001C2076" w:rsidP="008D52EA">
      <w:pPr>
        <w:pStyle w:val="Hlistbullet"/>
      </w:pPr>
      <w:r>
        <w:t>I.16 IKP uz vienu lauku iedzīvotāju.</w:t>
      </w:r>
    </w:p>
    <w:p w:rsidR="001C2076" w:rsidRPr="001C6ACF" w:rsidRDefault="00B21618" w:rsidP="00E35440">
      <w:pPr>
        <w:pStyle w:val="HHeading2"/>
      </w:pPr>
      <w:r>
        <w:lastRenderedPageBreak/>
        <w:t xml:space="preserve"> Kā ziņot par KNJ 2019. gadā?</w:t>
      </w:r>
    </w:p>
    <w:p w:rsidR="001C2076" w:rsidRPr="001C6ACF" w:rsidRDefault="003304E5" w:rsidP="003304E5">
      <w:pPr>
        <w:pStyle w:val="HStandard"/>
      </w:pPr>
      <w:r>
        <w:t>2019. gadā dalībvalstis ziņo par saviem novērtēšanas konstatējumiem, atbildot uz visiem attiecīgajiem kop</w:t>
      </w:r>
      <w:r w:rsidR="000D6687">
        <w:t>ējiem</w:t>
      </w:r>
      <w:r>
        <w:t xml:space="preserve"> un programmai </w:t>
      </w:r>
      <w:r w:rsidR="0001311F">
        <w:t xml:space="preserve">specifiskiem </w:t>
      </w:r>
      <w:r w:rsidR="000D6687">
        <w:t xml:space="preserve">novērtēšanas </w:t>
      </w:r>
      <w:r>
        <w:t xml:space="preserve">jautājumiem katrā attiecīgajā GĪZ sadaļā. </w:t>
      </w:r>
    </w:p>
    <w:p w:rsidR="001C2076" w:rsidRPr="001C6ACF" w:rsidRDefault="00906DAF" w:rsidP="003304E5">
      <w:pPr>
        <w:pStyle w:val="HStandard"/>
      </w:pPr>
      <w:r>
        <w:t xml:space="preserve">Līdzīgi kā </w:t>
      </w:r>
      <w:r w:rsidR="003D188A">
        <w:t>KNJ Nr. </w:t>
      </w:r>
      <w:r>
        <w:t>1–21  gadījumā atbildēm uz KNJ par ES līmeņa mērķiem (</w:t>
      </w:r>
      <w:r w:rsidR="003D188A">
        <w:t>KNJ Nr. </w:t>
      </w:r>
      <w:r>
        <w:t xml:space="preserve">22–30) būtu </w:t>
      </w:r>
      <w:r w:rsidR="000D7FDC">
        <w:t xml:space="preserve">jābalstās uz </w:t>
      </w:r>
      <w:r>
        <w:t>pierādījumiem no novērtēšanas konstatējumiem. Vērtējumus par intervenču panākumiem formulē, izmantojot vērtēšanas kritērijus, un mēra ar kop</w:t>
      </w:r>
      <w:r w:rsidR="00B23B3A">
        <w:t>ēj</w:t>
      </w:r>
      <w:r w:rsidR="0001311F">
        <w:t>iem</w:t>
      </w:r>
      <w:r>
        <w:t xml:space="preserve"> un papildu ietekmes rādītājiem, kā arī rādītājiem, kas saistīti ar ES stratēģiju gudrai, ilgtspējīgai un integrējošai izaugsmei. Turklāt, lai varētu atbildēt uz </w:t>
      </w:r>
      <w:r w:rsidR="000D6687">
        <w:t xml:space="preserve">novērtēšanas </w:t>
      </w:r>
      <w:r>
        <w:t>jautājumiem nepietiekamu datu gadījumā, var savākt kvalitatīvu informāciju.</w:t>
      </w:r>
    </w:p>
    <w:p w:rsidR="00970A15" w:rsidRPr="001C6ACF" w:rsidRDefault="00C16EB2" w:rsidP="00970A15">
      <w:pPr>
        <w:pStyle w:val="HHeading4"/>
      </w:pPr>
      <w:r>
        <w:t xml:space="preserve">Kādi ir vispārīgie soļi, lai atbildētu uz </w:t>
      </w:r>
      <w:r w:rsidR="000D6687">
        <w:t xml:space="preserve">novērtēšanas </w:t>
      </w:r>
      <w:r>
        <w:t>jautājumiem?</w:t>
      </w:r>
    </w:p>
    <w:p w:rsidR="001C2076" w:rsidRPr="001C6ACF" w:rsidRDefault="001C2076" w:rsidP="007D2D54">
      <w:pPr>
        <w:pStyle w:val="HStandard"/>
        <w:rPr>
          <w:rFonts w:cs="Arial"/>
        </w:rPr>
      </w:pPr>
      <w:r>
        <w:t xml:space="preserve">Sagatavojot atbildes uz </w:t>
      </w:r>
      <w:r w:rsidR="003D188A">
        <w:t>KNJ Nr. </w:t>
      </w:r>
      <w:r>
        <w:t>22–30, ir ieteicams izpildīt šādus vispārējus soļus:</w:t>
      </w:r>
    </w:p>
    <w:p w:rsidR="001C2076" w:rsidRPr="001C6ACF" w:rsidRDefault="007B324B" w:rsidP="00E35440">
      <w:pPr>
        <w:pStyle w:val="Hlistbullet"/>
      </w:pPr>
      <w:r>
        <w:t xml:space="preserve">pārskatīt programmas intervences loģiku, kas ir saistīta ar katra attiecīgā kopējā </w:t>
      </w:r>
      <w:r w:rsidR="000D6687">
        <w:t xml:space="preserve">novērtēšanas </w:t>
      </w:r>
      <w:r>
        <w:t>jautājuma KLP mērķiem/</w:t>
      </w:r>
      <w:r w:rsidR="000D6687" w:rsidRPr="000D6687">
        <w:t xml:space="preserve"> </w:t>
      </w:r>
      <w:r w:rsidR="000D6687">
        <w:t xml:space="preserve">stratēģijas "Eiropa 2020" </w:t>
      </w:r>
      <w:r>
        <w:t>mērķiem, lauku attīstības prioritāro(-ajām) jomu(-ām) un pasākumiem;</w:t>
      </w:r>
    </w:p>
    <w:p w:rsidR="001C2076" w:rsidRPr="001C6ACF" w:rsidRDefault="00DA263D" w:rsidP="00E35440">
      <w:pPr>
        <w:pStyle w:val="Hlistbullet"/>
      </w:pPr>
      <w:r>
        <w:t>noteikt vērtēšanas kritērijus un sasaistīt tos ar kop</w:t>
      </w:r>
      <w:r w:rsidR="00B23B3A">
        <w:t>ēj</w:t>
      </w:r>
      <w:r w:rsidR="0001311F">
        <w:t>iem</w:t>
      </w:r>
      <w:r>
        <w:t xml:space="preserve"> (un papildu) ietekmes rādītājiem, kurus plānots izmantot, atbildot uz </w:t>
      </w:r>
      <w:r w:rsidR="000D6687">
        <w:t xml:space="preserve">novērtēšanas </w:t>
      </w:r>
      <w:r>
        <w:t xml:space="preserve">jautājumu; </w:t>
      </w:r>
    </w:p>
    <w:p w:rsidR="001C2076" w:rsidRPr="00863E73" w:rsidRDefault="007B324B" w:rsidP="00E35440">
      <w:pPr>
        <w:pStyle w:val="Hlistbullet"/>
      </w:pPr>
      <w:r>
        <w:t xml:space="preserve">atlasīt kvantitatīvas un kvalitatīvās metodes, ar ko var </w:t>
      </w:r>
      <w:r w:rsidR="00F31C18">
        <w:t>iz</w:t>
      </w:r>
      <w:r>
        <w:t>vērtēt ietekmes rādītāju neto vērtīb</w:t>
      </w:r>
      <w:r w:rsidR="003D188A">
        <w:t>as</w:t>
      </w:r>
      <w:r>
        <w:rPr>
          <w:rStyle w:val="FootnoteReference"/>
          <w:i w:val="0"/>
          <w:position w:val="0"/>
          <w:sz w:val="20"/>
          <w:vertAlign w:val="superscript"/>
        </w:rPr>
        <w:footnoteReference w:id="23"/>
      </w:r>
      <w:r>
        <w:t>;</w:t>
      </w:r>
    </w:p>
    <w:p w:rsidR="001C2076" w:rsidRPr="001C6ACF" w:rsidRDefault="007B324B" w:rsidP="00E35440">
      <w:pPr>
        <w:pStyle w:val="Hlistbullet"/>
      </w:pPr>
      <w:r>
        <w:t>piešķirt kvantitatīv</w:t>
      </w:r>
      <w:r w:rsidR="003D188A">
        <w:t>as</w:t>
      </w:r>
      <w:r>
        <w:t xml:space="preserve"> vērtīb</w:t>
      </w:r>
      <w:r w:rsidR="003D188A">
        <w:t>as</w:t>
      </w:r>
      <w:r>
        <w:t xml:space="preserve"> rezultāta un ietekmes rādītājiem, kā arī sniegt attiecīgus kvalitatīvus konstatējumus, atbild</w:t>
      </w:r>
      <w:r w:rsidR="003D188A">
        <w:t>ot</w:t>
      </w:r>
      <w:r>
        <w:t xml:space="preserve"> uz </w:t>
      </w:r>
      <w:r w:rsidR="000D6687">
        <w:t xml:space="preserve">novērtēšanas </w:t>
      </w:r>
      <w:r>
        <w:t xml:space="preserve">jautājumiem; </w:t>
      </w:r>
    </w:p>
    <w:p w:rsidR="001C2076" w:rsidRPr="001C6ACF" w:rsidRDefault="007B324B" w:rsidP="00E35440">
      <w:pPr>
        <w:pStyle w:val="Hlistbullet"/>
      </w:pPr>
      <w:r>
        <w:t xml:space="preserve">atbildēt uz </w:t>
      </w:r>
      <w:r w:rsidR="000D6687">
        <w:t xml:space="preserve">novērtēšanas </w:t>
      </w:r>
      <w:r>
        <w:t>jautājumiem.</w:t>
      </w:r>
    </w:p>
    <w:p w:rsidR="001C2076" w:rsidRPr="001C6ACF" w:rsidRDefault="00217482" w:rsidP="007D2D54">
      <w:pPr>
        <w:pStyle w:val="HStandard"/>
      </w:pPr>
      <w:r>
        <w:t xml:space="preserve">Minētie pasākumi ir līdzīgi tiem, kādi tika ieteikti </w:t>
      </w:r>
      <w:r w:rsidR="000D6687">
        <w:t xml:space="preserve">novērtēšanas </w:t>
      </w:r>
      <w:r>
        <w:t xml:space="preserve">uzdevumam 2017. gadā. Tomēr 2019. gadā varētu rasties dažas jaunas problēmas, kuras ir sīki paskaidrotas šo pamatnostādņu </w:t>
      </w:r>
      <w:r>
        <w:rPr>
          <w:color w:val="F07E31" w:themeColor="accent1"/>
        </w:rPr>
        <w:t>II daļā</w:t>
      </w:r>
      <w:r>
        <w:t xml:space="preserve">. </w:t>
      </w:r>
    </w:p>
    <w:p w:rsidR="001C2076" w:rsidRPr="001C6ACF" w:rsidRDefault="001C2076" w:rsidP="00812032">
      <w:pPr>
        <w:pStyle w:val="HHeading4"/>
      </w:pPr>
      <w:r>
        <w:t>Kur atrast norādījumus</w:t>
      </w:r>
      <w:r w:rsidR="003D188A">
        <w:t xml:space="preserve"> par KNJ, uz ko jāatbild</w:t>
      </w:r>
      <w:r>
        <w:t xml:space="preserve"> 2019. gadā? </w:t>
      </w:r>
    </w:p>
    <w:p w:rsidR="00217482" w:rsidRPr="001C6ACF" w:rsidRDefault="00217482" w:rsidP="00217482">
      <w:pPr>
        <w:pStyle w:val="HStandard"/>
      </w:pPr>
      <w:r>
        <w:t xml:space="preserve">Šajās pamatnostādnēs ir sīki izklāstīta informācija par to, kā atbildēt uz kopējiem </w:t>
      </w:r>
      <w:r w:rsidR="000D6687">
        <w:t xml:space="preserve">novērtēšanas </w:t>
      </w:r>
      <w:r>
        <w:t xml:space="preserve">jautājumiem saistībā ar ES līmeņa mērķiem </w:t>
      </w:r>
      <w:r w:rsidR="00011E21">
        <w:t>KNJ Nr. </w:t>
      </w:r>
      <w:r>
        <w:t xml:space="preserve">22–30. Vajadzības gadījumā pamatnostādnēs ir sniegtas atsauces uz citiem attiecīgiem norādījumiem, kas minēti 1. tabulā. </w:t>
      </w:r>
    </w:p>
    <w:p w:rsidR="001C2076" w:rsidRPr="001C6ACF" w:rsidRDefault="001C2076" w:rsidP="001C2076">
      <w:pPr>
        <w:spacing w:after="0" w:line="280" w:lineRule="atLeast"/>
        <w:rPr>
          <w:rFonts w:cs="Arial"/>
          <w:color w:val="373737" w:themeColor="text1"/>
          <w:sz w:val="20"/>
          <w:szCs w:val="20"/>
        </w:rPr>
      </w:pPr>
      <w:r>
        <w:rPr>
          <w:color w:val="373737" w:themeColor="text1"/>
          <w:sz w:val="20"/>
        </w:rPr>
        <w:t xml:space="preserve">Norādījumi atbilžu sniegšanai uz kopējiem </w:t>
      </w:r>
      <w:r w:rsidR="000D6687" w:rsidRPr="000D7FDC">
        <w:rPr>
          <w:sz w:val="20"/>
          <w:szCs w:val="20"/>
        </w:rPr>
        <w:t>novērtēšanas</w:t>
      </w:r>
      <w:r w:rsidR="000D6687">
        <w:t xml:space="preserve"> </w:t>
      </w:r>
      <w:r>
        <w:rPr>
          <w:color w:val="373737" w:themeColor="text1"/>
          <w:sz w:val="20"/>
        </w:rPr>
        <w:t>jautājumiem saistībā ar lauku attīstības prioritārajām jomām, programmu sinerģiju, tehnisko palīdzību un valstu lauku tīkliem (</w:t>
      </w:r>
      <w:r w:rsidR="00011E21">
        <w:rPr>
          <w:color w:val="373737" w:themeColor="text1"/>
          <w:sz w:val="20"/>
        </w:rPr>
        <w:t>KNJ Nr. </w:t>
      </w:r>
      <w:r>
        <w:rPr>
          <w:color w:val="373737" w:themeColor="text1"/>
          <w:sz w:val="20"/>
        </w:rPr>
        <w:t>1–21) ir pieejami:</w:t>
      </w:r>
    </w:p>
    <w:p w:rsidR="008E3ACB" w:rsidRPr="001C6ACF" w:rsidRDefault="00217482" w:rsidP="00E35440">
      <w:pPr>
        <w:pStyle w:val="Hlistbullet"/>
      </w:pPr>
      <w:r>
        <w:t xml:space="preserve">pamatnostādnēs </w:t>
      </w:r>
      <w:r w:rsidR="00CE4E98" w:rsidRPr="00CE4E98">
        <w:rPr>
          <w:i/>
          <w:iCs/>
        </w:rPr>
        <w:t>"</w:t>
      </w:r>
      <w:hyperlink r:id="rId22">
        <w:r>
          <w:rPr>
            <w:rStyle w:val="Hyperlink"/>
            <w:i/>
            <w:color w:val="373737" w:themeColor="text1"/>
            <w:u w:val="none"/>
          </w:rPr>
          <w:t xml:space="preserve">LAP rezultātu </w:t>
        </w:r>
        <w:r w:rsidR="00F31C18">
          <w:rPr>
            <w:rStyle w:val="Hyperlink"/>
            <w:i/>
            <w:color w:val="373737" w:themeColor="text1"/>
            <w:u w:val="none"/>
          </w:rPr>
          <w:t>iz</w:t>
        </w:r>
        <w:r>
          <w:rPr>
            <w:rStyle w:val="Hyperlink"/>
            <w:i/>
            <w:color w:val="373737" w:themeColor="text1"/>
            <w:u w:val="none"/>
          </w:rPr>
          <w:t>vērtēšana: kā sagatavoties ziņošanai par novērtējumu 2017. gadā</w:t>
        </w:r>
      </w:hyperlink>
      <w:r w:rsidR="00CE4E98">
        <w:rPr>
          <w:rStyle w:val="Hyperlink"/>
          <w:i/>
          <w:color w:val="373737" w:themeColor="text1"/>
          <w:u w:val="none"/>
        </w:rPr>
        <w:t>"</w:t>
      </w:r>
      <w:r>
        <w:t xml:space="preserve">. Šajā dokumentā ir paskaidrots, kā ziņot par novērtējumiem GĪZ, kas iesniegti 2017. gadā un vēlāk. Pamatnostādnēs ir ieteiktas iespējamās pieejas LAP rezultātu </w:t>
      </w:r>
      <w:r w:rsidR="00F31C18">
        <w:t xml:space="preserve">izvērtēšanai </w:t>
      </w:r>
      <w:r>
        <w:t xml:space="preserve">2017. gadā, kas attiecībā uz </w:t>
      </w:r>
      <w:r w:rsidR="00011E21">
        <w:t>KNJ Nr. </w:t>
      </w:r>
      <w:r>
        <w:t xml:space="preserve">1–21 ir spēkā arī 2019. gadā; </w:t>
      </w:r>
    </w:p>
    <w:p w:rsidR="001C2076" w:rsidRPr="001C6ACF" w:rsidRDefault="000D2202" w:rsidP="00E35440">
      <w:pPr>
        <w:pStyle w:val="Hlistbullet"/>
      </w:pPr>
      <w:hyperlink r:id="rId23">
        <w:r w:rsidR="006F62E2">
          <w:rPr>
            <w:rStyle w:val="Hyperlink"/>
            <w:i/>
            <w:color w:val="373737" w:themeColor="text1"/>
            <w:u w:val="none"/>
          </w:rPr>
          <w:t>11. pielik</w:t>
        </w:r>
        <w:r w:rsidR="00CE4E98">
          <w:rPr>
            <w:rStyle w:val="Hyperlink"/>
            <w:i/>
            <w:color w:val="373737" w:themeColor="text1"/>
            <w:u w:val="none"/>
          </w:rPr>
          <w:t>umā "</w:t>
        </w:r>
        <w:r w:rsidR="00AA27BE">
          <w:rPr>
            <w:rStyle w:val="Hyperlink"/>
            <w:i/>
            <w:color w:val="373737" w:themeColor="text1"/>
            <w:u w:val="none"/>
          </w:rPr>
          <w:t xml:space="preserve">Datu lapas </w:t>
        </w:r>
        <w:r w:rsidR="006F62E2">
          <w:rPr>
            <w:rStyle w:val="Hyperlink"/>
            <w:i/>
            <w:color w:val="373737" w:themeColor="text1"/>
            <w:u w:val="none"/>
          </w:rPr>
          <w:t xml:space="preserve">atbilžu sniegšanai uz kopējiem </w:t>
        </w:r>
        <w:r w:rsidR="00835596">
          <w:rPr>
            <w:rStyle w:val="Hyperlink"/>
            <w:i/>
            <w:color w:val="373737" w:themeColor="text1"/>
            <w:u w:val="none"/>
          </w:rPr>
          <w:t xml:space="preserve">novērtēšanas </w:t>
        </w:r>
        <w:r w:rsidR="006F62E2">
          <w:rPr>
            <w:rStyle w:val="Hyperlink"/>
            <w:i/>
            <w:color w:val="373737" w:themeColor="text1"/>
            <w:u w:val="none"/>
          </w:rPr>
          <w:t>jautājumiem par lauku attīstības programmām 2014.–2020. </w:t>
        </w:r>
        <w:r w:rsidR="00CE4E98">
          <w:rPr>
            <w:rStyle w:val="Hyperlink"/>
            <w:i/>
            <w:color w:val="373737" w:themeColor="text1"/>
            <w:u w:val="none"/>
          </w:rPr>
          <w:t>g</w:t>
        </w:r>
        <w:r w:rsidR="006F62E2">
          <w:rPr>
            <w:rStyle w:val="Hyperlink"/>
            <w:i/>
            <w:color w:val="373737" w:themeColor="text1"/>
            <w:u w:val="none"/>
          </w:rPr>
          <w:t>adam</w:t>
        </w:r>
        <w:r w:rsidR="00CE4E98">
          <w:rPr>
            <w:rStyle w:val="Hyperlink"/>
            <w:i/>
            <w:color w:val="373737" w:themeColor="text1"/>
            <w:u w:val="none"/>
          </w:rPr>
          <w:t>"</w:t>
        </w:r>
      </w:hyperlink>
      <w:r w:rsidR="006F62E2">
        <w:t xml:space="preserve"> ir sniegts tehniskais atbalsts atbilžu sagatavošanai uz </w:t>
      </w:r>
      <w:r w:rsidR="00011E21">
        <w:t>KNJ Nr. </w:t>
      </w:r>
      <w:r w:rsidR="006F62E2">
        <w:t>1–21. Tajā ir izklāstīta intervences loģika, kas saistīta ar katru KNJ, aprakstīti noderīgi novērtē</w:t>
      </w:r>
      <w:r w:rsidR="00597AF1">
        <w:t>šanas</w:t>
      </w:r>
      <w:r w:rsidR="006F62E2">
        <w:t xml:space="preserve"> elementi un piedāvātas </w:t>
      </w:r>
      <w:r w:rsidR="00F31C18">
        <w:t xml:space="preserve">izvērtēšanas </w:t>
      </w:r>
      <w:r w:rsidR="006F62E2">
        <w:t>metodes.</w:t>
      </w:r>
    </w:p>
    <w:p w:rsidR="0020488A" w:rsidRPr="001C6ACF" w:rsidRDefault="0020488A" w:rsidP="005A56B7">
      <w:pPr>
        <w:pStyle w:val="HStandard"/>
      </w:pPr>
      <w:r>
        <w:t xml:space="preserve">Pārskats par noderīgākajiem dokumentiem, lai sagatavotu atbildes uz KNJ GĪZ 2019. gadā, ir sniegts 1. tabulā. </w:t>
      </w:r>
    </w:p>
    <w:p w:rsidR="00AB3BA1" w:rsidRPr="001C6ACF" w:rsidRDefault="009F77FD" w:rsidP="00F31C18">
      <w:pPr>
        <w:pStyle w:val="HHeadingtables"/>
      </w:pPr>
      <w:r>
        <w:br w:type="column"/>
      </w:r>
      <w:r w:rsidR="00F31C18">
        <w:lastRenderedPageBreak/>
        <w:t xml:space="preserve"> </w:t>
      </w:r>
      <w:r>
        <w:t>Norādījumi par atbilžu sniegšanu uz KNJ GĪZ 2019. gadā</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129"/>
        <w:gridCol w:w="2410"/>
        <w:gridCol w:w="5477"/>
      </w:tblGrid>
      <w:tr w:rsidR="00AB3BA1" w:rsidRPr="001C6ACF" w:rsidTr="00A746BC">
        <w:trPr>
          <w:tblHeader/>
        </w:trPr>
        <w:tc>
          <w:tcPr>
            <w:tcW w:w="1129" w:type="dxa"/>
            <w:shd w:val="clear" w:color="auto" w:fill="F07E31" w:themeFill="accent1"/>
          </w:tcPr>
          <w:p w:rsidR="00AB3BA1" w:rsidRPr="001C6ACF" w:rsidRDefault="007038B3" w:rsidP="00A746BC">
            <w:pPr>
              <w:pStyle w:val="HStandard"/>
              <w:jc w:val="center"/>
              <w:rPr>
                <w:b/>
                <w:color w:val="FFFFFF" w:themeColor="background1"/>
              </w:rPr>
            </w:pPr>
            <w:r>
              <w:rPr>
                <w:b/>
                <w:color w:val="FFFFFF" w:themeColor="background1"/>
              </w:rPr>
              <w:t>KNJ</w:t>
            </w:r>
          </w:p>
        </w:tc>
        <w:tc>
          <w:tcPr>
            <w:tcW w:w="2410" w:type="dxa"/>
            <w:shd w:val="clear" w:color="auto" w:fill="F07E31" w:themeFill="accent1"/>
          </w:tcPr>
          <w:p w:rsidR="00AB3BA1" w:rsidRPr="001C6ACF" w:rsidRDefault="00116A79" w:rsidP="008D52EA">
            <w:pPr>
              <w:pStyle w:val="HStandard"/>
              <w:jc w:val="center"/>
              <w:rPr>
                <w:b/>
                <w:color w:val="FFFFFF" w:themeColor="background1"/>
              </w:rPr>
            </w:pPr>
            <w:r>
              <w:rPr>
                <w:b/>
                <w:color w:val="FFFFFF" w:themeColor="background1"/>
              </w:rPr>
              <w:t>Dokuments</w:t>
            </w:r>
          </w:p>
        </w:tc>
        <w:tc>
          <w:tcPr>
            <w:tcW w:w="5477" w:type="dxa"/>
            <w:shd w:val="clear" w:color="auto" w:fill="F07E31" w:themeFill="accent1"/>
          </w:tcPr>
          <w:p w:rsidR="00AB3BA1" w:rsidRPr="001C6ACF" w:rsidRDefault="00146C75" w:rsidP="008D52EA">
            <w:pPr>
              <w:pStyle w:val="HStandard"/>
              <w:jc w:val="center"/>
              <w:rPr>
                <w:b/>
                <w:color w:val="FFFFFF" w:themeColor="background1"/>
              </w:rPr>
            </w:pPr>
            <w:r>
              <w:rPr>
                <w:b/>
                <w:color w:val="FFFFFF" w:themeColor="background1"/>
              </w:rPr>
              <w:t>Būtiskums GĪZ 2019. gadā</w:t>
            </w:r>
          </w:p>
        </w:tc>
      </w:tr>
      <w:tr w:rsidR="009F7952" w:rsidRPr="001C6ACF" w:rsidTr="00A746BC">
        <w:trPr>
          <w:trHeight w:val="1091"/>
        </w:trPr>
        <w:tc>
          <w:tcPr>
            <w:tcW w:w="1129" w:type="dxa"/>
            <w:vMerge w:val="restart"/>
          </w:tcPr>
          <w:p w:rsidR="009F7952" w:rsidRPr="001C6ACF" w:rsidRDefault="00034FB1" w:rsidP="00011E21">
            <w:pPr>
              <w:pStyle w:val="HStandard"/>
              <w:jc w:val="center"/>
            </w:pPr>
            <w:r>
              <w:t>Nr. </w:t>
            </w:r>
            <w:r w:rsidR="009F7952">
              <w:t>1–21</w:t>
            </w:r>
          </w:p>
        </w:tc>
        <w:tc>
          <w:tcPr>
            <w:tcW w:w="2410" w:type="dxa"/>
          </w:tcPr>
          <w:p w:rsidR="009F7952" w:rsidRPr="00571D58" w:rsidRDefault="000D2202" w:rsidP="00AA27BE">
            <w:pPr>
              <w:pStyle w:val="HStandard"/>
              <w:jc w:val="left"/>
            </w:pPr>
            <w:hyperlink r:id="rId24">
              <w:r w:rsidR="006F62E2">
                <w:rPr>
                  <w:rStyle w:val="Hyperlink"/>
                </w:rPr>
                <w:t xml:space="preserve">Mērķa rādītāju </w:t>
              </w:r>
              <w:r w:rsidR="00AA27BE">
                <w:rPr>
                  <w:rStyle w:val="Hyperlink"/>
                </w:rPr>
                <w:t xml:space="preserve">datu lapas </w:t>
              </w:r>
              <w:r w:rsidR="006F62E2">
                <w:rPr>
                  <w:rStyle w:val="Hyperlink"/>
                </w:rPr>
                <w:t>attiecībā uz II pīlāru (I un II prioritāte)</w:t>
              </w:r>
            </w:hyperlink>
          </w:p>
        </w:tc>
        <w:tc>
          <w:tcPr>
            <w:tcW w:w="5477" w:type="dxa"/>
          </w:tcPr>
          <w:p w:rsidR="009F7952" w:rsidRPr="00FB6C06" w:rsidRDefault="009F7952" w:rsidP="005A56B7">
            <w:pPr>
              <w:pStyle w:val="HStandard"/>
            </w:pPr>
            <w:r>
              <w:t>Pie katra rādītāja ir sniegtas saites uz attiecīgo prioritāti un prioritāro jomu, definīcija un mērvienība, aprēķina metodika, datu vajadzības un avoti, datu vākšanas biežums un veids, kādā dati tiek nodoti Eiropas Komisijai.</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571D58" w:rsidRDefault="000D2202" w:rsidP="00AA27BE">
            <w:pPr>
              <w:pStyle w:val="HStandard"/>
              <w:jc w:val="left"/>
            </w:pPr>
            <w:hyperlink r:id="rId25">
              <w:r w:rsidR="006F62E2">
                <w:rPr>
                  <w:rStyle w:val="Hyperlink"/>
                </w:rPr>
                <w:t xml:space="preserve">Papildu rezultātu rādītāju </w:t>
              </w:r>
              <w:r w:rsidR="00AA27BE">
                <w:rPr>
                  <w:rStyle w:val="Hyperlink"/>
                </w:rPr>
                <w:t xml:space="preserve">datu lapas </w:t>
              </w:r>
              <w:r w:rsidR="006F62E2">
                <w:rPr>
                  <w:rStyle w:val="Hyperlink"/>
                </w:rPr>
                <w:t>attiecībā uz II pīlāru</w:t>
              </w:r>
            </w:hyperlink>
          </w:p>
        </w:tc>
        <w:tc>
          <w:tcPr>
            <w:tcW w:w="5477" w:type="dxa"/>
          </w:tcPr>
          <w:p w:rsidR="009F7952" w:rsidRPr="00336531" w:rsidRDefault="009F7952" w:rsidP="0001311F">
            <w:pPr>
              <w:pStyle w:val="HStandard"/>
            </w:pPr>
            <w:r>
              <w:t>Ietver līdzīgus norādījumus par katru papildu rezultāta rādītāju.</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863E73" w:rsidRDefault="000D2202" w:rsidP="00CE4E98">
            <w:pPr>
              <w:pStyle w:val="HStandard"/>
              <w:jc w:val="left"/>
            </w:pPr>
            <w:hyperlink r:id="rId26">
              <w:r w:rsidR="00CE4E98">
                <w:rPr>
                  <w:rStyle w:val="Hyperlink"/>
                </w:rPr>
                <w:t>Pamatnostādnes "</w:t>
              </w:r>
              <w:r w:rsidR="006F62E2">
                <w:rPr>
                  <w:rStyle w:val="Hyperlink"/>
                </w:rPr>
                <w:t xml:space="preserve">LAP rezultātu </w:t>
              </w:r>
              <w:r w:rsidR="00F31C18">
                <w:rPr>
                  <w:rStyle w:val="Hyperlink"/>
                </w:rPr>
                <w:t>iz</w:t>
              </w:r>
              <w:r w:rsidR="006F62E2">
                <w:rPr>
                  <w:rStyle w:val="Hyperlink"/>
                </w:rPr>
                <w:t>vērtēšana: kā sagatavoties ziņošanai par novērtējumu 2017. </w:t>
              </w:r>
              <w:r w:rsidR="00CE4E98">
                <w:rPr>
                  <w:rStyle w:val="Hyperlink"/>
                </w:rPr>
                <w:t>g</w:t>
              </w:r>
              <w:r w:rsidR="006F62E2">
                <w:rPr>
                  <w:rStyle w:val="Hyperlink"/>
                </w:rPr>
                <w:t>adā</w:t>
              </w:r>
              <w:r w:rsidR="00CE4E98">
                <w:rPr>
                  <w:rStyle w:val="Hyperlink"/>
                </w:rPr>
                <w:t>"</w:t>
              </w:r>
            </w:hyperlink>
            <w:r w:rsidR="006F62E2">
              <w:rPr>
                <w:rStyle w:val="Hyperlink"/>
              </w:rPr>
              <w:t xml:space="preserve"> (atsevišķais 11. pielikums)</w:t>
            </w:r>
            <w:r w:rsidR="006F62E2">
              <w:t>.</w:t>
            </w:r>
          </w:p>
        </w:tc>
        <w:tc>
          <w:tcPr>
            <w:tcW w:w="5477" w:type="dxa"/>
          </w:tcPr>
          <w:p w:rsidR="009F7952" w:rsidRPr="001C6ACF" w:rsidRDefault="00E87DD2" w:rsidP="00E87DD2">
            <w:pPr>
              <w:pStyle w:val="HStandard"/>
            </w:pPr>
            <w:r>
              <w:t>Ier</w:t>
            </w:r>
            <w:r w:rsidR="00116A79">
              <w:t xml:space="preserve">osināts, kā ziņot par novērtējumiem 2017. gadā iesniegtajos GĪZ, kā veikt novērtēšanas darbības un kādas metodes izmantot, atbildot uz </w:t>
            </w:r>
            <w:r w:rsidR="00034FB1">
              <w:t>KNJ Nr. </w:t>
            </w:r>
            <w:r w:rsidR="00116A79">
              <w:t>1–21.</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571D58" w:rsidRDefault="000D2202" w:rsidP="00CE4E98">
            <w:pPr>
              <w:pStyle w:val="HStandard"/>
              <w:jc w:val="left"/>
            </w:pPr>
            <w:hyperlink r:id="rId27">
              <w:r w:rsidR="00CE4E98">
                <w:rPr>
                  <w:rStyle w:val="Hyperlink"/>
                </w:rPr>
                <w:t>Vadlīnijas "</w:t>
              </w:r>
              <w:r w:rsidR="00034FB1">
                <w:rPr>
                  <w:rStyle w:val="Hyperlink"/>
                  <w:i/>
                </w:rPr>
                <w:t>LEADER</w:t>
              </w:r>
              <w:r w:rsidR="00034FB1">
                <w:rPr>
                  <w:rStyle w:val="Hyperlink"/>
                </w:rPr>
                <w:t>/SVVA vērtēšana</w:t>
              </w:r>
              <w:r w:rsidR="00CE4E98">
                <w:rPr>
                  <w:rStyle w:val="Hyperlink"/>
                </w:rPr>
                <w:t>"</w:t>
              </w:r>
            </w:hyperlink>
          </w:p>
        </w:tc>
        <w:tc>
          <w:tcPr>
            <w:tcW w:w="5477" w:type="dxa"/>
          </w:tcPr>
          <w:p w:rsidR="009F7952" w:rsidRPr="007645B4" w:rsidRDefault="00116A79" w:rsidP="005A56B7">
            <w:pPr>
              <w:pStyle w:val="HStandard"/>
            </w:pPr>
            <w:r>
              <w:t xml:space="preserve">Paskaidrots, kā vērtēt </w:t>
            </w:r>
            <w:r>
              <w:rPr>
                <w:i/>
              </w:rPr>
              <w:t>LEADER</w:t>
            </w:r>
            <w:r>
              <w:t xml:space="preserve">/SVVA primāro un sekundāro ieguldījumu lauku attīstības primārajās jomās. </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571D58" w:rsidRDefault="000D2202" w:rsidP="00CE4E98">
            <w:pPr>
              <w:pStyle w:val="HStandard"/>
              <w:jc w:val="left"/>
            </w:pPr>
            <w:hyperlink r:id="rId28">
              <w:r w:rsidR="00CE4E98">
                <w:rPr>
                  <w:rStyle w:val="Hyperlink"/>
                </w:rPr>
                <w:t>Pamatnostādnes "</w:t>
              </w:r>
              <w:r w:rsidR="006F62E2">
                <w:rPr>
                  <w:rStyle w:val="Hyperlink"/>
                </w:rPr>
                <w:t>Inovācijas novērtēšana lauku attīstības 2014.–2020. gada programmās</w:t>
              </w:r>
              <w:r w:rsidR="00CE4E98">
                <w:rPr>
                  <w:rStyle w:val="Hyperlink"/>
                </w:rPr>
                <w:t>"</w:t>
              </w:r>
            </w:hyperlink>
          </w:p>
        </w:tc>
        <w:tc>
          <w:tcPr>
            <w:tcW w:w="5477" w:type="dxa"/>
          </w:tcPr>
          <w:p w:rsidR="009F7952" w:rsidRPr="00863E73" w:rsidRDefault="009F7952" w:rsidP="00011E21">
            <w:pPr>
              <w:pStyle w:val="HStandard"/>
            </w:pPr>
            <w:r>
              <w:t xml:space="preserve">Sniegta informācija par tādas inovācijas </w:t>
            </w:r>
            <w:r w:rsidR="00F31C18">
              <w:t>iz</w:t>
            </w:r>
            <w:r>
              <w:t xml:space="preserve">vērtēšanu, kas saistīta ar 1.A un 1.B prioritāro jomu, un par inovācijas atbalstu, izmantojot valstu lauku tīklu darbības. Turklāt ir sniegts atbalsts, lai no inovācijas viedokļa sagatavotu atbildes uz </w:t>
            </w:r>
            <w:r w:rsidR="00034FB1">
              <w:t>KNJ Nr. </w:t>
            </w:r>
            <w:r>
              <w:t xml:space="preserve">1, 2 un 21. </w:t>
            </w:r>
          </w:p>
        </w:tc>
      </w:tr>
      <w:tr w:rsidR="002C57D4" w:rsidRPr="001C6ACF" w:rsidTr="00A746BC">
        <w:tc>
          <w:tcPr>
            <w:tcW w:w="1129" w:type="dxa"/>
            <w:vMerge w:val="restart"/>
          </w:tcPr>
          <w:p w:rsidR="002C57D4" w:rsidRPr="001C6ACF" w:rsidRDefault="00034FB1" w:rsidP="00011E21">
            <w:pPr>
              <w:pStyle w:val="HStandard"/>
              <w:jc w:val="center"/>
            </w:pPr>
            <w:r>
              <w:t>Nr. </w:t>
            </w:r>
            <w:r w:rsidR="002C57D4">
              <w:t>22–30</w:t>
            </w:r>
          </w:p>
        </w:tc>
        <w:tc>
          <w:tcPr>
            <w:tcW w:w="2410" w:type="dxa"/>
          </w:tcPr>
          <w:p w:rsidR="002C57D4" w:rsidRPr="00571D58" w:rsidRDefault="000D2202" w:rsidP="00AA27BE">
            <w:pPr>
              <w:pStyle w:val="HStandard"/>
              <w:jc w:val="left"/>
            </w:pPr>
            <w:hyperlink r:id="rId29">
              <w:r w:rsidR="006F62E2">
                <w:rPr>
                  <w:rStyle w:val="Hyperlink"/>
                </w:rPr>
                <w:t xml:space="preserve">Ietekmes rādītāju </w:t>
              </w:r>
              <w:r w:rsidR="00AA27BE">
                <w:rPr>
                  <w:rStyle w:val="Hyperlink"/>
                </w:rPr>
                <w:t>datu lapas</w:t>
              </w:r>
            </w:hyperlink>
            <w:r w:rsidR="006F62E2">
              <w:t xml:space="preserve"> </w:t>
            </w:r>
          </w:p>
        </w:tc>
        <w:tc>
          <w:tcPr>
            <w:tcW w:w="5477" w:type="dxa"/>
          </w:tcPr>
          <w:p w:rsidR="002C57D4" w:rsidRPr="001C6ACF" w:rsidRDefault="002C57D4" w:rsidP="005A56B7">
            <w:pPr>
              <w:pStyle w:val="HStandard"/>
            </w:pPr>
            <w:r>
              <w:t>Sniegta informācija par rādītāja saikni ar KLP vispārējiem mērķiem, rādītāju noteikšanu, mērvienību, aprēķina metodiku/formulu, datu prasībām, avotiem un vākšanas biežumu/aizkavēšanos, kā arī informācija par datu atrašanās vietu.</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0D2202">
            <w:pPr>
              <w:pStyle w:val="HStandard"/>
              <w:jc w:val="left"/>
            </w:pPr>
            <w:hyperlink r:id="rId30">
              <w:r w:rsidR="006F62E2">
                <w:rPr>
                  <w:rStyle w:val="Hyperlink"/>
                </w:rPr>
                <w:t>Jaunākie dalībvalstu dati par konteksta rādītājiem</w:t>
              </w:r>
            </w:hyperlink>
          </w:p>
        </w:tc>
        <w:tc>
          <w:tcPr>
            <w:tcW w:w="5477" w:type="dxa"/>
          </w:tcPr>
          <w:p w:rsidR="00A75E50" w:rsidRPr="00336531" w:rsidRDefault="00A75E50" w:rsidP="00B23B3A">
            <w:pPr>
              <w:pStyle w:val="HStandard"/>
            </w:pPr>
            <w:r>
              <w:t>Eiropas Komisija nodrošina (pieejamo) datu par kop</w:t>
            </w:r>
            <w:r w:rsidR="00B23B3A">
              <w:t>ēj</w:t>
            </w:r>
            <w:r>
              <w:t>iem konteksta rādītājiem ikgadēju atjaunināšanu, pamatojoties uz dalībvalstu iesūtītajiem datiem.</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0D2202" w:rsidP="00DF22D0">
            <w:pPr>
              <w:pStyle w:val="HStandard"/>
              <w:jc w:val="left"/>
              <w:rPr>
                <w:color w:val="F07E31" w:themeColor="accent1"/>
              </w:rPr>
            </w:pPr>
            <w:hyperlink r:id="rId31">
              <w:r w:rsidR="006F62E2">
                <w:rPr>
                  <w:rStyle w:val="Hyperlink"/>
                </w:rPr>
                <w:t>Pamatnostādnes “Inovācijas novērtēšana lauku attīstības 2014.–2020. gada programmās”</w:t>
              </w:r>
            </w:hyperlink>
          </w:p>
          <w:p w:rsidR="00A75E50" w:rsidRPr="00336531" w:rsidRDefault="00A75E50">
            <w:pPr>
              <w:pStyle w:val="HStandard"/>
              <w:jc w:val="left"/>
            </w:pPr>
          </w:p>
        </w:tc>
        <w:tc>
          <w:tcPr>
            <w:tcW w:w="5477" w:type="dxa"/>
          </w:tcPr>
          <w:p w:rsidR="00A75E50" w:rsidRPr="001C6ACF" w:rsidRDefault="00A75E50" w:rsidP="00011E21">
            <w:pPr>
              <w:pStyle w:val="HStandard"/>
            </w:pPr>
            <w:r>
              <w:t xml:space="preserve">Sniegta informācija par LAP ieguldījumu </w:t>
            </w:r>
            <w:r w:rsidR="00F31C18">
              <w:t xml:space="preserve">izvērtēšanu </w:t>
            </w:r>
            <w:r>
              <w:t xml:space="preserve">ES galvenā mērķa izpildē 2020. gadam, </w:t>
            </w:r>
            <w:r w:rsidR="00034FB1">
              <w:t>t. i.,</w:t>
            </w:r>
            <w:r>
              <w:t xml:space="preserve"> ieguldīt 3 % no ES IKP pētniecībā, izstrādē un inovācijā, kā arī par LAP ieguldījumu inovācijā un par atbilžu sniegšanu uz </w:t>
            </w:r>
            <w:r w:rsidR="00034FB1">
              <w:t>KNJ Nr. </w:t>
            </w:r>
            <w:r>
              <w:t>23 un 30</w:t>
            </w:r>
            <w:r w:rsidR="00597AF1">
              <w:t>.</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0D2202" w:rsidP="00E87DD2">
            <w:pPr>
              <w:pStyle w:val="HStandard"/>
              <w:jc w:val="left"/>
            </w:pPr>
            <w:hyperlink r:id="rId32">
              <w:r w:rsidR="006F62E2">
                <w:rPr>
                  <w:rStyle w:val="Hyperlink"/>
                </w:rPr>
                <w:t>Informācija par</w:t>
              </w:r>
              <w:r w:rsidR="00E87DD2">
                <w:rPr>
                  <w:rStyle w:val="Hyperlink"/>
                </w:rPr>
                <w:t xml:space="preserve"> stratēģiju "</w:t>
              </w:r>
              <w:r w:rsidR="006F62E2">
                <w:rPr>
                  <w:rStyle w:val="Hyperlink"/>
                </w:rPr>
                <w:t>Eiropa 2020</w:t>
              </w:r>
              <w:r w:rsidR="00E87DD2">
                <w:rPr>
                  <w:rStyle w:val="Hyperlink"/>
                </w:rPr>
                <w:t>"</w:t>
              </w:r>
            </w:hyperlink>
          </w:p>
        </w:tc>
        <w:tc>
          <w:tcPr>
            <w:tcW w:w="5477" w:type="dxa"/>
          </w:tcPr>
          <w:p w:rsidR="00A75E50" w:rsidRPr="001C6ACF" w:rsidRDefault="000D6687" w:rsidP="00BF1122">
            <w:pPr>
              <w:pStyle w:val="HStandard"/>
            </w:pPr>
            <w:r>
              <w:t xml:space="preserve">Stratēģija "Eiropa 2020" </w:t>
            </w:r>
            <w:r w:rsidR="00A75E50">
              <w:t xml:space="preserve">ir izmantota kā atsauces regulējums darbībām ES, valstu un reģionālā mērogā. ES </w:t>
            </w:r>
            <w:r w:rsidR="005464B4">
              <w:t xml:space="preserve">valstu </w:t>
            </w:r>
            <w:r w:rsidR="00A75E50">
              <w:t xml:space="preserve">valdības ir noteikušas valstu mērķus, </w:t>
            </w:r>
            <w:r w:rsidR="005464B4">
              <w:t xml:space="preserve">kas </w:t>
            </w:r>
            <w:r w:rsidR="00A75E50">
              <w:t xml:space="preserve">palīdz sasniegt vispārējos ES galvenos mērķus, un ziņo par tiem savās ikgadējās valsts reformu programmās. ES statistikas birojs </w:t>
            </w:r>
            <w:r w:rsidR="00A75E50">
              <w:rPr>
                <w:i/>
              </w:rPr>
              <w:t>Eurostat</w:t>
            </w:r>
            <w:r w:rsidR="00A75E50">
              <w:t xml:space="preserve"> regulāri publicē visaptverošus progresa ziņojumus par mērķiem (</w:t>
            </w:r>
            <w:hyperlink r:id="rId33">
              <w:r w:rsidR="00A75E50">
                <w:rPr>
                  <w:rStyle w:val="Hyperlink"/>
                </w:rPr>
                <w:t xml:space="preserve">publikācija </w:t>
              </w:r>
              <w:r w:rsidR="00BF1122">
                <w:rPr>
                  <w:rStyle w:val="Hyperlink"/>
                </w:rPr>
                <w:t>"</w:t>
              </w:r>
              <w:r w:rsidR="00A75E50">
                <w:rPr>
                  <w:rStyle w:val="Hyperlink"/>
                </w:rPr>
                <w:t xml:space="preserve">Gudrāk, zaļāk, iekļaujošāk? Rādītāji, ar kuriem atbalsta </w:t>
              </w:r>
              <w:r w:rsidR="00E87DD2">
                <w:rPr>
                  <w:rStyle w:val="Hyperlink"/>
                </w:rPr>
                <w:t>stratēģiju "</w:t>
              </w:r>
              <w:r w:rsidR="00A75E50">
                <w:rPr>
                  <w:rStyle w:val="Hyperlink"/>
                </w:rPr>
                <w:t xml:space="preserve">Eiropa </w:t>
              </w:r>
              <w:r w:rsidR="00A75E50">
                <w:rPr>
                  <w:rStyle w:val="Hyperlink"/>
                </w:rPr>
                <w:lastRenderedPageBreak/>
                <w:t>2020</w:t>
              </w:r>
            </w:hyperlink>
            <w:r w:rsidR="00E87DD2">
              <w:rPr>
                <w:rStyle w:val="Hyperlink"/>
              </w:rPr>
              <w:t>"</w:t>
            </w:r>
            <w:r w:rsidR="00A75E50">
              <w:t>)</w:t>
            </w:r>
            <w:r w:rsidR="00A75E50">
              <w:rPr>
                <w:color w:val="333333"/>
              </w:rPr>
              <w:t xml:space="preserve">, </w:t>
            </w:r>
            <w:r w:rsidR="005464B4">
              <w:rPr>
                <w:color w:val="333333"/>
              </w:rPr>
              <w:t>kas uzrauga</w:t>
            </w:r>
            <w:r w:rsidR="00A75E50">
              <w:rPr>
                <w:color w:val="333333"/>
              </w:rPr>
              <w:t xml:space="preserve"> virzību ceļā uz ES mērķ</w:t>
            </w:r>
            <w:r w:rsidR="005464B4">
              <w:rPr>
                <w:color w:val="333333"/>
              </w:rPr>
              <w:t>iem</w:t>
            </w:r>
            <w:r w:rsidR="00A75E50">
              <w:rPr>
                <w:color w:val="333333"/>
              </w:rPr>
              <w:t xml:space="preserve"> un uzdevum</w:t>
            </w:r>
            <w:r w:rsidR="005464B4">
              <w:rPr>
                <w:color w:val="333333"/>
              </w:rPr>
              <w:t>iem</w:t>
            </w:r>
            <w:r w:rsidR="00A75E50">
              <w:rPr>
                <w:color w:val="333333"/>
              </w:rPr>
              <w:t xml:space="preserve">, </w:t>
            </w:r>
            <w:r w:rsidR="005464B4">
              <w:rPr>
                <w:color w:val="333333"/>
              </w:rPr>
              <w:t xml:space="preserve">kuri </w:t>
            </w:r>
            <w:r w:rsidR="00A75E50">
              <w:rPr>
                <w:color w:val="333333"/>
              </w:rPr>
              <w:t>noteikti trijās savstarpēji papildinošās prioritātēs </w:t>
            </w:r>
            <w:r w:rsidR="005464B4">
              <w:rPr>
                <w:color w:val="333333"/>
              </w:rPr>
              <w:t>attiecībā uz</w:t>
            </w:r>
            <w:r w:rsidR="00A75E50">
              <w:rPr>
                <w:color w:val="333333"/>
              </w:rPr>
              <w:t xml:space="preserve"> gudr</w:t>
            </w:r>
            <w:r w:rsidR="005464B4">
              <w:rPr>
                <w:color w:val="333333"/>
              </w:rPr>
              <w:t>u</w:t>
            </w:r>
            <w:r w:rsidR="00A75E50">
              <w:rPr>
                <w:color w:val="333333"/>
              </w:rPr>
              <w:t>, ilgtspējīg</w:t>
            </w:r>
            <w:r w:rsidR="005464B4">
              <w:rPr>
                <w:color w:val="333333"/>
              </w:rPr>
              <w:t>u</w:t>
            </w:r>
            <w:r w:rsidR="00A75E50">
              <w:rPr>
                <w:color w:val="333333"/>
              </w:rPr>
              <w:t xml:space="preserve"> un iekļaujoš</w:t>
            </w:r>
            <w:r w:rsidR="005464B4">
              <w:rPr>
                <w:color w:val="333333"/>
              </w:rPr>
              <w:t>u</w:t>
            </w:r>
            <w:r w:rsidR="00A75E50">
              <w:rPr>
                <w:color w:val="333333"/>
              </w:rPr>
              <w:t xml:space="preserve"> izaugsm</w:t>
            </w:r>
            <w:r w:rsidR="005464B4">
              <w:rPr>
                <w:color w:val="333333"/>
              </w:rPr>
              <w:t>i</w:t>
            </w:r>
            <w:r w:rsidR="00A75E50">
              <w:rPr>
                <w:color w:val="333333"/>
              </w:rPr>
              <w:t>, un parād</w:t>
            </w:r>
            <w:r w:rsidR="005464B4">
              <w:rPr>
                <w:color w:val="333333"/>
              </w:rPr>
              <w:t>a</w:t>
            </w:r>
            <w:r w:rsidR="00A75E50">
              <w:rPr>
                <w:color w:val="333333"/>
              </w:rPr>
              <w:t xml:space="preserve"> situācij</w:t>
            </w:r>
            <w:r w:rsidR="005464B4">
              <w:rPr>
                <w:color w:val="333333"/>
              </w:rPr>
              <w:t>u</w:t>
            </w:r>
            <w:r w:rsidR="00A75E50">
              <w:rPr>
                <w:color w:val="333333"/>
              </w:rPr>
              <w:t xml:space="preserve"> dalībvalstīs</w:t>
            </w:r>
            <w:r w:rsidR="00A75E50">
              <w:t>.</w:t>
            </w:r>
          </w:p>
        </w:tc>
      </w:tr>
      <w:tr w:rsidR="00A75E50" w:rsidRPr="001C6ACF" w:rsidTr="00A746BC">
        <w:tc>
          <w:tcPr>
            <w:tcW w:w="1129" w:type="dxa"/>
            <w:vMerge w:val="restart"/>
          </w:tcPr>
          <w:p w:rsidR="00A75E50" w:rsidRPr="001C6ACF" w:rsidRDefault="00034FB1" w:rsidP="00011E21">
            <w:pPr>
              <w:pStyle w:val="HStandard"/>
              <w:jc w:val="center"/>
            </w:pPr>
            <w:r>
              <w:lastRenderedPageBreak/>
              <w:t>Nr. </w:t>
            </w:r>
            <w:r w:rsidR="00A75E50">
              <w:t>22, 23, 24, 25, 30</w:t>
            </w:r>
          </w:p>
        </w:tc>
        <w:tc>
          <w:tcPr>
            <w:tcW w:w="2410" w:type="dxa"/>
          </w:tcPr>
          <w:p w:rsidR="00A75E50" w:rsidRPr="00571D58" w:rsidRDefault="000D2202" w:rsidP="00E87DD2">
            <w:pPr>
              <w:pStyle w:val="HStandard"/>
              <w:jc w:val="left"/>
              <w:rPr>
                <w:rFonts w:cs="Arial"/>
                <w:color w:val="F07E31" w:themeColor="accent1"/>
              </w:rPr>
            </w:pPr>
            <w:hyperlink r:id="rId34">
              <w:r w:rsidR="006F62E2">
                <w:rPr>
                  <w:rStyle w:val="Hyperlink"/>
                </w:rPr>
                <w:t xml:space="preserve">Informācija par </w:t>
              </w:r>
              <w:r w:rsidR="00E87DD2">
                <w:rPr>
                  <w:rStyle w:val="Hyperlink"/>
                </w:rPr>
                <w:t>stratēģijas "</w:t>
              </w:r>
              <w:r w:rsidR="006F62E2">
                <w:rPr>
                  <w:rStyle w:val="Hyperlink"/>
                </w:rPr>
                <w:t>Eiropa 2020</w:t>
              </w:r>
              <w:r w:rsidR="00E87DD2">
                <w:rPr>
                  <w:rStyle w:val="Hyperlink"/>
                </w:rPr>
                <w:t>"</w:t>
              </w:r>
              <w:r w:rsidR="006F62E2">
                <w:rPr>
                  <w:rStyle w:val="Hyperlink"/>
                </w:rPr>
                <w:t xml:space="preserve"> mērķiem sadalījumā pa dalībvalstīm</w:t>
              </w:r>
            </w:hyperlink>
          </w:p>
        </w:tc>
        <w:tc>
          <w:tcPr>
            <w:tcW w:w="5477" w:type="dxa"/>
          </w:tcPr>
          <w:p w:rsidR="00A75E50" w:rsidRPr="001C6ACF" w:rsidRDefault="00A75E50" w:rsidP="005464B4">
            <w:pPr>
              <w:pStyle w:val="HStandard"/>
            </w:pPr>
            <w:r>
              <w:rPr>
                <w:i/>
              </w:rPr>
              <w:t>Eurostat</w:t>
            </w:r>
            <w:r>
              <w:t xml:space="preserve"> informāciju par valstu mērķiem sadalījumā pa dalībvalstīm</w:t>
            </w:r>
            <w:r w:rsidR="005464B4">
              <w:t xml:space="preserve"> regulāri atjaunina</w:t>
            </w:r>
            <w:r>
              <w:t xml:space="preserve">, lai izpildītu </w:t>
            </w:r>
            <w:r w:rsidR="000D6687">
              <w:t>stratēģijas "Eiropa 2020"</w:t>
            </w:r>
            <w:r>
              <w:t xml:space="preserve"> galvenos mērķus.</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0D2202" w:rsidP="00AA27BE">
            <w:pPr>
              <w:pStyle w:val="HStandard"/>
              <w:jc w:val="left"/>
              <w:rPr>
                <w:rFonts w:cs="Arial"/>
              </w:rPr>
            </w:pPr>
            <w:hyperlink r:id="rId35">
              <w:r w:rsidR="006F62E2">
                <w:rPr>
                  <w:rStyle w:val="Hyperlink"/>
                </w:rPr>
                <w:t xml:space="preserve">Konteksta rādītāju </w:t>
              </w:r>
              <w:r w:rsidR="00AA27BE">
                <w:rPr>
                  <w:rStyle w:val="Hyperlink"/>
                </w:rPr>
                <w:t>datu lapas</w:t>
              </w:r>
            </w:hyperlink>
            <w:r w:rsidR="006F62E2">
              <w:t xml:space="preserve"> </w:t>
            </w:r>
          </w:p>
        </w:tc>
        <w:tc>
          <w:tcPr>
            <w:tcW w:w="5477" w:type="dxa"/>
          </w:tcPr>
          <w:p w:rsidR="00A75E50" w:rsidRPr="007645B4" w:rsidRDefault="00A75E50" w:rsidP="003F506F">
            <w:pPr>
              <w:pStyle w:val="HStandard"/>
            </w:pPr>
            <w:r>
              <w:t xml:space="preserve">45 KLP </w:t>
            </w:r>
            <w:r w:rsidR="003F506F">
              <w:t xml:space="preserve">kopējie </w:t>
            </w:r>
            <w:r>
              <w:t>konteksta rādītāji (sadalīti trīs grupās — sociālekonomiskie, nozar</w:t>
            </w:r>
            <w:r w:rsidR="005464B4">
              <w:t>u</w:t>
            </w:r>
            <w:r>
              <w:t xml:space="preserve"> un vides) ataino attiecīgos vispārējo ekonomikas, vides un sabiedrības kontekstuālo tendenču aspektus. Tie var ietekmēt KLP īstenošanu, sasniegumus un izpildi. Rādītāju faktu lapās ir izklāstītas definīcijas, metodika un datu avoti.</w:t>
            </w:r>
          </w:p>
        </w:tc>
      </w:tr>
      <w:tr w:rsidR="00A75E50" w:rsidRPr="001C6ACF" w:rsidTr="00A746BC">
        <w:trPr>
          <w:trHeight w:val="1800"/>
        </w:trPr>
        <w:tc>
          <w:tcPr>
            <w:tcW w:w="1129" w:type="dxa"/>
          </w:tcPr>
          <w:p w:rsidR="00A75E50" w:rsidRPr="001C6ACF" w:rsidRDefault="00A75E50" w:rsidP="00A746BC">
            <w:pPr>
              <w:pStyle w:val="HStandard"/>
              <w:jc w:val="center"/>
            </w:pPr>
            <w:r>
              <w:t>Visi KNJ</w:t>
            </w:r>
          </w:p>
        </w:tc>
        <w:tc>
          <w:tcPr>
            <w:tcW w:w="2410" w:type="dxa"/>
          </w:tcPr>
          <w:p w:rsidR="00A75E50" w:rsidRPr="00571D58" w:rsidRDefault="000D2202" w:rsidP="00BF1122">
            <w:pPr>
              <w:pStyle w:val="HStandard"/>
              <w:jc w:val="left"/>
            </w:pPr>
            <w:hyperlink r:id="rId36">
              <w:r w:rsidR="006F62E2">
                <w:rPr>
                  <w:rStyle w:val="Hyperlink"/>
                </w:rPr>
                <w:t>Darba do</w:t>
              </w:r>
              <w:r w:rsidR="00BF1122">
                <w:rPr>
                  <w:rStyle w:val="Hyperlink"/>
                </w:rPr>
                <w:t>kuments "</w:t>
              </w:r>
              <w:r w:rsidR="006F62E2">
                <w:rPr>
                  <w:rStyle w:val="Hyperlink"/>
                </w:rPr>
                <w:t xml:space="preserve">Kopējie </w:t>
              </w:r>
              <w:r w:rsidR="00835596">
                <w:rPr>
                  <w:rStyle w:val="Hyperlink"/>
                </w:rPr>
                <w:t xml:space="preserve">novērtēšanas </w:t>
              </w:r>
              <w:r w:rsidR="006F62E2">
                <w:rPr>
                  <w:rStyle w:val="Hyperlink"/>
                </w:rPr>
                <w:t>jautājumi par 2014.–2020. gada lauku attīstības programmām</w:t>
              </w:r>
              <w:r w:rsidR="00BF1122">
                <w:rPr>
                  <w:rStyle w:val="Hyperlink"/>
                </w:rPr>
                <w:t>"</w:t>
              </w:r>
            </w:hyperlink>
          </w:p>
        </w:tc>
        <w:tc>
          <w:tcPr>
            <w:tcW w:w="5477" w:type="dxa"/>
          </w:tcPr>
          <w:p w:rsidR="00A75E50" w:rsidRPr="00863E73" w:rsidRDefault="00A75E50" w:rsidP="00B23B3A">
            <w:pPr>
              <w:pStyle w:val="HStandard"/>
            </w:pPr>
            <w:r>
              <w:t xml:space="preserve">Paskaidrots kopējo </w:t>
            </w:r>
            <w:r w:rsidR="00835596">
              <w:t xml:space="preserve">novērtēšanas </w:t>
            </w:r>
            <w:r>
              <w:t xml:space="preserve">jautājumu nolūks un lietošana </w:t>
            </w:r>
            <w:r w:rsidR="000D6687" w:rsidRPr="000D6687">
              <w:rPr>
                <w:i/>
              </w:rPr>
              <w:t>CMES</w:t>
            </w:r>
            <w:r>
              <w:t xml:space="preserve">. Izklāstīti dažādi </w:t>
            </w:r>
            <w:r w:rsidR="00835596">
              <w:t xml:space="preserve">novērtēšanas </w:t>
            </w:r>
            <w:r>
              <w:t>jautājumu veidi un uzskaitīti vērtēšanas kritēriji un kop</w:t>
            </w:r>
            <w:r w:rsidR="00B23B3A">
              <w:t>ēj</w:t>
            </w:r>
            <w:r w:rsidR="0001311F">
              <w:t>ie</w:t>
            </w:r>
            <w:r>
              <w:t xml:space="preserve"> un papildu rādītāji </w:t>
            </w:r>
            <w:r w:rsidR="005464B4">
              <w:t>KNJ Nr. </w:t>
            </w:r>
            <w:r>
              <w:t>1–21 vajadzībām.</w:t>
            </w:r>
          </w:p>
        </w:tc>
      </w:tr>
    </w:tbl>
    <w:p w:rsidR="00154C43" w:rsidRPr="001C6ACF" w:rsidRDefault="00154C43"/>
    <w:p w:rsidR="001C2076" w:rsidRPr="001C6ACF" w:rsidRDefault="001C2076" w:rsidP="00E35440">
      <w:pPr>
        <w:pStyle w:val="HHeading2"/>
      </w:pPr>
      <w:r>
        <w:t xml:space="preserve">Sagatavošanās GĪZ 2019. gadā </w:t>
      </w:r>
    </w:p>
    <w:p w:rsidR="009B016B" w:rsidRPr="001C6ACF" w:rsidRDefault="00806A70" w:rsidP="00217482">
      <w:pPr>
        <w:pStyle w:val="HStandard"/>
      </w:pPr>
      <w:r>
        <w:t xml:space="preserve">Gatavojoties LAP sasniegumu un ietekmes </w:t>
      </w:r>
      <w:r w:rsidR="00F31C18">
        <w:t xml:space="preserve">izvērtēšanai </w:t>
      </w:r>
      <w:r>
        <w:t>2019. gadā, dažādas vērtēšanā ieinteresētās personas dalībvalstīs var veikt vairākus soļus</w:t>
      </w:r>
      <w:r>
        <w:rPr>
          <w:rStyle w:val="FootnoteReference"/>
          <w:sz w:val="20"/>
          <w:vertAlign w:val="superscript"/>
        </w:rPr>
        <w:footnoteReference w:id="24"/>
      </w:r>
      <w:r>
        <w:t>, kas palīdzēs nodrošināt, ka novērtēšanas konstatējumi būs kvalitatīvi un noderīgi to politikas veidotājiem.</w:t>
      </w:r>
    </w:p>
    <w:p w:rsidR="00932C3E" w:rsidRPr="001C6ACF" w:rsidRDefault="003146E6" w:rsidP="00217482">
      <w:pPr>
        <w:pStyle w:val="HStandard"/>
      </w:pPr>
      <w:r>
        <w:t xml:space="preserve">2. tabulā ir iekļauta ieteicamā kontrollapa un norādīti vajadzīgie soļi, lai varētu veikt novērtēšanu 2019. gadā. Ir norādīti arī daži sagatavošanās soļi, kas gadījumā, ja vēl nav izpildīti, var tikt veikti pirms novērtēšanas darbību sākuma 2019. gadā. 2. tabulā ir </w:t>
      </w:r>
      <w:r w:rsidR="00E87DD2">
        <w:t xml:space="preserve">norādīti pienākumi, kas attiecas uz </w:t>
      </w:r>
      <w:r>
        <w:t>dažād</w:t>
      </w:r>
      <w:r w:rsidR="00E87DD2">
        <w:t>iem</w:t>
      </w:r>
      <w:r>
        <w:t xml:space="preserve"> dalībniek</w:t>
      </w:r>
      <w:r w:rsidR="00E87DD2">
        <w:t>iem</w:t>
      </w:r>
      <w:r>
        <w:t xml:space="preserve">, kuri var būt iesaistīti novērtēšanas darbībās dalībvalsts līmenī: vadošā iestāde (VI), uzraudzības komiteja (UK), maksājumu aģentūra (MA), vērtēšanas vienība (vērt. v.) (ja tāda ir), novērtējuma vadības grupa (NVG) (ja tāda ir), vērtētāji (vērt.), datu sniedzēji (DS) un citas attiecīgās novērtēšanā iesaistītās ieinteresētās personas (C). </w:t>
      </w:r>
    </w:p>
    <w:p w:rsidR="004773BB" w:rsidRPr="001C6ACF" w:rsidRDefault="00A75E50" w:rsidP="006B44E5">
      <w:pPr>
        <w:pStyle w:val="HHeadingtables"/>
      </w:pPr>
      <w:r>
        <w:br w:type="column"/>
      </w:r>
      <w:r>
        <w:lastRenderedPageBreak/>
        <w:t>Ieteicamo novērtēšanas soļu kontrollapa 2019.gadā</w:t>
      </w:r>
    </w:p>
    <w:tbl>
      <w:tblPr>
        <w:tblStyle w:val="Tabukasmriekou5tmavzvraznenie61"/>
        <w:tblW w:w="9492" w:type="dxa"/>
        <w:jc w:val="center"/>
        <w:tblLayout w:type="fixed"/>
        <w:tblLook w:val="04A0" w:firstRow="1" w:lastRow="0" w:firstColumn="1" w:lastColumn="0" w:noHBand="0" w:noVBand="1"/>
      </w:tblPr>
      <w:tblGrid>
        <w:gridCol w:w="562"/>
        <w:gridCol w:w="3402"/>
        <w:gridCol w:w="1061"/>
        <w:gridCol w:w="622"/>
        <w:gridCol w:w="549"/>
        <w:gridCol w:w="549"/>
        <w:gridCol w:w="550"/>
        <w:gridCol w:w="593"/>
        <w:gridCol w:w="505"/>
        <w:gridCol w:w="549"/>
        <w:gridCol w:w="550"/>
      </w:tblGrid>
      <w:tr w:rsidR="00055507" w:rsidRPr="001C6ACF" w:rsidTr="00055507">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top w:val="single" w:sz="4" w:space="0" w:color="6E8967"/>
              <w:left w:val="single" w:sz="4" w:space="0" w:color="6E8967"/>
              <w:right w:val="single" w:sz="4" w:space="0" w:color="FFFFFF"/>
            </w:tcBorders>
            <w:textDirection w:val="btLr"/>
            <w:vAlign w:val="center"/>
          </w:tcPr>
          <w:p w:rsidR="00055507" w:rsidRPr="001C6ACF" w:rsidRDefault="00055507" w:rsidP="00DF22D0">
            <w:pPr>
              <w:spacing w:line="280" w:lineRule="atLeast"/>
              <w:ind w:left="113" w:right="113"/>
              <w:jc w:val="center"/>
              <w:rPr>
                <w:rFonts w:cs="Arial"/>
                <w:sz w:val="16"/>
                <w:szCs w:val="16"/>
              </w:rPr>
            </w:pPr>
            <w:r>
              <w:rPr>
                <w:sz w:val="16"/>
              </w:rPr>
              <w:t>Posms</w:t>
            </w:r>
          </w:p>
        </w:tc>
        <w:tc>
          <w:tcPr>
            <w:tcW w:w="3402" w:type="dxa"/>
            <w:vMerge w:val="restart"/>
            <w:tcBorders>
              <w:top w:val="single" w:sz="4" w:space="0" w:color="6E8967"/>
              <w:left w:val="single" w:sz="4" w:space="0" w:color="FFFFFF"/>
              <w:right w:val="single" w:sz="4" w:space="0" w:color="FFFFFF"/>
            </w:tcBorders>
            <w:vAlign w:val="center"/>
          </w:tcPr>
          <w:p w:rsidR="00055507" w:rsidRPr="001C6ACF"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Solis</w:t>
            </w:r>
          </w:p>
        </w:tc>
        <w:tc>
          <w:tcPr>
            <w:tcW w:w="1061" w:type="dxa"/>
            <w:vMerge w:val="restart"/>
            <w:tcBorders>
              <w:top w:val="single" w:sz="4" w:space="0" w:color="6E8967"/>
              <w:left w:val="single" w:sz="4" w:space="0" w:color="FFFFFF"/>
              <w:right w:val="single" w:sz="4" w:space="0" w:color="FFFFFF" w:themeColor="background1"/>
            </w:tcBorders>
            <w:vAlign w:val="center"/>
          </w:tcPr>
          <w:p w:rsidR="00055507" w:rsidRPr="001C6ACF"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Provizoriskais laikposms</w:t>
            </w:r>
          </w:p>
        </w:tc>
        <w:tc>
          <w:tcPr>
            <w:tcW w:w="4467" w:type="dxa"/>
            <w:gridSpan w:val="8"/>
            <w:tcBorders>
              <w:top w:val="single" w:sz="4" w:space="0" w:color="6E8967"/>
              <w:left w:val="single" w:sz="4" w:space="0" w:color="FFFFFF" w:themeColor="background1"/>
              <w:right w:val="single" w:sz="4" w:space="0" w:color="6E8967"/>
            </w:tcBorders>
            <w:vAlign w:val="center"/>
          </w:tcPr>
          <w:p w:rsidR="00055507" w:rsidRPr="00571D58"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Atbildīgie (x) un iesaistītie (y)</w:t>
            </w:r>
            <w:r>
              <w:rPr>
                <w:rStyle w:val="FootnoteReference"/>
                <w:color w:val="FFFFFF" w:themeColor="background1"/>
                <w:sz w:val="10"/>
              </w:rPr>
              <w:footnoteReference w:id="25"/>
            </w:r>
          </w:p>
        </w:tc>
      </w:tr>
      <w:tr w:rsidR="00F67434" w:rsidRPr="001C6ACF" w:rsidTr="004C3C30">
        <w:trPr>
          <w:cnfStyle w:val="100000000000" w:firstRow="1" w:lastRow="0" w:firstColumn="0" w:lastColumn="0" w:oddVBand="0" w:evenVBand="0" w:oddHBand="0" w:evenHBand="0" w:firstRowFirstColumn="0" w:firstRowLastColumn="0" w:lastRowFirstColumn="0" w:lastRowLastColumn="0"/>
          <w:trHeight w:val="260"/>
          <w:tblHeader/>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FFFFFF"/>
              <w:left w:val="single" w:sz="4" w:space="0" w:color="6E8967"/>
              <w:right w:val="single" w:sz="4" w:space="0" w:color="FFFFFF"/>
            </w:tcBorders>
            <w:textDirection w:val="btLr"/>
          </w:tcPr>
          <w:p w:rsidR="00055507" w:rsidRPr="001C6ACF" w:rsidRDefault="00055507" w:rsidP="00DF22D0">
            <w:pPr>
              <w:spacing w:line="280" w:lineRule="atLeast"/>
              <w:ind w:left="113" w:right="113"/>
              <w:jc w:val="right"/>
              <w:rPr>
                <w:rFonts w:cs="Arial"/>
                <w:b w:val="0"/>
                <w:sz w:val="16"/>
                <w:szCs w:val="16"/>
              </w:rPr>
            </w:pPr>
          </w:p>
        </w:tc>
        <w:tc>
          <w:tcPr>
            <w:tcW w:w="3402" w:type="dxa"/>
            <w:vMerge/>
            <w:tcBorders>
              <w:top w:val="single" w:sz="4" w:space="0" w:color="FFFFFF"/>
              <w:left w:val="single" w:sz="4" w:space="0" w:color="FFFFFF"/>
              <w:right w:val="single" w:sz="4" w:space="0" w:color="FFFFFF"/>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1061" w:type="dxa"/>
            <w:vMerge/>
            <w:tcBorders>
              <w:top w:val="single" w:sz="4" w:space="0" w:color="FFFFFF"/>
              <w:left w:val="single" w:sz="4" w:space="0" w:color="FFFFFF"/>
              <w:right w:val="single" w:sz="4" w:space="0" w:color="FFFFFF" w:themeColor="background1"/>
            </w:tcBorders>
          </w:tcPr>
          <w:p w:rsidR="00055507" w:rsidRPr="001C6ACF" w:rsidRDefault="00055507" w:rsidP="00DA3493">
            <w:pPr>
              <w:spacing w:line="280" w:lineRule="atLeast"/>
              <w:jc w:val="left"/>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622"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VI</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MA</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DS</w:t>
            </w:r>
          </w:p>
        </w:tc>
        <w:tc>
          <w:tcPr>
            <w:tcW w:w="550"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5464B4" w:rsidP="005464B4">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V</w:t>
            </w:r>
            <w:r w:rsidR="00055507">
              <w:rPr>
                <w:sz w:val="16"/>
              </w:rPr>
              <w:t>ērt. v.</w:t>
            </w:r>
          </w:p>
        </w:tc>
        <w:tc>
          <w:tcPr>
            <w:tcW w:w="593"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NVG</w:t>
            </w:r>
          </w:p>
        </w:tc>
        <w:tc>
          <w:tcPr>
            <w:tcW w:w="505"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5464B4" w:rsidP="005464B4">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V</w:t>
            </w:r>
            <w:r w:rsidR="00055507">
              <w:rPr>
                <w:sz w:val="16"/>
              </w:rPr>
              <w:t>ērt.</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UK</w:t>
            </w:r>
          </w:p>
        </w:tc>
        <w:tc>
          <w:tcPr>
            <w:tcW w:w="550" w:type="dxa"/>
            <w:tcBorders>
              <w:top w:val="single" w:sz="4" w:space="0" w:color="FFFFFF"/>
              <w:left w:val="single" w:sz="4" w:space="0" w:color="FFFFFF" w:themeColor="background1"/>
              <w:bottom w:val="single" w:sz="4" w:space="0" w:color="FFFFFF"/>
              <w:right w:val="single" w:sz="4" w:space="0" w:color="6E8967"/>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C</w:t>
            </w:r>
          </w:p>
        </w:tc>
      </w:tr>
      <w:tr w:rsidR="00810ED5" w:rsidRPr="001C6ACF" w:rsidTr="004C3C30">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Plānošana</w:t>
            </w:r>
          </w:p>
        </w:tc>
        <w:tc>
          <w:tcPr>
            <w:tcW w:w="3402" w:type="dxa"/>
          </w:tcPr>
          <w:p w:rsidR="00055507" w:rsidRPr="001C6ACF" w:rsidRDefault="00055507" w:rsidP="00B23B3A">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Atjaunināt kop</w:t>
            </w:r>
            <w:r w:rsidR="00B23B3A">
              <w:rPr>
                <w:color w:val="373737"/>
                <w:sz w:val="16"/>
              </w:rPr>
              <w:t>ēj</w:t>
            </w:r>
            <w:r w:rsidR="0001311F">
              <w:rPr>
                <w:color w:val="373737"/>
                <w:sz w:val="16"/>
              </w:rPr>
              <w:t>o</w:t>
            </w:r>
            <w:r>
              <w:rPr>
                <w:color w:val="373737"/>
                <w:sz w:val="16"/>
              </w:rPr>
              <w:t xml:space="preserve"> konteksta rādītāju sākuma vērtības (LAP).</w:t>
            </w:r>
          </w:p>
        </w:tc>
        <w:tc>
          <w:tcPr>
            <w:tcW w:w="1061" w:type="dxa"/>
          </w:tcPr>
          <w:p w:rsidR="00055507" w:rsidRPr="001C6ACF"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Tiklīdz ir pieejami dati</w:t>
            </w:r>
          </w:p>
        </w:tc>
        <w:tc>
          <w:tcPr>
            <w:tcW w:w="622" w:type="dxa"/>
            <w:tcBorders>
              <w:top w:val="single" w:sz="4" w:space="0" w:color="FFFFFF"/>
              <w:right w:val="single" w:sz="4" w:space="0" w:color="FFFFFF"/>
            </w:tcBorders>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Borders>
              <w:top w:val="single" w:sz="4" w:space="0" w:color="FFFFFF"/>
              <w:left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top w:val="single" w:sz="4" w:space="0" w:color="FFFFFF"/>
            </w:tcBorders>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top w:val="single" w:sz="4" w:space="0" w:color="FFFFFF"/>
              <w:right w:val="single" w:sz="4" w:space="0" w:color="6E8967"/>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trHeight w:val="59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3F50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Plānot novērtēšanas darbības, tematus, pētījumus, datu vākšanas kārtību saistībā ar kop</w:t>
            </w:r>
            <w:r w:rsidR="00B23B3A">
              <w:rPr>
                <w:color w:val="373737"/>
                <w:sz w:val="16"/>
              </w:rPr>
              <w:t>ēj</w:t>
            </w:r>
            <w:r w:rsidR="0001311F">
              <w:rPr>
                <w:color w:val="373737"/>
                <w:sz w:val="16"/>
              </w:rPr>
              <w:t>iem</w:t>
            </w:r>
            <w:r>
              <w:rPr>
                <w:color w:val="373737"/>
                <w:sz w:val="16"/>
              </w:rPr>
              <w:t xml:space="preserve"> ietekmes rādītājiem LAP novērtēšanas plānā. </w:t>
            </w:r>
          </w:p>
        </w:tc>
        <w:tc>
          <w:tcPr>
            <w:tcW w:w="1061" w:type="dxa"/>
          </w:tcPr>
          <w:p w:rsidR="00055507" w:rsidRPr="001C6ACF"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No 2013. g. </w:t>
            </w:r>
          </w:p>
        </w:tc>
        <w:tc>
          <w:tcPr>
            <w:tcW w:w="622" w:type="dxa"/>
            <w:tcBorders>
              <w:right w:val="single" w:sz="4" w:space="0" w:color="FFFFFF"/>
            </w:tcBorders>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tcBorders>
              <w:left w:val="single" w:sz="4" w:space="0" w:color="FFFFFF"/>
            </w:tcBorders>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2A0D72" w:rsidP="005464B4">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Izstrādāt/atjaunināt iekšējo novērtēšanas plānu (dokumentu), sīkāk precizē</w:t>
            </w:r>
            <w:r w:rsidR="005464B4">
              <w:rPr>
                <w:color w:val="373737"/>
                <w:sz w:val="16"/>
              </w:rPr>
              <w:t>jot</w:t>
            </w:r>
            <w:r>
              <w:rPr>
                <w:color w:val="373737"/>
                <w:sz w:val="16"/>
              </w:rPr>
              <w:t xml:space="preserve"> novērtēšanas tematus un darbības (</w:t>
            </w:r>
            <w:r w:rsidR="000D6687">
              <w:rPr>
                <w:color w:val="373737"/>
                <w:sz w:val="16"/>
              </w:rPr>
              <w:t xml:space="preserve">t. sk. </w:t>
            </w:r>
            <w:r>
              <w:rPr>
                <w:color w:val="373737"/>
                <w:sz w:val="16"/>
              </w:rPr>
              <w:t xml:space="preserve">datu vākšanas kārtību ietekmes rādītāju neto ietekmes noteikšanai, citu pierādījumu vākšanai un atbilstošu pētījumu vajadzībām). </w:t>
            </w:r>
          </w:p>
        </w:tc>
        <w:tc>
          <w:tcPr>
            <w:tcW w:w="1061" w:type="dxa"/>
          </w:tcPr>
          <w:p w:rsidR="00055507" w:rsidRPr="001C6ACF"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No 2013. g.</w:t>
            </w:r>
          </w:p>
        </w:tc>
        <w:tc>
          <w:tcPr>
            <w:tcW w:w="622" w:type="dxa"/>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trHeight w:val="79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Sagatavošanās</w:t>
            </w:r>
          </w:p>
        </w:tc>
        <w:tc>
          <w:tcPr>
            <w:tcW w:w="3402" w:type="dxa"/>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Izveidot brīvprātīgu novērtējuma vadības grupu, kas vadīs novērtēšanas procesu (regulāras sanāksmes).</w:t>
            </w:r>
          </w:p>
        </w:tc>
        <w:tc>
          <w:tcPr>
            <w:tcW w:w="1061" w:type="dxa"/>
          </w:tcPr>
          <w:p w:rsidR="00055507" w:rsidRPr="001C6ACF"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Plān. perioda sākumā </w:t>
            </w:r>
          </w:p>
        </w:tc>
        <w:tc>
          <w:tcPr>
            <w:tcW w:w="622"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05"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95480A">
        <w:trPr>
          <w:cnfStyle w:val="000000100000" w:firstRow="0" w:lastRow="0" w:firstColumn="0" w:lastColumn="0" w:oddVBand="0" w:evenVBand="0" w:oddHBand="1" w:evenHBand="0"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Pārskatīt programmas intervences loģiku (mērķus, LA prioritātes un prioritārās jomas, pasākumus). </w:t>
            </w:r>
          </w:p>
        </w:tc>
        <w:tc>
          <w:tcPr>
            <w:tcW w:w="1061" w:type="dxa"/>
          </w:tcPr>
          <w:p w:rsidR="00055507" w:rsidRPr="001C6ACF"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Plān. perioda sākumā un pirms katras novērtēšanas</w:t>
            </w:r>
          </w:p>
        </w:tc>
        <w:tc>
          <w:tcPr>
            <w:tcW w:w="622" w:type="dxa"/>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tcPr>
          <w:p w:rsidR="00055507" w:rsidRPr="001C6ACF" w:rsidRDefault="0095480A"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95480A">
        <w:trPr>
          <w:trHeight w:val="502"/>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B23B3A">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Veidot kopīgu izpratni par kopējiem novērtē</w:t>
            </w:r>
            <w:r w:rsidR="00835596">
              <w:rPr>
                <w:color w:val="373737"/>
                <w:sz w:val="16"/>
              </w:rPr>
              <w:t>šanas</w:t>
            </w:r>
            <w:r>
              <w:rPr>
                <w:color w:val="373737"/>
                <w:sz w:val="16"/>
              </w:rPr>
              <w:t xml:space="preserve"> jautājumiem, izstrādāt vērtēšanas kritērijus un sasaistīt tos ar kop</w:t>
            </w:r>
            <w:r w:rsidR="00B23B3A">
              <w:rPr>
                <w:color w:val="373737"/>
                <w:sz w:val="16"/>
              </w:rPr>
              <w:t>ē</w:t>
            </w:r>
            <w:r>
              <w:rPr>
                <w:color w:val="373737"/>
                <w:sz w:val="16"/>
              </w:rPr>
              <w:t xml:space="preserve">jiem (un papildu) rādītājiem. Nodrošināt konsekvenci, sasaistot novērtēšanas elementus ar LAP intervences loģiku. </w:t>
            </w:r>
          </w:p>
        </w:tc>
        <w:tc>
          <w:tcPr>
            <w:tcW w:w="1061" w:type="dxa"/>
          </w:tcPr>
          <w:p w:rsidR="00055507" w:rsidRPr="001C6ACF"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Plān. perioda sākumā un pirms katras novērtēšanas</w:t>
            </w:r>
          </w:p>
        </w:tc>
        <w:tc>
          <w:tcPr>
            <w:tcW w:w="622"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D0DDCC" w:themeFill="accent6" w:themeFillTint="66"/>
          </w:tcPr>
          <w:p w:rsidR="00055507" w:rsidRPr="001C6ACF" w:rsidRDefault="0095480A"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95480A">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835596">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Vajadzības gadījumā izstrādāt programmai </w:t>
            </w:r>
            <w:r w:rsidR="0001311F">
              <w:rPr>
                <w:color w:val="373737"/>
                <w:sz w:val="16"/>
              </w:rPr>
              <w:t xml:space="preserve">specifiskus </w:t>
            </w:r>
            <w:r>
              <w:rPr>
                <w:color w:val="373737"/>
                <w:sz w:val="16"/>
              </w:rPr>
              <w:t>novērtē</w:t>
            </w:r>
            <w:r w:rsidR="00835596">
              <w:rPr>
                <w:color w:val="373737"/>
                <w:sz w:val="16"/>
              </w:rPr>
              <w:t>šanas</w:t>
            </w:r>
            <w:r>
              <w:rPr>
                <w:color w:val="373737"/>
                <w:sz w:val="16"/>
              </w:rPr>
              <w:t xml:space="preserve"> jautājumus. Pievienot tiem vērtēšanas kritērijus un programmai </w:t>
            </w:r>
            <w:r w:rsidR="0001311F">
              <w:rPr>
                <w:color w:val="373737"/>
                <w:sz w:val="16"/>
              </w:rPr>
              <w:t xml:space="preserve">specifiskus </w:t>
            </w:r>
            <w:r>
              <w:rPr>
                <w:color w:val="373737"/>
                <w:sz w:val="16"/>
              </w:rPr>
              <w:t>rādītājus. Nodrošināt konsekvenci, sasaistot novērtēšanas elementus ar LAP intervences loģiku.</w:t>
            </w:r>
          </w:p>
        </w:tc>
        <w:tc>
          <w:tcPr>
            <w:tcW w:w="106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Plān. perioda sākumā un pirms katras novērtēšanas</w:t>
            </w:r>
          </w:p>
        </w:tc>
        <w:tc>
          <w:tcPr>
            <w:tcW w:w="622"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tcPr>
          <w:p w:rsidR="00055507" w:rsidRPr="001C6ACF" w:rsidRDefault="0095480A"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F67434" w:rsidRPr="001C6ACF" w:rsidTr="0095480A">
        <w:trPr>
          <w:trHeight w:val="1050"/>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FFFFFF"/>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Borders>
              <w:top w:val="single" w:sz="4" w:space="0" w:color="FFFFFF"/>
            </w:tcBorders>
          </w:tcPr>
          <w:p w:rsidR="00055507" w:rsidRPr="001C6ACF" w:rsidRDefault="00055507" w:rsidP="00B23B3A">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Pārbaudīt pašreizējos datus kop</w:t>
            </w:r>
            <w:r w:rsidR="00B23B3A">
              <w:rPr>
                <w:color w:val="373737"/>
                <w:sz w:val="16"/>
              </w:rPr>
              <w:t>ēj</w:t>
            </w:r>
            <w:r w:rsidR="0001311F">
              <w:rPr>
                <w:color w:val="373737"/>
                <w:sz w:val="16"/>
              </w:rPr>
              <w:t>o</w:t>
            </w:r>
            <w:r>
              <w:rPr>
                <w:color w:val="373737"/>
                <w:sz w:val="16"/>
              </w:rPr>
              <w:t xml:space="preserve"> (un papildu) rādītāju aprēķināšanai nolūkā savākt vajadzīgos pierādījumus, lai varētu atbildēt uz KNJ, kas saistīti ar stratēģiju </w:t>
            </w:r>
            <w:r w:rsidR="00E87DD2">
              <w:rPr>
                <w:color w:val="373737"/>
                <w:sz w:val="16"/>
              </w:rPr>
              <w:t xml:space="preserve">"Eiropa </w:t>
            </w:r>
            <w:r>
              <w:rPr>
                <w:color w:val="373737"/>
                <w:sz w:val="16"/>
              </w:rPr>
              <w:t>2020</w:t>
            </w:r>
            <w:r w:rsidR="00E87DD2">
              <w:rPr>
                <w:color w:val="373737"/>
                <w:sz w:val="16"/>
              </w:rPr>
              <w:t>"</w:t>
            </w:r>
            <w:r>
              <w:rPr>
                <w:color w:val="373737"/>
                <w:sz w:val="16"/>
              </w:rPr>
              <w:t xml:space="preserve">. Noteikt, kādi dati varētu trūkt saistībā ar atlasītajiem rādītājiem. </w:t>
            </w:r>
          </w:p>
        </w:tc>
        <w:tc>
          <w:tcPr>
            <w:tcW w:w="1061" w:type="dxa"/>
            <w:tcBorders>
              <w:top w:val="single" w:sz="4" w:space="0" w:color="FFFFFF"/>
            </w:tcBorders>
          </w:tcPr>
          <w:p w:rsidR="00055507" w:rsidRPr="001C6ACF"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Plān. perioda sākumā un pirms novērtēšanas</w:t>
            </w:r>
          </w:p>
        </w:tc>
        <w:tc>
          <w:tcPr>
            <w:tcW w:w="622" w:type="dxa"/>
            <w:tcBorders>
              <w:top w:val="single" w:sz="4" w:space="0" w:color="FFFFFF"/>
            </w:tcBorders>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tcBorders>
              <w:top w:val="single" w:sz="4" w:space="0" w:color="FFFFFF"/>
            </w:tcBorders>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tcBorders>
              <w:top w:val="single" w:sz="4" w:space="0" w:color="FFFFFF"/>
            </w:tcBorders>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tcBorders>
              <w:top w:val="single" w:sz="4" w:space="0" w:color="FFFFFF"/>
            </w:tcBorders>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tcBorders>
              <w:top w:val="single" w:sz="4" w:space="0" w:color="FFFFFF"/>
            </w:tcBorders>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05" w:type="dxa"/>
            <w:tcBorders>
              <w:top w:val="single" w:sz="4" w:space="0" w:color="FFFFFF"/>
            </w:tcBorders>
            <w:shd w:val="clear" w:color="auto" w:fill="D0DDCC" w:themeFill="accent6" w:themeFillTint="66"/>
          </w:tcPr>
          <w:p w:rsidR="00055507" w:rsidRPr="001C6ACF" w:rsidRDefault="0095480A"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tcBorders>
              <w:top w:val="single" w:sz="4" w:space="0" w:color="FFFFFF"/>
            </w:tcBorders>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top w:val="single" w:sz="4" w:space="0" w:color="FFFFFF"/>
              <w:right w:val="single" w:sz="4" w:space="0" w:color="6E8967"/>
            </w:tcBorders>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95480A">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F31C18">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Apspriest iespējamās novērtēšanas pieejas, lai </w:t>
            </w:r>
            <w:r w:rsidR="00F31C18">
              <w:rPr>
                <w:color w:val="373737"/>
                <w:sz w:val="16"/>
              </w:rPr>
              <w:t>iz</w:t>
            </w:r>
            <w:r>
              <w:rPr>
                <w:color w:val="373737"/>
                <w:sz w:val="16"/>
              </w:rPr>
              <w:t xml:space="preserve">vērtētu/noteiktu ietekmes rādītāju neto </w:t>
            </w:r>
            <w:r>
              <w:rPr>
                <w:color w:val="373737"/>
                <w:sz w:val="16"/>
              </w:rPr>
              <w:lastRenderedPageBreak/>
              <w:t xml:space="preserve">ietekmi atbilstīgi pašreizējiem datiem. </w:t>
            </w:r>
          </w:p>
        </w:tc>
        <w:tc>
          <w:tcPr>
            <w:tcW w:w="106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lastRenderedPageBreak/>
              <w:t xml:space="preserve">Plān. perioda </w:t>
            </w:r>
            <w:r>
              <w:rPr>
                <w:color w:val="373737"/>
                <w:sz w:val="16"/>
              </w:rPr>
              <w:lastRenderedPageBreak/>
              <w:t>sākumā un pirms novērtēšanas</w:t>
            </w:r>
          </w:p>
        </w:tc>
        <w:tc>
          <w:tcPr>
            <w:tcW w:w="622"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lastRenderedPageBreak/>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05" w:type="dxa"/>
          </w:tcPr>
          <w:p w:rsidR="00055507" w:rsidRPr="001C6ACF" w:rsidRDefault="0095480A"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trHeight w:val="24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E65FEE">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Sagatavot darba uzdevumu un konkursu par novērtēšanu (ar līgumu par pastāvīgu novērtējuma veikšanu vai līgumiem par vienreizēju novērtēšanu 2017. un 2019. gadā). </w:t>
            </w:r>
          </w:p>
        </w:tc>
        <w:tc>
          <w:tcPr>
            <w:tcW w:w="1061" w:type="dxa"/>
          </w:tcPr>
          <w:p w:rsidR="00055507" w:rsidRPr="001C6ACF"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Plān. perioda sākumā vai 2016. un 2018. gadā</w:t>
            </w:r>
          </w:p>
        </w:tc>
        <w:tc>
          <w:tcPr>
            <w:tcW w:w="622"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F67434"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Strukturēšana</w:t>
            </w:r>
          </w:p>
        </w:tc>
        <w:tc>
          <w:tcPr>
            <w:tcW w:w="3402" w:type="dxa"/>
          </w:tcPr>
          <w:p w:rsidR="00055507" w:rsidRPr="001C6ACF" w:rsidRDefault="00055507" w:rsidP="00E27C06">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Apspriest ar vērtētājiem pašreizējos datu avotus un datu trūkumu. Vienoties par to, kā novērst datu trūkumu. </w:t>
            </w:r>
          </w:p>
        </w:tc>
        <w:tc>
          <w:tcPr>
            <w:tcW w:w="106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2016. g. un 2018. g. 2. un 3. cet.</w:t>
            </w:r>
          </w:p>
        </w:tc>
        <w:tc>
          <w:tcPr>
            <w:tcW w:w="622"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5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B23B3A">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Apspriest ar vērtētājiem LAP ietekmes </w:t>
            </w:r>
            <w:r w:rsidR="00F31C18">
              <w:rPr>
                <w:color w:val="373737"/>
                <w:sz w:val="16"/>
              </w:rPr>
              <w:t>iz</w:t>
            </w:r>
            <w:r>
              <w:rPr>
                <w:color w:val="373737"/>
                <w:sz w:val="16"/>
              </w:rPr>
              <w:t>vērtēšanas un kop</w:t>
            </w:r>
            <w:r w:rsidR="00B23B3A">
              <w:rPr>
                <w:color w:val="373737"/>
                <w:sz w:val="16"/>
              </w:rPr>
              <w:t>ēj</w:t>
            </w:r>
            <w:r w:rsidR="0001311F">
              <w:rPr>
                <w:color w:val="373737"/>
                <w:sz w:val="16"/>
              </w:rPr>
              <w:t>o</w:t>
            </w:r>
            <w:r>
              <w:rPr>
                <w:color w:val="373737"/>
                <w:sz w:val="16"/>
              </w:rPr>
              <w:t xml:space="preserve"> (un papildu) ietekmes rādītāju neto ietekmes noteikšanas </w:t>
            </w:r>
            <w:r w:rsidR="006A3DCB">
              <w:rPr>
                <w:color w:val="373737"/>
                <w:sz w:val="16"/>
              </w:rPr>
              <w:t xml:space="preserve">metodiskās </w:t>
            </w:r>
            <w:r>
              <w:rPr>
                <w:color w:val="373737"/>
                <w:sz w:val="16"/>
              </w:rPr>
              <w:t xml:space="preserve">pieejas. </w:t>
            </w:r>
          </w:p>
        </w:tc>
        <w:tc>
          <w:tcPr>
            <w:tcW w:w="1061" w:type="dxa"/>
          </w:tcPr>
          <w:p w:rsidR="00055507" w:rsidRPr="001C6ACF"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2016. g. un 2018. g. 2. un 3. cet.</w:t>
            </w:r>
          </w:p>
        </w:tc>
        <w:tc>
          <w:tcPr>
            <w:tcW w:w="622"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Novērošana</w:t>
            </w:r>
          </w:p>
        </w:tc>
        <w:tc>
          <w:tcPr>
            <w:tcW w:w="3402" w:type="dxa"/>
          </w:tcPr>
          <w:p w:rsidR="00055507" w:rsidRPr="001C6ACF" w:rsidRDefault="00055507" w:rsidP="00B23B3A">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Savākt datus un informāciju par </w:t>
            </w:r>
            <w:r w:rsidR="00A4550A">
              <w:rPr>
                <w:color w:val="373737"/>
                <w:sz w:val="16"/>
              </w:rPr>
              <w:t>saņēmējiem</w:t>
            </w:r>
            <w:r>
              <w:rPr>
                <w:color w:val="373737"/>
                <w:sz w:val="16"/>
              </w:rPr>
              <w:t xml:space="preserve"> saistībā ar kop</w:t>
            </w:r>
            <w:r w:rsidR="00B23B3A">
              <w:rPr>
                <w:color w:val="373737"/>
                <w:sz w:val="16"/>
              </w:rPr>
              <w:t>ēj</w:t>
            </w:r>
            <w:r w:rsidR="0001311F">
              <w:rPr>
                <w:color w:val="373737"/>
                <w:sz w:val="16"/>
              </w:rPr>
              <w:t>iem</w:t>
            </w:r>
            <w:r>
              <w:rPr>
                <w:color w:val="373737"/>
                <w:sz w:val="16"/>
              </w:rPr>
              <w:t xml:space="preserve"> (un papildu) ietekmes rādītājiem un atbilstīgi rosinātajām metodēm. </w:t>
            </w:r>
          </w:p>
        </w:tc>
        <w:tc>
          <w:tcPr>
            <w:tcW w:w="106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No LAP sākuma līdz 2018. gada beigām</w:t>
            </w:r>
          </w:p>
        </w:tc>
        <w:tc>
          <w:tcPr>
            <w:tcW w:w="622"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50"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B23B3A">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Savākt datus un informāciju par </w:t>
            </w:r>
            <w:r w:rsidR="00A4550A">
              <w:rPr>
                <w:color w:val="373737"/>
                <w:sz w:val="16"/>
              </w:rPr>
              <w:t>subjektiem, kas nav saņēmēji</w:t>
            </w:r>
            <w:r>
              <w:rPr>
                <w:color w:val="373737"/>
                <w:sz w:val="16"/>
              </w:rPr>
              <w:t>, saistībā ar kop</w:t>
            </w:r>
            <w:r w:rsidR="00B23B3A">
              <w:rPr>
                <w:color w:val="373737"/>
                <w:sz w:val="16"/>
              </w:rPr>
              <w:t>ēj</w:t>
            </w:r>
            <w:r w:rsidR="00F33D08">
              <w:rPr>
                <w:color w:val="373737"/>
                <w:sz w:val="16"/>
              </w:rPr>
              <w:t>iem</w:t>
            </w:r>
            <w:r>
              <w:rPr>
                <w:color w:val="373737"/>
                <w:sz w:val="16"/>
              </w:rPr>
              <w:t xml:space="preserve"> (un papildu) ietekmes rādītājiem un atbilstīgi ierosinātajām metodēm. </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No LAP sākuma līdz 2018. gada beigām</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595DD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Nodrošināt no operatīvajām datubāzēm un citiem avotiem (piemēram, </w:t>
            </w:r>
            <w:r w:rsidR="00595DD1" w:rsidRPr="00CF4FF3">
              <w:rPr>
                <w:i/>
                <w:iCs/>
                <w:color w:val="373737"/>
                <w:sz w:val="16"/>
              </w:rPr>
              <w:t>FADN</w:t>
            </w:r>
            <w:r>
              <w:rPr>
                <w:color w:val="373737"/>
                <w:sz w:val="16"/>
              </w:rPr>
              <w:t xml:space="preserve">, statistikas biroja, vides uzraudzības u. c.) savākto datu kvalitāti. </w:t>
            </w:r>
          </w:p>
        </w:tc>
        <w:tc>
          <w:tcPr>
            <w:tcW w:w="1061" w:type="dxa"/>
          </w:tcPr>
          <w:p w:rsidR="00055507" w:rsidRPr="001C6ACF" w:rsidRDefault="00AF5B55" w:rsidP="00810ED5">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Pastāvīgi</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Analizēšana</w:t>
            </w:r>
          </w:p>
        </w:tc>
        <w:tc>
          <w:tcPr>
            <w:tcW w:w="3402" w:type="dxa"/>
          </w:tcPr>
          <w:p w:rsidR="00055507" w:rsidRPr="001C6ACF" w:rsidRDefault="00055507" w:rsidP="00F31C18">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Veikt ietekmes rādītāju </w:t>
            </w:r>
            <w:r w:rsidR="00F31C18">
              <w:rPr>
                <w:color w:val="373737"/>
                <w:sz w:val="16"/>
              </w:rPr>
              <w:t xml:space="preserve">izvērtēšanu </w:t>
            </w:r>
            <w:r>
              <w:rPr>
                <w:color w:val="373737"/>
                <w:sz w:val="16"/>
              </w:rPr>
              <w:t xml:space="preserve">un neto ietekmes noteikšanu atbilstīgi ierosinātajai novērtēšanas pieejai un atlasītajām novērtēšanas metodēm. </w:t>
            </w:r>
          </w:p>
        </w:tc>
        <w:tc>
          <w:tcPr>
            <w:tcW w:w="1061" w:type="dxa"/>
          </w:tcPr>
          <w:p w:rsidR="00055507" w:rsidRPr="001C6ACF" w:rsidRDefault="0095480A" w:rsidP="0095480A">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2019. g. 1. cet.</w:t>
            </w:r>
          </w:p>
        </w:tc>
        <w:tc>
          <w:tcPr>
            <w:tcW w:w="622"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Nodrošināt analīzes kvalitāti. </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2019. g. 1. cet.</w:t>
            </w:r>
          </w:p>
        </w:tc>
        <w:tc>
          <w:tcPr>
            <w:tcW w:w="62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Vērtēšana</w:t>
            </w:r>
          </w:p>
        </w:tc>
        <w:tc>
          <w:tcPr>
            <w:tcW w:w="3402" w:type="dxa"/>
          </w:tcPr>
          <w:p w:rsidR="00055507" w:rsidRPr="001C6ACF" w:rsidRDefault="00055507" w:rsidP="00835596">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Interpretēt uz analīzes pamata sagatavotos novērtējuma konstatējumus, izdarīt spriedumus, pamatojoties uz vērtēšanas kritērijiem, un atbildēt uz novērtē</w:t>
            </w:r>
            <w:r w:rsidR="00835596">
              <w:rPr>
                <w:color w:val="373737"/>
                <w:sz w:val="16"/>
              </w:rPr>
              <w:t>šanas</w:t>
            </w:r>
            <w:r>
              <w:rPr>
                <w:color w:val="373737"/>
                <w:sz w:val="16"/>
              </w:rPr>
              <w:t xml:space="preserve"> jautājumiem. </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2019. g. 1. cet.</w:t>
            </w:r>
          </w:p>
        </w:tc>
        <w:tc>
          <w:tcPr>
            <w:tcW w:w="622"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Formulēt secinājumus, kas saistīti ar spriedumiem, un vajadzības gadījumā formulēt ieteikumus.</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2019. g. 1. un 2. cet.</w:t>
            </w:r>
          </w:p>
        </w:tc>
        <w:tc>
          <w:tcPr>
            <w:tcW w:w="622"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Nodrošināt spriedumu kvalitāti</w:t>
            </w:r>
            <w:r w:rsidR="00595DD1">
              <w:rPr>
                <w:color w:val="373737"/>
                <w:sz w:val="16"/>
              </w:rPr>
              <w:t>.</w:t>
            </w:r>
            <w:r>
              <w:rPr>
                <w:color w:val="373737"/>
                <w:sz w:val="16"/>
              </w:rPr>
              <w:t xml:space="preserve"> </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2019. g. 1. un 2. cet.</w:t>
            </w:r>
          </w:p>
        </w:tc>
        <w:tc>
          <w:tcPr>
            <w:tcW w:w="622"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lastRenderedPageBreak/>
              <w:t>Ziņošana</w:t>
            </w: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Sagatavot novērtējuma ziņojumu.</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2019. g. 2. cet.</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Iesniegt novērtējuma konstatējumus uzraudzības komitejai.</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2019. g. 2. cet.</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D6687">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Aizpildīt GĪZ </w:t>
            </w:r>
            <w:r>
              <w:rPr>
                <w:i/>
                <w:color w:val="373737"/>
                <w:sz w:val="16"/>
              </w:rPr>
              <w:t>SFC</w:t>
            </w:r>
            <w:r>
              <w:rPr>
                <w:color w:val="373737"/>
                <w:sz w:val="16"/>
              </w:rPr>
              <w:t xml:space="preserve"> veidni (</w:t>
            </w:r>
            <w:r w:rsidR="000D6687">
              <w:rPr>
                <w:color w:val="373737"/>
                <w:sz w:val="16"/>
              </w:rPr>
              <w:t xml:space="preserve">t. sk. </w:t>
            </w:r>
            <w:r>
              <w:rPr>
                <w:color w:val="373737"/>
                <w:sz w:val="16"/>
              </w:rPr>
              <w:t>2. un 7. nodaļu) un iesniegt to EK.</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2019. g. 2. cet.</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Publicēt GĪZ un novērtējuma ziņojumus (ne tikai GĪZ 7. nodaļu) publiski pieejamā tīmekļa vietnē.</w:t>
            </w:r>
          </w:p>
        </w:tc>
        <w:tc>
          <w:tcPr>
            <w:tcW w:w="1061" w:type="dxa"/>
          </w:tcPr>
          <w:p w:rsidR="00055507" w:rsidRPr="001C6ACF" w:rsidRDefault="00025148"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2019. g. 2., 3. un 4. cet.</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434BEF"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Sagatavot novērtējuma konstatējumus citos piemērotos formātos (piemēram, iedzīvotājiem paredzētā kopsavilkumā) dažādām mērķa grupām.</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2019. g. 3. un 4. cet.</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Informēt mērķa grupas par novērtējuma konstatējumiem. </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2019. g. 3. un 4. cet.</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tcBorders>
              <w:right w:val="single" w:sz="4" w:space="0" w:color="6E8967"/>
            </w:tcBorders>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4C3C30">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562" w:type="dxa"/>
            <w:tcBorders>
              <w:left w:val="single" w:sz="4" w:space="0" w:color="6E8967"/>
              <w:bottom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Pēcpasākumi</w:t>
            </w:r>
          </w:p>
        </w:tc>
        <w:tc>
          <w:tcPr>
            <w:tcW w:w="3402" w:type="dxa"/>
            <w:tcBorders>
              <w:bottom w:val="single" w:sz="4" w:space="0" w:color="6E8967"/>
            </w:tcBorders>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Pievērst uzmanību novērtējuma secinājumiem un ieteikumiem un veikt turpmākus pasākumus, lai uzlabotu lauku attīstības programmas plānošanu un īstenošanu. </w:t>
            </w:r>
          </w:p>
        </w:tc>
        <w:tc>
          <w:tcPr>
            <w:tcW w:w="1061" w:type="dxa"/>
            <w:tcBorders>
              <w:bottom w:val="single" w:sz="4" w:space="0" w:color="6E8967"/>
            </w:tcBorders>
          </w:tcPr>
          <w:p w:rsidR="00055507" w:rsidRPr="001C6ACF" w:rsidRDefault="00055507" w:rsidP="00DF22D0">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No 2019. gada 2. cet. </w:t>
            </w:r>
          </w:p>
        </w:tc>
        <w:tc>
          <w:tcPr>
            <w:tcW w:w="622" w:type="dxa"/>
            <w:tcBorders>
              <w:bottom w:val="single" w:sz="4" w:space="0" w:color="6E8967"/>
            </w:tcBorders>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93"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bottom w:val="single" w:sz="4" w:space="0" w:color="6E8967"/>
            </w:tcBorders>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50" w:type="dxa"/>
            <w:tcBorders>
              <w:bottom w:val="single" w:sz="4" w:space="0" w:color="6E8967"/>
              <w:right w:val="single" w:sz="4" w:space="0" w:color="6E8967"/>
            </w:tcBorders>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r>
    </w:tbl>
    <w:p w:rsidR="00C744FC" w:rsidRPr="001C6ACF" w:rsidRDefault="00C744FC" w:rsidP="001F25E0">
      <w:pPr>
        <w:pStyle w:val="HStandard"/>
      </w:pPr>
    </w:p>
    <w:p w:rsidR="00425D88" w:rsidRPr="001C6ACF" w:rsidRDefault="00425D88" w:rsidP="00425D88">
      <w:pPr>
        <w:pStyle w:val="HStandard"/>
        <w:sectPr w:rsidR="00425D88" w:rsidRPr="001C6ACF" w:rsidSect="00D32538">
          <w:footerReference w:type="default" r:id="rId37"/>
          <w:footerReference w:type="first" r:id="rId38"/>
          <w:pgSz w:w="11906" w:h="16838" w:code="9"/>
          <w:pgMar w:top="1440" w:right="1440" w:bottom="1134" w:left="1440" w:header="567" w:footer="737" w:gutter="0"/>
          <w:pgNumType w:start="1"/>
          <w:cols w:space="708"/>
          <w:titlePg/>
          <w:docGrid w:linePitch="360"/>
        </w:sectPr>
      </w:pPr>
    </w:p>
    <w:p w:rsidR="00425D88" w:rsidRPr="001C6ACF" w:rsidRDefault="00425D88" w:rsidP="00E93BEA">
      <w:pPr>
        <w:pStyle w:val="HHeading1"/>
        <w:tabs>
          <w:tab w:val="clear" w:pos="474"/>
          <w:tab w:val="clear" w:pos="567"/>
        </w:tabs>
        <w:rPr>
          <w:sz w:val="28"/>
        </w:rPr>
      </w:pPr>
      <w:r>
        <w:rPr>
          <w:sz w:val="28"/>
        </w:rPr>
        <w:lastRenderedPageBreak/>
        <w:t xml:space="preserve">LAP ietekmes </w:t>
      </w:r>
      <w:r w:rsidR="00F31C18">
        <w:rPr>
          <w:sz w:val="28"/>
        </w:rPr>
        <w:t>iz</w:t>
      </w:r>
      <w:r>
        <w:rPr>
          <w:sz w:val="28"/>
        </w:rPr>
        <w:t>vērtēšana</w:t>
      </w:r>
      <w:r w:rsidR="00595DD1">
        <w:rPr>
          <w:sz w:val="28"/>
        </w:rPr>
        <w:t>S PIEEJAS</w:t>
      </w:r>
      <w:r>
        <w:rPr>
          <w:sz w:val="28"/>
        </w:rPr>
        <w:t xml:space="preserve"> 2019. gadā  </w:t>
      </w:r>
      <w:r>
        <w:rPr>
          <w:sz w:val="28"/>
        </w:rPr>
        <w:br/>
        <w:t>(II DAĻA)</w:t>
      </w:r>
    </w:p>
    <w:p w:rsidR="00BB6B80" w:rsidRPr="00571D58" w:rsidRDefault="000B213F" w:rsidP="00B86C6A">
      <w:pPr>
        <w:pStyle w:val="HStandard"/>
      </w:pPr>
      <w:bookmarkStart w:id="0" w:name="_GoBack"/>
      <w:r>
        <w:rPr>
          <w:b/>
          <w:noProof/>
          <w:lang w:val="en-GB" w:eastAsia="en-GB" w:bidi="lo-LA"/>
        </w:rPr>
        <mc:AlternateContent>
          <mc:Choice Requires="wps">
            <w:drawing>
              <wp:inline distT="0" distB="0" distL="0" distR="0" wp14:anchorId="48D035C0" wp14:editId="76AAF411">
                <wp:extent cx="5695950" cy="1325880"/>
                <wp:effectExtent l="0" t="0" r="19050" b="26670"/>
                <wp:docPr id="935" name="Rectangle: Diagonal Corners Rounded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5950" cy="1325880"/>
                        </a:xfrm>
                        <a:custGeom>
                          <a:avLst/>
                          <a:gdLst>
                            <a:gd name="T0" fmla="*/ 254411 w 5695950"/>
                            <a:gd name="T1" fmla="*/ 0 h 1464319"/>
                            <a:gd name="T2" fmla="*/ 5695950 w 5695950"/>
                            <a:gd name="T3" fmla="*/ 0 h 1464319"/>
                            <a:gd name="T4" fmla="*/ 5695950 w 5695950"/>
                            <a:gd name="T5" fmla="*/ 0 h 1464319"/>
                            <a:gd name="T6" fmla="*/ 5695950 w 5695950"/>
                            <a:gd name="T7" fmla="*/ 1209908 h 1464319"/>
                            <a:gd name="T8" fmla="*/ 5441539 w 5695950"/>
                            <a:gd name="T9" fmla="*/ 1464319 h 1464319"/>
                            <a:gd name="T10" fmla="*/ 0 w 5695950"/>
                            <a:gd name="T11" fmla="*/ 1464319 h 1464319"/>
                            <a:gd name="T12" fmla="*/ 0 w 5695950"/>
                            <a:gd name="T13" fmla="*/ 1464319 h 1464319"/>
                            <a:gd name="T14" fmla="*/ 0 w 5695950"/>
                            <a:gd name="T15" fmla="*/ 254411 h 1464319"/>
                            <a:gd name="T16" fmla="*/ 254411 w 5695950"/>
                            <a:gd name="T17" fmla="*/ 0 h 14643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695950"/>
                            <a:gd name="T28" fmla="*/ 0 h 1464319"/>
                            <a:gd name="T29" fmla="*/ 5695950 w 5695950"/>
                            <a:gd name="T30" fmla="*/ 1464319 h 146431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695950" h="1464319">
                              <a:moveTo>
                                <a:pt x="254411" y="0"/>
                              </a:moveTo>
                              <a:lnTo>
                                <a:pt x="5695950" y="0"/>
                              </a:lnTo>
                              <a:lnTo>
                                <a:pt x="5695950" y="1209908"/>
                              </a:lnTo>
                              <a:cubicBezTo>
                                <a:pt x="5695950" y="1350415"/>
                                <a:pt x="5582046" y="1464319"/>
                                <a:pt x="5441539" y="1464319"/>
                              </a:cubicBezTo>
                              <a:lnTo>
                                <a:pt x="0" y="1464319"/>
                              </a:lnTo>
                              <a:lnTo>
                                <a:pt x="0" y="254411"/>
                              </a:lnTo>
                              <a:cubicBezTo>
                                <a:pt x="0" y="113904"/>
                                <a:pt x="113904" y="0"/>
                                <a:pt x="254411" y="0"/>
                              </a:cubicBezTo>
                              <a:close/>
                            </a:path>
                          </a:pathLst>
                        </a:custGeom>
                        <a:noFill/>
                        <a:ln w="25400">
                          <a:solidFill>
                            <a:srgbClr val="8BAB80"/>
                          </a:solidFill>
                          <a:miter lim="800000"/>
                          <a:headEnd/>
                          <a:tailEnd/>
                        </a:ln>
                        <a:extLst>
                          <a:ext uri="{909E8E84-426E-40DD-AFC4-6F175D3DCCD1}">
                            <a14:hiddenFill xmlns:a14="http://schemas.microsoft.com/office/drawing/2010/main">
                              <a:solidFill>
                                <a:srgbClr val="FFFFFF"/>
                              </a:solidFill>
                            </a14:hiddenFill>
                          </a:ext>
                        </a:extLst>
                      </wps:spPr>
                      <wps:txbx>
                        <w:txbxContent>
                          <w:p w:rsidR="00A472D8" w:rsidRPr="00B86C6A" w:rsidRDefault="00D61164" w:rsidP="00BB6B80">
                            <w:pPr>
                              <w:pStyle w:val="Normal12PTcouleurgris"/>
                              <w:rPr>
                                <w:rStyle w:val="HStandardCar"/>
                                <w:color w:val="292929" w:themeColor="text1" w:themeShade="BF"/>
                              </w:rPr>
                            </w:pPr>
                            <w:r w:rsidRPr="00171202">
                              <w:rPr>
                                <w:noProof/>
                                <w:sz w:val="18"/>
                                <w:lang w:val="en-GB" w:eastAsia="en-GB" w:bidi="lo-LA"/>
                              </w:rPr>
                              <w:drawing>
                                <wp:inline distT="0" distB="0" distL="0" distR="0" wp14:anchorId="12B431DE" wp14:editId="25E9DF0D">
                                  <wp:extent cx="578362" cy="539115"/>
                                  <wp:effectExtent l="0" t="0" r="0" b="0"/>
                                  <wp:docPr id="903"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rotWithShape="1">
                                          <a:blip r:embed="rId39">
                                            <a:extLst>
                                              <a:ext uri="{28A0092B-C50C-407E-A947-70E740481C1C}">
                                                <a14:useLocalDpi xmlns:a14="http://schemas.microsoft.com/office/drawing/2010/main" val="0"/>
                                              </a:ext>
                                            </a:extLst>
                                          </a:blip>
                                          <a:srcRect l="12992" r="21270"/>
                                          <a:stretch/>
                                        </pic:blipFill>
                                        <pic:spPr bwMode="auto">
                                          <a:xfrm>
                                            <a:off x="0" y="0"/>
                                            <a:ext cx="579311" cy="540000"/>
                                          </a:xfrm>
                                          <a:prstGeom prst="rect">
                                            <a:avLst/>
                                          </a:prstGeom>
                                          <a:ln>
                                            <a:noFill/>
                                          </a:ln>
                                          <a:extLst>
                                            <a:ext uri="{53640926-AAD7-44D8-BBD7-CCE9431645EC}">
                                              <a14:shadowObscured xmlns:a14="http://schemas.microsoft.com/office/drawing/2010/main"/>
                                            </a:ext>
                                          </a:extLst>
                                        </pic:spPr>
                                      </pic:pic>
                                    </a:graphicData>
                                  </a:graphic>
                                </wp:inline>
                              </w:drawing>
                            </w:r>
                            <w:r w:rsidR="00A472D8">
                              <w:rPr>
                                <w:rStyle w:val="HStandardCar"/>
                                <w:b/>
                                <w:color w:val="F07E31"/>
                                <w:sz w:val="20"/>
                              </w:rPr>
                              <w:t>II DAĻA</w:t>
                            </w:r>
                            <w:r w:rsidR="00A472D8">
                              <w:rPr>
                                <w:rStyle w:val="HStandardCar"/>
                                <w:color w:val="F07E31"/>
                                <w:sz w:val="20"/>
                              </w:rPr>
                              <w:t xml:space="preserve"> </w:t>
                            </w:r>
                            <w:r w:rsidR="00A472D8">
                              <w:rPr>
                                <w:rStyle w:val="HStandardCar"/>
                                <w:color w:val="292929" w:themeColor="text1" w:themeShade="BF"/>
                                <w:sz w:val="20"/>
                              </w:rPr>
                              <w:t xml:space="preserve">nesaistošajās pamatnostādnēs "LAP sasniegumu un ietekmes izvērtējums 2019. gadā" ir lasāma kopā ar </w:t>
                            </w:r>
                            <w:r w:rsidR="00A472D8">
                              <w:rPr>
                                <w:rStyle w:val="HStandardCar"/>
                                <w:b/>
                                <w:color w:val="F07E31"/>
                                <w:sz w:val="20"/>
                              </w:rPr>
                              <w:t>III DAĻU</w:t>
                            </w:r>
                            <w:r w:rsidR="00A472D8">
                              <w:rPr>
                                <w:rStyle w:val="HStandardCar"/>
                                <w:color w:val="F07E31"/>
                                <w:sz w:val="20"/>
                              </w:rPr>
                              <w:t xml:space="preserve"> </w:t>
                            </w:r>
                            <w:r w:rsidR="00A472D8">
                              <w:rPr>
                                <w:rStyle w:val="HStandardCar"/>
                                <w:color w:val="292929" w:themeColor="text1" w:themeShade="BF"/>
                                <w:sz w:val="20"/>
                              </w:rPr>
                              <w:t xml:space="preserve">(Datu lapas atbilžu sniegšanai uz KNJ Nr. 22–30) un </w:t>
                            </w:r>
                            <w:r w:rsidR="00A472D8">
                              <w:rPr>
                                <w:rStyle w:val="HStandardCar"/>
                                <w:b/>
                                <w:color w:val="F07E31"/>
                                <w:sz w:val="20"/>
                              </w:rPr>
                              <w:t xml:space="preserve">IV DAĻU </w:t>
                            </w:r>
                            <w:r w:rsidR="00A472D8">
                              <w:rPr>
                                <w:rStyle w:val="HStandardCar"/>
                                <w:color w:val="292929" w:themeColor="text1" w:themeShade="BF"/>
                                <w:sz w:val="20"/>
                              </w:rPr>
                              <w:t>(Tehniskais pielikums), kurā ir sniegta papildu informācija par ierosinātajām novērtēšanas pieejām, papildu rādītāju piemēri, darba soļu sīks apraksts, ieteicamo novērtēšanas pieeju atbilstība, informācija par to, ko darīt un ko nedarīt, glosārijs).</w:t>
                            </w:r>
                          </w:p>
                        </w:txbxContent>
                      </wps:txbx>
                      <wps:bodyPr rot="0" vert="horz" wrap="square" lIns="91440" tIns="45720" rIns="91440" bIns="45720" anchor="ctr" anchorCtr="0" upright="1">
                        <a:noAutofit/>
                      </wps:bodyPr>
                    </wps:wsp>
                  </a:graphicData>
                </a:graphic>
              </wp:inline>
            </w:drawing>
          </mc:Choice>
          <mc:Fallback>
            <w:pict>
              <v:shape w14:anchorId="48D035C0" id="Rectangle: Diagonal Corners Rounded 48" o:spid="_x0000_s1029" style="width:448.5pt;height:104.4pt;visibility:visible;mso-wrap-style:square;mso-left-percent:-10001;mso-top-percent:-10001;mso-position-horizontal:absolute;mso-position-horizontal-relative:char;mso-position-vertical:absolute;mso-position-vertical-relative:line;mso-left-percent:-10001;mso-top-percent:-10001;v-text-anchor:middle" coordsize="5695950,14643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" adj="-11796480,,5400" path="m254411,l5695950,r,1209908c5695950,1350415,5582046,1464319,5441539,1464319l,1464319,,254411c,113904,113904,,254411,xe" filled="f" strokecolor="#8bab80" strokeweight="2pt">
                <v:stroke joinstyle="miter"/>
                <v:formulas/>
                <v:path arrowok="t" o:connecttype="custom" o:connectlocs="254411,0;5695950,0;5695950,0;5695950,1095521;5441539,1325880;0,1325880;0,1325880;0,230359;254411,0" o:connectangles="0,0,0,0,0,0,0,0,0" textboxrect="0,0,5695950,1464319"/>
                <v:textbox>
                  <w:txbxContent>
                    <w:p w:rsidR="00A472D8" w:rsidRPr="00B86C6A" w:rsidRDefault="00D61164" w:rsidP="00BB6B80">
                      <w:pPr>
                        <w:pStyle w:val="Normal12PTcouleurgris"/>
                        <w:rPr>
                          <w:rStyle w:val="HStandardCar"/>
                          <w:color w:val="292929" w:themeColor="text1" w:themeShade="BF"/>
                        </w:rPr>
                      </w:pPr>
                      <w:r w:rsidRPr="00171202">
                        <w:rPr>
                          <w:noProof/>
                          <w:sz w:val="18"/>
                          <w:lang w:val="en-GB" w:eastAsia="en-GB" w:bidi="lo-LA"/>
                        </w:rPr>
                        <w:drawing>
                          <wp:inline distT="0" distB="0" distL="0" distR="0" wp14:anchorId="12B431DE" wp14:editId="25E9DF0D">
                            <wp:extent cx="578362" cy="539115"/>
                            <wp:effectExtent l="0" t="0" r="0" b="0"/>
                            <wp:docPr id="903"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rotWithShape="1">
                                    <a:blip r:embed="rId39">
                                      <a:extLst>
                                        <a:ext uri="{28A0092B-C50C-407E-A947-70E740481C1C}">
                                          <a14:useLocalDpi xmlns:a14="http://schemas.microsoft.com/office/drawing/2010/main" val="0"/>
                                        </a:ext>
                                      </a:extLst>
                                    </a:blip>
                                    <a:srcRect l="12992" r="21270"/>
                                    <a:stretch/>
                                  </pic:blipFill>
                                  <pic:spPr bwMode="auto">
                                    <a:xfrm>
                                      <a:off x="0" y="0"/>
                                      <a:ext cx="579311" cy="540000"/>
                                    </a:xfrm>
                                    <a:prstGeom prst="rect">
                                      <a:avLst/>
                                    </a:prstGeom>
                                    <a:ln>
                                      <a:noFill/>
                                    </a:ln>
                                    <a:extLst>
                                      <a:ext uri="{53640926-AAD7-44D8-BBD7-CCE9431645EC}">
                                        <a14:shadowObscured xmlns:a14="http://schemas.microsoft.com/office/drawing/2010/main"/>
                                      </a:ext>
                                    </a:extLst>
                                  </pic:spPr>
                                </pic:pic>
                              </a:graphicData>
                            </a:graphic>
                          </wp:inline>
                        </w:drawing>
                      </w:r>
                      <w:r w:rsidR="00A472D8">
                        <w:rPr>
                          <w:rStyle w:val="HStandardCar"/>
                          <w:b/>
                          <w:color w:val="F07E31"/>
                          <w:sz w:val="20"/>
                        </w:rPr>
                        <w:t>II DAĻA</w:t>
                      </w:r>
                      <w:r w:rsidR="00A472D8">
                        <w:rPr>
                          <w:rStyle w:val="HStandardCar"/>
                          <w:color w:val="F07E31"/>
                          <w:sz w:val="20"/>
                        </w:rPr>
                        <w:t xml:space="preserve"> </w:t>
                      </w:r>
                      <w:r w:rsidR="00A472D8">
                        <w:rPr>
                          <w:rStyle w:val="HStandardCar"/>
                          <w:color w:val="292929" w:themeColor="text1" w:themeShade="BF"/>
                          <w:sz w:val="20"/>
                        </w:rPr>
                        <w:t xml:space="preserve">nesaistošajās pamatnostādnēs "LAP sasniegumu un ietekmes izvērtējums 2019. gadā" ir lasāma kopā ar </w:t>
                      </w:r>
                      <w:r w:rsidR="00A472D8">
                        <w:rPr>
                          <w:rStyle w:val="HStandardCar"/>
                          <w:b/>
                          <w:color w:val="F07E31"/>
                          <w:sz w:val="20"/>
                        </w:rPr>
                        <w:t>III DAĻU</w:t>
                      </w:r>
                      <w:r w:rsidR="00A472D8">
                        <w:rPr>
                          <w:rStyle w:val="HStandardCar"/>
                          <w:color w:val="F07E31"/>
                          <w:sz w:val="20"/>
                        </w:rPr>
                        <w:t xml:space="preserve"> </w:t>
                      </w:r>
                      <w:r w:rsidR="00A472D8">
                        <w:rPr>
                          <w:rStyle w:val="HStandardCar"/>
                          <w:color w:val="292929" w:themeColor="text1" w:themeShade="BF"/>
                          <w:sz w:val="20"/>
                        </w:rPr>
                        <w:t xml:space="preserve">(Datu lapas atbilžu sniegšanai uz KNJ Nr. 22–30) un </w:t>
                      </w:r>
                      <w:r w:rsidR="00A472D8">
                        <w:rPr>
                          <w:rStyle w:val="HStandardCar"/>
                          <w:b/>
                          <w:color w:val="F07E31"/>
                          <w:sz w:val="20"/>
                        </w:rPr>
                        <w:t xml:space="preserve">IV DAĻU </w:t>
                      </w:r>
                      <w:r w:rsidR="00A472D8">
                        <w:rPr>
                          <w:rStyle w:val="HStandardCar"/>
                          <w:color w:val="292929" w:themeColor="text1" w:themeShade="BF"/>
                          <w:sz w:val="20"/>
                        </w:rPr>
                        <w:t>(Tehniskais pielikums), kurā ir sniegta papildu informācija par ierosinātajām novērtēšanas pieejām, papildu rādītāju piemēri, darba soļu sīks apraksts, ieteicamo novērtēšanas pieeju atbilstība, informācija par to, ko darīt un ko nedarīt, glosārijs).</w:t>
                      </w:r>
                    </w:p>
                  </w:txbxContent>
                </v:textbox>
                <w10:anchorlock/>
              </v:shape>
            </w:pict>
          </mc:Fallback>
        </mc:AlternateContent>
      </w:r>
      <w:bookmarkEnd w:id="0"/>
    </w:p>
    <w:p w:rsidR="00425D88" w:rsidRPr="007645B4" w:rsidRDefault="00425D88" w:rsidP="00002482">
      <w:pPr>
        <w:pStyle w:val="HHeading2"/>
        <w:tabs>
          <w:tab w:val="clear" w:pos="360"/>
          <w:tab w:val="clear" w:pos="567"/>
        </w:tabs>
      </w:pPr>
      <w:r>
        <w:t>Piemērotu novērtēšanas pieeju izvēle</w:t>
      </w:r>
      <w:r w:rsidR="00F31C18">
        <w:t xml:space="preserve"> LAP ietekmes izvērtēšanai</w:t>
      </w:r>
    </w:p>
    <w:p w:rsidR="00E93BEA" w:rsidRPr="001C6ACF" w:rsidRDefault="00E93BEA" w:rsidP="00E93BEA">
      <w:pPr>
        <w:pStyle w:val="HStandard"/>
        <w:rPr>
          <w:rFonts w:cs="Arial"/>
        </w:rPr>
      </w:pPr>
      <w:r>
        <w:t>KLP II pīlāra kop</w:t>
      </w:r>
      <w:r w:rsidR="00B23B3A">
        <w:t>ēj</w:t>
      </w:r>
      <w:r>
        <w:t xml:space="preserve">o ietekmes rādītāju </w:t>
      </w:r>
      <w:r w:rsidR="00F31C18">
        <w:t>iz</w:t>
      </w:r>
      <w:r>
        <w:t xml:space="preserve">vērtēšana un </w:t>
      </w:r>
      <w:r w:rsidR="001C74A1">
        <w:t xml:space="preserve">neto </w:t>
      </w:r>
      <w:r>
        <w:t xml:space="preserve">ietekmes noteikšana 2019. gadā ir grūts uzdevums un rada </w:t>
      </w:r>
      <w:r>
        <w:rPr>
          <w:b/>
        </w:rPr>
        <w:t>vairākus jautājumus</w:t>
      </w:r>
      <w:r>
        <w:t xml:space="preserve">. </w:t>
      </w:r>
    </w:p>
    <w:p w:rsidR="00E93BEA" w:rsidRPr="001C6ACF" w:rsidRDefault="00E93BEA" w:rsidP="00E93BEA">
      <w:pPr>
        <w:pStyle w:val="Hlistbullet"/>
      </w:pPr>
      <w:r>
        <w:t xml:space="preserve">Kā lauku teritorijās novērotās izmaiņas var sasaistīt ar LAP intervencēm, un kuras novērtēšanas pieejas būtu jāizmanto šajā nolūkā? </w:t>
      </w:r>
    </w:p>
    <w:p w:rsidR="00E93BEA" w:rsidRPr="001C6ACF" w:rsidRDefault="00E93BEA" w:rsidP="00E93BEA">
      <w:pPr>
        <w:pStyle w:val="Hlistbullet"/>
      </w:pPr>
      <w:r>
        <w:t xml:space="preserve">Kuri dati no pašreizējiem avotiem (piemēram, uzraudzības, ES, valstu un reģionālām datubāzēm) būtu jāizmanto ieteicamajā novērtēšanas pieejā? </w:t>
      </w:r>
    </w:p>
    <w:p w:rsidR="00E93BEA" w:rsidRPr="001C6ACF" w:rsidRDefault="00E93BEA" w:rsidP="00E93BEA">
      <w:pPr>
        <w:pStyle w:val="Hlistbullet"/>
      </w:pPr>
      <w:r>
        <w:t xml:space="preserve">Kā koordinēt darbu ar dažādiem datu sniedzējiem? </w:t>
      </w:r>
    </w:p>
    <w:p w:rsidR="00E93BEA" w:rsidRPr="001C6ACF" w:rsidRDefault="00E93BEA" w:rsidP="00E93BEA">
      <w:pPr>
        <w:pStyle w:val="Hlistbullet"/>
      </w:pPr>
      <w:r>
        <w:t xml:space="preserve">Kā nodrošināt datu kvalitāti un novērst datu trūkumu? </w:t>
      </w:r>
    </w:p>
    <w:p w:rsidR="009B0B1E" w:rsidRPr="001C6ACF" w:rsidRDefault="009B0B1E" w:rsidP="00B63445">
      <w:pPr>
        <w:pStyle w:val="HHeading3"/>
      </w:pPr>
      <w:r>
        <w:t>Kā var izmantot loģikas modeļus, lai noteiktu, kuras novērtēšanas pieejas ir piemērotas?</w:t>
      </w:r>
    </w:p>
    <w:p w:rsidR="009B37D9" w:rsidRPr="001C6ACF" w:rsidRDefault="000B213F" w:rsidP="009B37D9">
      <w:pPr>
        <w:pStyle w:val="HStandard"/>
      </w:pPr>
      <w:r>
        <w:rPr>
          <w:b/>
          <w:i/>
          <w:noProof/>
          <w:color w:val="F07E31" w:themeColor="accent1"/>
          <w:lang w:val="en-GB" w:eastAsia="en-GB" w:bidi="lo-LA"/>
        </w:rPr>
        <mc:AlternateContent>
          <mc:Choice Requires="wps">
            <w:drawing>
              <wp:anchor distT="0" distB="0" distL="114300" distR="114300" simplePos="0" relativeHeight="251728384" behindDoc="1" locked="0" layoutInCell="1" allowOverlap="1" wp14:anchorId="631B5379" wp14:editId="2A5E286B">
                <wp:simplePos x="0" y="0"/>
                <wp:positionH relativeFrom="margin">
                  <wp:align>right</wp:align>
                </wp:positionH>
                <wp:positionV relativeFrom="paragraph">
                  <wp:posOffset>35560</wp:posOffset>
                </wp:positionV>
                <wp:extent cx="2447925" cy="1943100"/>
                <wp:effectExtent l="0" t="0" r="28575" b="19050"/>
                <wp:wrapTight wrapText="bothSides">
                  <wp:wrapPolygon edited="0">
                    <wp:start x="504" y="0"/>
                    <wp:lineTo x="0" y="847"/>
                    <wp:lineTo x="0" y="21600"/>
                    <wp:lineTo x="21180" y="21600"/>
                    <wp:lineTo x="21684" y="20965"/>
                    <wp:lineTo x="21684" y="0"/>
                    <wp:lineTo x="504" y="0"/>
                  </wp:wrapPolygon>
                </wp:wrapTight>
                <wp:docPr id="933"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1943100"/>
                        </a:xfrm>
                        <a:prstGeom prst="round2DiagRect">
                          <a:avLst>
                            <a:gd name="adj1" fmla="val 8733"/>
                            <a:gd name="adj2" fmla="val 0"/>
                          </a:avLst>
                        </a:prstGeom>
                        <a:noFill/>
                        <a:ln w="25400" cap="flat" cmpd="sng" algn="ctr">
                          <a:solidFill>
                            <a:srgbClr val="BE4A35"/>
                          </a:solidFill>
                          <a:prstDash val="solid"/>
                        </a:ln>
                        <a:effectLst/>
                      </wps:spPr>
                      <wps:txbx>
                        <w:txbxContent>
                          <w:p w:rsidR="00A472D8" w:rsidRPr="00C545E7" w:rsidRDefault="00A472D8" w:rsidP="005166F3">
                            <w:pPr>
                              <w:pStyle w:val="HHeading4"/>
                              <w:spacing w:before="0"/>
                              <w:jc w:val="both"/>
                              <w:rPr>
                                <w:i/>
                                <w:color w:val="F07E31" w:themeColor="accent1"/>
                                <w:sz w:val="18"/>
                              </w:rPr>
                            </w:pPr>
                            <w:r>
                              <w:rPr>
                                <w:noProof/>
                                <w:color w:val="373737"/>
                                <w:lang w:val="en-GB" w:eastAsia="en-GB" w:bidi="lo-LA"/>
                              </w:rPr>
                              <w:drawing>
                                <wp:inline distT="0" distB="0" distL="0" distR="0" wp14:anchorId="746A9F65" wp14:editId="3971E48C">
                                  <wp:extent cx="664845" cy="487680"/>
                                  <wp:effectExtent l="0" t="0" r="0" b="7620"/>
                                  <wp:docPr id="90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Loģikas modeļi</w:t>
                            </w:r>
                            <w:r>
                              <w:rPr>
                                <w:b w:val="0"/>
                                <w:color w:val="373737" w:themeColor="text1"/>
                              </w:rPr>
                              <w:t xml:space="preserve"> ir lēmumu pieņemšanas shēmas, kas var palīdzēt ieinteresētajām personām plānot (hipotētisku) novērtēšanas pieeju un izvēlēties vispiemērotākās metodes atkarībā no pieejamajiem datiem un informācijas.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1B5379" id="_x0000_s1030" style="position:absolute;left:0;text-align:left;margin-left:141.55pt;margin-top:2.8pt;width:192.75pt;height:153pt;z-index:-25158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coordsize="2447925,194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" adj="-11796480,,5400" path="m169691,l2447925,r,l2447925,1773409v,93718,-75973,169691,-169691,169691l,1943100r,l,169691c,75973,75973,,169691,xe" filled="f" strokecolor="#be4a35" strokeweight="2pt">
                <v:stroke joinstyle="miter"/>
                <v:formulas/>
                <v:path arrowok="t" o:connecttype="custom" o:connectlocs="169691,0;2447925,0;2447925,0;2447925,1773409;2278234,1943100;0,1943100;0,1943100;0,169691;169691,0" o:connectangles="0,0,0,0,0,0,0,0,0" textboxrect="0,0,2447925,1943100"/>
                <v:textbox>
                  <w:txbxContent>
                    <w:p w:rsidR="00A472D8" w:rsidRPr="00C545E7" w:rsidRDefault="00A472D8" w:rsidP="005166F3">
                      <w:pPr>
                        <w:pStyle w:val="HHeading4"/>
                        <w:spacing w:before="0"/>
                        <w:jc w:val="both"/>
                        <w:rPr>
                          <w:i/>
                          <w:color w:val="F07E31" w:themeColor="accent1"/>
                          <w:sz w:val="18"/>
                        </w:rPr>
                      </w:pPr>
                      <w:r>
                        <w:rPr>
                          <w:noProof/>
                          <w:color w:val="373737"/>
                          <w:lang w:val="en-GB" w:eastAsia="en-GB" w:bidi="lo-LA"/>
                        </w:rPr>
                        <w:drawing>
                          <wp:inline distT="0" distB="0" distL="0" distR="0" wp14:anchorId="746A9F65" wp14:editId="3971E48C">
                            <wp:extent cx="664845" cy="487680"/>
                            <wp:effectExtent l="0" t="0" r="0" b="7620"/>
                            <wp:docPr id="90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Loģikas modeļi</w:t>
                      </w:r>
                      <w:r>
                        <w:rPr>
                          <w:b w:val="0"/>
                          <w:color w:val="373737" w:themeColor="text1"/>
                        </w:rPr>
                        <w:t xml:space="preserve"> ir lēmumu pieņemšanas shēmas, kas var palīdzēt ieinteresētajām personām plānot (hipotētisku) novērtēšanas pieeju un izvēlēties vispiemērotākās metodes atkarībā no pieejamajiem datiem un informācijas.</w:t>
                      </w:r>
                    </w:p>
                  </w:txbxContent>
                </v:textbox>
                <w10:wrap type="tight" anchorx="margin"/>
              </v:shape>
            </w:pict>
          </mc:Fallback>
        </mc:AlternateContent>
      </w:r>
      <w:r>
        <w:t xml:space="preserve">Loģikas modeļi var palīdzēt vērtētājam izvēlēties jaunas pieejas, labāk plānot datu vākšanu un uzsākt tādu metožu </w:t>
      </w:r>
      <w:r w:rsidR="00595DD1">
        <w:t xml:space="preserve">apsvēršanas </w:t>
      </w:r>
      <w:r>
        <w:t>procesu, kas būtu mazāk atkarīgas no datu pieejamības (piemēram, kvalitatīvas metodes). Loģikas modeļi var arī palīdzēt vadošajām iestādēm labāk plānot un paredzēt novērtējuma iznākumus konkrēt</w:t>
      </w:r>
      <w:r w:rsidR="00595DD1">
        <w:t>aj</w:t>
      </w:r>
      <w:r>
        <w:t xml:space="preserve">ā kontekstā (dati, novērtējuma budžets un termiņš). </w:t>
      </w:r>
    </w:p>
    <w:p w:rsidR="00FF13C7" w:rsidRPr="001C6ACF" w:rsidRDefault="00FF13C7" w:rsidP="00FF13C7">
      <w:pPr>
        <w:pStyle w:val="HStandard"/>
        <w:spacing w:after="0"/>
        <w:rPr>
          <w:rFonts w:cs="Arial"/>
          <w:color w:val="373737"/>
          <w:szCs w:val="18"/>
        </w:rPr>
      </w:pPr>
      <w:r>
        <w:rPr>
          <w:color w:val="373737"/>
        </w:rPr>
        <w:t>Loģikas modeļi sniedz norādījumus par to, kā soli pa solim plānot novērtēšanas pieejas, lai varētu labāk izprast:</w:t>
      </w:r>
    </w:p>
    <w:p w:rsidR="00FF13C7" w:rsidRPr="001C6ACF" w:rsidRDefault="00FF13C7" w:rsidP="00FF13C7">
      <w:pPr>
        <w:pStyle w:val="Hlistbullet"/>
        <w:spacing w:before="0" w:after="0" w:line="280" w:lineRule="atLeast"/>
        <w:ind w:left="502"/>
        <w:rPr>
          <w:rFonts w:cs="Arial"/>
          <w:color w:val="373737"/>
          <w:szCs w:val="18"/>
        </w:rPr>
      </w:pPr>
      <w:r>
        <w:rPr>
          <w:b/>
          <w:color w:val="373737"/>
        </w:rPr>
        <w:t>IESPĒJAS:</w:t>
      </w:r>
      <w:r>
        <w:rPr>
          <w:color w:val="373737"/>
        </w:rPr>
        <w:t xml:space="preserve"> kādas datu/radītāju/metožu kombinācijas ir pieejamas un piemērotas atbilžu sniegšanai uz novērtē</w:t>
      </w:r>
      <w:r w:rsidR="00835596">
        <w:rPr>
          <w:color w:val="373737"/>
        </w:rPr>
        <w:t>šanas</w:t>
      </w:r>
      <w:r>
        <w:rPr>
          <w:color w:val="373737"/>
        </w:rPr>
        <w:t xml:space="preserve"> jautājumiem; </w:t>
      </w:r>
    </w:p>
    <w:p w:rsidR="00FF13C7" w:rsidRPr="001C6ACF" w:rsidRDefault="00FF13C7" w:rsidP="00FF13C7">
      <w:pPr>
        <w:pStyle w:val="Hlistbullet"/>
        <w:spacing w:before="0" w:after="0" w:line="280" w:lineRule="atLeast"/>
        <w:ind w:left="502"/>
        <w:rPr>
          <w:color w:val="373737"/>
          <w:sz w:val="22"/>
        </w:rPr>
      </w:pPr>
      <w:r>
        <w:rPr>
          <w:b/>
          <w:color w:val="373737"/>
        </w:rPr>
        <w:t>PRASĪBAS:</w:t>
      </w:r>
      <w:r>
        <w:rPr>
          <w:color w:val="373737"/>
        </w:rPr>
        <w:t xml:space="preserve"> kādi dati/rādītāji/metodes/pieejas ir vajadzīgas, lai </w:t>
      </w:r>
      <w:r w:rsidR="00F31C18">
        <w:rPr>
          <w:color w:val="373737"/>
        </w:rPr>
        <w:t>iz</w:t>
      </w:r>
      <w:r>
        <w:rPr>
          <w:color w:val="373737"/>
        </w:rPr>
        <w:t xml:space="preserve">vērtētu </w:t>
      </w:r>
      <w:r w:rsidR="006A3DCB">
        <w:rPr>
          <w:color w:val="373737"/>
        </w:rPr>
        <w:t xml:space="preserve">neto </w:t>
      </w:r>
      <w:r>
        <w:rPr>
          <w:color w:val="373737"/>
        </w:rPr>
        <w:t>ietekmi un atbildētu uz novērtē</w:t>
      </w:r>
      <w:r w:rsidR="00835596">
        <w:rPr>
          <w:color w:val="373737"/>
        </w:rPr>
        <w:t>šanas</w:t>
      </w:r>
      <w:r>
        <w:rPr>
          <w:color w:val="373737"/>
        </w:rPr>
        <w:t xml:space="preserve"> jautājum</w:t>
      </w:r>
      <w:r w:rsidR="00595DD1">
        <w:rPr>
          <w:color w:val="373737"/>
        </w:rPr>
        <w:t>u</w:t>
      </w:r>
      <w:r>
        <w:rPr>
          <w:color w:val="373737"/>
        </w:rPr>
        <w:t>;</w:t>
      </w:r>
    </w:p>
    <w:p w:rsidR="00FF13C7" w:rsidRPr="001C6ACF" w:rsidRDefault="00FF13C7" w:rsidP="00FF13C7">
      <w:pPr>
        <w:pStyle w:val="Hlistbullet"/>
        <w:spacing w:before="0" w:after="0" w:line="280" w:lineRule="atLeast"/>
        <w:ind w:left="502"/>
        <w:rPr>
          <w:color w:val="373737"/>
          <w:sz w:val="22"/>
        </w:rPr>
      </w:pPr>
      <w:r>
        <w:rPr>
          <w:b/>
          <w:color w:val="373737"/>
        </w:rPr>
        <w:t>SEKAS:</w:t>
      </w:r>
      <w:r>
        <w:rPr>
          <w:color w:val="373737"/>
        </w:rPr>
        <w:t xml:space="preserve"> kā lēmumi dažādos posmos ietekmē novērtēšanas izmaksas un efektivitāti.</w:t>
      </w:r>
    </w:p>
    <w:p w:rsidR="00E93BEA" w:rsidRPr="00571D58" w:rsidRDefault="009B37D9" w:rsidP="009B37D9">
      <w:pPr>
        <w:pStyle w:val="HStandard"/>
      </w:pPr>
      <w:r>
        <w:t xml:space="preserve">Šajās pamatnostādnēs iekļautajos loģikas modeļos ir izmantota pieeja, ko izstrādājis </w:t>
      </w:r>
      <w:hyperlink r:id="rId41">
        <w:r>
          <w:rPr>
            <w:rStyle w:val="Hyperlink"/>
            <w:i/>
            <w:u w:val="none"/>
          </w:rPr>
          <w:t>ENVIEVAL</w:t>
        </w:r>
      </w:hyperlink>
      <w:r>
        <w:rPr>
          <w:rStyle w:val="FootnoteReference"/>
        </w:rPr>
        <w:footnoteReference w:id="26"/>
      </w:r>
      <w:r>
        <w:t xml:space="preserve"> </w:t>
      </w:r>
      <w:hyperlink r:id="rId42">
        <w:r w:rsidR="00B97DB1">
          <w:rPr>
            <w:rStyle w:val="Hyperlink"/>
            <w:i/>
            <w:u w:val="none"/>
          </w:rPr>
          <w:t>"</w:t>
        </w:r>
        <w:r>
          <w:rPr>
            <w:rStyle w:val="Hyperlink"/>
            <w:i/>
            <w:u w:val="none"/>
          </w:rPr>
          <w:t>Metodoloģiskajā rokasgrāmatā par LAP ietekmes uz vidi novērtēšanu</w:t>
        </w:r>
        <w:r w:rsidR="00B97DB1">
          <w:rPr>
            <w:rStyle w:val="Hyperlink"/>
            <w:i/>
            <w:u w:val="none"/>
          </w:rPr>
          <w:t>"</w:t>
        </w:r>
        <w:r>
          <w:rPr>
            <w:rStyle w:val="Hyperlink"/>
            <w:i/>
            <w:u w:val="none"/>
          </w:rPr>
          <w:t>.</w:t>
        </w:r>
        <w:r>
          <w:rPr>
            <w:rStyle w:val="Hyperlink"/>
            <w:u w:val="none"/>
          </w:rPr>
          <w:t xml:space="preserve"> </w:t>
        </w:r>
      </w:hyperlink>
      <w:r>
        <w:rPr>
          <w:i/>
        </w:rPr>
        <w:t>ENVIEVAL</w:t>
      </w:r>
      <w:r>
        <w:t xml:space="preserve"> izveidoja un testēja šos uzlabotos instrumentus lauku attīstības pasākumu un programmu ietekmes uz vidi novērtēšanai ES dalībvalstīs</w:t>
      </w:r>
      <w:r>
        <w:rPr>
          <w:rStyle w:val="FootnoteReference"/>
        </w:rPr>
        <w:footnoteReference w:id="27"/>
      </w:r>
      <w:r>
        <w:t xml:space="preserve">. </w:t>
      </w:r>
    </w:p>
    <w:p w:rsidR="00AE216A" w:rsidRPr="00FB6C06" w:rsidRDefault="00AE216A" w:rsidP="00AE216A">
      <w:pPr>
        <w:pStyle w:val="HHeading4"/>
      </w:pPr>
      <w:r>
        <w:lastRenderedPageBreak/>
        <w:t>Loģikas modeļa līmeņi</w:t>
      </w:r>
    </w:p>
    <w:p w:rsidR="00AE216A" w:rsidRPr="001C6ACF" w:rsidRDefault="00AE216A" w:rsidP="00AE216A">
      <w:pPr>
        <w:pStyle w:val="HStandard"/>
        <w:rPr>
          <w:rFonts w:cs="Arial"/>
        </w:rPr>
      </w:pPr>
      <w:r>
        <w:rPr>
          <w:b/>
        </w:rPr>
        <w:t>Loģikas modeļa četru līmeņu</w:t>
      </w:r>
      <w:r>
        <w:t xml:space="preserve"> pārskats ir sniegts 2. attēlā. Šajā attēlā </w:t>
      </w:r>
      <w:r>
        <w:rPr>
          <w:b/>
        </w:rPr>
        <w:t>1. līmenī</w:t>
      </w:r>
      <w:r>
        <w:t xml:space="preserve"> ir redzams, kā noteikt </w:t>
      </w:r>
      <w:r w:rsidR="00F31C18">
        <w:t xml:space="preserve">izvērtēšanas </w:t>
      </w:r>
      <w:r>
        <w:t>satvaru. Lai to izdarītu, ir jāsaprot, kāda ir ietekmes vieta intervences loģikā, pieejamie rādītāji un vērtē</w:t>
      </w:r>
      <w:r w:rsidR="00951208">
        <w:t>šanas</w:t>
      </w:r>
      <w:r>
        <w:t xml:space="preserve"> vienība. </w:t>
      </w:r>
      <w:r>
        <w:rPr>
          <w:b/>
        </w:rPr>
        <w:t>2. līmenī</w:t>
      </w:r>
      <w:r>
        <w:t xml:space="preserve"> ir noteiktas hipotētiskās iespējas, ņemot vērā ierobežojošos faktorus. </w:t>
      </w:r>
      <w:r>
        <w:rPr>
          <w:b/>
        </w:rPr>
        <w:t>3. līmenī</w:t>
      </w:r>
      <w:r>
        <w:t xml:space="preserve"> ir sīkāk izklāstītas </w:t>
      </w:r>
      <w:r w:rsidR="006A3DCB">
        <w:t xml:space="preserve">neto </w:t>
      </w:r>
      <w:r>
        <w:t xml:space="preserve">ietekmes </w:t>
      </w:r>
      <w:r w:rsidR="006060D5">
        <w:t>iz</w:t>
      </w:r>
      <w:r>
        <w:t>vērtēšanas iespējas mikro</w:t>
      </w:r>
      <w:r w:rsidR="000618CF">
        <w:t>līmenī</w:t>
      </w:r>
      <w:r>
        <w:t xml:space="preserve"> un makrolīmenī. </w:t>
      </w:r>
      <w:r>
        <w:rPr>
          <w:b/>
        </w:rPr>
        <w:t>4. līmenī</w:t>
      </w:r>
      <w:r>
        <w:t xml:space="preserve"> tiek galīgi pārbaudīta mikro</w:t>
      </w:r>
      <w:r w:rsidR="000618CF">
        <w:t>līmeņa</w:t>
      </w:r>
      <w:r>
        <w:t xml:space="preserve"> un makrolīmeņa analīzes saskanība, lai varētu apstiprināt konstatējumus. </w:t>
      </w:r>
    </w:p>
    <w:p w:rsidR="00E93BEA" w:rsidRPr="001C6ACF" w:rsidRDefault="00E93BEA" w:rsidP="00F31C18">
      <w:pPr>
        <w:pStyle w:val="HHeadingfigures"/>
      </w:pPr>
      <w:r>
        <w:t xml:space="preserve">Loģikas modeļa līmeņu vienkāršota </w:t>
      </w:r>
      <w:r w:rsidR="00AA27BE">
        <w:t>blokshēma</w:t>
      </w:r>
    </w:p>
    <w:p w:rsidR="00E93BEA" w:rsidRPr="00571D58" w:rsidRDefault="00F67434" w:rsidP="00E93BEA">
      <w:pPr>
        <w:pStyle w:val="HStandard"/>
        <w:jc w:val="center"/>
      </w:pPr>
      <w:r w:rsidRPr="00F67434">
        <w:rPr>
          <w:noProof/>
          <w:lang w:val="en-GB" w:eastAsia="en-GB" w:bidi="lo-LA"/>
        </w:rPr>
        <w:drawing>
          <wp:inline distT="0" distB="0" distL="0" distR="0" wp14:anchorId="062BE1F2" wp14:editId="5C87A4BA">
            <wp:extent cx="5731510" cy="3408635"/>
            <wp:effectExtent l="0" t="0" r="254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3408635"/>
                    </a:xfrm>
                    <a:prstGeom prst="rect">
                      <a:avLst/>
                    </a:prstGeom>
                    <a:noFill/>
                    <a:ln>
                      <a:noFill/>
                    </a:ln>
                  </pic:spPr>
                </pic:pic>
              </a:graphicData>
            </a:graphic>
          </wp:inline>
        </w:drawing>
      </w:r>
    </w:p>
    <w:p w:rsidR="004F365B" w:rsidRPr="001C6ACF" w:rsidRDefault="004F365B" w:rsidP="004F365B">
      <w:pPr>
        <w:pStyle w:val="HSource"/>
        <w:rPr>
          <w:i w:val="0"/>
        </w:rPr>
      </w:pPr>
      <w:r>
        <w:t xml:space="preserve">Avots: Eiropas Novērtēšanas palīdzības dienests lauku attīstības jautājumos (2018), pārņemts no </w:t>
      </w:r>
      <w:r w:rsidRPr="00F67434">
        <w:rPr>
          <w:i w:val="0"/>
          <w:iCs/>
        </w:rPr>
        <w:t>ENVIEVAL</w:t>
      </w:r>
      <w:r w:rsidR="00B97DB1">
        <w:t xml:space="preserve"> (2015) "</w:t>
      </w:r>
      <w:r>
        <w:t>Metodoloģiskā rokasgrāmata par L</w:t>
      </w:r>
      <w:r w:rsidR="00B97DB1">
        <w:t>AP ietekmes uz vidi novērtēšanu"</w:t>
      </w:r>
      <w:r>
        <w:t>, D9.5 ziņojums</w:t>
      </w:r>
      <w:r w:rsidR="00595DD1">
        <w:t>,</w:t>
      </w:r>
      <w:r>
        <w:t xml:space="preserve"> Brisele</w:t>
      </w:r>
      <w:r w:rsidR="00595DD1">
        <w:t>,</w:t>
      </w:r>
      <w:r>
        <w:t xml:space="preserve"> Eiropas Komisija. </w:t>
      </w:r>
    </w:p>
    <w:p w:rsidR="00B52943" w:rsidRDefault="00B52943" w:rsidP="00AE216A">
      <w:pPr>
        <w:pStyle w:val="HStandard"/>
        <w:rPr>
          <w:rFonts w:cs="Arial"/>
        </w:rPr>
      </w:pPr>
    </w:p>
    <w:p w:rsidR="00AE216A" w:rsidRPr="001C6ACF" w:rsidRDefault="00AE216A" w:rsidP="00AE216A">
      <w:pPr>
        <w:pStyle w:val="HStandard"/>
        <w:rPr>
          <w:rFonts w:cs="Arial"/>
        </w:rPr>
      </w:pPr>
      <w:r>
        <w:t xml:space="preserve">Loģikas modeļa līmeņi tiek izmantoti kā atsauces punkts, aprakstot KLP ietekmes rādītāju </w:t>
      </w:r>
      <w:r w:rsidR="00595DD1">
        <w:t xml:space="preserve">ieteicamās </w:t>
      </w:r>
      <w:r>
        <w:t xml:space="preserve">novērtēšanas pieejas (skatīt 2.2.–2.9. nodaļu). </w:t>
      </w:r>
    </w:p>
    <w:p w:rsidR="006B44E5" w:rsidRPr="001C6ACF" w:rsidRDefault="006B44E5">
      <w:pPr>
        <w:spacing w:before="0" w:after="0" w:line="240" w:lineRule="auto"/>
        <w:jc w:val="left"/>
        <w:rPr>
          <w:b/>
          <w:color w:val="57825E" w:themeColor="accent4"/>
          <w:sz w:val="20"/>
          <w:szCs w:val="20"/>
        </w:rPr>
      </w:pPr>
      <w:r>
        <w:br w:type="page"/>
      </w:r>
    </w:p>
    <w:p w:rsidR="00E93BEA" w:rsidRPr="001C6ACF" w:rsidRDefault="00C567FD" w:rsidP="00E93BEA">
      <w:pPr>
        <w:pStyle w:val="HHeading4"/>
      </w:pPr>
      <w:r>
        <w:lastRenderedPageBreak/>
        <w:t>Iz</w:t>
      </w:r>
      <w:r w:rsidR="00E93BEA">
        <w:t>vērtējuma satvara noteikšana (1. līmenis)</w:t>
      </w:r>
    </w:p>
    <w:p w:rsidR="00E93BEA" w:rsidRPr="007645B4" w:rsidRDefault="000B213F" w:rsidP="00E93BEA">
      <w:pPr>
        <w:pStyle w:val="HStandard"/>
        <w:rPr>
          <w:rFonts w:cs="Arial"/>
        </w:rPr>
      </w:pPr>
      <w:r>
        <w:rPr>
          <w:b/>
          <w:i/>
          <w:noProof/>
          <w:color w:val="F07E31" w:themeColor="accent1"/>
          <w:lang w:val="en-GB" w:eastAsia="en-GB" w:bidi="lo-LA"/>
        </w:rPr>
        <mc:AlternateContent>
          <mc:Choice Requires="wps">
            <w:drawing>
              <wp:anchor distT="0" distB="0" distL="114300" distR="114300" simplePos="0" relativeHeight="251729408" behindDoc="0" locked="0" layoutInCell="1" allowOverlap="1" wp14:anchorId="743D5241" wp14:editId="6F898617">
                <wp:simplePos x="0" y="0"/>
                <wp:positionH relativeFrom="margin">
                  <wp:posOffset>-38100</wp:posOffset>
                </wp:positionH>
                <wp:positionV relativeFrom="paragraph">
                  <wp:posOffset>88900</wp:posOffset>
                </wp:positionV>
                <wp:extent cx="2286000" cy="2438400"/>
                <wp:effectExtent l="0" t="0" r="19050" b="19050"/>
                <wp:wrapThrough wrapText="bothSides">
                  <wp:wrapPolygon edited="0">
                    <wp:start x="900" y="0"/>
                    <wp:lineTo x="0" y="844"/>
                    <wp:lineTo x="0" y="21600"/>
                    <wp:lineTo x="20880" y="21600"/>
                    <wp:lineTo x="20880" y="21600"/>
                    <wp:lineTo x="21600" y="20925"/>
                    <wp:lineTo x="21600" y="0"/>
                    <wp:lineTo x="900" y="0"/>
                  </wp:wrapPolygon>
                </wp:wrapThrough>
                <wp:docPr id="33"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2438400"/>
                        </a:xfrm>
                        <a:prstGeom prst="round2DiagRect">
                          <a:avLst>
                            <a:gd name="adj1" fmla="val 8733"/>
                            <a:gd name="adj2" fmla="val 0"/>
                          </a:avLst>
                        </a:prstGeom>
                        <a:noFill/>
                        <a:ln w="25400" cap="flat" cmpd="sng" algn="ctr">
                          <a:solidFill>
                            <a:srgbClr val="BE4A35"/>
                          </a:solidFill>
                          <a:prstDash val="solid"/>
                        </a:ln>
                        <a:effectLst/>
                      </wps:spPr>
                      <wps:txbx>
                        <w:txbxContent>
                          <w:p w:rsidR="00A472D8" w:rsidRPr="00044269" w:rsidRDefault="00A472D8" w:rsidP="005166F3">
                            <w:pPr>
                              <w:pStyle w:val="HHeading4"/>
                              <w:spacing w:before="0"/>
                              <w:jc w:val="both"/>
                              <w:rPr>
                                <w:b w:val="0"/>
                                <w:i/>
                                <w:color w:val="F07E31" w:themeColor="accent1"/>
                                <w:sz w:val="18"/>
                              </w:rPr>
                            </w:pPr>
                            <w:r>
                              <w:rPr>
                                <w:noProof/>
                                <w:color w:val="373737"/>
                                <w:lang w:val="en-GB" w:eastAsia="en-GB" w:bidi="lo-LA"/>
                              </w:rPr>
                              <w:drawing>
                                <wp:inline distT="0" distB="0" distL="0" distR="0" wp14:anchorId="09B44BBC" wp14:editId="64CA1601">
                                  <wp:extent cx="664845" cy="487680"/>
                                  <wp:effectExtent l="0" t="0" r="0" b="7620"/>
                                  <wp:docPr id="19"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Konkrētas ietekmes </w:t>
                            </w:r>
                            <w:r>
                              <w:rPr>
                                <w:b w:val="0"/>
                                <w:color w:val="373737" w:themeColor="text1"/>
                              </w:rPr>
                              <w:t xml:space="preserve">(uz nozari, vidi vai sociālekonomiskas ietekmes) </w:t>
                            </w:r>
                            <w:r>
                              <w:rPr>
                                <w:color w:val="373737" w:themeColor="text1"/>
                              </w:rPr>
                              <w:t>izvērtēšana</w:t>
                            </w:r>
                            <w:r>
                              <w:rPr>
                                <w:b w:val="0"/>
                                <w:color w:val="373737" w:themeColor="text1"/>
                              </w:rPr>
                              <w:t xml:space="preserve"> sākas ar saskanīga novērtējuma satvara noteikšanu. Tas palīdz ieviest skaidrību par ietekmes vietu intervences loģikā un norāda uz pieejamajiem rādītājiem un analīzes vienībām tās novērtēšanai.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43D5241" id="_x0000_s1031" style="position:absolute;left:0;text-align:left;margin-left:-3pt;margin-top:7pt;width:180pt;height:192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coordsize="2286000,2438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" adj="-11796480,,5400" path="m199636,l2286000,r,l2286000,2238764v,110256,-89380,199636,-199636,199636l,2438400r,l,199636c,89380,89380,,199636,xe" filled="f" strokecolor="#be4a35" strokeweight="2pt">
                <v:stroke joinstyle="miter"/>
                <v:formulas/>
                <v:path arrowok="t" o:connecttype="custom" o:connectlocs="199636,0;2286000,0;2286000,0;2286000,2238764;2086364,2438400;0,2438400;0,2438400;0,199636;199636,0" o:connectangles="0,0,0,0,0,0,0,0,0" textboxrect="0,0,2286000,2438400"/>
                <v:textbox>
                  <w:txbxContent>
                    <w:p w:rsidR="00A472D8" w:rsidRPr="00044269" w:rsidRDefault="00A472D8" w:rsidP="005166F3">
                      <w:pPr>
                        <w:pStyle w:val="HHeading4"/>
                        <w:spacing w:before="0"/>
                        <w:jc w:val="both"/>
                        <w:rPr>
                          <w:b w:val="0"/>
                          <w:i/>
                          <w:color w:val="F07E31" w:themeColor="accent1"/>
                          <w:sz w:val="18"/>
                        </w:rPr>
                      </w:pPr>
                      <w:r>
                        <w:rPr>
                          <w:noProof/>
                          <w:color w:val="373737"/>
                          <w:lang w:val="en-GB" w:eastAsia="en-GB" w:bidi="lo-LA"/>
                        </w:rPr>
                        <w:drawing>
                          <wp:inline distT="0" distB="0" distL="0" distR="0" wp14:anchorId="09B44BBC" wp14:editId="64CA1601">
                            <wp:extent cx="664845" cy="487680"/>
                            <wp:effectExtent l="0" t="0" r="0" b="7620"/>
                            <wp:docPr id="19"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Konkrētas ietekmes </w:t>
                      </w:r>
                      <w:r>
                        <w:rPr>
                          <w:b w:val="0"/>
                          <w:color w:val="373737" w:themeColor="text1"/>
                        </w:rPr>
                        <w:t xml:space="preserve">(uz nozari, vidi vai sociālekonomiskas ietekmes) </w:t>
                      </w:r>
                      <w:r>
                        <w:rPr>
                          <w:color w:val="373737" w:themeColor="text1"/>
                        </w:rPr>
                        <w:t>izvērtēšana</w:t>
                      </w:r>
                      <w:r>
                        <w:rPr>
                          <w:b w:val="0"/>
                          <w:color w:val="373737" w:themeColor="text1"/>
                        </w:rPr>
                        <w:t xml:space="preserve"> sākas ar saskanīga novērtējuma satvara noteikšanu. Tas palīdz ieviest skaidrību par ietekmes vietu intervences loģikā un norāda uz pieejamajiem rādītājiem un analīzes vienībām tās novērtēšanai.</w:t>
                      </w:r>
                    </w:p>
                  </w:txbxContent>
                </v:textbox>
                <w10:wrap type="through" anchorx="margin"/>
              </v:shape>
            </w:pict>
          </mc:Fallback>
        </mc:AlternateContent>
      </w:r>
      <w:r w:rsidR="00C567FD">
        <w:t>Iz</w:t>
      </w:r>
      <w:r>
        <w:t>vērtējuma satvaru var izveidot, veicot turpmāk norādītos soļus.</w:t>
      </w:r>
    </w:p>
    <w:p w:rsidR="00E93BEA" w:rsidRPr="001C6ACF" w:rsidRDefault="0084519A" w:rsidP="00E93BEA">
      <w:pPr>
        <w:pStyle w:val="HStandard"/>
        <w:rPr>
          <w:rFonts w:cs="Arial"/>
        </w:rPr>
      </w:pPr>
      <w:r>
        <w:rPr>
          <w:b/>
          <w:color w:val="F07E31" w:themeColor="accent1"/>
        </w:rPr>
        <w:t>1. solis.</w:t>
      </w:r>
      <w:r>
        <w:rPr>
          <w:i/>
        </w:rPr>
        <w:t xml:space="preserve"> </w:t>
      </w:r>
      <w:r>
        <w:rPr>
          <w:b/>
          <w:color w:val="F07E31" w:themeColor="accent1"/>
        </w:rPr>
        <w:t xml:space="preserve">Paskaidrot </w:t>
      </w:r>
      <w:r w:rsidR="000D6687" w:rsidRPr="000D6687">
        <w:rPr>
          <w:b/>
          <w:i/>
          <w:color w:val="F07E31" w:themeColor="accent1"/>
        </w:rPr>
        <w:t>CMES</w:t>
      </w:r>
      <w:r>
        <w:rPr>
          <w:b/>
          <w:color w:val="F07E31" w:themeColor="accent1"/>
        </w:rPr>
        <w:t xml:space="preserve"> intervences loģiku.</w:t>
      </w:r>
      <w:r>
        <w:t xml:space="preserve"> Intervences loģikā ir norādīta politikas mērķu hierarhija saistībā ar attiecīgajiem novērtē</w:t>
      </w:r>
      <w:r w:rsidR="00835596">
        <w:t>šanas</w:t>
      </w:r>
      <w:r>
        <w:t xml:space="preserve"> jautājumiem, pasākumiem un prioritārajām jomām, kā arī </w:t>
      </w:r>
      <w:r>
        <w:rPr>
          <w:b/>
        </w:rPr>
        <w:t xml:space="preserve">saistītajiem </w:t>
      </w:r>
      <w:r w:rsidR="000D6687" w:rsidRPr="000D6687">
        <w:rPr>
          <w:b/>
          <w:i/>
        </w:rPr>
        <w:t>CMES</w:t>
      </w:r>
      <w:r>
        <w:rPr>
          <w:b/>
        </w:rPr>
        <w:t xml:space="preserve"> iznākuma, rezultātu un ietekmes rādītājiem.</w:t>
      </w:r>
      <w:r>
        <w:t xml:space="preserve"> Rādītāji tiek pārskatīti pieejamo datu kontekstā.</w:t>
      </w:r>
    </w:p>
    <w:p w:rsidR="000C2540" w:rsidRPr="001C6ACF" w:rsidRDefault="0084519A" w:rsidP="000C2540">
      <w:pPr>
        <w:pStyle w:val="HStandard"/>
        <w:rPr>
          <w:rFonts w:cs="Arial"/>
          <w:bCs/>
        </w:rPr>
      </w:pPr>
      <w:r>
        <w:rPr>
          <w:b/>
          <w:color w:val="F07E31" w:themeColor="accent1"/>
        </w:rPr>
        <w:t xml:space="preserve">2. solis. Atlasīt papildu (rezultātu un/vai ietekmes) rādītājus. </w:t>
      </w:r>
      <w:r>
        <w:t xml:space="preserve">Šie rādītāji var papildināt obligātos </w:t>
      </w:r>
      <w:r w:rsidR="000D6687" w:rsidRPr="000D6687">
        <w:rPr>
          <w:i/>
        </w:rPr>
        <w:t>CMES</w:t>
      </w:r>
      <w:r>
        <w:t xml:space="preserve"> rādītājus. </w:t>
      </w:r>
      <w:r>
        <w:rPr>
          <w:b/>
        </w:rPr>
        <w:t>Papildu rādītāju lietošana ir brīvprātīga</w:t>
      </w:r>
      <w:r>
        <w:t xml:space="preserve"> un būtu rūpīgi jāapsver, ņemot vērā izmaksas, pieejamos datus, piemērotību </w:t>
      </w:r>
      <w:r w:rsidR="006060D5">
        <w:t xml:space="preserve">izvērtēšanai </w:t>
      </w:r>
      <w:r>
        <w:t xml:space="preserve">un </w:t>
      </w:r>
      <w:r w:rsidR="002340B6">
        <w:t xml:space="preserve">tās </w:t>
      </w:r>
      <w:r>
        <w:t xml:space="preserve">pievienoto vērtību. Papildu rādītāji var būt </w:t>
      </w:r>
      <w:r w:rsidR="002340B6">
        <w:t>no</w:t>
      </w:r>
      <w:r>
        <w:t>derīgi, lai noteiktu neto rezultātus un ietekmi, ja dati par kop</w:t>
      </w:r>
      <w:r w:rsidR="00B23B3A">
        <w:t>ē</w:t>
      </w:r>
      <w:r w:rsidR="0001311F">
        <w:t>jiem</w:t>
      </w:r>
      <w:r>
        <w:t xml:space="preserve"> rādītājiem nav pietiekami vai ja ir jānovērš iztrūkum</w:t>
      </w:r>
      <w:r w:rsidR="002340B6">
        <w:t>i</w:t>
      </w:r>
      <w:r>
        <w:t xml:space="preserve"> kop</w:t>
      </w:r>
      <w:r w:rsidR="00B23B3A">
        <w:t>ēj</w:t>
      </w:r>
      <w:r w:rsidR="0001311F">
        <w:t>os</w:t>
      </w:r>
      <w:r>
        <w:t xml:space="preserve"> rezultātu un ietekmes rādītājos. Papildu rādītāji pēc būtības var būt arī kvalitatīvi (piemēram, kā ieinteresētās personas uztver izmaiņas, pamatojoties uz </w:t>
      </w:r>
      <w:r>
        <w:rPr>
          <w:i/>
        </w:rPr>
        <w:t>Likert</w:t>
      </w:r>
      <w:r>
        <w:t xml:space="preserve"> skalu), lai papildinātu kvantitatīvos pierādījumus vai gadījumā, ja nav pieejami alternatīvi izmērāmi pierādījumi. </w:t>
      </w:r>
    </w:p>
    <w:p w:rsidR="00560A1E" w:rsidRPr="001C6ACF" w:rsidRDefault="0084519A" w:rsidP="00E93BEA">
      <w:pPr>
        <w:pStyle w:val="HStandard"/>
        <w:rPr>
          <w:rFonts w:cs="Arial"/>
        </w:rPr>
      </w:pPr>
      <w:r>
        <w:rPr>
          <w:b/>
          <w:color w:val="F07E31" w:themeColor="accent1"/>
        </w:rPr>
        <w:t>3. solis. N</w:t>
      </w:r>
      <w:r w:rsidR="00B97DB1">
        <w:rPr>
          <w:b/>
          <w:color w:val="F07E31" w:themeColor="accent1"/>
        </w:rPr>
        <w:t>oteikt analīzes vienību (= "</w:t>
      </w:r>
      <w:r>
        <w:rPr>
          <w:b/>
          <w:color w:val="F07E31" w:themeColor="accent1"/>
        </w:rPr>
        <w:t>m</w:t>
      </w:r>
      <w:r w:rsidR="00B97DB1">
        <w:rPr>
          <w:b/>
          <w:color w:val="F07E31" w:themeColor="accent1"/>
        </w:rPr>
        <w:t>azāko organizētas sistēmas daļu"</w:t>
      </w:r>
      <w:r>
        <w:rPr>
          <w:b/>
          <w:color w:val="F07E31" w:themeColor="accent1"/>
        </w:rPr>
        <w:t>) mikro</w:t>
      </w:r>
      <w:r w:rsidR="000618CF">
        <w:rPr>
          <w:b/>
          <w:color w:val="F07E31" w:themeColor="accent1"/>
        </w:rPr>
        <w:t>līmeņa</w:t>
      </w:r>
      <w:r>
        <w:rPr>
          <w:b/>
          <w:color w:val="F07E31" w:themeColor="accent1"/>
        </w:rPr>
        <w:t xml:space="preserve"> un makrolīmeņa </w:t>
      </w:r>
      <w:r w:rsidR="006060D5">
        <w:rPr>
          <w:b/>
          <w:color w:val="F07E31" w:themeColor="accent1"/>
        </w:rPr>
        <w:t>iz</w:t>
      </w:r>
      <w:r>
        <w:rPr>
          <w:b/>
          <w:color w:val="F07E31" w:themeColor="accent1"/>
        </w:rPr>
        <w:t xml:space="preserve">vērtējumam (ja vajadzīgs). </w:t>
      </w:r>
      <w:r>
        <w:t xml:space="preserve">Analīzes vienība mikrolīmenī var būs saimniecības, zemes gabali, kopienas vai reģioni, savukārt makrolīmenī tā var būt sateces baseins, reģionāla vienība vai visa LAP teritorija. Izmantojot noteikto analīzes vienību, ar rādītāju var mērīt LAP intervenču izraisītas izmaiņas zemes apsaimniekošanā, kā arī vides, nozares vai sociālekonomiskās izmaiņas. Attiecīgie dati būtu jāvāc par tās pašas vienības kategoriju, un </w:t>
      </w:r>
      <w:r w:rsidR="002340B6">
        <w:t xml:space="preserve">tajos </w:t>
      </w:r>
      <w:r>
        <w:t xml:space="preserve">jāietver programmas </w:t>
      </w:r>
      <w:r w:rsidR="00A4550A">
        <w:t>saņēmēji</w:t>
      </w:r>
      <w:r>
        <w:t xml:space="preserve"> un </w:t>
      </w:r>
      <w:r w:rsidR="00A4550A">
        <w:t>subjekti</w:t>
      </w:r>
      <w:r>
        <w:t xml:space="preserve">, kas </w:t>
      </w:r>
      <w:r w:rsidR="00A4550A">
        <w:t>nav saņēmēji</w:t>
      </w:r>
      <w:r>
        <w:t>.</w:t>
      </w:r>
    </w:p>
    <w:p w:rsidR="00E93BEA" w:rsidRPr="001C6ACF" w:rsidRDefault="00E93BEA" w:rsidP="00E93BEA">
      <w:pPr>
        <w:pStyle w:val="HHeading4"/>
      </w:pPr>
      <w:r>
        <w:t>Hipotētiskā scenārija sagatavošana (2. līmenis)</w:t>
      </w:r>
    </w:p>
    <w:p w:rsidR="00391ECD" w:rsidRPr="001C6ACF" w:rsidRDefault="000B213F" w:rsidP="002D4AB7">
      <w:pPr>
        <w:pStyle w:val="HStandard"/>
        <w:rPr>
          <w:rFonts w:cs="Arial"/>
        </w:rPr>
      </w:pPr>
      <w:r>
        <w:rPr>
          <w:b/>
          <w:i/>
          <w:noProof/>
          <w:color w:val="F07E31" w:themeColor="accent1"/>
          <w:lang w:val="en-GB" w:eastAsia="en-GB" w:bidi="lo-LA"/>
        </w:rPr>
        <mc:AlternateContent>
          <mc:Choice Requires="wps">
            <w:drawing>
              <wp:anchor distT="0" distB="0" distL="114300" distR="114300" simplePos="0" relativeHeight="251730432" behindDoc="0" locked="0" layoutInCell="1" allowOverlap="1" wp14:anchorId="65FD8BBA" wp14:editId="4AE65EFF">
                <wp:simplePos x="0" y="0"/>
                <wp:positionH relativeFrom="column">
                  <wp:posOffset>3238500</wp:posOffset>
                </wp:positionH>
                <wp:positionV relativeFrom="paragraph">
                  <wp:posOffset>41275</wp:posOffset>
                </wp:positionV>
                <wp:extent cx="2447925" cy="1581150"/>
                <wp:effectExtent l="0" t="0" r="28575" b="19050"/>
                <wp:wrapThrough wrapText="bothSides">
                  <wp:wrapPolygon edited="0">
                    <wp:start x="336" y="0"/>
                    <wp:lineTo x="0" y="781"/>
                    <wp:lineTo x="0" y="21600"/>
                    <wp:lineTo x="21348" y="21600"/>
                    <wp:lineTo x="21516" y="21600"/>
                    <wp:lineTo x="21684" y="20819"/>
                    <wp:lineTo x="21684" y="0"/>
                    <wp:lineTo x="336" y="0"/>
                  </wp:wrapPolygon>
                </wp:wrapThrough>
                <wp:docPr id="38"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1581150"/>
                        </a:xfrm>
                        <a:prstGeom prst="round2DiagRect">
                          <a:avLst>
                            <a:gd name="adj1" fmla="val 8733"/>
                            <a:gd name="adj2" fmla="val 0"/>
                          </a:avLst>
                        </a:prstGeom>
                        <a:noFill/>
                        <a:ln w="25400" cap="flat" cmpd="sng" algn="ctr">
                          <a:solidFill>
                            <a:srgbClr val="BE4A35"/>
                          </a:solidFill>
                          <a:prstDash val="solid"/>
                        </a:ln>
                        <a:effectLst/>
                      </wps:spPr>
                      <wps:txbx>
                        <w:txbxContent>
                          <w:p w:rsidR="00A472D8" w:rsidRPr="00044269" w:rsidRDefault="00A472D8" w:rsidP="005166F3">
                            <w:pPr>
                              <w:pStyle w:val="HHeading4"/>
                              <w:spacing w:before="0"/>
                              <w:jc w:val="both"/>
                              <w:rPr>
                                <w:b w:val="0"/>
                                <w:i/>
                                <w:color w:val="373737" w:themeColor="text1"/>
                                <w:sz w:val="18"/>
                              </w:rPr>
                            </w:pPr>
                            <w:r>
                              <w:rPr>
                                <w:noProof/>
                                <w:color w:val="373737" w:themeColor="text1"/>
                                <w:lang w:val="en-GB" w:eastAsia="en-GB" w:bidi="lo-LA"/>
                              </w:rPr>
                              <w:drawing>
                                <wp:inline distT="0" distB="0" distL="0" distR="0" wp14:anchorId="34EB4642" wp14:editId="40F31796">
                                  <wp:extent cx="664845" cy="487680"/>
                                  <wp:effectExtent l="0" t="0" r="0" b="7620"/>
                                  <wp:docPr id="90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Programmas ietekmi </w:t>
                            </w:r>
                            <w:r>
                              <w:rPr>
                                <w:b w:val="0"/>
                                <w:color w:val="373737" w:themeColor="text1"/>
                              </w:rPr>
                              <w:t>nekad nevar novērot tieši citu intervences faktoru dēļ, un tāpēc tās ietekmes izvērtēšanai ir jāizmanto hipotētiska analīze.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FD8BBA" id="_x0000_s1032" style="position:absolute;left:0;text-align:left;margin-left:255pt;margin-top:3.25pt;width:192.75pt;height:124.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47925,1581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" adj="-11796480,,5400" path="m138082,l2447925,r,l2447925,1443068v,76261,-61821,138082,-138082,138082l,1581150r,l,138082c,61821,61821,,138082,xe" filled="f" strokecolor="#be4a35" strokeweight="2pt">
                <v:stroke joinstyle="miter"/>
                <v:formulas/>
                <v:path arrowok="t" o:connecttype="custom" o:connectlocs="138082,0;2447925,0;2447925,0;2447925,1443068;2309843,1581150;0,1581150;0,1581150;0,138082;138082,0" o:connectangles="0,0,0,0,0,0,0,0,0" textboxrect="0,0,2447925,1581150"/>
                <v:textbox>
                  <w:txbxContent>
                    <w:p w:rsidR="00A472D8" w:rsidRPr="00044269" w:rsidRDefault="00A472D8" w:rsidP="005166F3">
                      <w:pPr>
                        <w:pStyle w:val="HHeading4"/>
                        <w:spacing w:before="0"/>
                        <w:jc w:val="both"/>
                        <w:rPr>
                          <w:b w:val="0"/>
                          <w:i/>
                          <w:color w:val="373737" w:themeColor="text1"/>
                          <w:sz w:val="18"/>
                        </w:rPr>
                      </w:pPr>
                      <w:r>
                        <w:rPr>
                          <w:noProof/>
                          <w:color w:val="373737" w:themeColor="text1"/>
                          <w:lang w:val="en-GB" w:eastAsia="en-GB" w:bidi="lo-LA"/>
                        </w:rPr>
                        <w:drawing>
                          <wp:inline distT="0" distB="0" distL="0" distR="0" wp14:anchorId="34EB4642" wp14:editId="40F31796">
                            <wp:extent cx="664845" cy="487680"/>
                            <wp:effectExtent l="0" t="0" r="0" b="7620"/>
                            <wp:docPr id="90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Programmas ietekmi </w:t>
                      </w:r>
                      <w:r>
                        <w:rPr>
                          <w:b w:val="0"/>
                          <w:color w:val="373737" w:themeColor="text1"/>
                        </w:rPr>
                        <w:t>nekad nevar novērot tieši citu intervences faktoru dēļ, un tāpēc tās ietekmes izvērtēšanai ir jāizmanto hipotētiska analīze.</w:t>
                      </w:r>
                    </w:p>
                  </w:txbxContent>
                </v:textbox>
                <w10:wrap type="through"/>
              </v:shape>
            </w:pict>
          </mc:Fallback>
        </mc:AlternateContent>
      </w:r>
      <w:r>
        <w:t xml:space="preserve">Programmas ietekme ir konkrēta iznākuma vērtības (piemēram, bruto pievienotās vērtības vai darbaspēka produktivitātes) starpība tai pašai vienībai, izmantojot programmu un bez tās. Šī definīcija ir spēkā visām analīzes vienībām (piemēram, personai, saimniecībai, uzņēmumam, zemes gabalam, kopienai, ciematam, reģionam, programmas </w:t>
      </w:r>
      <w:r w:rsidR="00F44053">
        <w:t xml:space="preserve">plānošanas </w:t>
      </w:r>
      <w:r>
        <w:t>teritorijai vai valstij) un visiem iznākumiem (izteiktiem nozares, vides vai sociālekonomiskos rādītājos), kas var būt ticami saistīti ar programmu.</w:t>
      </w:r>
    </w:p>
    <w:p w:rsidR="002D4AB7" w:rsidRPr="001C6ACF" w:rsidRDefault="002D4AB7" w:rsidP="002D4AB7">
      <w:pPr>
        <w:pStyle w:val="HStandard"/>
        <w:rPr>
          <w:rFonts w:cs="Arial"/>
        </w:rPr>
      </w:pPr>
      <w:r>
        <w:t xml:space="preserve">2. līmenis palīdz vērtētājam noteikt hipotētisko iespēju veidu(-us), kurus var konstruēt ar pieejamajiem datiem. Tajā ir ņemti vērā vairāki ierobežojošie faktori (piemēram, nepietiekami daudz datu, īstermiņa novērtēšanas līgumi, ierobežotas novērtēšanas spējas), un tas arī palīdz noteikt dzīvotspējīgus "otrus labākos" risinājumus (piemēram, ietekmes uz vidi </w:t>
      </w:r>
      <w:r w:rsidR="006060D5">
        <w:t>iz</w:t>
      </w:r>
      <w:r>
        <w:t xml:space="preserve">vērtēšanai). Ir svarīgi sistemātiski pētīt iespējas izstrādāt hipotētisku scenāriju pat tad, ja nav datu. Tas sniedz vērtīgu informāciju par nosacījumiem, kas jāizpilda, lai piemērotu noturīgu hipotētisko scenāriju, un parāda alternatīvas iespējas (piemēram, </w:t>
      </w:r>
      <w:r w:rsidR="002340B6">
        <w:t xml:space="preserve">neskartu </w:t>
      </w:r>
      <w:r>
        <w:t xml:space="preserve">grupu salīdzinājumus, kvalitatīvus vērtējumus). </w:t>
      </w:r>
    </w:p>
    <w:p w:rsidR="00A41C7D" w:rsidRPr="001C6ACF" w:rsidRDefault="00E93BEA" w:rsidP="000B6372">
      <w:pPr>
        <w:pStyle w:val="HStandard"/>
      </w:pPr>
      <w:r>
        <w:lastRenderedPageBreak/>
        <w:t>Loģikas modelī hipotētiskais līmenis tiek piemērots gan mikro</w:t>
      </w:r>
      <w:r w:rsidR="000618CF">
        <w:t>līmeņa</w:t>
      </w:r>
      <w:r>
        <w:t xml:space="preserve">, gan makrolīmeņa </w:t>
      </w:r>
      <w:r w:rsidR="00132FBB">
        <w:t>iz</w:t>
      </w:r>
      <w:r>
        <w:t>vērtējum</w:t>
      </w:r>
      <w:r w:rsidR="002340B6">
        <w:t>os</w:t>
      </w:r>
      <w:r>
        <w:t xml:space="preserve"> un ir saistīts ar novērtēšanas pieejas un metožu izvēli. </w:t>
      </w:r>
      <w:r>
        <w:rPr>
          <w:b/>
        </w:rPr>
        <w:t>Programmas vērtētājs var pieņemt lēmumu par to, kurā līmenī (mikro</w:t>
      </w:r>
      <w:r w:rsidR="000618CF">
        <w:rPr>
          <w:b/>
        </w:rPr>
        <w:t>līmenī</w:t>
      </w:r>
      <w:r>
        <w:rPr>
          <w:b/>
        </w:rPr>
        <w:t>/makro</w:t>
      </w:r>
      <w:r w:rsidR="000618CF">
        <w:rPr>
          <w:b/>
        </w:rPr>
        <w:t>līmenī</w:t>
      </w:r>
      <w:r>
        <w:rPr>
          <w:b/>
        </w:rPr>
        <w:t>) veikt programmas ietekmes analīzi.</w:t>
      </w:r>
      <w:r>
        <w:t xml:space="preserve"> Šis lēmums būs atkarīgs no pieejamajiem datiem, un </w:t>
      </w:r>
      <w:r w:rsidR="002340B6">
        <w:t>to pieņem, pirms tiek izvēlēta</w:t>
      </w:r>
      <w:r>
        <w:t xml:space="preserve"> analīzes vienība, kurai tiks vākti dati (ekonomiski, vides vai sociālekonomiski). </w:t>
      </w:r>
    </w:p>
    <w:p w:rsidR="00A41C7D" w:rsidRPr="00571D58" w:rsidRDefault="00C87859">
      <w:pPr>
        <w:spacing w:before="0" w:after="0" w:line="240" w:lineRule="auto"/>
        <w:jc w:val="left"/>
        <w:rPr>
          <w:color w:val="373737" w:themeColor="text1"/>
          <w:sz w:val="20"/>
          <w:szCs w:val="20"/>
        </w:rPr>
      </w:pPr>
      <w:r>
        <w:rPr>
          <w:noProof/>
          <w:lang w:val="en-GB" w:eastAsia="en-GB" w:bidi="lo-LA"/>
        </w:rPr>
        <mc:AlternateContent>
          <mc:Choice Requires="wps">
            <w:drawing>
              <wp:anchor distT="0" distB="0" distL="114300" distR="114300" simplePos="0" relativeHeight="251732480" behindDoc="0" locked="0" layoutInCell="1" allowOverlap="1" wp14:anchorId="35A90496" wp14:editId="3021C9E8">
                <wp:simplePos x="0" y="0"/>
                <wp:positionH relativeFrom="margin">
                  <wp:align>right</wp:align>
                </wp:positionH>
                <wp:positionV relativeFrom="paragraph">
                  <wp:posOffset>86360</wp:posOffset>
                </wp:positionV>
                <wp:extent cx="5731510" cy="1600200"/>
                <wp:effectExtent l="0" t="0" r="21590" b="19050"/>
                <wp:wrapNone/>
                <wp:docPr id="46"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600200"/>
                        </a:xfrm>
                        <a:prstGeom prst="round2DiagRect">
                          <a:avLst>
                            <a:gd name="adj1" fmla="val 8733"/>
                            <a:gd name="adj2" fmla="val 0"/>
                          </a:avLst>
                        </a:prstGeom>
                        <a:noFill/>
                        <a:ln w="25400" cap="flat" cmpd="sng" algn="ctr">
                          <a:solidFill>
                            <a:srgbClr val="BE4A35"/>
                          </a:solidFill>
                          <a:prstDash val="solid"/>
                        </a:ln>
                        <a:effectLst/>
                      </wps:spPr>
                      <wps:txbx>
                        <w:txbxContent>
                          <w:p w:rsidR="00A472D8" w:rsidRPr="009B4B57" w:rsidRDefault="00A472D8" w:rsidP="005166F3">
                            <w:pPr>
                              <w:pStyle w:val="HHeading4"/>
                              <w:spacing w:before="0"/>
                              <w:jc w:val="both"/>
                              <w:rPr>
                                <w:rFonts w:cs="Arial"/>
                                <w:b w:val="0"/>
                                <w:color w:val="373737" w:themeColor="text1"/>
                              </w:rPr>
                            </w:pPr>
                            <w:r>
                              <w:rPr>
                                <w:noProof/>
                                <w:color w:val="373737" w:themeColor="text1"/>
                                <w:lang w:val="en-GB" w:eastAsia="en-GB" w:bidi="lo-LA"/>
                              </w:rPr>
                              <w:drawing>
                                <wp:inline distT="0" distB="0" distL="0" distR="0" wp14:anchorId="0FDC70C2" wp14:editId="16DE75F5">
                                  <wp:extent cx="664845" cy="487680"/>
                                  <wp:effectExtent l="0" t="0" r="0" b="7620"/>
                                  <wp:docPr id="93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Dalībvalstis ar vairākām LAP</w:t>
                            </w:r>
                            <w:r>
                              <w:rPr>
                                <w:b w:val="0"/>
                                <w:color w:val="373737" w:themeColor="text1"/>
                              </w:rPr>
                              <w:t xml:space="preserve"> var saskarties ar problēmu, ka ES datu avoti (piemēram, </w:t>
                            </w:r>
                            <w:r>
                              <w:rPr>
                                <w:b w:val="0"/>
                                <w:i/>
                                <w:color w:val="373737" w:themeColor="text1"/>
                              </w:rPr>
                              <w:t>Eurostat</w:t>
                            </w:r>
                            <w:r>
                              <w:rPr>
                                <w:b w:val="0"/>
                                <w:color w:val="373737" w:themeColor="text1"/>
                              </w:rPr>
                              <w:t>) nenodrošina informāciju par vērtībām kopējiem KLP ietekmes rādītājiem katras reģionālās LAP līmenī. Šādā gadījumā rādītāja reģionālo vērtību (</w:t>
                            </w:r>
                            <w:r>
                              <w:rPr>
                                <w:b w:val="0"/>
                                <w:i/>
                                <w:color w:val="373737" w:themeColor="text1"/>
                              </w:rPr>
                              <w:t>NUTS</w:t>
                            </w:r>
                            <w:r>
                              <w:rPr>
                                <w:b w:val="0"/>
                                <w:color w:val="373737" w:themeColor="text1"/>
                              </w:rPr>
                              <w:t> 2) var aplēst, pamatojoties uz valsts datiem, vai, ja iespējams, apkopojot datus, kuru pamatā ir katrā attiecīgajā reģionā savāktās vienības (I.01, I.02, I.03).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A90496" id="_x0000_s1033" style="position:absolute;margin-left:400.1pt;margin-top:6.8pt;width:451.3pt;height:126pt;z-index:251732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coordsize="5731510,1600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" adj="-11796480,,5400" path="m139745,l5731510,r,l5731510,1460455v,77179,-62566,139745,-139745,139745l,1600200r,l,139745c,62566,62566,,139745,xe" filled="f" strokecolor="#be4a35" strokeweight="2pt">
                <v:stroke joinstyle="miter"/>
                <v:formulas/>
                <v:path arrowok="t" o:connecttype="custom" o:connectlocs="139745,0;5731510,0;5731510,0;5731510,1460455;5591765,1600200;0,1600200;0,1600200;0,139745;139745,0" o:connectangles="0,0,0,0,0,0,0,0,0" textboxrect="0,0,5731510,1600200"/>
                <v:textbox>
                  <w:txbxContent>
                    <w:p w:rsidR="00A472D8" w:rsidRPr="009B4B57" w:rsidRDefault="00A472D8" w:rsidP="005166F3">
                      <w:pPr>
                        <w:pStyle w:val="HHeading4"/>
                        <w:spacing w:before="0"/>
                        <w:jc w:val="both"/>
                        <w:rPr>
                          <w:rFonts w:cs="Arial"/>
                          <w:b w:val="0"/>
                          <w:color w:val="373737" w:themeColor="text1"/>
                        </w:rPr>
                      </w:pPr>
                      <w:r>
                        <w:rPr>
                          <w:noProof/>
                          <w:color w:val="373737" w:themeColor="text1"/>
                          <w:lang w:val="en-GB" w:eastAsia="en-GB" w:bidi="lo-LA"/>
                        </w:rPr>
                        <w:drawing>
                          <wp:inline distT="0" distB="0" distL="0" distR="0" wp14:anchorId="0FDC70C2" wp14:editId="16DE75F5">
                            <wp:extent cx="664845" cy="487680"/>
                            <wp:effectExtent l="0" t="0" r="0" b="7620"/>
                            <wp:docPr id="93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Dalībvalstis ar vairākām LAP</w:t>
                      </w:r>
                      <w:r>
                        <w:rPr>
                          <w:b w:val="0"/>
                          <w:color w:val="373737" w:themeColor="text1"/>
                        </w:rPr>
                        <w:t xml:space="preserve"> var saskarties ar problēmu, ka ES datu avoti (piemēram, </w:t>
                      </w:r>
                      <w:r>
                        <w:rPr>
                          <w:b w:val="0"/>
                          <w:i/>
                          <w:color w:val="373737" w:themeColor="text1"/>
                        </w:rPr>
                        <w:t>Eurostat</w:t>
                      </w:r>
                      <w:r>
                        <w:rPr>
                          <w:b w:val="0"/>
                          <w:color w:val="373737" w:themeColor="text1"/>
                        </w:rPr>
                        <w:t>) nenodrošina informāciju par vērtībām kopējiem KLP ietekmes rādītājiem katras reģionālās LAP līmenī. Šādā gadījumā rādītāja reģionālo vērtību (</w:t>
                      </w:r>
                      <w:r>
                        <w:rPr>
                          <w:b w:val="0"/>
                          <w:i/>
                          <w:color w:val="373737" w:themeColor="text1"/>
                        </w:rPr>
                        <w:t>NUTS</w:t>
                      </w:r>
                      <w:r>
                        <w:rPr>
                          <w:b w:val="0"/>
                          <w:color w:val="373737" w:themeColor="text1"/>
                        </w:rPr>
                        <w:t> 2) var aplēst, pamatojoties uz valsts datiem, vai, ja iespējams, apkopojot datus, kuru pamatā ir katrā attiecīgajā reģionā savāktās vienības (I.01, I.02, I.03).</w:t>
                      </w:r>
                    </w:p>
                  </w:txbxContent>
                </v:textbox>
                <w10:wrap anchorx="margin"/>
              </v:shape>
            </w:pict>
          </mc:Fallback>
        </mc:AlternateContent>
      </w:r>
      <w:r>
        <w:br w:type="page"/>
      </w:r>
    </w:p>
    <w:p w:rsidR="00A41C7D" w:rsidRPr="00571D58" w:rsidRDefault="000B213F" w:rsidP="000B6372">
      <w:pPr>
        <w:pStyle w:val="HStandard"/>
        <w:rPr>
          <w:rFonts w:cs="Arial"/>
        </w:rPr>
      </w:pPr>
      <w:r>
        <w:rPr>
          <w:b/>
          <w:i/>
          <w:noProof/>
          <w:color w:val="F07E31" w:themeColor="accent1"/>
          <w:lang w:val="en-GB" w:eastAsia="en-GB" w:bidi="lo-LA"/>
        </w:rPr>
        <w:lastRenderedPageBreak/>
        <mc:AlternateContent>
          <mc:Choice Requires="wps">
            <w:drawing>
              <wp:anchor distT="0" distB="0" distL="114300" distR="114300" simplePos="0" relativeHeight="251733504" behindDoc="0" locked="0" layoutInCell="1" allowOverlap="1" wp14:anchorId="1B4B93D6" wp14:editId="3D734851">
                <wp:simplePos x="0" y="0"/>
                <wp:positionH relativeFrom="column">
                  <wp:posOffset>-114300</wp:posOffset>
                </wp:positionH>
                <wp:positionV relativeFrom="paragraph">
                  <wp:posOffset>-104775</wp:posOffset>
                </wp:positionV>
                <wp:extent cx="6229350" cy="8677275"/>
                <wp:effectExtent l="0" t="0" r="19050" b="28575"/>
                <wp:wrapNone/>
                <wp:docPr id="946" name="Rectangle: Rounded Corners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9350" cy="8677275"/>
                        </a:xfrm>
                        <a:prstGeom prst="roundRect">
                          <a:avLst>
                            <a:gd name="adj" fmla="val 4563"/>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5AF1E1" id="Rectangle: Rounded Corners 946" o:spid="_x0000_s1026" style="position:absolute;margin-left:-9pt;margin-top:-8.25pt;width:490.5pt;height:683.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" filled="f" strokecolor="#be4a35 [3205]" strokeweight="2pt">
                <v:path arrowok="t"/>
              </v:roundrect>
            </w:pict>
          </mc:Fallback>
        </mc:AlternateContent>
      </w:r>
      <w:r>
        <w:rPr>
          <w:b/>
          <w:i/>
          <w:noProof/>
          <w:color w:val="F07E31" w:themeColor="accent1"/>
          <w:lang w:val="en-GB" w:eastAsia="en-GB" w:bidi="lo-LA"/>
        </w:rPr>
        <mc:AlternateContent>
          <mc:Choice Requires="wps">
            <w:drawing>
              <wp:inline distT="0" distB="0" distL="0" distR="0" wp14:anchorId="0AAA2186" wp14:editId="3BD4B9D8">
                <wp:extent cx="6093460" cy="2504661"/>
                <wp:effectExtent l="0" t="0" r="0" b="0"/>
                <wp:docPr id="909"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3460" cy="2504661"/>
                        </a:xfrm>
                        <a:custGeom>
                          <a:avLst/>
                          <a:gdLst>
                            <a:gd name="T0" fmla="*/ 150406 w 6093460"/>
                            <a:gd name="T1" fmla="*/ 0 h 2609850"/>
                            <a:gd name="T2" fmla="*/ 6093460 w 6093460"/>
                            <a:gd name="T3" fmla="*/ 0 h 2609850"/>
                            <a:gd name="T4" fmla="*/ 6093460 w 6093460"/>
                            <a:gd name="T5" fmla="*/ 0 h 2609850"/>
                            <a:gd name="T6" fmla="*/ 6093460 w 6093460"/>
                            <a:gd name="T7" fmla="*/ 2459444 h 2609850"/>
                            <a:gd name="T8" fmla="*/ 5943054 w 6093460"/>
                            <a:gd name="T9" fmla="*/ 2609850 h 2609850"/>
                            <a:gd name="T10" fmla="*/ 0 w 6093460"/>
                            <a:gd name="T11" fmla="*/ 2609850 h 2609850"/>
                            <a:gd name="T12" fmla="*/ 0 w 6093460"/>
                            <a:gd name="T13" fmla="*/ 2609850 h 2609850"/>
                            <a:gd name="T14" fmla="*/ 0 w 6093460"/>
                            <a:gd name="T15" fmla="*/ 150406 h 2609850"/>
                            <a:gd name="T16" fmla="*/ 150406 w 6093460"/>
                            <a:gd name="T17" fmla="*/ 0 h 2609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093460"/>
                            <a:gd name="T28" fmla="*/ 0 h 2609850"/>
                            <a:gd name="T29" fmla="*/ 6093460 w 6093460"/>
                            <a:gd name="T30" fmla="*/ 2609850 h 2609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093460" h="2609850">
                              <a:moveTo>
                                <a:pt x="150406" y="0"/>
                              </a:moveTo>
                              <a:lnTo>
                                <a:pt x="6093460" y="0"/>
                              </a:lnTo>
                              <a:lnTo>
                                <a:pt x="6093460" y="2459444"/>
                              </a:lnTo>
                              <a:cubicBezTo>
                                <a:pt x="6093460" y="2542511"/>
                                <a:pt x="6026121" y="2609850"/>
                                <a:pt x="5943054" y="2609850"/>
                              </a:cubicBezTo>
                              <a:lnTo>
                                <a:pt x="0" y="2609850"/>
                              </a:lnTo>
                              <a:lnTo>
                                <a:pt x="0" y="150406"/>
                              </a:lnTo>
                              <a:cubicBezTo>
                                <a:pt x="0" y="67339"/>
                                <a:pt x="67339" y="0"/>
                                <a:pt x="150406" y="0"/>
                              </a:cubicBez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A472D8" w:rsidRDefault="00A472D8" w:rsidP="005166F3">
                            <w:pPr>
                              <w:pStyle w:val="HHeading4"/>
                              <w:spacing w:before="0"/>
                              <w:jc w:val="both"/>
                              <w:rPr>
                                <w:rFonts w:cs="Arial"/>
                                <w:color w:val="373737"/>
                                <w:sz w:val="18"/>
                                <w:szCs w:val="18"/>
                              </w:rPr>
                            </w:pPr>
                            <w:r>
                              <w:rPr>
                                <w:noProof/>
                                <w:color w:val="373737"/>
                                <w:lang w:val="en-GB" w:eastAsia="en-GB" w:bidi="lo-LA"/>
                              </w:rPr>
                              <w:drawing>
                                <wp:inline distT="0" distB="0" distL="0" distR="0" wp14:anchorId="1B9CE024" wp14:editId="6C4F8930">
                                  <wp:extent cx="664845" cy="487680"/>
                                  <wp:effectExtent l="0" t="0" r="0" b="7620"/>
                                  <wp:docPr id="93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ĪSAIS NORĀDĪJUMS Nr. 1. Kā piemērot loģikas modeli, lai noteiktu dažādas hipotētiskā scenārija izstrādes iespējas un lai pieņemtu lēmumu par novērtēšanas pieeju?</w:t>
                            </w:r>
                          </w:p>
                          <w:p w:rsidR="00A472D8" w:rsidRPr="005D575A" w:rsidRDefault="00A472D8" w:rsidP="005166F3">
                            <w:pPr>
                              <w:pStyle w:val="HStandard"/>
                              <w:spacing w:after="0"/>
                              <w:rPr>
                                <w:rFonts w:cs="Arial"/>
                                <w:sz w:val="18"/>
                              </w:rPr>
                            </w:pPr>
                            <w:r>
                              <w:rPr>
                                <w:sz w:val="18"/>
                              </w:rPr>
                              <w:t xml:space="preserve">Piemērojot lēmumu pieņemšanas shēmas soļus hipotētiskajā līmenī, tiek doti norādījumi par to, kā atbildēt uz šādiem galvenajiem jautājumiem, izstrādājot hipotētisko scenāriju: </w:t>
                            </w:r>
                          </w:p>
                          <w:p w:rsidR="00A472D8" w:rsidRPr="005D575A" w:rsidRDefault="00A472D8" w:rsidP="005166F3">
                            <w:pPr>
                              <w:pStyle w:val="Hlistbullet"/>
                              <w:rPr>
                                <w:sz w:val="18"/>
                              </w:rPr>
                            </w:pPr>
                            <w:r>
                              <w:rPr>
                                <w:sz w:val="18"/>
                              </w:rPr>
                              <w:t>Kādas ir pieejamās hipotētiskā scenārija veidošanas iespējas?</w:t>
                            </w:r>
                          </w:p>
                          <w:p w:rsidR="00A472D8" w:rsidRPr="005D575A" w:rsidRDefault="00A472D8" w:rsidP="005166F3">
                            <w:pPr>
                              <w:pStyle w:val="Hlistbullet"/>
                              <w:rPr>
                                <w:sz w:val="18"/>
                              </w:rPr>
                            </w:pPr>
                            <w:r>
                              <w:rPr>
                                <w:sz w:val="18"/>
                              </w:rPr>
                              <w:t>Vai pasākumu īstenošana un ieviešana ļauj izveidot kontroles grupu?</w:t>
                            </w:r>
                          </w:p>
                          <w:p w:rsidR="00A472D8" w:rsidRPr="005D575A" w:rsidRDefault="00A472D8" w:rsidP="005166F3">
                            <w:pPr>
                              <w:pStyle w:val="Hlistbullet"/>
                              <w:rPr>
                                <w:sz w:val="18"/>
                              </w:rPr>
                            </w:pPr>
                            <w:r>
                              <w:rPr>
                                <w:sz w:val="18"/>
                              </w:rPr>
                              <w:t>Kādā apmērā ir pieejami dati par citiem faktoriem, kuri ietekmē atlasītos rādītājus?</w:t>
                            </w:r>
                          </w:p>
                          <w:p w:rsidR="00A472D8" w:rsidRPr="005D575A" w:rsidRDefault="00A472D8" w:rsidP="005166F3">
                            <w:pPr>
                              <w:pStyle w:val="Hlistbullet"/>
                              <w:rPr>
                                <w:sz w:val="18"/>
                              </w:rPr>
                            </w:pPr>
                            <w:r>
                              <w:rPr>
                                <w:sz w:val="18"/>
                              </w:rPr>
                              <w:t>Vai ir pieejami dati par atlasītajiem rādītājiem dažādos laikos (pirms un pēc) attiecībā uz saņēmējiem un subjektiem, kas nav saņēmēji?</w:t>
                            </w:r>
                          </w:p>
                          <w:p w:rsidR="00A472D8" w:rsidRPr="00A41C7D" w:rsidRDefault="00A472D8" w:rsidP="005166F3">
                            <w:pPr>
                              <w:pStyle w:val="Hlistbullet"/>
                              <w:rPr>
                                <w:sz w:val="18"/>
                              </w:rPr>
                            </w:pPr>
                            <w:r>
                              <w:rPr>
                                <w:sz w:val="18"/>
                              </w:rPr>
                              <w:t>Vai var izmantot uzticamas statistiskās metodes, lai izmaksu ziņā efektīvi noteiktu novērtēto pasākumu neto ietekmi?</w:t>
                            </w:r>
                          </w:p>
                          <w:p w:rsidR="00A472D8" w:rsidRPr="00C545E7" w:rsidRDefault="00A472D8" w:rsidP="00010B08">
                            <w:pPr>
                              <w:pStyle w:val="Hlistbullet"/>
                              <w:numPr>
                                <w:ilvl w:val="0"/>
                                <w:numId w:val="0"/>
                              </w:numPr>
                              <w:spacing w:before="0" w:after="0" w:line="280" w:lineRule="atLeast"/>
                              <w:jc w:val="right"/>
                              <w:rPr>
                                <w:i/>
                                <w:color w:val="F07E31" w:themeColor="accent1"/>
                                <w:sz w:val="18"/>
                              </w:rPr>
                            </w:pPr>
                          </w:p>
                        </w:txbxContent>
                      </wps:txbx>
                      <wps:bodyPr rot="0" vert="horz" wrap="square" lIns="91440" tIns="45720" rIns="91440" bIns="45720" anchor="ctr" anchorCtr="0" upright="1">
                        <a:noAutofit/>
                      </wps:bodyPr>
                    </wps:wsp>
                  </a:graphicData>
                </a:graphic>
              </wp:inline>
            </w:drawing>
          </mc:Choice>
          <mc:Fallback>
            <w:pict>
              <v:shape w14:anchorId="0AAA2186" id="Rectangle: Diagonal Corners Rounded 90" o:spid="_x0000_s1034" style="width:479.8pt;height:197.2pt;visibility:visible;mso-wrap-style:square;mso-left-percent:-10001;mso-top-percent:-10001;mso-position-horizontal:absolute;mso-position-horizontal-relative:char;mso-position-vertical:absolute;mso-position-vertical-relative:line;mso-left-percent:-10001;mso-top-percent:-10001;v-text-anchor:middle" coordsize="6093460,2609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" adj="-11796480,,5400" path="m150406,l6093460,r,2459444c6093460,2542511,6026121,2609850,5943054,2609850l,2609850,,150406c,67339,67339,,150406,xe" filled="f" stroked="f" strokeweight="2pt">
                <v:stroke joinstyle="miter"/>
                <v:formulas/>
                <v:path arrowok="t" o:connecttype="custom" o:connectlocs="150406,0;6093460,0;6093460,0;6093460,2360317;5943054,2504661;0,2504661;0,2504661;0,144344;150406,0" o:connectangles="0,0,0,0,0,0,0,0,0" textboxrect="0,0,6093460,2609850"/>
                <v:textbox>
                  <w:txbxContent>
                    <w:p w:rsidR="00A472D8" w:rsidRDefault="00A472D8" w:rsidP="005166F3">
                      <w:pPr>
                        <w:pStyle w:val="HHeading4"/>
                        <w:spacing w:before="0"/>
                        <w:jc w:val="both"/>
                        <w:rPr>
                          <w:rFonts w:cs="Arial"/>
                          <w:color w:val="373737"/>
                          <w:sz w:val="18"/>
                          <w:szCs w:val="18"/>
                        </w:rPr>
                      </w:pPr>
                      <w:r>
                        <w:rPr>
                          <w:noProof/>
                          <w:color w:val="373737"/>
                          <w:lang w:val="en-GB" w:eastAsia="en-GB" w:bidi="lo-LA"/>
                        </w:rPr>
                        <w:drawing>
                          <wp:inline distT="0" distB="0" distL="0" distR="0" wp14:anchorId="1B9CE024" wp14:editId="6C4F8930">
                            <wp:extent cx="664845" cy="487680"/>
                            <wp:effectExtent l="0" t="0" r="0" b="7620"/>
                            <wp:docPr id="93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ĪSAIS NORĀDĪJUMS Nr. 1. Kā piemērot loģikas modeli, lai noteiktu dažādas hipotētiskā scenārija izstrādes iespējas un lai pieņemtu lēmumu par novērtēšanas pieeju?</w:t>
                      </w:r>
                    </w:p>
                    <w:p w:rsidR="00A472D8" w:rsidRPr="005D575A" w:rsidRDefault="00A472D8" w:rsidP="005166F3">
                      <w:pPr>
                        <w:pStyle w:val="HStandard"/>
                        <w:spacing w:after="0"/>
                        <w:rPr>
                          <w:rFonts w:cs="Arial"/>
                          <w:sz w:val="18"/>
                        </w:rPr>
                      </w:pPr>
                      <w:r>
                        <w:rPr>
                          <w:sz w:val="18"/>
                        </w:rPr>
                        <w:t xml:space="preserve">Piemērojot lēmumu pieņemšanas shēmas soļus hipotētiskajā līmenī, tiek doti norādījumi par to, kā atbildēt uz šādiem galvenajiem jautājumiem, izstrādājot hipotētisko scenāriju: </w:t>
                      </w:r>
                    </w:p>
                    <w:p w:rsidR="00A472D8" w:rsidRPr="005D575A" w:rsidRDefault="00A472D8" w:rsidP="005166F3">
                      <w:pPr>
                        <w:pStyle w:val="Hlistbullet"/>
                        <w:rPr>
                          <w:sz w:val="18"/>
                        </w:rPr>
                      </w:pPr>
                      <w:r>
                        <w:rPr>
                          <w:sz w:val="18"/>
                        </w:rPr>
                        <w:t>Kādas ir pieejamās hipotētiskā scenārija veidošanas iespējas?</w:t>
                      </w:r>
                    </w:p>
                    <w:p w:rsidR="00A472D8" w:rsidRPr="005D575A" w:rsidRDefault="00A472D8" w:rsidP="005166F3">
                      <w:pPr>
                        <w:pStyle w:val="Hlistbullet"/>
                        <w:rPr>
                          <w:sz w:val="18"/>
                        </w:rPr>
                      </w:pPr>
                      <w:r>
                        <w:rPr>
                          <w:sz w:val="18"/>
                        </w:rPr>
                        <w:t>Vai pasākumu īstenošana un ieviešana ļauj izveidot kontroles grupu?</w:t>
                      </w:r>
                    </w:p>
                    <w:p w:rsidR="00A472D8" w:rsidRPr="005D575A" w:rsidRDefault="00A472D8" w:rsidP="005166F3">
                      <w:pPr>
                        <w:pStyle w:val="Hlistbullet"/>
                        <w:rPr>
                          <w:sz w:val="18"/>
                        </w:rPr>
                      </w:pPr>
                      <w:r>
                        <w:rPr>
                          <w:sz w:val="18"/>
                        </w:rPr>
                        <w:t>Kādā apmērā ir pieejami dati par citiem faktoriem, kuri ietekmē atlasītos rādītājus?</w:t>
                      </w:r>
                    </w:p>
                    <w:p w:rsidR="00A472D8" w:rsidRPr="005D575A" w:rsidRDefault="00A472D8" w:rsidP="005166F3">
                      <w:pPr>
                        <w:pStyle w:val="Hlistbullet"/>
                        <w:rPr>
                          <w:sz w:val="18"/>
                        </w:rPr>
                      </w:pPr>
                      <w:r>
                        <w:rPr>
                          <w:sz w:val="18"/>
                        </w:rPr>
                        <w:t>Vai ir pieejami dati par atlasītajiem rādītājiem dažādos laikos (pirms un pēc) attiecībā uz saņēmējiem un subjektiem, kas nav saņēmēji?</w:t>
                      </w:r>
                    </w:p>
                    <w:p w:rsidR="00A472D8" w:rsidRPr="00A41C7D" w:rsidRDefault="00A472D8" w:rsidP="005166F3">
                      <w:pPr>
                        <w:pStyle w:val="Hlistbullet"/>
                        <w:rPr>
                          <w:sz w:val="18"/>
                        </w:rPr>
                      </w:pPr>
                      <w:r>
                        <w:rPr>
                          <w:sz w:val="18"/>
                        </w:rPr>
                        <w:t>Vai var izmantot uzticamas statistiskās metodes, lai izmaksu ziņā efektīvi noteiktu novērtēto pasākumu neto ietekmi?</w:t>
                      </w:r>
                    </w:p>
                    <w:p w:rsidR="00A472D8" w:rsidRPr="00C545E7" w:rsidRDefault="00A472D8" w:rsidP="00010B08">
                      <w:pPr>
                        <w:pStyle w:val="Hlistbullet"/>
                        <w:numPr>
                          <w:ilvl w:val="0"/>
                          <w:numId w:val="0"/>
                        </w:numPr>
                        <w:spacing w:before="0" w:after="0" w:line="280" w:lineRule="atLeast"/>
                        <w:jc w:val="right"/>
                        <w:rPr>
                          <w:i/>
                          <w:color w:val="F07E31" w:themeColor="accent1"/>
                          <w:sz w:val="18"/>
                        </w:rPr>
                      </w:pPr>
                    </w:p>
                  </w:txbxContent>
                </v:textbox>
                <w10:anchorlock/>
              </v:shape>
            </w:pict>
          </mc:Fallback>
        </mc:AlternateContent>
      </w:r>
    </w:p>
    <w:p w:rsidR="00EB120C" w:rsidRPr="005934AE" w:rsidRDefault="00EC01C3" w:rsidP="00EB120C">
      <w:pPr>
        <w:pStyle w:val="HHeadingfigures"/>
      </w:pPr>
      <w:r>
        <w:t>Loģikas modelis hipotētiskā scenārija izstrādes iespēju noteikšanai</w:t>
      </w:r>
    </w:p>
    <w:p w:rsidR="00727DDF" w:rsidRPr="00571D58" w:rsidRDefault="00EC01C3" w:rsidP="00727DDF">
      <w:pPr>
        <w:pStyle w:val="HStandard"/>
      </w:pPr>
      <w:r>
        <w:rPr>
          <w:noProof/>
          <w:color w:val="auto"/>
          <w:sz w:val="18"/>
        </w:rPr>
        <w:t xml:space="preserve"> </w:t>
      </w:r>
      <w:r w:rsidR="00240A7E" w:rsidRPr="00240A7E">
        <w:rPr>
          <w:noProof/>
          <w:lang w:val="en-GB" w:eastAsia="en-GB" w:bidi="lo-LA"/>
        </w:rPr>
        <w:drawing>
          <wp:inline distT="0" distB="0" distL="0" distR="0" wp14:anchorId="3DE0C320" wp14:editId="72AA86F4">
            <wp:extent cx="5731510" cy="417339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4173390"/>
                    </a:xfrm>
                    <a:prstGeom prst="rect">
                      <a:avLst/>
                    </a:prstGeom>
                    <a:noFill/>
                    <a:ln>
                      <a:noFill/>
                    </a:ln>
                  </pic:spPr>
                </pic:pic>
              </a:graphicData>
            </a:graphic>
          </wp:inline>
        </w:drawing>
      </w:r>
    </w:p>
    <w:p w:rsidR="00EB120C" w:rsidRPr="00AC6A80" w:rsidRDefault="00EB120C" w:rsidP="00B42D5D">
      <w:pPr>
        <w:pStyle w:val="HSource"/>
      </w:pPr>
      <w:r>
        <w:t xml:space="preserve">Avots: pārņemts no </w:t>
      </w:r>
      <w:r w:rsidRPr="00F67434">
        <w:rPr>
          <w:i w:val="0"/>
          <w:iCs/>
        </w:rPr>
        <w:t>ENVIEVAL</w:t>
      </w:r>
      <w:r>
        <w:t xml:space="preserve"> (2015).</w:t>
      </w:r>
    </w:p>
    <w:p w:rsidR="00EB120C" w:rsidRPr="007645B4" w:rsidRDefault="00EB120C" w:rsidP="00EB120C">
      <w:pPr>
        <w:pStyle w:val="Hlistbullet"/>
        <w:numPr>
          <w:ilvl w:val="0"/>
          <w:numId w:val="0"/>
        </w:numPr>
        <w:spacing w:before="0" w:after="0" w:line="280" w:lineRule="atLeast"/>
        <w:rPr>
          <w:rFonts w:cs="Arial"/>
          <w:sz w:val="18"/>
        </w:rPr>
      </w:pPr>
      <w:r>
        <w:rPr>
          <w:sz w:val="18"/>
        </w:rPr>
        <w:t xml:space="preserve">Loģikas modelis sākas ar LAP ieviešanas un datu situācijas aprakstu attiecībā uz pieejamajiem </w:t>
      </w:r>
      <w:r w:rsidR="000D6687" w:rsidRPr="000D6687">
        <w:rPr>
          <w:i/>
          <w:sz w:val="18"/>
        </w:rPr>
        <w:t>CMES</w:t>
      </w:r>
      <w:r>
        <w:rPr>
          <w:sz w:val="18"/>
        </w:rPr>
        <w:t xml:space="preserve"> ietekmes (un rezultātu) rādītājiem, kā arī uz papildu rādītājiem, ja tādi ir atlasīti (aizpildīti tumši pelēkie lodziņi). Vairāki ar lēmuma pieņemšanu saistīti jautājumi (sarkanie lodziņi) palīdz noteikt pieejamās hipotētiskā scenārija izstrādes iespējas (aizpildīti sarkanie lodziņi). </w:t>
      </w:r>
    </w:p>
    <w:p w:rsidR="00EB120C" w:rsidRPr="00571D58" w:rsidRDefault="00EB120C" w:rsidP="00B42D5D">
      <w:pPr>
        <w:pStyle w:val="Hlistbullet"/>
        <w:numPr>
          <w:ilvl w:val="0"/>
          <w:numId w:val="0"/>
        </w:numPr>
        <w:spacing w:before="0" w:after="0" w:line="280" w:lineRule="atLeast"/>
        <w:jc w:val="center"/>
        <w:rPr>
          <w:i/>
          <w:color w:val="F07E31" w:themeColor="accent1"/>
          <w:sz w:val="18"/>
        </w:rPr>
      </w:pPr>
      <w:r>
        <w:rPr>
          <w:i/>
          <w:color w:val="F07E31" w:themeColor="accent1"/>
          <w:sz w:val="18"/>
        </w:rPr>
        <w:t xml:space="preserve">Papildu informāciju par loģikas modeļu izmantošanu skatīt </w:t>
      </w:r>
      <w:hyperlink r:id="rId45">
        <w:r>
          <w:rPr>
            <w:rStyle w:val="Hyperlink"/>
            <w:i/>
            <w:sz w:val="18"/>
          </w:rPr>
          <w:t xml:space="preserve">7. PP pētniecības projektā </w:t>
        </w:r>
        <w:r w:rsidRPr="00F67434">
          <w:rPr>
            <w:rStyle w:val="Hyperlink"/>
            <w:iCs/>
            <w:sz w:val="18"/>
          </w:rPr>
          <w:t>ENVIEVAL</w:t>
        </w:r>
      </w:hyperlink>
      <w:r>
        <w:rPr>
          <w:rStyle w:val="Hyperlink"/>
          <w:i/>
          <w:sz w:val="18"/>
        </w:rPr>
        <w:t xml:space="preserve"> </w:t>
      </w:r>
      <w:r>
        <w:rPr>
          <w:rStyle w:val="Hyperlink"/>
          <w:i/>
          <w:sz w:val="18"/>
          <w:u w:val="none"/>
        </w:rPr>
        <w:t xml:space="preserve">un tā </w:t>
      </w:r>
      <w:r>
        <w:rPr>
          <w:i/>
          <w:color w:val="F07E31" w:themeColor="accent1"/>
          <w:sz w:val="18"/>
        </w:rPr>
        <w:t xml:space="preserve"> </w:t>
      </w:r>
      <w:hyperlink r:id="rId46">
        <w:r w:rsidR="00B97DB1">
          <w:rPr>
            <w:rStyle w:val="Hyperlink"/>
            <w:i/>
            <w:sz w:val="18"/>
          </w:rPr>
          <w:t>"</w:t>
        </w:r>
        <w:r>
          <w:rPr>
            <w:rStyle w:val="Hyperlink"/>
            <w:i/>
            <w:sz w:val="18"/>
          </w:rPr>
          <w:t>Metodoloģiskajā rokasgrāmatā par LAP ietekmes uz vidi novērtēšanu</w:t>
        </w:r>
        <w:r w:rsidR="00B97DB1">
          <w:rPr>
            <w:rStyle w:val="Hyperlink"/>
            <w:i/>
            <w:sz w:val="18"/>
          </w:rPr>
          <w:t>"</w:t>
        </w:r>
      </w:hyperlink>
      <w:r>
        <w:t>.</w:t>
      </w:r>
    </w:p>
    <w:p w:rsidR="00EB120C" w:rsidRPr="00336531" w:rsidRDefault="00EB120C" w:rsidP="00EB120C">
      <w:pPr>
        <w:pStyle w:val="HStandard"/>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6"/>
      </w:tblGrid>
      <w:tr w:rsidR="006D4194" w:rsidRPr="001C6ACF" w:rsidTr="00F74B7E">
        <w:tc>
          <w:tcPr>
            <w:tcW w:w="9026" w:type="dxa"/>
            <w:shd w:val="clear" w:color="auto" w:fill="auto"/>
          </w:tcPr>
          <w:p w:rsidR="006D4194" w:rsidRPr="00571D58" w:rsidRDefault="006D4194" w:rsidP="00010B08">
            <w:pPr>
              <w:pStyle w:val="Hlistbullet"/>
              <w:numPr>
                <w:ilvl w:val="0"/>
                <w:numId w:val="0"/>
              </w:numPr>
              <w:spacing w:before="0" w:after="0" w:line="280" w:lineRule="atLeast"/>
              <w:rPr>
                <w:sz w:val="18"/>
                <w:szCs w:val="18"/>
              </w:rPr>
            </w:pPr>
            <w:r>
              <w:lastRenderedPageBreak/>
              <w:br w:type="column"/>
            </w:r>
            <w:r>
              <w:rPr>
                <w:b/>
                <w:i/>
                <w:noProof/>
                <w:color w:val="F07E31" w:themeColor="accent1"/>
                <w:lang w:val="en-GB" w:eastAsia="en-GB" w:bidi="lo-LA"/>
              </w:rPr>
              <mc:AlternateContent>
                <mc:Choice Requires="wps">
                  <w:drawing>
                    <wp:inline distT="0" distB="0" distL="0" distR="0" wp14:anchorId="03FB95DC" wp14:editId="65B0BC70">
                      <wp:extent cx="5567045" cy="8401050"/>
                      <wp:effectExtent l="19050" t="19050" r="14605" b="19050"/>
                      <wp:docPr id="908"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7045" cy="8401050"/>
                              </a:xfrm>
                              <a:custGeom>
                                <a:avLst/>
                                <a:gdLst>
                                  <a:gd name="T0" fmla="*/ 276626 w 5567045"/>
                                  <a:gd name="T1" fmla="*/ 0 h 8401050"/>
                                  <a:gd name="T2" fmla="*/ 5567045 w 5567045"/>
                                  <a:gd name="T3" fmla="*/ 0 h 8401050"/>
                                  <a:gd name="T4" fmla="*/ 5567045 w 5567045"/>
                                  <a:gd name="T5" fmla="*/ 0 h 8401050"/>
                                  <a:gd name="T6" fmla="*/ 5567045 w 5567045"/>
                                  <a:gd name="T7" fmla="*/ 8124424 h 8401050"/>
                                  <a:gd name="T8" fmla="*/ 5290419 w 5567045"/>
                                  <a:gd name="T9" fmla="*/ 8401050 h 8401050"/>
                                  <a:gd name="T10" fmla="*/ 0 w 5567045"/>
                                  <a:gd name="T11" fmla="*/ 8401050 h 8401050"/>
                                  <a:gd name="T12" fmla="*/ 0 w 5567045"/>
                                  <a:gd name="T13" fmla="*/ 8401050 h 8401050"/>
                                  <a:gd name="T14" fmla="*/ 0 w 5567045"/>
                                  <a:gd name="T15" fmla="*/ 276626 h 8401050"/>
                                  <a:gd name="T16" fmla="*/ 276626 w 5567045"/>
                                  <a:gd name="T17" fmla="*/ 0 h 84010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567045"/>
                                  <a:gd name="T28" fmla="*/ 0 h 8401050"/>
                                  <a:gd name="T29" fmla="*/ 5567045 w 5567045"/>
                                  <a:gd name="T30" fmla="*/ 8401050 h 84010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567045" h="8401050">
                                    <a:moveTo>
                                      <a:pt x="276626" y="0"/>
                                    </a:moveTo>
                                    <a:lnTo>
                                      <a:pt x="5567045" y="0"/>
                                    </a:lnTo>
                                    <a:lnTo>
                                      <a:pt x="5567045" y="8124424"/>
                                    </a:lnTo>
                                    <a:cubicBezTo>
                                      <a:pt x="5567045" y="8277200"/>
                                      <a:pt x="5443195" y="8401050"/>
                                      <a:pt x="5290419" y="8401050"/>
                                    </a:cubicBezTo>
                                    <a:lnTo>
                                      <a:pt x="0" y="8401050"/>
                                    </a:lnTo>
                                    <a:lnTo>
                                      <a:pt x="0" y="276626"/>
                                    </a:lnTo>
                                    <a:cubicBezTo>
                                      <a:pt x="0" y="123850"/>
                                      <a:pt x="123850" y="0"/>
                                      <a:pt x="276626"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A472D8" w:rsidRPr="00391ECD" w:rsidRDefault="00A472D8" w:rsidP="005C7C25">
                                  <w:pPr>
                                    <w:pStyle w:val="HHeading4"/>
                                  </w:pPr>
                                  <w:r>
                                    <w:rPr>
                                      <w:noProof/>
                                      <w:color w:val="373737"/>
                                      <w:lang w:val="en-GB" w:eastAsia="en-GB" w:bidi="lo-LA"/>
                                    </w:rPr>
                                    <w:drawing>
                                      <wp:inline distT="0" distB="0" distL="0" distR="0" wp14:anchorId="57C2220A" wp14:editId="4DA0C11C">
                                        <wp:extent cx="664845" cy="487680"/>
                                        <wp:effectExtent l="0" t="0" r="0" b="7620"/>
                                        <wp:docPr id="910"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ĪSAIS NORĀDĪJUMS Nr. 2. Kā izveidot kontroles grupu mikrolīmenī? (saistīts ar 2. līmeni)</w:t>
                                  </w:r>
                                </w:p>
                                <w:p w:rsidR="00A472D8" w:rsidRPr="007008C0" w:rsidRDefault="00A472D8" w:rsidP="005C7C25">
                                  <w:pPr>
                                    <w:pStyle w:val="HStandard"/>
                                    <w:spacing w:after="0"/>
                                    <w:rPr>
                                      <w:rFonts w:cs="Arial"/>
                                      <w:color w:val="373737"/>
                                      <w:sz w:val="18"/>
                                      <w:szCs w:val="18"/>
                                    </w:rPr>
                                  </w:pPr>
                                  <w:r>
                                    <w:rPr>
                                      <w:color w:val="373737"/>
                                      <w:sz w:val="18"/>
                                    </w:rPr>
                                    <w:t>Hipotētiskās analīzes pamatā mikrolīmenī jābūt pēc iespējas līdzīgāku programmas saņēmēju un subjektu, kas nav saņēmēji, kontroles grupu salīdzinājumiem (novērojamos un nenovērojamos izmēros). Ja abas grupas ir statistiski pietiekami līdzīgas (ar līdzīgiem raksturlielumiem), var pieņemt, ka visas iznākumu atšķirības ir programmas dēļ. Hipotētiskā analīze ļauj noteikt cēloņsakarību — sasaistīt novēroto programmas iznākumu izmaiņas, vienlaikus izslēdzot neskaidros faktorus.</w:t>
                                  </w:r>
                                </w:p>
                                <w:p w:rsidR="00A472D8" w:rsidRPr="007008C0" w:rsidRDefault="00A472D8" w:rsidP="005C7C25">
                                  <w:pPr>
                                    <w:pStyle w:val="HStandard"/>
                                    <w:spacing w:after="0"/>
                                    <w:rPr>
                                      <w:rFonts w:cs="Arial"/>
                                      <w:color w:val="373737"/>
                                      <w:sz w:val="18"/>
                                      <w:szCs w:val="18"/>
                                    </w:rPr>
                                  </w:pPr>
                                </w:p>
                                <w:p w:rsidR="00A472D8" w:rsidRPr="007008C0" w:rsidRDefault="00A472D8" w:rsidP="005C7C25">
                                  <w:pPr>
                                    <w:pStyle w:val="HStandard"/>
                                    <w:spacing w:after="0"/>
                                    <w:rPr>
                                      <w:rFonts w:cs="Arial"/>
                                      <w:color w:val="373737"/>
                                      <w:sz w:val="18"/>
                                      <w:szCs w:val="18"/>
                                    </w:rPr>
                                  </w:pPr>
                                  <w:r>
                                    <w:rPr>
                                      <w:color w:val="373737"/>
                                      <w:sz w:val="18"/>
                                    </w:rPr>
                                    <w:t xml:space="preserve">Piemērotas kontroles grupas izveide var būt sarežģīts </w:t>
                                  </w:r>
                                  <w:r>
                                    <w:rPr>
                                      <w:color w:val="373737"/>
                                      <w:sz w:val="18"/>
                                    </w:rPr>
                                    <w:t xml:space="preserve">uzdevums programmas stingrās pašatlases un atbilstības nosacījumu dēļ. Izvērtēšanā iekļautie programmas saņēmēji, kuri saņem programmas atbalstu, var būtiski atšķirties no subjektiem, kas nav saņēmēji, gan strukturālo raksturlielumu, gan ekonomiskās, vides un sociālekonomiskās veiktspējas ziņā. </w:t>
                                  </w:r>
                                </w:p>
                                <w:p w:rsidR="00A472D8" w:rsidRPr="007008C0" w:rsidRDefault="00A472D8" w:rsidP="005C7C25">
                                  <w:pPr>
                                    <w:pStyle w:val="HStandard"/>
                                    <w:spacing w:after="0"/>
                                    <w:rPr>
                                      <w:rFonts w:cs="Arial"/>
                                      <w:color w:val="373737"/>
                                      <w:sz w:val="18"/>
                                      <w:szCs w:val="18"/>
                                    </w:rPr>
                                  </w:pPr>
                                </w:p>
                                <w:p w:rsidR="00A472D8" w:rsidRPr="007008C0" w:rsidRDefault="00A472D8" w:rsidP="005C7C25">
                                  <w:pPr>
                                    <w:pStyle w:val="HStandard"/>
                                    <w:spacing w:after="0"/>
                                    <w:rPr>
                                      <w:rFonts w:cs="Arial"/>
                                      <w:color w:val="373737"/>
                                      <w:sz w:val="18"/>
                                      <w:szCs w:val="18"/>
                                    </w:rPr>
                                  </w:pPr>
                                  <w:r>
                                    <w:rPr>
                                      <w:color w:val="373737"/>
                                      <w:sz w:val="18"/>
                                    </w:rPr>
                                    <w:t>Atbilstoša kontroles grupa tiek veidota šādi:</w:t>
                                  </w:r>
                                </w:p>
                                <w:p w:rsidR="00A472D8" w:rsidRPr="007008C0" w:rsidRDefault="00A472D8" w:rsidP="005C7C25">
                                  <w:pPr>
                                    <w:pStyle w:val="Hlistbullet"/>
                                    <w:spacing w:before="0" w:after="0" w:line="280" w:lineRule="atLeast"/>
                                    <w:ind w:left="604" w:hanging="604"/>
                                    <w:rPr>
                                      <w:color w:val="373737"/>
                                      <w:sz w:val="18"/>
                                      <w:szCs w:val="18"/>
                                    </w:rPr>
                                  </w:pPr>
                                  <w:r>
                                    <w:rPr>
                                      <w:b/>
                                      <w:color w:val="F07E31" w:themeColor="accent1"/>
                                      <w:sz w:val="18"/>
                                    </w:rPr>
                                    <w:t>1. solis.</w:t>
                                  </w:r>
                                  <w:r>
                                    <w:rPr>
                                      <w:color w:val="373737"/>
                                      <w:sz w:val="18"/>
                                    </w:rPr>
                                    <w:t xml:space="preserve"> Atrast LAP saņēmēju (piemēram, saimniecību/lauksaimnieku/</w:t>
                                  </w:r>
                                  <w:r w:rsidR="007D45C5">
                                    <w:rPr>
                                      <w:color w:val="373737"/>
                                      <w:sz w:val="18"/>
                                    </w:rPr>
                                    <w:t xml:space="preserve"> </w:t>
                                  </w:r>
                                  <w:r>
                                    <w:rPr>
                                      <w:color w:val="373737"/>
                                      <w:sz w:val="18"/>
                                    </w:rPr>
                                    <w:t>uzņēmumu, kas nenodarbojas ar lauksaimniecību</w:t>
                                  </w:r>
                                  <w:r w:rsidR="007D45C5">
                                    <w:rPr>
                                      <w:color w:val="373737"/>
                                      <w:sz w:val="18"/>
                                    </w:rPr>
                                    <w:t xml:space="preserve"> </w:t>
                                  </w:r>
                                  <w:r>
                                    <w:rPr>
                                      <w:color w:val="373737"/>
                                      <w:sz w:val="18"/>
                                    </w:rPr>
                                    <w:t xml:space="preserve">/kopienu/teritoriju/reģionu) paraugkopu pieejamā datubāzē (piemēram, </w:t>
                                  </w:r>
                                  <w:r w:rsidRPr="006B1298">
                                    <w:rPr>
                                      <w:i/>
                                      <w:iCs/>
                                      <w:color w:val="373737"/>
                                      <w:sz w:val="18"/>
                                    </w:rPr>
                                    <w:t>FADN</w:t>
                                  </w:r>
                                  <w:r>
                                    <w:rPr>
                                      <w:color w:val="373737"/>
                                      <w:sz w:val="18"/>
                                    </w:rPr>
                                    <w:t xml:space="preserve">) un izmantot LAP uzraudzības sistēmu kā atsauces punktu (piemēram, maksājumu aģentūras datubāzi). </w:t>
                                  </w:r>
                                </w:p>
                                <w:p w:rsidR="00A472D8" w:rsidRPr="00AF5661" w:rsidRDefault="00A472D8" w:rsidP="005C7C25">
                                  <w:pPr>
                                    <w:pStyle w:val="Hlistbullet"/>
                                    <w:spacing w:before="0" w:after="0" w:line="280" w:lineRule="atLeast"/>
                                    <w:ind w:left="604" w:hanging="604"/>
                                    <w:rPr>
                                      <w:color w:val="373737"/>
                                      <w:sz w:val="18"/>
                                      <w:szCs w:val="18"/>
                                    </w:rPr>
                                  </w:pPr>
                                  <w:r>
                                    <w:rPr>
                                      <w:b/>
                                      <w:color w:val="F07E31" w:themeColor="accent1"/>
                                      <w:sz w:val="18"/>
                                    </w:rPr>
                                    <w:t>2. solis.</w:t>
                                  </w:r>
                                  <w:r>
                                    <w:rPr>
                                      <w:color w:val="373737"/>
                                      <w:sz w:val="18"/>
                                    </w:rPr>
                                    <w:t xml:space="preserve"> Atlasīt no visām datubāzē iekļautajām atbilstošajām vienībām tās, kas attiecīgajā periodā nesaņēma atbalstu no LAP pasākumiem ("subjekti, kas nav saņēmēji").</w:t>
                                  </w:r>
                                </w:p>
                                <w:p w:rsidR="00A472D8" w:rsidRPr="00AF5661" w:rsidRDefault="00A472D8" w:rsidP="005C7C25">
                                  <w:pPr>
                                    <w:pStyle w:val="Hlistbullet"/>
                                    <w:spacing w:before="0" w:after="0" w:line="280" w:lineRule="atLeast"/>
                                    <w:ind w:left="604" w:hanging="604"/>
                                    <w:rPr>
                                      <w:color w:val="373737"/>
                                      <w:sz w:val="18"/>
                                      <w:szCs w:val="18"/>
                                    </w:rPr>
                                  </w:pPr>
                                  <w:r>
                                    <w:rPr>
                                      <w:b/>
                                      <w:color w:val="F07E31" w:themeColor="accent1"/>
                                      <w:sz w:val="18"/>
                                    </w:rPr>
                                    <w:t>3. solis.</w:t>
                                  </w:r>
                                  <w:r>
                                    <w:rPr>
                                      <w:color w:val="373737"/>
                                      <w:sz w:val="18"/>
                                    </w:rPr>
                                    <w:t xml:space="preserve"> No subjektu, kas nav saņēmēji, grupas iepriekš atlasīt tās vienības, kas NEIZPILDA programmas atbilstības nosacījumus (lielu ienākumu, izmēra, atrašanās vietas u. c. iemeslu dēļ), un izsvītrot tās no analīzes. </w:t>
                                  </w:r>
                                </w:p>
                                <w:p w:rsidR="00A472D8" w:rsidRPr="007008C0" w:rsidRDefault="00A472D8" w:rsidP="005C7C25">
                                  <w:pPr>
                                    <w:pStyle w:val="Hlistbullet"/>
                                    <w:spacing w:before="0" w:after="0" w:line="280" w:lineRule="atLeast"/>
                                    <w:ind w:left="604" w:hanging="604"/>
                                    <w:rPr>
                                      <w:color w:val="373737"/>
                                      <w:sz w:val="18"/>
                                      <w:szCs w:val="18"/>
                                    </w:rPr>
                                  </w:pPr>
                                  <w:r>
                                    <w:rPr>
                                      <w:b/>
                                      <w:color w:val="F07E31" w:themeColor="accent1"/>
                                      <w:sz w:val="18"/>
                                    </w:rPr>
                                    <w:t>4. solis.</w:t>
                                  </w:r>
                                  <w:r>
                                    <w:rPr>
                                      <w:color w:val="373737"/>
                                      <w:sz w:val="18"/>
                                    </w:rPr>
                                    <w:t xml:space="preserve"> Savākt datus attiecībā uz visām vienībām abās grupās (saņēmēji un subjekti, kas nav saņēmēji) par to galvenajiem raksturlielumiem (mainīgajiem) 2013. gadā (t. i., pirms programmas). Jāņem vērā, ka analīzē iekļautajiem mainīgajiem būtu jāietekmē gan vienības atlase, gan mikrolīmenī aprēķinātie rādītāji (kopējie un papildu ietekmes rādītāji). Viens no ierosinātajiem mainīgajiem (ko izmanto kā svarīgu kontroles mainīgo) var būt: i) konkrētās vienības ("saņēmēji" un "subjekti, kas nav saņēmēji") saņemtā atbalsta apmērs iepriekšējā 2007.–2013. gada plānošanas periodā un/vai ii) atbalsta apmērs, ko saņēmusi konkrētā vienība ("saņēmējs" un "subjekts, kas nav saņēmēji") no citiem publiskiem avotiem (piemēram, ES struktūrfondiem, I pīlāra) analizētajā periodā.</w:t>
                                  </w:r>
                                </w:p>
                                <w:p w:rsidR="00A472D8" w:rsidRPr="00AF5661" w:rsidRDefault="00A472D8" w:rsidP="005C7C25">
                                  <w:pPr>
                                    <w:pStyle w:val="Hlistbullet"/>
                                    <w:spacing w:before="0" w:after="0" w:line="280" w:lineRule="atLeast"/>
                                    <w:ind w:left="604" w:hanging="604"/>
                                    <w:rPr>
                                      <w:color w:val="373737"/>
                                      <w:sz w:val="18"/>
                                      <w:szCs w:val="18"/>
                                    </w:rPr>
                                  </w:pPr>
                                  <w:r>
                                    <w:rPr>
                                      <w:b/>
                                      <w:color w:val="F07E31" w:themeColor="accent1"/>
                                      <w:sz w:val="18"/>
                                    </w:rPr>
                                    <w:t>5. solis.</w:t>
                                  </w:r>
                                  <w:r>
                                    <w:rPr>
                                      <w:color w:val="373737"/>
                                      <w:sz w:val="18"/>
                                    </w:rPr>
                                    <w:t xml:space="preserve"> Izmantot piemērotus paņēmienus (piemēram, saskaņošanu), kas ļauj "subjektu, kas nav saņēmēji" paraugkopā (skatīt 2.–3. soli) noteikt piemērotu "kontroles grupu" (daži "subjekti, kas nav saņēmēji" un/vai "saņēmēji" tiek svītroti no analīzes, jo nav piemērotu kontroles vienību).</w:t>
                                  </w:r>
                                </w:p>
                                <w:p w:rsidR="00A472D8" w:rsidRPr="0025164E" w:rsidRDefault="00A472D8" w:rsidP="005C7C25">
                                  <w:pPr>
                                    <w:pStyle w:val="Hlistbullet"/>
                                    <w:spacing w:before="0" w:after="0" w:line="280" w:lineRule="atLeast"/>
                                    <w:ind w:left="604" w:hanging="604"/>
                                  </w:pPr>
                                  <w:r>
                                    <w:rPr>
                                      <w:b/>
                                      <w:color w:val="F07E31" w:themeColor="accent1"/>
                                      <w:sz w:val="18"/>
                                    </w:rPr>
                                    <w:t>6. solis.</w:t>
                                  </w:r>
                                  <w:r>
                                    <w:rPr>
                                      <w:color w:val="373737"/>
                                      <w:sz w:val="18"/>
                                    </w:rPr>
                                    <w:t xml:space="preserve"> Statistiski pārbaudīt abu grupu "līdzību" pirms atbalsta saņemšanas no programmas (piemēram, veicot analīzē iekļauto kovariātu statistiskos testus). Vidējai vienības vērtībai “saņēmēju” grupā nevajadzētu būtiski atšķirties no attiecīgās vienības "kontroles grupā".</w:t>
                                  </w:r>
                                </w:p>
                                <w:p w:rsidR="00A472D8" w:rsidRPr="0025164E" w:rsidRDefault="00A472D8" w:rsidP="00735F08">
                                  <w:pPr>
                                    <w:pStyle w:val="Hlistbullet"/>
                                    <w:numPr>
                                      <w:ilvl w:val="0"/>
                                      <w:numId w:val="0"/>
                                    </w:numPr>
                                    <w:jc w:val="center"/>
                                    <w:rPr>
                                      <w:i/>
                                      <w:color w:val="F07E31" w:themeColor="accent1"/>
                                      <w:sz w:val="18"/>
                                      <w:szCs w:val="18"/>
                                    </w:rPr>
                                  </w:pPr>
                                  <w:r>
                                    <w:rPr>
                                      <w:i/>
                                      <w:color w:val="F07E31" w:themeColor="accent1"/>
                                      <w:sz w:val="18"/>
                                    </w:rPr>
                                    <w:t xml:space="preserve">Papildu informāciju par kontroles grupu izveidi, saskaņošanu u. c. jautājumiem skatīt </w:t>
                                  </w:r>
                                  <w:hyperlink r:id="rId47" w:history="1">
                                    <w:r>
                                      <w:rPr>
                                        <w:rStyle w:val="Hyperlink"/>
                                        <w:i/>
                                        <w:color w:val="F07E31" w:themeColor="accent1"/>
                                        <w:sz w:val="18"/>
                                      </w:rPr>
                                      <w:t xml:space="preserve">"Pamatnostādņu par 2007.–2013. gada LAP </w:t>
                                    </w:r>
                                    <w:r w:rsidRPr="00BF1122">
                                      <w:rPr>
                                        <w:rStyle w:val="Hyperlink"/>
                                        <w:iCs/>
                                        <w:color w:val="F07E31" w:themeColor="accent1"/>
                                        <w:sz w:val="18"/>
                                      </w:rPr>
                                      <w:t>ex post</w:t>
                                    </w:r>
                                    <w:r>
                                      <w:rPr>
                                        <w:rStyle w:val="Hyperlink"/>
                                        <w:i/>
                                        <w:color w:val="F07E31" w:themeColor="accent1"/>
                                        <w:sz w:val="18"/>
                                      </w:rPr>
                                      <w:t xml:space="preserve"> novērtējumu"</w:t>
                                    </w:r>
                                  </w:hyperlink>
                                  <w:r>
                                    <w:rPr>
                                      <w:rStyle w:val="Hyperlink"/>
                                      <w:i/>
                                      <w:color w:val="F07E31" w:themeColor="accent1"/>
                                      <w:sz w:val="18"/>
                                    </w:rPr>
                                    <w:t xml:space="preserve"> 4. nodaļā</w:t>
                                  </w:r>
                                  <w:r>
                                    <w:t>.</w:t>
                                  </w:r>
                                </w:p>
                              </w:txbxContent>
                            </wps:txbx>
                            <wps:bodyPr rot="0" vert="horz" wrap="square" lIns="91440" tIns="45720" rIns="91440" bIns="45720" anchor="ctr" anchorCtr="0" upright="1">
                              <a:noAutofit/>
                            </wps:bodyPr>
                          </wps:wsp>
                        </a:graphicData>
                      </a:graphic>
                    </wp:inline>
                  </w:drawing>
                </mc:Choice>
                <mc:Fallback>
                  <w:pict>
                    <v:shape w14:anchorId="03FB95DC" id="AutoShape 67" o:spid="_x0000_s1035" style="width:438.35pt;height:661.5pt;visibility:visible;mso-wrap-style:square;mso-left-percent:-10001;mso-top-percent:-10001;mso-position-horizontal:absolute;mso-position-horizontal-relative:char;mso-position-vertical:absolute;mso-position-vertical-relative:line;mso-left-percent:-10001;mso-top-percent:-10001;v-text-anchor:middle" coordsize="5567045,8401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" adj="-11796480,,5400" path="m276626,l5567045,r,8124424c5567045,8277200,5443195,8401050,5290419,8401050l,8401050,,276626c,123850,123850,,276626,xe" filled="f" strokecolor="#be4a35" strokeweight="2pt">
                      <v:stroke joinstyle="miter"/>
                      <v:formulas/>
                      <v:path arrowok="t" o:connecttype="custom" o:connectlocs="276626,0;5567045,0;5567045,0;5567045,8124424;5290419,8401050;0,8401050;0,8401050;0,276626;276626,0" o:connectangles="0,0,0,0,0,0,0,0,0" textboxrect="0,0,5567045,8401050"/>
                      <v:textbox>
                        <w:txbxContent>
                          <w:p w:rsidR="00A472D8" w:rsidRPr="00391ECD" w:rsidRDefault="00A472D8" w:rsidP="005C7C25">
                            <w:pPr>
                              <w:pStyle w:val="HHeading4"/>
                            </w:pPr>
                            <w:r>
                              <w:rPr>
                                <w:noProof/>
                                <w:color w:val="373737"/>
                                <w:lang w:val="en-GB" w:eastAsia="en-GB" w:bidi="lo-LA"/>
                              </w:rPr>
                              <w:drawing>
                                <wp:inline distT="0" distB="0" distL="0" distR="0" wp14:anchorId="57C2220A" wp14:editId="4DA0C11C">
                                  <wp:extent cx="664845" cy="487680"/>
                                  <wp:effectExtent l="0" t="0" r="0" b="7620"/>
                                  <wp:docPr id="910"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ĪSAIS NORĀDĪJUMS Nr. 2. Kā izveidot kontroles grupu mikrolīmenī? (saistīts ar 2. līmeni)</w:t>
                            </w:r>
                          </w:p>
                          <w:p w:rsidR="00A472D8" w:rsidRPr="007008C0" w:rsidRDefault="00A472D8" w:rsidP="005C7C25">
                            <w:pPr>
                              <w:pStyle w:val="HStandard"/>
                              <w:spacing w:after="0"/>
                              <w:rPr>
                                <w:rFonts w:cs="Arial"/>
                                <w:color w:val="373737"/>
                                <w:sz w:val="18"/>
                                <w:szCs w:val="18"/>
                              </w:rPr>
                            </w:pPr>
                            <w:r>
                              <w:rPr>
                                <w:color w:val="373737"/>
                                <w:sz w:val="18"/>
                              </w:rPr>
                              <w:t>Hipotētiskās analīzes pamatā mikrolīmenī jābūt pēc iespējas līdzīgāku programmas saņēmēju un subjektu, kas nav saņēmēji, kontroles grupu salīdzinājumiem (novērojamos un nenovērojamos izmēros). Ja abas grupas ir statistiski pietiekami līdzīgas (ar līdzīgiem raksturlielumiem), var pieņemt, ka visas iznākumu atšķirības ir programmas dēļ. Hipotētiskā analīze ļauj noteikt cēloņsakarību — sasaistīt novēroto programmas iznākumu izmaiņas, vienlaikus izslēdzot neskaidros faktorus.</w:t>
                            </w:r>
                          </w:p>
                          <w:p w:rsidR="00A472D8" w:rsidRPr="007008C0" w:rsidRDefault="00A472D8" w:rsidP="005C7C25">
                            <w:pPr>
                              <w:pStyle w:val="HStandard"/>
                              <w:spacing w:after="0"/>
                              <w:rPr>
                                <w:rFonts w:cs="Arial"/>
                                <w:color w:val="373737"/>
                                <w:sz w:val="18"/>
                                <w:szCs w:val="18"/>
                              </w:rPr>
                            </w:pPr>
                          </w:p>
                          <w:p w:rsidR="00A472D8" w:rsidRPr="007008C0" w:rsidRDefault="00A472D8" w:rsidP="005C7C25">
                            <w:pPr>
                              <w:pStyle w:val="HStandard"/>
                              <w:spacing w:after="0"/>
                              <w:rPr>
                                <w:rFonts w:cs="Arial"/>
                                <w:color w:val="373737"/>
                                <w:sz w:val="18"/>
                                <w:szCs w:val="18"/>
                              </w:rPr>
                            </w:pPr>
                            <w:r>
                              <w:rPr>
                                <w:color w:val="373737"/>
                                <w:sz w:val="18"/>
                              </w:rPr>
                              <w:t xml:space="preserve">Piemērotas kontroles grupas izveide var būt sarežģīts </w:t>
                            </w:r>
                            <w:r>
                              <w:rPr>
                                <w:color w:val="373737"/>
                                <w:sz w:val="18"/>
                              </w:rPr>
                              <w:t xml:space="preserve">uzdevums programmas stingrās pašatlases un atbilstības nosacījumu dēļ. Izvērtēšanā iekļautie programmas saņēmēji, kuri saņem programmas atbalstu, var būtiski atšķirties no subjektiem, kas nav saņēmēji, gan strukturālo raksturlielumu, gan ekonomiskās, vides un sociālekonomiskās veiktspējas ziņā. </w:t>
                            </w:r>
                          </w:p>
                          <w:p w:rsidR="00A472D8" w:rsidRPr="007008C0" w:rsidRDefault="00A472D8" w:rsidP="005C7C25">
                            <w:pPr>
                              <w:pStyle w:val="HStandard"/>
                              <w:spacing w:after="0"/>
                              <w:rPr>
                                <w:rFonts w:cs="Arial"/>
                                <w:color w:val="373737"/>
                                <w:sz w:val="18"/>
                                <w:szCs w:val="18"/>
                              </w:rPr>
                            </w:pPr>
                          </w:p>
                          <w:p w:rsidR="00A472D8" w:rsidRPr="007008C0" w:rsidRDefault="00A472D8" w:rsidP="005C7C25">
                            <w:pPr>
                              <w:pStyle w:val="HStandard"/>
                              <w:spacing w:after="0"/>
                              <w:rPr>
                                <w:rFonts w:cs="Arial"/>
                                <w:color w:val="373737"/>
                                <w:sz w:val="18"/>
                                <w:szCs w:val="18"/>
                              </w:rPr>
                            </w:pPr>
                            <w:r>
                              <w:rPr>
                                <w:color w:val="373737"/>
                                <w:sz w:val="18"/>
                              </w:rPr>
                              <w:t>Atbilstoša kontroles grupa tiek veidota šādi:</w:t>
                            </w:r>
                          </w:p>
                          <w:p w:rsidR="00A472D8" w:rsidRPr="007008C0" w:rsidRDefault="00A472D8" w:rsidP="005C7C25">
                            <w:pPr>
                              <w:pStyle w:val="Hlistbullet"/>
                              <w:spacing w:before="0" w:after="0" w:line="280" w:lineRule="atLeast"/>
                              <w:ind w:left="604" w:hanging="604"/>
                              <w:rPr>
                                <w:color w:val="373737"/>
                                <w:sz w:val="18"/>
                                <w:szCs w:val="18"/>
                              </w:rPr>
                            </w:pPr>
                            <w:r>
                              <w:rPr>
                                <w:b/>
                                <w:color w:val="F07E31" w:themeColor="accent1"/>
                                <w:sz w:val="18"/>
                              </w:rPr>
                              <w:t>1. solis.</w:t>
                            </w:r>
                            <w:r>
                              <w:rPr>
                                <w:color w:val="373737"/>
                                <w:sz w:val="18"/>
                              </w:rPr>
                              <w:t xml:space="preserve"> Atrast LAP saņēmēju (piemēram, saimniecību/lauksaimnieku/</w:t>
                            </w:r>
                            <w:r w:rsidR="007D45C5">
                              <w:rPr>
                                <w:color w:val="373737"/>
                                <w:sz w:val="18"/>
                              </w:rPr>
                              <w:t xml:space="preserve"> </w:t>
                            </w:r>
                            <w:r>
                              <w:rPr>
                                <w:color w:val="373737"/>
                                <w:sz w:val="18"/>
                              </w:rPr>
                              <w:t>uzņēmumu, kas nenodarbojas ar lauksaimniecību</w:t>
                            </w:r>
                            <w:r w:rsidR="007D45C5">
                              <w:rPr>
                                <w:color w:val="373737"/>
                                <w:sz w:val="18"/>
                              </w:rPr>
                              <w:t xml:space="preserve"> </w:t>
                            </w:r>
                            <w:r>
                              <w:rPr>
                                <w:color w:val="373737"/>
                                <w:sz w:val="18"/>
                              </w:rPr>
                              <w:t xml:space="preserve">/kopienu/teritoriju/reģionu) paraugkopu pieejamā datubāzē (piemēram, </w:t>
                            </w:r>
                            <w:r w:rsidRPr="006B1298">
                              <w:rPr>
                                <w:i/>
                                <w:iCs/>
                                <w:color w:val="373737"/>
                                <w:sz w:val="18"/>
                              </w:rPr>
                              <w:t>FADN</w:t>
                            </w:r>
                            <w:r>
                              <w:rPr>
                                <w:color w:val="373737"/>
                                <w:sz w:val="18"/>
                              </w:rPr>
                              <w:t xml:space="preserve">) un izmantot LAP uzraudzības sistēmu kā atsauces punktu (piemēram, maksājumu aģentūras datubāzi). </w:t>
                            </w:r>
                          </w:p>
                          <w:p w:rsidR="00A472D8" w:rsidRPr="00AF5661" w:rsidRDefault="00A472D8" w:rsidP="005C7C25">
                            <w:pPr>
                              <w:pStyle w:val="Hlistbullet"/>
                              <w:spacing w:before="0" w:after="0" w:line="280" w:lineRule="atLeast"/>
                              <w:ind w:left="604" w:hanging="604"/>
                              <w:rPr>
                                <w:color w:val="373737"/>
                                <w:sz w:val="18"/>
                                <w:szCs w:val="18"/>
                              </w:rPr>
                            </w:pPr>
                            <w:r>
                              <w:rPr>
                                <w:b/>
                                <w:color w:val="F07E31" w:themeColor="accent1"/>
                                <w:sz w:val="18"/>
                              </w:rPr>
                              <w:t>2. solis.</w:t>
                            </w:r>
                            <w:r>
                              <w:rPr>
                                <w:color w:val="373737"/>
                                <w:sz w:val="18"/>
                              </w:rPr>
                              <w:t xml:space="preserve"> Atlasīt no visām datubāzē iekļautajām atbilstošajām vienībām tās, kas attiecīgajā periodā nesaņēma atbalstu no LAP pasākumiem ("subjekti, kas nav saņēmēji").</w:t>
                            </w:r>
                          </w:p>
                          <w:p w:rsidR="00A472D8" w:rsidRPr="00AF5661" w:rsidRDefault="00A472D8" w:rsidP="005C7C25">
                            <w:pPr>
                              <w:pStyle w:val="Hlistbullet"/>
                              <w:spacing w:before="0" w:after="0" w:line="280" w:lineRule="atLeast"/>
                              <w:ind w:left="604" w:hanging="604"/>
                              <w:rPr>
                                <w:color w:val="373737"/>
                                <w:sz w:val="18"/>
                                <w:szCs w:val="18"/>
                              </w:rPr>
                            </w:pPr>
                            <w:r>
                              <w:rPr>
                                <w:b/>
                                <w:color w:val="F07E31" w:themeColor="accent1"/>
                                <w:sz w:val="18"/>
                              </w:rPr>
                              <w:t>3. solis.</w:t>
                            </w:r>
                            <w:r>
                              <w:rPr>
                                <w:color w:val="373737"/>
                                <w:sz w:val="18"/>
                              </w:rPr>
                              <w:t xml:space="preserve"> No subjektu, kas nav saņēmēji, grupas iepriekš atlasīt tās vienības, kas NEIZPILDA programmas atbilstības nosacījumus (lielu ienākumu, izmēra, atrašanās vietas u. c. iemeslu dēļ), un izsvītrot tās no analīzes. </w:t>
                            </w:r>
                          </w:p>
                          <w:p w:rsidR="00A472D8" w:rsidRPr="007008C0" w:rsidRDefault="00A472D8" w:rsidP="005C7C25">
                            <w:pPr>
                              <w:pStyle w:val="Hlistbullet"/>
                              <w:spacing w:before="0" w:after="0" w:line="280" w:lineRule="atLeast"/>
                              <w:ind w:left="604" w:hanging="604"/>
                              <w:rPr>
                                <w:color w:val="373737"/>
                                <w:sz w:val="18"/>
                                <w:szCs w:val="18"/>
                              </w:rPr>
                            </w:pPr>
                            <w:r>
                              <w:rPr>
                                <w:b/>
                                <w:color w:val="F07E31" w:themeColor="accent1"/>
                                <w:sz w:val="18"/>
                              </w:rPr>
                              <w:t>4. solis.</w:t>
                            </w:r>
                            <w:r>
                              <w:rPr>
                                <w:color w:val="373737"/>
                                <w:sz w:val="18"/>
                              </w:rPr>
                              <w:t xml:space="preserve"> Savākt datus attiecībā uz visām vienībām abās grupās (saņēmēji un subjekti, kas nav saņēmēji) par to galvenajiem raksturlielumiem (mainīgajiem) 2013. gadā (t. i., pirms programmas). Jāņem vērā, ka analīzē iekļautajiem mainīgajiem būtu jāietekmē gan vienības atlase, gan mikrolīmenī aprēķinātie rādītāji (kopējie un papildu ietekmes rādītāji). Viens no ierosinātajiem mainīgajiem (ko izmanto kā svarīgu kontroles mainīgo) var būt: i) konkrētās vienības ("saņēmēji" un "subjekti, kas nav saņēmēji") saņemtā atbalsta apmērs iepriekšējā 2007.–2013. gada plānošanas periodā un/vai ii) atbalsta apmērs, ko saņēmusi konkrētā vienība ("saņēmējs" un "subjekts, kas nav saņēmēji") no citiem publiskiem avotiem (piemēram, ES struktūrfondiem, I pīlāra) analizētajā periodā.</w:t>
                            </w:r>
                          </w:p>
                          <w:p w:rsidR="00A472D8" w:rsidRPr="00AF5661" w:rsidRDefault="00A472D8" w:rsidP="005C7C25">
                            <w:pPr>
                              <w:pStyle w:val="Hlistbullet"/>
                              <w:spacing w:before="0" w:after="0" w:line="280" w:lineRule="atLeast"/>
                              <w:ind w:left="604" w:hanging="604"/>
                              <w:rPr>
                                <w:color w:val="373737"/>
                                <w:sz w:val="18"/>
                                <w:szCs w:val="18"/>
                              </w:rPr>
                            </w:pPr>
                            <w:r>
                              <w:rPr>
                                <w:b/>
                                <w:color w:val="F07E31" w:themeColor="accent1"/>
                                <w:sz w:val="18"/>
                              </w:rPr>
                              <w:t>5. solis.</w:t>
                            </w:r>
                            <w:r>
                              <w:rPr>
                                <w:color w:val="373737"/>
                                <w:sz w:val="18"/>
                              </w:rPr>
                              <w:t xml:space="preserve"> Izmantot piemērotus paņēmienus (piemēram, saskaņošanu), kas ļauj "subjektu, kas nav saņēmēji" paraugkopā (skatīt 2.–3. soli) noteikt piemērotu "kontroles grupu" (daži "subjekti, kas nav saņēmēji" un/vai "saņēmēji" tiek svītroti no analīzes, jo nav piemērotu kontroles vienību).</w:t>
                            </w:r>
                          </w:p>
                          <w:p w:rsidR="00A472D8" w:rsidRPr="0025164E" w:rsidRDefault="00A472D8" w:rsidP="005C7C25">
                            <w:pPr>
                              <w:pStyle w:val="Hlistbullet"/>
                              <w:spacing w:before="0" w:after="0" w:line="280" w:lineRule="atLeast"/>
                              <w:ind w:left="604" w:hanging="604"/>
                            </w:pPr>
                            <w:r>
                              <w:rPr>
                                <w:b/>
                                <w:color w:val="F07E31" w:themeColor="accent1"/>
                                <w:sz w:val="18"/>
                              </w:rPr>
                              <w:t>6. solis.</w:t>
                            </w:r>
                            <w:r>
                              <w:rPr>
                                <w:color w:val="373737"/>
                                <w:sz w:val="18"/>
                              </w:rPr>
                              <w:t xml:space="preserve"> Statistiski pārbaudīt abu grupu "līdzību" pirms atbalsta saņemšanas no programmas (piemēram, veicot analīzē iekļauto kovariātu statistiskos testus). Vidējai vienības vērtībai “saņēmēju” grupā nevajadzētu būtiski atšķirties no attiecīgās vienības "kontroles grupā".</w:t>
                            </w:r>
                          </w:p>
                          <w:p w:rsidR="00A472D8" w:rsidRPr="0025164E" w:rsidRDefault="00A472D8" w:rsidP="00735F08">
                            <w:pPr>
                              <w:pStyle w:val="Hlistbullet"/>
                              <w:numPr>
                                <w:ilvl w:val="0"/>
                                <w:numId w:val="0"/>
                              </w:numPr>
                              <w:jc w:val="center"/>
                              <w:rPr>
                                <w:i/>
                                <w:color w:val="F07E31" w:themeColor="accent1"/>
                                <w:sz w:val="18"/>
                                <w:szCs w:val="18"/>
                              </w:rPr>
                            </w:pPr>
                            <w:r>
                              <w:rPr>
                                <w:i/>
                                <w:color w:val="F07E31" w:themeColor="accent1"/>
                                <w:sz w:val="18"/>
                              </w:rPr>
                              <w:t xml:space="preserve">Papildu informāciju par kontroles grupu izveidi, saskaņošanu u. c. jautājumiem skatīt </w:t>
                            </w:r>
                            <w:hyperlink r:id="rId48" w:history="1">
                              <w:r>
                                <w:rPr>
                                  <w:rStyle w:val="Hyperlink"/>
                                  <w:i/>
                                  <w:color w:val="F07E31" w:themeColor="accent1"/>
                                  <w:sz w:val="18"/>
                                </w:rPr>
                                <w:t xml:space="preserve">"Pamatnostādņu par 2007.–2013. gada LAP </w:t>
                              </w:r>
                              <w:r w:rsidRPr="00BF1122">
                                <w:rPr>
                                  <w:rStyle w:val="Hyperlink"/>
                                  <w:iCs/>
                                  <w:color w:val="F07E31" w:themeColor="accent1"/>
                                  <w:sz w:val="18"/>
                                </w:rPr>
                                <w:t>ex post</w:t>
                              </w:r>
                              <w:r>
                                <w:rPr>
                                  <w:rStyle w:val="Hyperlink"/>
                                  <w:i/>
                                  <w:color w:val="F07E31" w:themeColor="accent1"/>
                                  <w:sz w:val="18"/>
                                </w:rPr>
                                <w:t xml:space="preserve"> novērtējumu"</w:t>
                              </w:r>
                            </w:hyperlink>
                            <w:r>
                              <w:rPr>
                                <w:rStyle w:val="Hyperlink"/>
                                <w:i/>
                                <w:color w:val="F07E31" w:themeColor="accent1"/>
                                <w:sz w:val="18"/>
                              </w:rPr>
                              <w:t xml:space="preserve"> 4. nodaļā</w:t>
                            </w:r>
                            <w:r>
                              <w:t>.</w:t>
                            </w:r>
                          </w:p>
                        </w:txbxContent>
                      </v:textbox>
                      <w10:anchorlock/>
                    </v:shape>
                  </w:pict>
                </mc:Fallback>
              </mc:AlternateContent>
            </w:r>
          </w:p>
        </w:tc>
      </w:tr>
    </w:tbl>
    <w:p w:rsidR="00560A1E" w:rsidRPr="00571D58" w:rsidRDefault="000B213F" w:rsidP="00560A1E">
      <w:pPr>
        <w:pStyle w:val="HStandard"/>
      </w:pPr>
      <w:r>
        <w:rPr>
          <w:b/>
          <w:i/>
          <w:noProof/>
          <w:color w:val="F07E31" w:themeColor="accent1"/>
          <w:lang w:val="en-GB" w:eastAsia="en-GB" w:bidi="lo-LA"/>
        </w:rPr>
        <w:lastRenderedPageBreak/>
        <mc:AlternateContent>
          <mc:Choice Requires="wps">
            <w:drawing>
              <wp:inline distT="0" distB="0" distL="0" distR="0" wp14:anchorId="4839F246" wp14:editId="72103C3F">
                <wp:extent cx="5731510" cy="8451850"/>
                <wp:effectExtent l="19050" t="19050" r="21590" b="15875"/>
                <wp:docPr id="907"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8451850"/>
                        </a:xfrm>
                        <a:custGeom>
                          <a:avLst/>
                          <a:gdLst>
                            <a:gd name="T0" fmla="*/ 290989 w 5731510"/>
                            <a:gd name="T1" fmla="*/ 0 h 8451850"/>
                            <a:gd name="T2" fmla="*/ 5731510 w 5731510"/>
                            <a:gd name="T3" fmla="*/ 0 h 8451850"/>
                            <a:gd name="T4" fmla="*/ 5731510 w 5731510"/>
                            <a:gd name="T5" fmla="*/ 0 h 8451850"/>
                            <a:gd name="T6" fmla="*/ 5731510 w 5731510"/>
                            <a:gd name="T7" fmla="*/ 8160861 h 8451850"/>
                            <a:gd name="T8" fmla="*/ 5440521 w 5731510"/>
                            <a:gd name="T9" fmla="*/ 8451850 h 8451850"/>
                            <a:gd name="T10" fmla="*/ 0 w 5731510"/>
                            <a:gd name="T11" fmla="*/ 8451850 h 8451850"/>
                            <a:gd name="T12" fmla="*/ 0 w 5731510"/>
                            <a:gd name="T13" fmla="*/ 8451850 h 8451850"/>
                            <a:gd name="T14" fmla="*/ 0 w 5731510"/>
                            <a:gd name="T15" fmla="*/ 290989 h 8451850"/>
                            <a:gd name="T16" fmla="*/ 290989 w 5731510"/>
                            <a:gd name="T17" fmla="*/ 0 h 8451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8451850"/>
                            <a:gd name="T29" fmla="*/ 5731510 w 5731510"/>
                            <a:gd name="T30" fmla="*/ 8451850 h 8451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8451850">
                              <a:moveTo>
                                <a:pt x="290989" y="0"/>
                              </a:moveTo>
                              <a:lnTo>
                                <a:pt x="5731510" y="0"/>
                              </a:lnTo>
                              <a:lnTo>
                                <a:pt x="5731510" y="8160861"/>
                              </a:lnTo>
                              <a:cubicBezTo>
                                <a:pt x="5731510" y="8321570"/>
                                <a:pt x="5601230" y="8451850"/>
                                <a:pt x="5440521" y="8451850"/>
                              </a:cubicBezTo>
                              <a:lnTo>
                                <a:pt x="0" y="8451850"/>
                              </a:lnTo>
                              <a:lnTo>
                                <a:pt x="0" y="290989"/>
                              </a:lnTo>
                              <a:cubicBezTo>
                                <a:pt x="0" y="130280"/>
                                <a:pt x="130280" y="0"/>
                                <a:pt x="290989"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A472D8" w:rsidRPr="00DD36A9" w:rsidRDefault="00A472D8" w:rsidP="006D4194">
                            <w:pPr>
                              <w:pStyle w:val="HHeading4"/>
                            </w:pPr>
                            <w:r>
                              <w:rPr>
                                <w:noProof/>
                                <w:lang w:val="en-GB" w:eastAsia="en-GB" w:bidi="lo-LA"/>
                              </w:rPr>
                              <w:drawing>
                                <wp:inline distT="0" distB="0" distL="0" distR="0" wp14:anchorId="67403FDB" wp14:editId="26DEAB2C">
                                  <wp:extent cx="664845" cy="487680"/>
                                  <wp:effectExtent l="0" t="0" r="0" b="7620"/>
                                  <wp:docPr id="91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ĪSAIS NORĀDĪJUMS Nr. 3. Kompromisi novērtēšanas metožu izvēlē</w:t>
                            </w:r>
                          </w:p>
                          <w:p w:rsidR="00A472D8" w:rsidRDefault="00A472D8" w:rsidP="006D4194">
                            <w:pPr>
                              <w:pStyle w:val="HStandard"/>
                              <w:spacing w:after="0"/>
                              <w:rPr>
                                <w:rFonts w:cs="Arial"/>
                                <w:color w:val="373737"/>
                                <w:sz w:val="18"/>
                                <w:szCs w:val="18"/>
                              </w:rPr>
                            </w:pPr>
                            <w:r>
                              <w:rPr>
                                <w:color w:val="373737"/>
                                <w:sz w:val="18"/>
                              </w:rPr>
                              <w:t>Novērtējumos nepieejamie dati bieži tiek uzskatīti par galveno novērtēšanas metožu izvēles ierobežojumu. Tomēr “neskartu” novērtēšanas paņēmienu izmantošana (bez hipotētiskas analīzes) šādos gadījumos būtiski samazina metodoloģijas stingrību, uzticamību, noturību un derīgumu. Tāpēc ieinteresētās personas tiek mudinātas apsvērt kompromisus starp vajadzību pēc datiem un to rezultātu iespējamo neobjektivitāti, kas iegūti ar vājākām metodēm. Novērtēšanas metodēm, kas nodrošina augstas kvalitātes rezultātus, bieži vajag daudz datu.</w:t>
                            </w:r>
                          </w:p>
                          <w:p w:rsidR="00A472D8" w:rsidRPr="006D4194" w:rsidRDefault="00A472D8" w:rsidP="006D4194">
                            <w:pPr>
                              <w:pStyle w:val="HStandard"/>
                              <w:spacing w:after="0"/>
                              <w:rPr>
                                <w:rFonts w:cs="Arial"/>
                                <w:color w:val="373737"/>
                                <w:sz w:val="18"/>
                                <w:szCs w:val="18"/>
                              </w:rPr>
                            </w:pPr>
                          </w:p>
                          <w:p w:rsidR="00A472D8" w:rsidRPr="009866F7" w:rsidRDefault="00A472D8" w:rsidP="006D4194">
                            <w:pPr>
                              <w:spacing w:before="0" w:after="0" w:line="240" w:lineRule="auto"/>
                              <w:rPr>
                                <w:rFonts w:cs="Arial"/>
                                <w:color w:val="373737"/>
                                <w:szCs w:val="18"/>
                                <w:highlight w:val="yellow"/>
                              </w:rPr>
                            </w:pPr>
                            <w:r>
                              <w:t>Metožu salīdzinājums (apzīmējumu atšifrējums:</w:t>
                            </w:r>
                            <w:r>
                              <w:rPr>
                                <w:color w:val="373737"/>
                              </w:rPr>
                              <w:t xml:space="preserve"> +++++ = augstākais novērtējums; + = zemākais novērtējums) </w:t>
                            </w:r>
                          </w:p>
                          <w:tbl>
                            <w:tblPr>
                              <w:tblStyle w:val="Tabukasmriekou5tmavzvraznenie11"/>
                              <w:tblW w:w="8330" w:type="dxa"/>
                              <w:tblLayout w:type="fixed"/>
                              <w:tblLook w:val="04A0" w:firstRow="1" w:lastRow="0" w:firstColumn="1" w:lastColumn="0" w:noHBand="0" w:noVBand="1"/>
                            </w:tblPr>
                            <w:tblGrid>
                              <w:gridCol w:w="2093"/>
                              <w:gridCol w:w="1701"/>
                              <w:gridCol w:w="1701"/>
                              <w:gridCol w:w="1417"/>
                              <w:gridCol w:w="1418"/>
                            </w:tblGrid>
                            <w:tr w:rsidR="00A472D8" w:rsidTr="00B308C9">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093" w:type="dxa"/>
                                </w:tcPr>
                                <w:p w:rsidR="00A472D8" w:rsidRPr="0025164E" w:rsidRDefault="00A472D8" w:rsidP="009811C2">
                                  <w:pPr>
                                    <w:jc w:val="center"/>
                                    <w:rPr>
                                      <w:rFonts w:cs="Arial"/>
                                      <w:szCs w:val="18"/>
                                    </w:rPr>
                                  </w:pPr>
                                  <w:r>
                                    <w:t>Metode</w:t>
                                  </w:r>
                                </w:p>
                              </w:tc>
                              <w:tc>
                                <w:tcPr>
                                  <w:tcW w:w="1701" w:type="dxa"/>
                                </w:tcPr>
                                <w:p w:rsidR="00A472D8" w:rsidRPr="0025164E" w:rsidRDefault="00A472D8" w:rsidP="00365997">
                                  <w:pPr>
                                    <w:jc w:val="center"/>
                                    <w:cnfStyle w:val="100000000000" w:firstRow="1" w:lastRow="0" w:firstColumn="0" w:lastColumn="0" w:oddVBand="0" w:evenVBand="0" w:oddHBand="0" w:evenHBand="0" w:firstRowFirstColumn="0" w:firstRowLastColumn="0" w:lastRowFirstColumn="0" w:lastRowLastColumn="0"/>
                                    <w:rPr>
                                      <w:rFonts w:cs="Arial"/>
                                      <w:szCs w:val="18"/>
                                    </w:rPr>
                                  </w:pPr>
                                  <w:r>
                                    <w:t>Ticamība/stingrība, uzticamība u. c.</w:t>
                                  </w:r>
                                </w:p>
                              </w:tc>
                              <w:tc>
                                <w:tcPr>
                                  <w:tcW w:w="1701" w:type="dxa"/>
                                </w:tcPr>
                                <w:p w:rsidR="00A472D8" w:rsidRPr="0025164E" w:rsidRDefault="00A472D8"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Spēja samazināt atlases un citu neobjektivitāti</w:t>
                                  </w:r>
                                </w:p>
                              </w:tc>
                              <w:tc>
                                <w:tcPr>
                                  <w:tcW w:w="1417" w:type="dxa"/>
                                </w:tcPr>
                                <w:p w:rsidR="00A472D8" w:rsidRPr="0025164E" w:rsidRDefault="00A472D8"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Novērtējuma kvalitāte</w:t>
                                  </w:r>
                                </w:p>
                              </w:tc>
                              <w:tc>
                                <w:tcPr>
                                  <w:tcW w:w="1418" w:type="dxa"/>
                                </w:tcPr>
                                <w:p w:rsidR="00A472D8" w:rsidRPr="0025164E" w:rsidRDefault="00A472D8"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Vajadzība pēc datiem</w:t>
                                  </w:r>
                                </w:p>
                              </w:tc>
                            </w:tr>
                            <w:tr w:rsidR="00A472D8" w:rsidTr="00B308C9">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93" w:type="dxa"/>
                                </w:tcPr>
                                <w:p w:rsidR="00A472D8" w:rsidRPr="009811C2" w:rsidRDefault="00A472D8" w:rsidP="00365997">
                                  <w:pPr>
                                    <w:jc w:val="left"/>
                                    <w:rPr>
                                      <w:rFonts w:cs="Arial"/>
                                      <w:szCs w:val="18"/>
                                    </w:rPr>
                                  </w:pPr>
                                  <w:r>
                                    <w:t>Eksperimentāla pieeja</w:t>
                                  </w:r>
                                </w:p>
                              </w:tc>
                              <w:tc>
                                <w:tcPr>
                                  <w:tcW w:w="1701" w:type="dxa"/>
                                </w:tcPr>
                                <w:p w:rsidR="00A472D8" w:rsidRPr="00B9614C" w:rsidRDefault="00A472D8"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A472D8" w:rsidRPr="00B9614C" w:rsidRDefault="00A472D8"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A472D8" w:rsidRPr="00B9614C" w:rsidRDefault="00A472D8"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A472D8" w:rsidRPr="00B9614C" w:rsidRDefault="00A472D8"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A472D8" w:rsidTr="00B308C9">
                              <w:tc>
                                <w:tcPr>
                                  <w:cnfStyle w:val="001000000000" w:firstRow="0" w:lastRow="0" w:firstColumn="1" w:lastColumn="0" w:oddVBand="0" w:evenVBand="0" w:oddHBand="0" w:evenHBand="0" w:firstRowFirstColumn="0" w:firstRowLastColumn="0" w:lastRowFirstColumn="0" w:lastRowLastColumn="0"/>
                                  <w:tcW w:w="2093" w:type="dxa"/>
                                </w:tcPr>
                                <w:p w:rsidR="00A472D8" w:rsidRPr="009811C2" w:rsidRDefault="00A472D8" w:rsidP="00365997">
                                  <w:pPr>
                                    <w:jc w:val="left"/>
                                    <w:rPr>
                                      <w:rFonts w:cs="Arial"/>
                                      <w:szCs w:val="18"/>
                                    </w:rPr>
                                  </w:pPr>
                                  <w:r>
                                    <w:t>Daļēji eksperimentāla pieeja</w:t>
                                  </w:r>
                                </w:p>
                              </w:tc>
                              <w:tc>
                                <w:tcPr>
                                  <w:tcW w:w="1701" w:type="dxa"/>
                                </w:tcPr>
                                <w:p w:rsidR="00A472D8" w:rsidRPr="00B9614C" w:rsidRDefault="00A472D8"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A472D8" w:rsidRPr="00B9614C" w:rsidRDefault="00A472D8"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A472D8" w:rsidRPr="00B9614C" w:rsidRDefault="00A472D8"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A472D8" w:rsidRPr="00B9614C" w:rsidRDefault="00A472D8"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A472D8" w:rsidTr="00B30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A472D8" w:rsidRPr="009811C2" w:rsidRDefault="00A472D8" w:rsidP="00365997">
                                  <w:pPr>
                                    <w:jc w:val="left"/>
                                    <w:rPr>
                                      <w:rFonts w:cs="Arial"/>
                                      <w:szCs w:val="18"/>
                                    </w:rPr>
                                  </w:pPr>
                                  <w:r>
                                    <w:t>Saskaņotas pieejas (apvienojumā ar AA)</w:t>
                                  </w:r>
                                </w:p>
                              </w:tc>
                              <w:tc>
                                <w:tcPr>
                                  <w:tcW w:w="1701" w:type="dxa"/>
                                </w:tcPr>
                                <w:p w:rsidR="00A472D8" w:rsidRPr="00B9614C" w:rsidRDefault="00A472D8"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A472D8" w:rsidRPr="00B9614C" w:rsidRDefault="00A472D8"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A472D8" w:rsidRPr="00B9614C" w:rsidRDefault="00A472D8"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A472D8" w:rsidRPr="00B9614C" w:rsidRDefault="00A472D8"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A472D8" w:rsidTr="00B308C9">
                              <w:trPr>
                                <w:trHeight w:val="416"/>
                              </w:trPr>
                              <w:tc>
                                <w:tcPr>
                                  <w:cnfStyle w:val="001000000000" w:firstRow="0" w:lastRow="0" w:firstColumn="1" w:lastColumn="0" w:oddVBand="0" w:evenVBand="0" w:oddHBand="0" w:evenHBand="0" w:firstRowFirstColumn="0" w:firstRowLastColumn="0" w:lastRowFirstColumn="0" w:lastRowLastColumn="0"/>
                                  <w:tcW w:w="2093" w:type="dxa"/>
                                </w:tcPr>
                                <w:p w:rsidR="00A472D8" w:rsidRPr="009811C2" w:rsidRDefault="00A472D8" w:rsidP="00365997">
                                  <w:pPr>
                                    <w:jc w:val="left"/>
                                    <w:rPr>
                                      <w:rFonts w:cs="Arial"/>
                                      <w:szCs w:val="18"/>
                                    </w:rPr>
                                  </w:pPr>
                                  <w:r>
                                    <w:t>RNP</w:t>
                                  </w:r>
                                </w:p>
                              </w:tc>
                              <w:tc>
                                <w:tcPr>
                                  <w:tcW w:w="1701" w:type="dxa"/>
                                </w:tcPr>
                                <w:p w:rsidR="00A472D8" w:rsidRPr="00B9614C" w:rsidRDefault="00A472D8"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A472D8" w:rsidRPr="00B9614C" w:rsidRDefault="00A472D8"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A472D8" w:rsidRPr="00B9614C" w:rsidRDefault="00A472D8"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A472D8" w:rsidRPr="00B9614C" w:rsidRDefault="00A472D8"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A472D8" w:rsidTr="00B308C9">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093" w:type="dxa"/>
                                </w:tcPr>
                                <w:p w:rsidR="00A472D8" w:rsidRPr="009811C2" w:rsidRDefault="00A472D8" w:rsidP="00365997">
                                  <w:pPr>
                                    <w:jc w:val="left"/>
                                    <w:rPr>
                                      <w:rFonts w:cs="Arial"/>
                                      <w:szCs w:val="18"/>
                                    </w:rPr>
                                  </w:pPr>
                                  <w:r>
                                    <w:t>Instrumentālo mainīgo metode</w:t>
                                  </w:r>
                                </w:p>
                              </w:tc>
                              <w:tc>
                                <w:tcPr>
                                  <w:tcW w:w="1701" w:type="dxa"/>
                                </w:tcPr>
                                <w:p w:rsidR="00A472D8" w:rsidRPr="00B9614C" w:rsidRDefault="00A472D8"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A472D8" w:rsidRPr="00B9614C" w:rsidRDefault="00A472D8"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A472D8" w:rsidRPr="00B9614C" w:rsidRDefault="00A472D8"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A472D8" w:rsidRPr="00B9614C" w:rsidRDefault="00A472D8"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A472D8" w:rsidTr="00B308C9">
                              <w:trPr>
                                <w:trHeight w:val="414"/>
                              </w:trPr>
                              <w:tc>
                                <w:tcPr>
                                  <w:cnfStyle w:val="001000000000" w:firstRow="0" w:lastRow="0" w:firstColumn="1" w:lastColumn="0" w:oddVBand="0" w:evenVBand="0" w:oddHBand="0" w:evenHBand="0" w:firstRowFirstColumn="0" w:firstRowLastColumn="0" w:lastRowFirstColumn="0" w:lastRowLastColumn="0"/>
                                  <w:tcW w:w="2093" w:type="dxa"/>
                                </w:tcPr>
                                <w:p w:rsidR="00A472D8" w:rsidRPr="009811C2" w:rsidRDefault="00A472D8" w:rsidP="00B97DB1">
                                  <w:pPr>
                                    <w:jc w:val="left"/>
                                    <w:rPr>
                                      <w:rFonts w:cs="Arial"/>
                                      <w:szCs w:val="18"/>
                                    </w:rPr>
                                  </w:pPr>
                                  <w:r>
                                    <w:t>Metode AA</w:t>
                                  </w:r>
                                </w:p>
                              </w:tc>
                              <w:tc>
                                <w:tcPr>
                                  <w:tcW w:w="1701" w:type="dxa"/>
                                </w:tcPr>
                                <w:p w:rsidR="00A472D8" w:rsidRPr="00B9614C" w:rsidRDefault="00A472D8"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A472D8" w:rsidRPr="00B9614C" w:rsidRDefault="00A472D8"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A472D8" w:rsidRPr="00B9614C" w:rsidRDefault="00A472D8"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A472D8" w:rsidRPr="00B9614C" w:rsidRDefault="00A472D8"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A472D8" w:rsidTr="00B30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A472D8" w:rsidRPr="009811C2" w:rsidRDefault="00A472D8" w:rsidP="002340B6">
                                  <w:pPr>
                                    <w:jc w:val="left"/>
                                    <w:rPr>
                                      <w:rFonts w:cs="Arial"/>
                                      <w:szCs w:val="18"/>
                                    </w:rPr>
                                  </w:pPr>
                                  <w:r>
                                    <w:t>Salīdzinājums ar subjektiem, kas nav saņēmēji, konkrētajā periodā (neskartā pieeja)</w:t>
                                  </w:r>
                                </w:p>
                              </w:tc>
                              <w:tc>
                                <w:tcPr>
                                  <w:tcW w:w="1701" w:type="dxa"/>
                                </w:tcPr>
                                <w:p w:rsidR="00A472D8" w:rsidRPr="00B9614C" w:rsidRDefault="00A472D8"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A472D8" w:rsidRPr="00B9614C" w:rsidRDefault="00A472D8"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A472D8" w:rsidRPr="00B9614C" w:rsidRDefault="00A472D8"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A472D8" w:rsidRPr="00B9614C" w:rsidRDefault="00A472D8"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A472D8" w:rsidTr="00B308C9">
                              <w:tc>
                                <w:tcPr>
                                  <w:cnfStyle w:val="001000000000" w:firstRow="0" w:lastRow="0" w:firstColumn="1" w:lastColumn="0" w:oddVBand="0" w:evenVBand="0" w:oddHBand="0" w:evenHBand="0" w:firstRowFirstColumn="0" w:firstRowLastColumn="0" w:lastRowFirstColumn="0" w:lastRowLastColumn="0"/>
                                  <w:tcW w:w="2093" w:type="dxa"/>
                                </w:tcPr>
                                <w:p w:rsidR="00A472D8" w:rsidRPr="009811C2" w:rsidRDefault="00A472D8" w:rsidP="002340B6">
                                  <w:pPr>
                                    <w:jc w:val="left"/>
                                    <w:rPr>
                                      <w:rFonts w:cs="Arial"/>
                                      <w:szCs w:val="18"/>
                                    </w:rPr>
                                  </w:pPr>
                                  <w:r>
                                    <w:t>Programmas saņēmēju salīdzinājums pirms un pēc (neskartā pieeja)</w:t>
                                  </w:r>
                                </w:p>
                              </w:tc>
                              <w:tc>
                                <w:tcPr>
                                  <w:tcW w:w="1701" w:type="dxa"/>
                                </w:tcPr>
                                <w:p w:rsidR="00A472D8" w:rsidRPr="00B9614C" w:rsidRDefault="00A472D8"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A472D8" w:rsidRPr="00B9614C" w:rsidRDefault="00A472D8"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A472D8" w:rsidRPr="00B9614C" w:rsidRDefault="00A472D8"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A472D8" w:rsidRPr="00B9614C" w:rsidRDefault="00A472D8"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A472D8" w:rsidTr="00B30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A472D8" w:rsidRPr="009811C2" w:rsidRDefault="00A472D8" w:rsidP="00365997">
                                  <w:pPr>
                                    <w:jc w:val="left"/>
                                    <w:rPr>
                                      <w:rFonts w:cs="Arial"/>
                                      <w:szCs w:val="18"/>
                                    </w:rPr>
                                  </w:pPr>
                                  <w:r>
                                    <w:t>Kvalitatīvās pieejas, ko piemēro programmas rezultātu/ietekmes aplēsēs</w:t>
                                  </w:r>
                                </w:p>
                              </w:tc>
                              <w:tc>
                                <w:tcPr>
                                  <w:tcW w:w="1701" w:type="dxa"/>
                                </w:tcPr>
                                <w:p w:rsidR="00A472D8" w:rsidRPr="00B9614C" w:rsidRDefault="00A472D8"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A472D8" w:rsidRPr="00B9614C" w:rsidRDefault="00A472D8"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A472D8" w:rsidRPr="00B9614C" w:rsidRDefault="00A472D8"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A472D8" w:rsidRPr="00B9614C" w:rsidRDefault="00A472D8"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bl>
                          <w:p w:rsidR="00A472D8" w:rsidRPr="00742E07" w:rsidRDefault="00A472D8" w:rsidP="00735F08">
                            <w:pPr>
                              <w:pStyle w:val="HStandard"/>
                              <w:jc w:val="center"/>
                              <w:rPr>
                                <w:i/>
                                <w:color w:val="F07E31" w:themeColor="accent1"/>
                              </w:rPr>
                            </w:pPr>
                            <w:r>
                              <w:rPr>
                                <w:i/>
                                <w:color w:val="F07E31" w:themeColor="accent1"/>
                                <w:sz w:val="18"/>
                              </w:rPr>
                              <w:t xml:space="preserve">Papildu informāciju par novērtēšanas pieeju izvēles kritērijiem skatīt  </w:t>
                            </w:r>
                            <w:r>
                              <w:rPr>
                                <w:i/>
                                <w:color w:val="F07E31" w:themeColor="accent1"/>
                                <w:sz w:val="18"/>
                                <w:szCs w:val="18"/>
                              </w:rPr>
                              <w:br/>
                            </w:r>
                            <w:hyperlink r:id="rId49">
                              <w:r>
                                <w:rPr>
                                  <w:rStyle w:val="Hyperlink"/>
                                  <w:i/>
                                  <w:color w:val="F07E31" w:themeColor="accent1"/>
                                  <w:sz w:val="18"/>
                                </w:rPr>
                                <w:t>"Pamatnostādņu par 2007.–2013. </w:t>
                              </w:r>
                              <w:r>
                                <w:rPr>
                                  <w:rStyle w:val="Hyperlink"/>
                                  <w:i/>
                                  <w:color w:val="F07E31" w:themeColor="accent1"/>
                                  <w:sz w:val="18"/>
                                </w:rPr>
                                <w:t xml:space="preserve">gada LAP </w:t>
                              </w:r>
                              <w:r w:rsidRPr="00F67434">
                                <w:rPr>
                                  <w:rStyle w:val="Hyperlink"/>
                                  <w:iCs/>
                                  <w:color w:val="F07E31" w:themeColor="accent1"/>
                                  <w:sz w:val="18"/>
                                </w:rPr>
                                <w:t>ex post</w:t>
                              </w:r>
                              <w:r>
                                <w:rPr>
                                  <w:rStyle w:val="Hyperlink"/>
                                  <w:i/>
                                  <w:color w:val="F07E31" w:themeColor="accent1"/>
                                  <w:sz w:val="18"/>
                                </w:rPr>
                                <w:t xml:space="preserve"> novērtējumu"</w:t>
                              </w:r>
                            </w:hyperlink>
                            <w:r>
                              <w:rPr>
                                <w:rStyle w:val="Hyperlink"/>
                                <w:i/>
                                <w:color w:val="F07E31" w:themeColor="accent1"/>
                                <w:sz w:val="18"/>
                              </w:rPr>
                              <w:t xml:space="preserve"> 4.3.4.2. nodaļā</w:t>
                            </w:r>
                            <w:r>
                              <w:t>.</w:t>
                            </w:r>
                          </w:p>
                        </w:txbxContent>
                      </wps:txbx>
                      <wps:bodyPr rot="0" vert="horz" wrap="square" lIns="91440" tIns="45720" rIns="91440" bIns="45720" anchor="ctr" anchorCtr="0" upright="1">
                        <a:noAutofit/>
                      </wps:bodyPr>
                    </wps:wsp>
                  </a:graphicData>
                </a:graphic>
              </wp:inline>
            </w:drawing>
          </mc:Choice>
          <mc:Fallback>
            <w:pict>
              <v:shape w14:anchorId="4839F246" id="AutoShape 66" o:spid="_x0000_s1036" style="width:451.3pt;height:665.5pt;visibility:visible;mso-wrap-style:square;mso-left-percent:-10001;mso-top-percent:-10001;mso-position-horizontal:absolute;mso-position-horizontal-relative:char;mso-position-vertical:absolute;mso-position-vertical-relative:line;mso-left-percent:-10001;mso-top-percent:-10001;v-text-anchor:middle" coordsize="5731510,8451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" adj="-11796480,,5400" path="m290989,l5731510,r,8160861c5731510,8321570,5601230,8451850,5440521,8451850l,8451850,,290989c,130280,130280,,290989,xe" filled="f" strokecolor="#be4a35" strokeweight="2pt">
                <v:stroke joinstyle="miter"/>
                <v:formulas/>
                <v:path arrowok="t" o:connecttype="custom" o:connectlocs="290989,0;5731510,0;5731510,0;5731510,8160861;5440521,8451850;0,8451850;0,8451850;0,290989;290989,0" o:connectangles="0,0,0,0,0,0,0,0,0" textboxrect="0,0,5731510,8451850"/>
                <v:textbox>
                  <w:txbxContent>
                    <w:p w:rsidR="00A472D8" w:rsidRPr="00DD36A9" w:rsidRDefault="00A472D8" w:rsidP="006D4194">
                      <w:pPr>
                        <w:pStyle w:val="HHeading4"/>
                      </w:pPr>
                      <w:r>
                        <w:rPr>
                          <w:noProof/>
                          <w:lang w:val="en-GB" w:eastAsia="en-GB" w:bidi="lo-LA"/>
                        </w:rPr>
                        <w:drawing>
                          <wp:inline distT="0" distB="0" distL="0" distR="0" wp14:anchorId="67403FDB" wp14:editId="26DEAB2C">
                            <wp:extent cx="664845" cy="487680"/>
                            <wp:effectExtent l="0" t="0" r="0" b="7620"/>
                            <wp:docPr id="91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ĪSAIS NORĀDĪJUMS Nr. 3. Kompromisi novērtēšanas metožu izvēlē</w:t>
                      </w:r>
                    </w:p>
                    <w:p w:rsidR="00A472D8" w:rsidRDefault="00A472D8" w:rsidP="006D4194">
                      <w:pPr>
                        <w:pStyle w:val="HStandard"/>
                        <w:spacing w:after="0"/>
                        <w:rPr>
                          <w:rFonts w:cs="Arial"/>
                          <w:color w:val="373737"/>
                          <w:sz w:val="18"/>
                          <w:szCs w:val="18"/>
                        </w:rPr>
                      </w:pPr>
                      <w:r>
                        <w:rPr>
                          <w:color w:val="373737"/>
                          <w:sz w:val="18"/>
                        </w:rPr>
                        <w:t>Novērtējumos nepieejamie dati bieži tiek uzskatīti par galveno novērtēšanas metožu izvēles ierobežojumu. Tomēr “neskartu” novērtēšanas paņēmienu izmantošana (bez hipotētiskas analīzes) šādos gadījumos būtiski samazina metodoloģijas stingrību, uzticamību, noturību un derīgumu. Tāpēc ieinteresētās personas tiek mudinātas apsvērt kompromisus starp vajadzību pēc datiem un to rezultātu iespējamo neobjektivitāti, kas iegūti ar vājākām metodēm. Novērtēšanas metodēm, kas nodrošina augstas kvalitātes rezultātus, bieži vajag daudz datu.</w:t>
                      </w:r>
                    </w:p>
                    <w:p w:rsidR="00A472D8" w:rsidRPr="006D4194" w:rsidRDefault="00A472D8" w:rsidP="006D4194">
                      <w:pPr>
                        <w:pStyle w:val="HStandard"/>
                        <w:spacing w:after="0"/>
                        <w:rPr>
                          <w:rFonts w:cs="Arial"/>
                          <w:color w:val="373737"/>
                          <w:sz w:val="18"/>
                          <w:szCs w:val="18"/>
                        </w:rPr>
                      </w:pPr>
                    </w:p>
                    <w:p w:rsidR="00A472D8" w:rsidRPr="009866F7" w:rsidRDefault="00A472D8" w:rsidP="006D4194">
                      <w:pPr>
                        <w:spacing w:before="0" w:after="0" w:line="240" w:lineRule="auto"/>
                        <w:rPr>
                          <w:rFonts w:cs="Arial"/>
                          <w:color w:val="373737"/>
                          <w:szCs w:val="18"/>
                          <w:highlight w:val="yellow"/>
                        </w:rPr>
                      </w:pPr>
                      <w:r>
                        <w:t>Metožu salīdzinājums (apzīmējumu atšifrējums:</w:t>
                      </w:r>
                      <w:r>
                        <w:rPr>
                          <w:color w:val="373737"/>
                        </w:rPr>
                        <w:t xml:space="preserve"> +++++ = augstākais novērtējums; + = zemākais novērtējums) </w:t>
                      </w:r>
                    </w:p>
                    <w:tbl>
                      <w:tblPr>
                        <w:tblStyle w:val="Tabukasmriekou5tmavzvraznenie11"/>
                        <w:tblW w:w="8330" w:type="dxa"/>
                        <w:tblLayout w:type="fixed"/>
                        <w:tblLook w:val="04A0" w:firstRow="1" w:lastRow="0" w:firstColumn="1" w:lastColumn="0" w:noHBand="0" w:noVBand="1"/>
                      </w:tblPr>
                      <w:tblGrid>
                        <w:gridCol w:w="2093"/>
                        <w:gridCol w:w="1701"/>
                        <w:gridCol w:w="1701"/>
                        <w:gridCol w:w="1417"/>
                        <w:gridCol w:w="1418"/>
                      </w:tblGrid>
                      <w:tr w:rsidR="00A472D8" w:rsidTr="00B308C9">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093" w:type="dxa"/>
                          </w:tcPr>
                          <w:p w:rsidR="00A472D8" w:rsidRPr="0025164E" w:rsidRDefault="00A472D8" w:rsidP="009811C2">
                            <w:pPr>
                              <w:jc w:val="center"/>
                              <w:rPr>
                                <w:rFonts w:cs="Arial"/>
                                <w:szCs w:val="18"/>
                              </w:rPr>
                            </w:pPr>
                            <w:r>
                              <w:t>Metode</w:t>
                            </w:r>
                          </w:p>
                        </w:tc>
                        <w:tc>
                          <w:tcPr>
                            <w:tcW w:w="1701" w:type="dxa"/>
                          </w:tcPr>
                          <w:p w:rsidR="00A472D8" w:rsidRPr="0025164E" w:rsidRDefault="00A472D8" w:rsidP="00365997">
                            <w:pPr>
                              <w:jc w:val="center"/>
                              <w:cnfStyle w:val="100000000000" w:firstRow="1" w:lastRow="0" w:firstColumn="0" w:lastColumn="0" w:oddVBand="0" w:evenVBand="0" w:oddHBand="0" w:evenHBand="0" w:firstRowFirstColumn="0" w:firstRowLastColumn="0" w:lastRowFirstColumn="0" w:lastRowLastColumn="0"/>
                              <w:rPr>
                                <w:rFonts w:cs="Arial"/>
                                <w:szCs w:val="18"/>
                              </w:rPr>
                            </w:pPr>
                            <w:r>
                              <w:t>Ticamība/stingrība, uzticamība u. c.</w:t>
                            </w:r>
                          </w:p>
                        </w:tc>
                        <w:tc>
                          <w:tcPr>
                            <w:tcW w:w="1701" w:type="dxa"/>
                          </w:tcPr>
                          <w:p w:rsidR="00A472D8" w:rsidRPr="0025164E" w:rsidRDefault="00A472D8"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Spēja samazināt atlases un citu neobjektivitāti</w:t>
                            </w:r>
                          </w:p>
                        </w:tc>
                        <w:tc>
                          <w:tcPr>
                            <w:tcW w:w="1417" w:type="dxa"/>
                          </w:tcPr>
                          <w:p w:rsidR="00A472D8" w:rsidRPr="0025164E" w:rsidRDefault="00A472D8"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Novērtējuma kvalitāte</w:t>
                            </w:r>
                          </w:p>
                        </w:tc>
                        <w:tc>
                          <w:tcPr>
                            <w:tcW w:w="1418" w:type="dxa"/>
                          </w:tcPr>
                          <w:p w:rsidR="00A472D8" w:rsidRPr="0025164E" w:rsidRDefault="00A472D8"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Vajadzība pēc datiem</w:t>
                            </w:r>
                          </w:p>
                        </w:tc>
                      </w:tr>
                      <w:tr w:rsidR="00A472D8" w:rsidTr="00B308C9">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93" w:type="dxa"/>
                          </w:tcPr>
                          <w:p w:rsidR="00A472D8" w:rsidRPr="009811C2" w:rsidRDefault="00A472D8" w:rsidP="00365997">
                            <w:pPr>
                              <w:jc w:val="left"/>
                              <w:rPr>
                                <w:rFonts w:cs="Arial"/>
                                <w:szCs w:val="18"/>
                              </w:rPr>
                            </w:pPr>
                            <w:r>
                              <w:t>Eksperimentāla pieeja</w:t>
                            </w:r>
                          </w:p>
                        </w:tc>
                        <w:tc>
                          <w:tcPr>
                            <w:tcW w:w="1701" w:type="dxa"/>
                          </w:tcPr>
                          <w:p w:rsidR="00A472D8" w:rsidRPr="00B9614C" w:rsidRDefault="00A472D8"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A472D8" w:rsidRPr="00B9614C" w:rsidRDefault="00A472D8"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A472D8" w:rsidRPr="00B9614C" w:rsidRDefault="00A472D8"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A472D8" w:rsidRPr="00B9614C" w:rsidRDefault="00A472D8"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A472D8" w:rsidTr="00B308C9">
                        <w:tc>
                          <w:tcPr>
                            <w:cnfStyle w:val="001000000000" w:firstRow="0" w:lastRow="0" w:firstColumn="1" w:lastColumn="0" w:oddVBand="0" w:evenVBand="0" w:oddHBand="0" w:evenHBand="0" w:firstRowFirstColumn="0" w:firstRowLastColumn="0" w:lastRowFirstColumn="0" w:lastRowLastColumn="0"/>
                            <w:tcW w:w="2093" w:type="dxa"/>
                          </w:tcPr>
                          <w:p w:rsidR="00A472D8" w:rsidRPr="009811C2" w:rsidRDefault="00A472D8" w:rsidP="00365997">
                            <w:pPr>
                              <w:jc w:val="left"/>
                              <w:rPr>
                                <w:rFonts w:cs="Arial"/>
                                <w:szCs w:val="18"/>
                              </w:rPr>
                            </w:pPr>
                            <w:r>
                              <w:t>Daļēji eksperimentāla pieeja</w:t>
                            </w:r>
                          </w:p>
                        </w:tc>
                        <w:tc>
                          <w:tcPr>
                            <w:tcW w:w="1701" w:type="dxa"/>
                          </w:tcPr>
                          <w:p w:rsidR="00A472D8" w:rsidRPr="00B9614C" w:rsidRDefault="00A472D8"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A472D8" w:rsidRPr="00B9614C" w:rsidRDefault="00A472D8"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A472D8" w:rsidRPr="00B9614C" w:rsidRDefault="00A472D8"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A472D8" w:rsidRPr="00B9614C" w:rsidRDefault="00A472D8"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A472D8" w:rsidTr="00B30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A472D8" w:rsidRPr="009811C2" w:rsidRDefault="00A472D8" w:rsidP="00365997">
                            <w:pPr>
                              <w:jc w:val="left"/>
                              <w:rPr>
                                <w:rFonts w:cs="Arial"/>
                                <w:szCs w:val="18"/>
                              </w:rPr>
                            </w:pPr>
                            <w:r>
                              <w:t>Saskaņotas pieejas (apvienojumā ar AA)</w:t>
                            </w:r>
                          </w:p>
                        </w:tc>
                        <w:tc>
                          <w:tcPr>
                            <w:tcW w:w="1701" w:type="dxa"/>
                          </w:tcPr>
                          <w:p w:rsidR="00A472D8" w:rsidRPr="00B9614C" w:rsidRDefault="00A472D8"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A472D8" w:rsidRPr="00B9614C" w:rsidRDefault="00A472D8"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A472D8" w:rsidRPr="00B9614C" w:rsidRDefault="00A472D8"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A472D8" w:rsidRPr="00B9614C" w:rsidRDefault="00A472D8"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A472D8" w:rsidTr="00B308C9">
                        <w:trPr>
                          <w:trHeight w:val="416"/>
                        </w:trPr>
                        <w:tc>
                          <w:tcPr>
                            <w:cnfStyle w:val="001000000000" w:firstRow="0" w:lastRow="0" w:firstColumn="1" w:lastColumn="0" w:oddVBand="0" w:evenVBand="0" w:oddHBand="0" w:evenHBand="0" w:firstRowFirstColumn="0" w:firstRowLastColumn="0" w:lastRowFirstColumn="0" w:lastRowLastColumn="0"/>
                            <w:tcW w:w="2093" w:type="dxa"/>
                          </w:tcPr>
                          <w:p w:rsidR="00A472D8" w:rsidRPr="009811C2" w:rsidRDefault="00A472D8" w:rsidP="00365997">
                            <w:pPr>
                              <w:jc w:val="left"/>
                              <w:rPr>
                                <w:rFonts w:cs="Arial"/>
                                <w:szCs w:val="18"/>
                              </w:rPr>
                            </w:pPr>
                            <w:r>
                              <w:t>RNP</w:t>
                            </w:r>
                          </w:p>
                        </w:tc>
                        <w:tc>
                          <w:tcPr>
                            <w:tcW w:w="1701" w:type="dxa"/>
                          </w:tcPr>
                          <w:p w:rsidR="00A472D8" w:rsidRPr="00B9614C" w:rsidRDefault="00A472D8"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A472D8" w:rsidRPr="00B9614C" w:rsidRDefault="00A472D8"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A472D8" w:rsidRPr="00B9614C" w:rsidRDefault="00A472D8"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A472D8" w:rsidRPr="00B9614C" w:rsidRDefault="00A472D8"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A472D8" w:rsidTr="00B308C9">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093" w:type="dxa"/>
                          </w:tcPr>
                          <w:p w:rsidR="00A472D8" w:rsidRPr="009811C2" w:rsidRDefault="00A472D8" w:rsidP="00365997">
                            <w:pPr>
                              <w:jc w:val="left"/>
                              <w:rPr>
                                <w:rFonts w:cs="Arial"/>
                                <w:szCs w:val="18"/>
                              </w:rPr>
                            </w:pPr>
                            <w:r>
                              <w:t>Instrumentālo mainīgo metode</w:t>
                            </w:r>
                          </w:p>
                        </w:tc>
                        <w:tc>
                          <w:tcPr>
                            <w:tcW w:w="1701" w:type="dxa"/>
                          </w:tcPr>
                          <w:p w:rsidR="00A472D8" w:rsidRPr="00B9614C" w:rsidRDefault="00A472D8"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A472D8" w:rsidRPr="00B9614C" w:rsidRDefault="00A472D8"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A472D8" w:rsidRPr="00B9614C" w:rsidRDefault="00A472D8"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A472D8" w:rsidRPr="00B9614C" w:rsidRDefault="00A472D8"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A472D8" w:rsidTr="00B308C9">
                        <w:trPr>
                          <w:trHeight w:val="414"/>
                        </w:trPr>
                        <w:tc>
                          <w:tcPr>
                            <w:cnfStyle w:val="001000000000" w:firstRow="0" w:lastRow="0" w:firstColumn="1" w:lastColumn="0" w:oddVBand="0" w:evenVBand="0" w:oddHBand="0" w:evenHBand="0" w:firstRowFirstColumn="0" w:firstRowLastColumn="0" w:lastRowFirstColumn="0" w:lastRowLastColumn="0"/>
                            <w:tcW w:w="2093" w:type="dxa"/>
                          </w:tcPr>
                          <w:p w:rsidR="00A472D8" w:rsidRPr="009811C2" w:rsidRDefault="00A472D8" w:rsidP="00B97DB1">
                            <w:pPr>
                              <w:jc w:val="left"/>
                              <w:rPr>
                                <w:rFonts w:cs="Arial"/>
                                <w:szCs w:val="18"/>
                              </w:rPr>
                            </w:pPr>
                            <w:r>
                              <w:t>Metode AA</w:t>
                            </w:r>
                          </w:p>
                        </w:tc>
                        <w:tc>
                          <w:tcPr>
                            <w:tcW w:w="1701" w:type="dxa"/>
                          </w:tcPr>
                          <w:p w:rsidR="00A472D8" w:rsidRPr="00B9614C" w:rsidRDefault="00A472D8"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A472D8" w:rsidRPr="00B9614C" w:rsidRDefault="00A472D8"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A472D8" w:rsidRPr="00B9614C" w:rsidRDefault="00A472D8"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A472D8" w:rsidRPr="00B9614C" w:rsidRDefault="00A472D8"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A472D8" w:rsidTr="00B30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A472D8" w:rsidRPr="009811C2" w:rsidRDefault="00A472D8" w:rsidP="002340B6">
                            <w:pPr>
                              <w:jc w:val="left"/>
                              <w:rPr>
                                <w:rFonts w:cs="Arial"/>
                                <w:szCs w:val="18"/>
                              </w:rPr>
                            </w:pPr>
                            <w:r>
                              <w:t>Salīdzinājums ar subjektiem, kas nav saņēmēji, konkrētajā periodā (neskartā pieeja)</w:t>
                            </w:r>
                          </w:p>
                        </w:tc>
                        <w:tc>
                          <w:tcPr>
                            <w:tcW w:w="1701" w:type="dxa"/>
                          </w:tcPr>
                          <w:p w:rsidR="00A472D8" w:rsidRPr="00B9614C" w:rsidRDefault="00A472D8"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A472D8" w:rsidRPr="00B9614C" w:rsidRDefault="00A472D8"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A472D8" w:rsidRPr="00B9614C" w:rsidRDefault="00A472D8"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A472D8" w:rsidRPr="00B9614C" w:rsidRDefault="00A472D8"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A472D8" w:rsidTr="00B308C9">
                        <w:tc>
                          <w:tcPr>
                            <w:cnfStyle w:val="001000000000" w:firstRow="0" w:lastRow="0" w:firstColumn="1" w:lastColumn="0" w:oddVBand="0" w:evenVBand="0" w:oddHBand="0" w:evenHBand="0" w:firstRowFirstColumn="0" w:firstRowLastColumn="0" w:lastRowFirstColumn="0" w:lastRowLastColumn="0"/>
                            <w:tcW w:w="2093" w:type="dxa"/>
                          </w:tcPr>
                          <w:p w:rsidR="00A472D8" w:rsidRPr="009811C2" w:rsidRDefault="00A472D8" w:rsidP="002340B6">
                            <w:pPr>
                              <w:jc w:val="left"/>
                              <w:rPr>
                                <w:rFonts w:cs="Arial"/>
                                <w:szCs w:val="18"/>
                              </w:rPr>
                            </w:pPr>
                            <w:r>
                              <w:t>Programmas saņēmēju salīdzinājums pirms un pēc (neskartā pieeja)</w:t>
                            </w:r>
                          </w:p>
                        </w:tc>
                        <w:tc>
                          <w:tcPr>
                            <w:tcW w:w="1701" w:type="dxa"/>
                          </w:tcPr>
                          <w:p w:rsidR="00A472D8" w:rsidRPr="00B9614C" w:rsidRDefault="00A472D8"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A472D8" w:rsidRPr="00B9614C" w:rsidRDefault="00A472D8"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A472D8" w:rsidRPr="00B9614C" w:rsidRDefault="00A472D8"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A472D8" w:rsidRPr="00B9614C" w:rsidRDefault="00A472D8"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A472D8" w:rsidTr="00B30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A472D8" w:rsidRPr="009811C2" w:rsidRDefault="00A472D8" w:rsidP="00365997">
                            <w:pPr>
                              <w:jc w:val="left"/>
                              <w:rPr>
                                <w:rFonts w:cs="Arial"/>
                                <w:szCs w:val="18"/>
                              </w:rPr>
                            </w:pPr>
                            <w:r>
                              <w:t>Kvalitatīvās pieejas, ko piemēro programmas rezultātu/ietekmes aplēsēs</w:t>
                            </w:r>
                          </w:p>
                        </w:tc>
                        <w:tc>
                          <w:tcPr>
                            <w:tcW w:w="1701" w:type="dxa"/>
                          </w:tcPr>
                          <w:p w:rsidR="00A472D8" w:rsidRPr="00B9614C" w:rsidRDefault="00A472D8"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A472D8" w:rsidRPr="00B9614C" w:rsidRDefault="00A472D8"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A472D8" w:rsidRPr="00B9614C" w:rsidRDefault="00A472D8"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A472D8" w:rsidRPr="00B9614C" w:rsidRDefault="00A472D8"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bl>
                    <w:p w:rsidR="00A472D8" w:rsidRPr="00742E07" w:rsidRDefault="00A472D8" w:rsidP="00735F08">
                      <w:pPr>
                        <w:pStyle w:val="HStandard"/>
                        <w:jc w:val="center"/>
                        <w:rPr>
                          <w:i/>
                          <w:color w:val="F07E31" w:themeColor="accent1"/>
                        </w:rPr>
                      </w:pPr>
                      <w:r>
                        <w:rPr>
                          <w:i/>
                          <w:color w:val="F07E31" w:themeColor="accent1"/>
                          <w:sz w:val="18"/>
                        </w:rPr>
                        <w:t xml:space="preserve">Papildu informāciju par novērtēšanas pieeju izvēles kritērijiem skatīt  </w:t>
                      </w:r>
                      <w:r>
                        <w:rPr>
                          <w:i/>
                          <w:color w:val="F07E31" w:themeColor="accent1"/>
                          <w:sz w:val="18"/>
                          <w:szCs w:val="18"/>
                        </w:rPr>
                        <w:br/>
                      </w:r>
                      <w:hyperlink r:id="rId50">
                        <w:r>
                          <w:rPr>
                            <w:rStyle w:val="Hyperlink"/>
                            <w:i/>
                            <w:color w:val="F07E31" w:themeColor="accent1"/>
                            <w:sz w:val="18"/>
                          </w:rPr>
                          <w:t>"Pamatnostādņu par 2007.–2013. </w:t>
                        </w:r>
                        <w:r>
                          <w:rPr>
                            <w:rStyle w:val="Hyperlink"/>
                            <w:i/>
                            <w:color w:val="F07E31" w:themeColor="accent1"/>
                            <w:sz w:val="18"/>
                          </w:rPr>
                          <w:t xml:space="preserve">gada LAP </w:t>
                        </w:r>
                        <w:r w:rsidRPr="00F67434">
                          <w:rPr>
                            <w:rStyle w:val="Hyperlink"/>
                            <w:iCs/>
                            <w:color w:val="F07E31" w:themeColor="accent1"/>
                            <w:sz w:val="18"/>
                          </w:rPr>
                          <w:t>ex post</w:t>
                        </w:r>
                        <w:r>
                          <w:rPr>
                            <w:rStyle w:val="Hyperlink"/>
                            <w:i/>
                            <w:color w:val="F07E31" w:themeColor="accent1"/>
                            <w:sz w:val="18"/>
                          </w:rPr>
                          <w:t xml:space="preserve"> novērtējumu"</w:t>
                        </w:r>
                      </w:hyperlink>
                      <w:r>
                        <w:rPr>
                          <w:rStyle w:val="Hyperlink"/>
                          <w:i/>
                          <w:color w:val="F07E31" w:themeColor="accent1"/>
                          <w:sz w:val="18"/>
                        </w:rPr>
                        <w:t xml:space="preserve"> 4.3.4.2. nodaļā</w:t>
                      </w:r>
                      <w:r>
                        <w:t>.</w:t>
                      </w:r>
                    </w:p>
                  </w:txbxContent>
                </v:textbox>
                <w10:anchorlock/>
              </v:shape>
            </w:pict>
          </mc:Fallback>
        </mc:AlternateContent>
      </w:r>
    </w:p>
    <w:p w:rsidR="00820050" w:rsidRPr="001C6ACF" w:rsidRDefault="004A3547" w:rsidP="00820050">
      <w:pPr>
        <w:pStyle w:val="HHeading4"/>
      </w:pPr>
      <w:r>
        <w:br w:type="column"/>
      </w:r>
      <w:r>
        <w:lastRenderedPageBreak/>
        <w:t>Mikro</w:t>
      </w:r>
      <w:r w:rsidR="000618CF">
        <w:t>līmeņa</w:t>
      </w:r>
      <w:r>
        <w:t xml:space="preserve"> un makrolīmeņa </w:t>
      </w:r>
      <w:r w:rsidR="00132FBB">
        <w:t>iz</w:t>
      </w:r>
      <w:r>
        <w:t xml:space="preserve">vērtējums un </w:t>
      </w:r>
      <w:r w:rsidR="001C74A1">
        <w:t xml:space="preserve">neto </w:t>
      </w:r>
      <w:r>
        <w:t>ietekmes noteikšana (3. līmenis)</w:t>
      </w:r>
    </w:p>
    <w:p w:rsidR="00820050" w:rsidRPr="00863E73" w:rsidRDefault="00820050" w:rsidP="00820050">
      <w:pPr>
        <w:pStyle w:val="HStandard"/>
        <w:rPr>
          <w:rFonts w:cs="Arial"/>
        </w:rPr>
      </w:pPr>
      <w:r>
        <w:t xml:space="preserve">Loģikas modelī nākamais ir </w:t>
      </w:r>
      <w:r>
        <w:rPr>
          <w:b/>
        </w:rPr>
        <w:t>mikro</w:t>
      </w:r>
      <w:r w:rsidR="000618CF">
        <w:rPr>
          <w:b/>
        </w:rPr>
        <w:t>līmenis</w:t>
      </w:r>
      <w:r>
        <w:rPr>
          <w:b/>
        </w:rPr>
        <w:t xml:space="preserve"> </w:t>
      </w:r>
      <w:r w:rsidR="00833AA0">
        <w:rPr>
          <w:b/>
        </w:rPr>
        <w:t xml:space="preserve">vai </w:t>
      </w:r>
      <w:r>
        <w:rPr>
          <w:b/>
        </w:rPr>
        <w:t>makrolīmenis</w:t>
      </w:r>
      <w:r>
        <w:t xml:space="preserve">, </w:t>
      </w:r>
      <w:r w:rsidR="00833AA0">
        <w:t xml:space="preserve">kurā </w:t>
      </w:r>
      <w:r>
        <w:t>sīkāk apsv</w:t>
      </w:r>
      <w:r w:rsidR="00833AA0">
        <w:t>er</w:t>
      </w:r>
      <w:r>
        <w:t xml:space="preserve"> novērtēšanas iespējas. Mikro</w:t>
      </w:r>
      <w:r w:rsidR="000618CF">
        <w:t>līmeņa</w:t>
      </w:r>
      <w:r>
        <w:t xml:space="preserve"> un makrolīmeņa darbplūsma parāda vērtētājam metodes, kas dod ieguldījumu konsekventā </w:t>
      </w:r>
      <w:r>
        <w:rPr>
          <w:b/>
        </w:rPr>
        <w:t xml:space="preserve">neto ietekmes </w:t>
      </w:r>
      <w:r w:rsidR="00132FBB" w:rsidRPr="00833AA0">
        <w:rPr>
          <w:bCs/>
        </w:rPr>
        <w:t>iz</w:t>
      </w:r>
      <w:r w:rsidRPr="00833AA0">
        <w:rPr>
          <w:bCs/>
        </w:rPr>
        <w:t>vērtējumā</w:t>
      </w:r>
      <w:r>
        <w:rPr>
          <w:b/>
        </w:rPr>
        <w:t xml:space="preserve"> mikro</w:t>
      </w:r>
      <w:r w:rsidR="000618CF">
        <w:rPr>
          <w:b/>
        </w:rPr>
        <w:t>līmenī</w:t>
      </w:r>
      <w:r>
        <w:rPr>
          <w:b/>
        </w:rPr>
        <w:t xml:space="preserve"> un makrolīmenī</w:t>
      </w:r>
      <w:r>
        <w:rPr>
          <w:rStyle w:val="FootnoteReference"/>
          <w:b/>
        </w:rPr>
        <w:footnoteReference w:id="28"/>
      </w:r>
      <w:r>
        <w:t>. Katram no iespējam</w:t>
      </w:r>
      <w:r w:rsidR="007D45C5">
        <w:t>aj</w:t>
      </w:r>
      <w:r>
        <w:t xml:space="preserve">iem hipotētiskajiem plāniem tiek izveidots individuāls mikrolīmeņa loģikas modelis. Dažos novērtējuma plānos mikrolīmeņa konstatējumu mēroga paplašināšana ir makrolīmeņa </w:t>
      </w:r>
      <w:r w:rsidR="00132FBB">
        <w:t>iz</w:t>
      </w:r>
      <w:r>
        <w:t>vērtējuma pamatā. Citos novērtējuma plānos mikro</w:t>
      </w:r>
      <w:r w:rsidR="000618CF">
        <w:t>līmeņa</w:t>
      </w:r>
      <w:r>
        <w:t xml:space="preserve"> un makrolīmeņa </w:t>
      </w:r>
      <w:r w:rsidR="00132FBB">
        <w:t>iz</w:t>
      </w:r>
      <w:r>
        <w:t xml:space="preserve">vērtējumi papildina viens otru, tāpēc ir jāveic atbilstības pārbaude. </w:t>
      </w:r>
    </w:p>
    <w:p w:rsidR="00C545E7" w:rsidRPr="00571D58" w:rsidRDefault="000B213F" w:rsidP="00820050">
      <w:pPr>
        <w:pStyle w:val="HStandard"/>
        <w:spacing w:after="0"/>
        <w:rPr>
          <w:rFonts w:cs="Arial"/>
        </w:rPr>
      </w:pPr>
      <w:r>
        <w:rPr>
          <w:b/>
          <w:i/>
          <w:noProof/>
          <w:color w:val="F07E31" w:themeColor="accent1"/>
          <w:lang w:val="en-GB" w:eastAsia="en-GB" w:bidi="lo-LA"/>
        </w:rPr>
        <mc:AlternateContent>
          <mc:Choice Requires="wps">
            <w:drawing>
              <wp:inline distT="0" distB="0" distL="0" distR="0" wp14:anchorId="6F163A21" wp14:editId="42C0E41F">
                <wp:extent cx="5731510" cy="1447165"/>
                <wp:effectExtent l="19050" t="19050" r="21590" b="19685"/>
                <wp:docPr id="90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447165"/>
                        </a:xfrm>
                        <a:custGeom>
                          <a:avLst/>
                          <a:gdLst>
                            <a:gd name="T0" fmla="*/ 126364 w 5731510"/>
                            <a:gd name="T1" fmla="*/ 0 h 1446971"/>
                            <a:gd name="T2" fmla="*/ 5731510 w 5731510"/>
                            <a:gd name="T3" fmla="*/ 0 h 1446971"/>
                            <a:gd name="T4" fmla="*/ 5731510 w 5731510"/>
                            <a:gd name="T5" fmla="*/ 0 h 1446971"/>
                            <a:gd name="T6" fmla="*/ 5731510 w 5731510"/>
                            <a:gd name="T7" fmla="*/ 1320607 h 1446971"/>
                            <a:gd name="T8" fmla="*/ 5605146 w 5731510"/>
                            <a:gd name="T9" fmla="*/ 1446971 h 1446971"/>
                            <a:gd name="T10" fmla="*/ 0 w 5731510"/>
                            <a:gd name="T11" fmla="*/ 1446971 h 1446971"/>
                            <a:gd name="T12" fmla="*/ 0 w 5731510"/>
                            <a:gd name="T13" fmla="*/ 1446971 h 1446971"/>
                            <a:gd name="T14" fmla="*/ 0 w 5731510"/>
                            <a:gd name="T15" fmla="*/ 126364 h 1446971"/>
                            <a:gd name="T16" fmla="*/ 126364 w 5731510"/>
                            <a:gd name="T17" fmla="*/ 0 h 14469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1446971"/>
                            <a:gd name="T29" fmla="*/ 5731510 w 5731510"/>
                            <a:gd name="T30" fmla="*/ 1446971 h 144697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1446971">
                              <a:moveTo>
                                <a:pt x="126364" y="0"/>
                              </a:moveTo>
                              <a:lnTo>
                                <a:pt x="5731510" y="0"/>
                              </a:lnTo>
                              <a:lnTo>
                                <a:pt x="5731510" y="1320607"/>
                              </a:lnTo>
                              <a:cubicBezTo>
                                <a:pt x="5731510" y="1390396"/>
                                <a:pt x="5674935" y="1446971"/>
                                <a:pt x="5605146" y="1446971"/>
                              </a:cubicBezTo>
                              <a:lnTo>
                                <a:pt x="0" y="1446971"/>
                              </a:lnTo>
                              <a:lnTo>
                                <a:pt x="0" y="126364"/>
                              </a:lnTo>
                              <a:cubicBezTo>
                                <a:pt x="0" y="56575"/>
                                <a:pt x="56575" y="0"/>
                                <a:pt x="126364"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A472D8" w:rsidRPr="00044269" w:rsidRDefault="00A472D8" w:rsidP="00EC01C3">
                            <w:pPr>
                              <w:pStyle w:val="HHeading4"/>
                              <w:spacing w:before="0"/>
                              <w:jc w:val="both"/>
                              <w:rPr>
                                <w:b w:val="0"/>
                                <w:i/>
                                <w:color w:val="373737" w:themeColor="text1"/>
                                <w:sz w:val="18"/>
                              </w:rPr>
                            </w:pPr>
                            <w:r>
                              <w:rPr>
                                <w:noProof/>
                                <w:color w:val="373737" w:themeColor="text1"/>
                                <w:lang w:val="en-GB" w:eastAsia="en-GB" w:bidi="lo-LA"/>
                              </w:rPr>
                              <w:drawing>
                                <wp:inline distT="0" distB="0" distL="0" distR="0" wp14:anchorId="37EB230A" wp14:editId="52AC0708">
                                  <wp:extent cx="664845" cy="487680"/>
                                  <wp:effectExtent l="0" t="0" r="0" b="7620"/>
                                  <wp:docPr id="912"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Kvantitatīvos pierādījumus vajadzētu interpretēt kritiski,</w:t>
                            </w:r>
                            <w:r>
                              <w:rPr>
                                <w:rStyle w:val="CommentReference"/>
                                <w:color w:val="373737" w:themeColor="text1"/>
                              </w:rPr>
                              <w:t xml:space="preserve"> </w:t>
                            </w:r>
                            <w:r>
                              <w:rPr>
                                <w:color w:val="373737" w:themeColor="text1"/>
                              </w:rPr>
                              <w:t>izmantojot kvalitatīvu vērtējumu.</w:t>
                            </w:r>
                            <w:r>
                              <w:rPr>
                                <w:b w:val="0"/>
                                <w:color w:val="373737" w:themeColor="text1"/>
                              </w:rPr>
                              <w:t xml:space="preserve"> Turklāt kvalitatīvā izvērtēšana var arī palīdzēt papildināt kvantitatīvo vērtējumu, lai: a) izvērtētu, cik reprezentatīvi ir pieejamie dati, </w:t>
                            </w:r>
                            <w:r>
                              <w:rPr>
                                <w:b w:val="0"/>
                                <w:color w:val="373737" w:themeColor="text1"/>
                              </w:rPr>
                              <w:t>b) veiktu konstatējumu kontrolapstiprināšanu, c) aptvertu vienas parādības dažādus aspektus.</w:t>
                            </w:r>
                          </w:p>
                        </w:txbxContent>
                      </wps:txbx>
                      <wps:bodyPr rot="0" vert="horz" wrap="square" lIns="91440" tIns="45720" rIns="91440" bIns="45720" anchor="ctr" anchorCtr="0" upright="1">
                        <a:noAutofit/>
                      </wps:bodyPr>
                    </wps:wsp>
                  </a:graphicData>
                </a:graphic>
              </wp:inline>
            </w:drawing>
          </mc:Choice>
          <mc:Fallback>
            <w:pict>
              <v:shape w14:anchorId="6F163A21" id="AutoShape 65" o:spid="_x0000_s1037" style="width:451.3pt;height:113.95pt;visibility:visible;mso-wrap-style:square;mso-left-percent:-10001;mso-top-percent:-10001;mso-position-horizontal:absolute;mso-position-horizontal-relative:char;mso-position-vertical:absolute;mso-position-vertical-relative:line;mso-left-percent:-10001;mso-top-percent:-10001;v-text-anchor:middle" coordsize="5731510,14469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" adj="-11796480,,5400" path="m126364,l5731510,r,1320607c5731510,1390396,5674935,1446971,5605146,1446971l,1446971,,126364c,56575,56575,,126364,xe" filled="f" strokecolor="#be4a35" strokeweight="2pt">
                <v:stroke joinstyle="miter"/>
                <v:formulas/>
                <v:path arrowok="t" o:connecttype="custom" o:connectlocs="126364,0;5731510,0;5731510,0;5731510,1320784;5605146,1447165;0,1447165;0,1447165;0,126381;126364,0" o:connectangles="0,0,0,0,0,0,0,0,0" textboxrect="0,0,5731510,1446971"/>
                <v:textbox>
                  <w:txbxContent>
                    <w:p w:rsidR="00A472D8" w:rsidRPr="00044269" w:rsidRDefault="00A472D8" w:rsidP="00EC01C3">
                      <w:pPr>
                        <w:pStyle w:val="HHeading4"/>
                        <w:spacing w:before="0"/>
                        <w:jc w:val="both"/>
                        <w:rPr>
                          <w:b w:val="0"/>
                          <w:i/>
                          <w:color w:val="373737" w:themeColor="text1"/>
                          <w:sz w:val="18"/>
                        </w:rPr>
                      </w:pPr>
                      <w:r>
                        <w:rPr>
                          <w:noProof/>
                          <w:color w:val="373737" w:themeColor="text1"/>
                          <w:lang w:val="en-GB" w:eastAsia="en-GB" w:bidi="lo-LA"/>
                        </w:rPr>
                        <w:drawing>
                          <wp:inline distT="0" distB="0" distL="0" distR="0" wp14:anchorId="37EB230A" wp14:editId="52AC0708">
                            <wp:extent cx="664845" cy="487680"/>
                            <wp:effectExtent l="0" t="0" r="0" b="7620"/>
                            <wp:docPr id="912"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Kvantitatīvos pierādījumus vajadzētu interpretēt kritiski,</w:t>
                      </w:r>
                      <w:r>
                        <w:rPr>
                          <w:rStyle w:val="CommentReference"/>
                          <w:color w:val="373737" w:themeColor="text1"/>
                        </w:rPr>
                        <w:t xml:space="preserve"> </w:t>
                      </w:r>
                      <w:r>
                        <w:rPr>
                          <w:color w:val="373737" w:themeColor="text1"/>
                        </w:rPr>
                        <w:t>izmantojot kvalitatīvu vērtējumu.</w:t>
                      </w:r>
                      <w:r>
                        <w:rPr>
                          <w:b w:val="0"/>
                          <w:color w:val="373737" w:themeColor="text1"/>
                        </w:rPr>
                        <w:t xml:space="preserve"> Turklāt kvalitatīvā izvērtēšana var arī palīdzēt papildināt kvantitatīvo vērtējumu, lai: a) izvērtētu, cik reprezentatīvi ir pieejamie dati, </w:t>
                      </w:r>
                      <w:r>
                        <w:rPr>
                          <w:b w:val="0"/>
                          <w:color w:val="373737" w:themeColor="text1"/>
                        </w:rPr>
                        <w:t>b) veiktu konstatējumu kontrolapstiprināšanu, c) aptvertu vienas parādības dažādus aspektus.</w:t>
                      </w:r>
                    </w:p>
                  </w:txbxContent>
                </v:textbox>
                <w10:anchorlock/>
              </v:shape>
            </w:pict>
          </mc:Fallback>
        </mc:AlternateContent>
      </w:r>
    </w:p>
    <w:p w:rsidR="00820050" w:rsidRPr="007645B4" w:rsidRDefault="00820050" w:rsidP="00820050">
      <w:pPr>
        <w:pStyle w:val="HStandard"/>
        <w:spacing w:after="0"/>
        <w:rPr>
          <w:rFonts w:cs="Arial"/>
        </w:rPr>
      </w:pPr>
      <w:r>
        <w:t xml:space="preserve">Lēmumu </w:t>
      </w:r>
      <w:r w:rsidR="00AA27BE">
        <w:t xml:space="preserve">pieņemšanas shēmas </w:t>
      </w:r>
      <w:r>
        <w:t>soļu izpilde mikro</w:t>
      </w:r>
      <w:r w:rsidR="000618CF">
        <w:t>līmenī</w:t>
      </w:r>
      <w:r>
        <w:t xml:space="preserve"> un makrolīmen</w:t>
      </w:r>
      <w:r w:rsidR="000618CF">
        <w:t>ī</w:t>
      </w:r>
      <w:r>
        <w:t xml:space="preserve"> palīdz atbildēt uz šādiem jautājumiem, plānojot novērtēšanas pieeju:</w:t>
      </w:r>
    </w:p>
    <w:p w:rsidR="00820050" w:rsidRPr="001C6ACF" w:rsidRDefault="00833AA0" w:rsidP="00C42303">
      <w:pPr>
        <w:pStyle w:val="Hlistbullet"/>
      </w:pPr>
      <w:r>
        <w:t>V</w:t>
      </w:r>
      <w:r w:rsidR="00820050">
        <w:t xml:space="preserve">ai ir jāizmanto īpaša vides, nozares (lauksaimniecības ekonomikas) vai sociālekonomiska metode, lai noteiktu rādītāju vērtību izmaiņu apmēru, vai arī </w:t>
      </w:r>
      <w:r>
        <w:t>var</w:t>
      </w:r>
      <w:r w:rsidR="00820050">
        <w:t xml:space="preserve"> tieši izmantot rādītāju vērtības, piemērojot hipotētiskās metodes?</w:t>
      </w:r>
    </w:p>
    <w:p w:rsidR="00820050" w:rsidRPr="001C6ACF" w:rsidRDefault="00833AA0" w:rsidP="00C42303">
      <w:pPr>
        <w:pStyle w:val="Hlistbullet"/>
      </w:pPr>
      <w:r>
        <w:t>J</w:t>
      </w:r>
      <w:r w:rsidR="00820050">
        <w:t xml:space="preserve">a būtu jālieto </w:t>
      </w:r>
      <w:r>
        <w:t xml:space="preserve">konkrēta </w:t>
      </w:r>
      <w:r w:rsidR="00820050">
        <w:t>metode, vai dati ir piemēroti, lai izmantot</w:t>
      </w:r>
      <w:r>
        <w:t>u</w:t>
      </w:r>
      <w:r w:rsidR="00820050">
        <w:t xml:space="preserve"> vienu no pieejamajām metodēm ietekmes uz vidi vai nozari vai sociālekonomiskās ietekmes novērtēšanai?</w:t>
      </w:r>
    </w:p>
    <w:p w:rsidR="00820050" w:rsidRPr="001C6ACF" w:rsidRDefault="00833AA0" w:rsidP="00C42303">
      <w:pPr>
        <w:pStyle w:val="Hlistbullet"/>
      </w:pPr>
      <w:r>
        <w:t>Vai</w:t>
      </w:r>
      <w:r w:rsidR="00820050">
        <w:t xml:space="preserve"> ir jāvāc jauni primārie dati, sagatavojot statistisko paraugkopu, un cik dārgi tas izmaksās?</w:t>
      </w:r>
    </w:p>
    <w:p w:rsidR="00820050" w:rsidRPr="001C6ACF" w:rsidRDefault="00833AA0" w:rsidP="00C42303">
      <w:pPr>
        <w:pStyle w:val="Hlistbullet"/>
      </w:pPr>
      <w:r>
        <w:t>V</w:t>
      </w:r>
      <w:r w:rsidR="00820050">
        <w:t>ai ir jāveic īpaši uzdevumi, lai uzlabotu apsekojuma/uzraudzības datu kvalitāti?</w:t>
      </w:r>
    </w:p>
    <w:p w:rsidR="00820050" w:rsidRPr="001C6ACF" w:rsidRDefault="00833AA0" w:rsidP="00C42303">
      <w:pPr>
        <w:pStyle w:val="Hlistbullet"/>
      </w:pPr>
      <w:r>
        <w:t>Ja nevar</w:t>
      </w:r>
      <w:r w:rsidR="00820050">
        <w:t xml:space="preserve"> noteikt rādītāju vērtību izmaiņu apmēru vai ja šāda apmēra noteikšanas izmaksas ir ļoti lielas, kādas ir alternatīvās (kvalitatīvās) metodes rādītāju vērtību izmaiņu </w:t>
      </w:r>
      <w:r w:rsidR="00132FBB">
        <w:t>iz</w:t>
      </w:r>
      <w:r w:rsidR="00820050">
        <w:t>vērtēšanai?</w:t>
      </w:r>
    </w:p>
    <w:p w:rsidR="00B00451" w:rsidRPr="001C6ACF" w:rsidRDefault="00B00451" w:rsidP="003708EA">
      <w:pPr>
        <w:pStyle w:val="Hlistbullet"/>
        <w:numPr>
          <w:ilvl w:val="0"/>
          <w:numId w:val="0"/>
        </w:numPr>
      </w:pPr>
    </w:p>
    <w:p w:rsidR="006D6205" w:rsidRPr="001C6ACF" w:rsidRDefault="006D6205" w:rsidP="003708EA">
      <w:pPr>
        <w:pStyle w:val="Hlistbullet"/>
        <w:numPr>
          <w:ilvl w:val="0"/>
          <w:numId w:val="0"/>
        </w:numPr>
      </w:pPr>
    </w:p>
    <w:p w:rsidR="006D6205" w:rsidRPr="00571D58" w:rsidRDefault="006D6205" w:rsidP="003708EA">
      <w:pPr>
        <w:pStyle w:val="Hlistbullet"/>
        <w:numPr>
          <w:ilvl w:val="0"/>
          <w:numId w:val="0"/>
        </w:numPr>
      </w:pPr>
      <w:r>
        <w:br w:type="column"/>
      </w:r>
      <w:r>
        <w:rPr>
          <w:b/>
          <w:i/>
          <w:noProof/>
          <w:color w:val="F07E31" w:themeColor="accent1"/>
          <w:lang w:val="en-GB" w:eastAsia="en-GB" w:bidi="lo-LA"/>
        </w:rPr>
        <w:lastRenderedPageBreak/>
        <mc:AlternateContent>
          <mc:Choice Requires="wps">
            <w:drawing>
              <wp:inline distT="0" distB="0" distL="0" distR="0" wp14:anchorId="26F9CDFD" wp14:editId="58603807">
                <wp:extent cx="5931535" cy="8750105"/>
                <wp:effectExtent l="0" t="0" r="12065" b="13335"/>
                <wp:docPr id="90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1535" cy="8750105"/>
                        </a:xfrm>
                        <a:custGeom>
                          <a:avLst/>
                          <a:gdLst>
                            <a:gd name="T0" fmla="*/ 518013 w 5931673"/>
                            <a:gd name="T1" fmla="*/ 0 h 8670814"/>
                            <a:gd name="T2" fmla="*/ 5931673 w 5931673"/>
                            <a:gd name="T3" fmla="*/ 0 h 8670814"/>
                            <a:gd name="T4" fmla="*/ 5931673 w 5931673"/>
                            <a:gd name="T5" fmla="*/ 0 h 8670814"/>
                            <a:gd name="T6" fmla="*/ 5931673 w 5931673"/>
                            <a:gd name="T7" fmla="*/ 8152801 h 8670814"/>
                            <a:gd name="T8" fmla="*/ 5413660 w 5931673"/>
                            <a:gd name="T9" fmla="*/ 8670814 h 8670814"/>
                            <a:gd name="T10" fmla="*/ 0 w 5931673"/>
                            <a:gd name="T11" fmla="*/ 8670814 h 8670814"/>
                            <a:gd name="T12" fmla="*/ 0 w 5931673"/>
                            <a:gd name="T13" fmla="*/ 8670814 h 8670814"/>
                            <a:gd name="T14" fmla="*/ 0 w 5931673"/>
                            <a:gd name="T15" fmla="*/ 518013 h 8670814"/>
                            <a:gd name="T16" fmla="*/ 518013 w 5931673"/>
                            <a:gd name="T17" fmla="*/ 0 h 86708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931673"/>
                            <a:gd name="T28" fmla="*/ 0 h 8670814"/>
                            <a:gd name="T29" fmla="*/ 5931673 w 5931673"/>
                            <a:gd name="T30" fmla="*/ 8670814 h 867081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931673" h="8670814">
                              <a:moveTo>
                                <a:pt x="518013" y="0"/>
                              </a:moveTo>
                              <a:lnTo>
                                <a:pt x="5931673" y="0"/>
                              </a:lnTo>
                              <a:lnTo>
                                <a:pt x="5931673" y="8152801"/>
                              </a:lnTo>
                              <a:cubicBezTo>
                                <a:pt x="5931673" y="8438892"/>
                                <a:pt x="5699751" y="8670814"/>
                                <a:pt x="5413660" y="8670814"/>
                              </a:cubicBezTo>
                              <a:lnTo>
                                <a:pt x="0" y="8670814"/>
                              </a:lnTo>
                              <a:lnTo>
                                <a:pt x="0" y="518013"/>
                              </a:lnTo>
                              <a:cubicBezTo>
                                <a:pt x="0" y="231922"/>
                                <a:pt x="231922" y="0"/>
                                <a:pt x="518013"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A472D8" w:rsidRPr="00DD36A9" w:rsidRDefault="00A472D8" w:rsidP="006D6205">
                            <w:pPr>
                              <w:pStyle w:val="HHeading4"/>
                            </w:pPr>
                            <w:r>
                              <w:rPr>
                                <w:noProof/>
                                <w:lang w:val="en-GB" w:eastAsia="en-GB" w:bidi="lo-LA"/>
                              </w:rPr>
                              <w:drawing>
                                <wp:inline distT="0" distB="0" distL="0" distR="0" wp14:anchorId="48F9E2A0" wp14:editId="3578003F">
                                  <wp:extent cx="664845" cy="487680"/>
                                  <wp:effectExtent l="0" t="0" r="0" b="7620"/>
                                  <wp:docPr id="91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ĪSAIS NORĀDĪJUMS Nr. 4. Kā izvērtēt LAP neto ietekmi? (saistīts ar 3. līmeni)</w:t>
                            </w:r>
                          </w:p>
                          <w:p w:rsidR="00A472D8" w:rsidRPr="00553149" w:rsidRDefault="00A472D8" w:rsidP="00AC0E3D">
                            <w:pPr>
                              <w:pStyle w:val="HStandard"/>
                              <w:spacing w:after="0"/>
                              <w:rPr>
                                <w:rFonts w:cs="Arial"/>
                                <w:szCs w:val="16"/>
                              </w:rPr>
                            </w:pPr>
                            <w:r>
                              <w:t xml:space="preserve">Programmas neto ietekmes izvērtējumu </w:t>
                            </w:r>
                            <w:r>
                              <w:rPr>
                                <w:b/>
                              </w:rPr>
                              <w:t>makrolīmenī vai programmas plānošanas teritorijas līmenī</w:t>
                            </w:r>
                            <w:r>
                              <w:t xml:space="preserve">, izmantojot hipotētisko analīzi, var veikt, izmantojot divas galvenās pieejas: </w:t>
                            </w:r>
                            <w:r>
                              <w:rPr>
                                <w:b/>
                              </w:rPr>
                              <w:t>pirmās pieejas</w:t>
                            </w:r>
                            <w:r>
                              <w:t xml:space="preserve"> pamatā ir mikroanalīze un tās rezultātu ekstrapolācija makrolīmenī (mēroga palielināšana). </w:t>
                            </w:r>
                            <w:r>
                              <w:rPr>
                                <w:b/>
                              </w:rPr>
                              <w:t>Otrajā pieejā</w:t>
                            </w:r>
                            <w:r>
                              <w:t xml:space="preserve"> tiek izmantoti tādi analītiski instrumenti kā </w:t>
                            </w:r>
                            <w:hyperlink r:id="rId51">
                              <w:r>
                                <w:rPr>
                                  <w:rStyle w:val="Hyperlink"/>
                                </w:rPr>
                                <w:t>aprēķināmais vispārējais līdzsvars</w:t>
                              </w:r>
                            </w:hyperlink>
                            <w:r>
                              <w:t xml:space="preserve">, daļējs līdzsvars un telpiskie ekonometriskie modeļi vai citi modelēšanas paņēmieni, ar kuriem attiecīgie modeļa parametri (piemēram, produktivitātes vai emisiju koeficienti) tiek aplēsti ekonometriski, </w:t>
                            </w:r>
                            <w:r>
                              <w:rPr>
                                <w:b/>
                              </w:rPr>
                              <w:t>ņemot vērā</w:t>
                            </w:r>
                            <w:r>
                              <w:t xml:space="preserve"> stabilas cēloņsakarības, </w:t>
                            </w:r>
                            <w:r>
                              <w:t>iespējamo atlases neobjektivitāti, endogenitāti un telpiskās atkarības. Šajā pieejā iekļauts arī programmas ietekmes novērtējuma "lejup</w:t>
                            </w:r>
                            <w:r w:rsidR="007D45C5">
                              <w:t>ējas</w:t>
                            </w:r>
                            <w:r>
                              <w:t>" makrolīmeņa pieejas (piemēram, modeļu ar valsts vai reģionālu tvērumu) apvienojums ar "augšupēju" mikrolīmeņa pieeju, kurā vērtē dažādu pasākumu vai pasākumu apvienojumu neto ietekmi.</w:t>
                            </w:r>
                          </w:p>
                          <w:p w:rsidR="00A472D8" w:rsidRPr="00553149" w:rsidRDefault="00A472D8" w:rsidP="00AC0E3D">
                            <w:pPr>
                              <w:pStyle w:val="HStandard"/>
                              <w:spacing w:after="0"/>
                              <w:rPr>
                                <w:rFonts w:cs="Arial"/>
                                <w:szCs w:val="16"/>
                              </w:rPr>
                            </w:pPr>
                          </w:p>
                          <w:p w:rsidR="00A472D8" w:rsidRPr="00553149" w:rsidRDefault="00A472D8" w:rsidP="00AC0E3D">
                            <w:pPr>
                              <w:pStyle w:val="HStandard"/>
                              <w:spacing w:after="0"/>
                              <w:rPr>
                                <w:rFonts w:cs="Arial"/>
                                <w:szCs w:val="16"/>
                              </w:rPr>
                            </w:pPr>
                            <w:r>
                              <w:t xml:space="preserve">Ir svarīgi norādīt, ka neatkarīgi no izvēlētās pieejas LAP neto ietekmes analīzi var veikt tikai tad, ja ir pieejams pietiekami daudz kvantitatīvu datu un tiek izmantoti uzlaboti metodikas paņēmieni. Neskartās kvantitatīvās novērtēšanas iespēju izmantošana (piemēram, salīdzināšana pirms un pēc, neatbilstošu kontroles pasākumu veikšana u. c.) var būtiski ietekmēt iegūtos "neto ietekmes" rezultātus abos virzienos (pozitīvi vai negatīvi). </w:t>
                            </w:r>
                          </w:p>
                          <w:p w:rsidR="00A472D8" w:rsidRPr="00553149" w:rsidRDefault="00A472D8" w:rsidP="00AC0E3D">
                            <w:pPr>
                              <w:pStyle w:val="HStandard"/>
                              <w:spacing w:after="0"/>
                              <w:rPr>
                                <w:rFonts w:cs="Arial"/>
                                <w:szCs w:val="16"/>
                              </w:rPr>
                            </w:pPr>
                          </w:p>
                          <w:p w:rsidR="00A472D8" w:rsidRPr="00502017" w:rsidRDefault="00A472D8" w:rsidP="00AC0E3D">
                            <w:pPr>
                              <w:pStyle w:val="HStandard"/>
                              <w:spacing w:after="0"/>
                              <w:rPr>
                                <w:rFonts w:cs="Arial"/>
                                <w:szCs w:val="16"/>
                              </w:rPr>
                            </w:pPr>
                            <w:r>
                              <w:t xml:space="preserve">Lai gan </w:t>
                            </w:r>
                            <w:r>
                              <w:rPr>
                                <w:b/>
                              </w:rPr>
                              <w:t>pirmā pieeja</w:t>
                            </w:r>
                            <w:r>
                              <w:t xml:space="preserve"> (mikroanalīzes ekstrapolācija programmas plānošanas teritorijas makrolīmenī) ir vieglākā un visdaudzsološākā metode, turpmāk ir izklāstīti svarīgākie soļi. Pieeju veido pieci galvenie soļi, kurus piemēro gan ietekmes uz nozari rādītājiem, gan ietekmes uz vidi un sociālekonomiskās ietekmes rādītājiem. Pamatatšķirība LAP neto ietekmes analīzē šajās trijās jomās ir analīzes pamatā esošo vienību noteikšana: piemēram, saimniecības (uzņēmumi) vai administratīvie reģioni (piemēram, </w:t>
                            </w:r>
                            <w:r>
                              <w:rPr>
                                <w:i/>
                              </w:rPr>
                              <w:t>NUTS</w:t>
                            </w:r>
                            <w:r>
                              <w:t xml:space="preserve"> 4, </w:t>
                            </w:r>
                            <w:r>
                              <w:rPr>
                                <w:i/>
                              </w:rPr>
                              <w:t>NUTS</w:t>
                            </w:r>
                            <w:r>
                              <w:t xml:space="preserve"> 5 u. c.) nozares rādītājiem; zemes gabali vai mazi ģeogrāfiskie reģioni (reģionālie telpiskie dati) vides rādītājiem un administratīvie reģioni (piemēram, </w:t>
                            </w:r>
                            <w:r>
                              <w:rPr>
                                <w:i/>
                              </w:rPr>
                              <w:t>NUTS</w:t>
                            </w:r>
                            <w:r>
                              <w:t xml:space="preserve"> 3, </w:t>
                            </w:r>
                            <w:r>
                              <w:rPr>
                                <w:i/>
                              </w:rPr>
                              <w:t>NUTS</w:t>
                            </w:r>
                            <w:r>
                              <w:t xml:space="preserve"> 4 vai </w:t>
                            </w:r>
                            <w:r>
                              <w:rPr>
                                <w:i/>
                              </w:rPr>
                              <w:t>NUTS</w:t>
                            </w:r>
                            <w:r>
                              <w:t> 5) sociālekonomiskajiem rādītājiem. Attiecīgie soļi ir šādi.</w:t>
                            </w:r>
                          </w:p>
                          <w:p w:rsidR="00A472D8" w:rsidRPr="00502017" w:rsidRDefault="00A472D8" w:rsidP="00AC0E3D">
                            <w:pPr>
                              <w:pStyle w:val="HStandard"/>
                              <w:spacing w:after="0"/>
                              <w:rPr>
                                <w:rFonts w:cs="Arial"/>
                                <w:szCs w:val="16"/>
                              </w:rPr>
                            </w:pPr>
                          </w:p>
                          <w:p w:rsidR="00A472D8" w:rsidRPr="00735F08" w:rsidRDefault="00A472D8" w:rsidP="00AC0E3D">
                            <w:pPr>
                              <w:pStyle w:val="Hlistbullet"/>
                              <w:numPr>
                                <w:ilvl w:val="0"/>
                                <w:numId w:val="0"/>
                              </w:numPr>
                              <w:jc w:val="left"/>
                              <w:rPr>
                                <w:szCs w:val="16"/>
                              </w:rPr>
                            </w:pPr>
                            <w:r>
                              <w:rPr>
                                <w:b/>
                                <w:color w:val="F07E31" w:themeColor="accent1"/>
                              </w:rPr>
                              <w:t>1. solis.</w:t>
                            </w:r>
                            <w:r>
                              <w:t xml:space="preserve"> Aplēst LAP </w:t>
                            </w:r>
                            <w:r>
                              <w:rPr>
                                <w:b/>
                              </w:rPr>
                              <w:t>tiešo ietekmi uz saņēmējiem mikrolīmenī</w:t>
                            </w:r>
                            <w:r>
                              <w:t>:</w:t>
                            </w:r>
                          </w:p>
                          <w:p w:rsidR="00A472D8" w:rsidRPr="00553149" w:rsidRDefault="00A472D8" w:rsidP="00EC01C3">
                            <w:pPr>
                              <w:pStyle w:val="HStandard"/>
                              <w:numPr>
                                <w:ilvl w:val="1"/>
                                <w:numId w:val="13"/>
                              </w:numPr>
                              <w:spacing w:after="0"/>
                              <w:ind w:left="924" w:hanging="357"/>
                              <w:rPr>
                                <w:rFonts w:cs="Arial"/>
                                <w:szCs w:val="16"/>
                              </w:rPr>
                            </w:pPr>
                            <w:r>
                              <w:t>aprēķināt mikrolīmenī saņēmēju grupai un kontroles grupai kopējo vai papildu ietekmes rādītāju vidējo vērtību pirms (piemēram, 2013. gadā) un pēc atbalsta saņemšanas (piemēram, 2018. vai 2019. gadā);</w:t>
                            </w:r>
                          </w:p>
                          <w:p w:rsidR="00A472D8" w:rsidRPr="00553149" w:rsidRDefault="00A472D8" w:rsidP="00EC01C3">
                            <w:pPr>
                              <w:pStyle w:val="HStandard"/>
                              <w:numPr>
                                <w:ilvl w:val="1"/>
                                <w:numId w:val="13"/>
                              </w:numPr>
                              <w:spacing w:after="0"/>
                              <w:ind w:left="924" w:hanging="357"/>
                              <w:rPr>
                                <w:rFonts w:cs="Arial"/>
                                <w:szCs w:val="16"/>
                              </w:rPr>
                            </w:pPr>
                            <w:r>
                              <w:t xml:space="preserve">aprēķināt konkrētos politikas rādītājus (piemēram, vidējo apstrādes ietekmi uz apstrādātajiem (VAA)), kā iznākumu izmantojot attiecīgos kopējos vai papildu ietekmes rādītājus. Aprēķināt LAP </w:t>
                            </w:r>
                            <w:r>
                              <w:rPr>
                                <w:b/>
                              </w:rPr>
                              <w:t>neto tiešo ietekmi uz iepriekš minētajiem rādītājiem</w:t>
                            </w:r>
                            <w:r>
                              <w:t>, apvienojot aprēķināto VAA ar metodi "atšķirība atšķirībās";</w:t>
                            </w:r>
                          </w:p>
                          <w:p w:rsidR="00A472D8" w:rsidRPr="00553149" w:rsidRDefault="00A472D8" w:rsidP="00EC01C3">
                            <w:pPr>
                              <w:pStyle w:val="HStandard"/>
                              <w:numPr>
                                <w:ilvl w:val="1"/>
                                <w:numId w:val="13"/>
                              </w:numPr>
                              <w:spacing w:after="0"/>
                              <w:ind w:left="924" w:hanging="357"/>
                              <w:rPr>
                                <w:rFonts w:cs="Arial"/>
                                <w:szCs w:val="16"/>
                              </w:rPr>
                            </w:pPr>
                            <w:r>
                              <w:t>veikt iegūto rezultātu jutīguma analīzi.</w:t>
                            </w:r>
                          </w:p>
                          <w:p w:rsidR="00A472D8" w:rsidRDefault="00A472D8" w:rsidP="00AC0E3D">
                            <w:pPr>
                              <w:pStyle w:val="Hlistbullet"/>
                              <w:numPr>
                                <w:ilvl w:val="0"/>
                                <w:numId w:val="0"/>
                              </w:numPr>
                              <w:spacing w:before="0" w:after="120" w:line="280" w:lineRule="atLeast"/>
                              <w:rPr>
                                <w:rFonts w:cs="Arial"/>
                                <w:szCs w:val="16"/>
                              </w:rPr>
                            </w:pPr>
                            <w:r>
                              <w:rPr>
                                <w:b/>
                                <w:color w:val="F07E31" w:themeColor="accent1"/>
                              </w:rPr>
                              <w:t xml:space="preserve">2. solis. </w:t>
                            </w:r>
                            <w:r>
                              <w:t xml:space="preserve">Aplēst LAP </w:t>
                            </w:r>
                            <w:r>
                              <w:rPr>
                                <w:b/>
                              </w:rPr>
                              <w:t>netiešo ietekmi uz saņēmējiem mikrolīmenī</w:t>
                            </w:r>
                            <w:r>
                              <w:t>. Novērotās izmaiņas rādītāju vērtībās būtu atkal jāsadala izmaiņās programmas dēļ (primāro un sekundāro iemaksu kopējā ietekme) un izmaiņās citu faktoru dēļ.</w:t>
                            </w:r>
                            <w:r>
                              <w:rPr>
                                <w:color w:val="auto"/>
                              </w:rPr>
                              <w:t xml:space="preserve"> </w:t>
                            </w:r>
                            <w:r>
                              <w:t xml:space="preserve">LAP programmas netiešā ietekme (piemēram, aizvietošana, pārvietošana, reizināšana) būtu jāaprēķina un jāuzrāda atsevišķi. </w:t>
                            </w:r>
                          </w:p>
                          <w:p w:rsidR="00A472D8" w:rsidRPr="00027601" w:rsidRDefault="00A472D8" w:rsidP="00027601">
                            <w:pPr>
                              <w:pStyle w:val="Hlistbullet"/>
                              <w:numPr>
                                <w:ilvl w:val="0"/>
                                <w:numId w:val="0"/>
                              </w:numPr>
                              <w:spacing w:before="0" w:after="120" w:line="280" w:lineRule="atLeast"/>
                              <w:rPr>
                                <w:i/>
                                <w:color w:val="F07E31" w:themeColor="accent1"/>
                                <w:sz w:val="16"/>
                                <w:szCs w:val="16"/>
                              </w:rPr>
                            </w:pPr>
                          </w:p>
                        </w:txbxContent>
                      </wps:txbx>
                      <wps:bodyPr rot="0" vert="horz" wrap="square" lIns="91440" tIns="45720" rIns="91440" bIns="45720" anchor="ctr" anchorCtr="0" upright="1">
                        <a:noAutofit/>
                      </wps:bodyPr>
                    </wps:wsp>
                  </a:graphicData>
                </a:graphic>
              </wp:inline>
            </w:drawing>
          </mc:Choice>
          <mc:Fallback>
            <w:pict>
              <v:shape w14:anchorId="26F9CDFD" id="AutoShape 64" o:spid="_x0000_s1038" style="width:467.05pt;height:689pt;visibility:visible;mso-wrap-style:square;mso-left-percent:-10001;mso-top-percent:-10001;mso-position-horizontal:absolute;mso-position-horizontal-relative:char;mso-position-vertical:absolute;mso-position-vertical-relative:line;mso-left-percent:-10001;mso-top-percent:-10001;v-text-anchor:middle" coordsize="5931673,86708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" adj="-11796480,,5400" path="m518013,l5931673,r,8152801c5931673,8438892,5699751,8670814,5413660,8670814l,8670814,,518013c,231922,231922,,518013,xe" filled="f" strokecolor="#be4a35" strokeweight="2pt">
                <v:stroke joinstyle="miter"/>
                <v:formulas/>
                <v:path arrowok="t" o:connecttype="custom" o:connectlocs="518001,0;5931535,0;5931535,0;5931535,8227355;5413534,8750105;0,8750105;0,8750105;0,522750;518001,0" o:connectangles="0,0,0,0,0,0,0,0,0" textboxrect="0,0,5931673,8670814"/>
                <v:textbox>
                  <w:txbxContent>
                    <w:p w:rsidR="00A472D8" w:rsidRPr="00DD36A9" w:rsidRDefault="00A472D8" w:rsidP="006D6205">
                      <w:pPr>
                        <w:pStyle w:val="HHeading4"/>
                      </w:pPr>
                      <w:r>
                        <w:rPr>
                          <w:noProof/>
                          <w:lang w:val="en-GB" w:eastAsia="en-GB" w:bidi="lo-LA"/>
                        </w:rPr>
                        <w:drawing>
                          <wp:inline distT="0" distB="0" distL="0" distR="0" wp14:anchorId="48F9E2A0" wp14:editId="3578003F">
                            <wp:extent cx="664845" cy="487680"/>
                            <wp:effectExtent l="0" t="0" r="0" b="7620"/>
                            <wp:docPr id="91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ĪSAIS NORĀDĪJUMS Nr. 4. Kā izvērtēt LAP neto ietekmi? (saistīts ar 3. līmeni)</w:t>
                      </w:r>
                    </w:p>
                    <w:p w:rsidR="00A472D8" w:rsidRPr="00553149" w:rsidRDefault="00A472D8" w:rsidP="00AC0E3D">
                      <w:pPr>
                        <w:pStyle w:val="HStandard"/>
                        <w:spacing w:after="0"/>
                        <w:rPr>
                          <w:rFonts w:cs="Arial"/>
                          <w:szCs w:val="16"/>
                        </w:rPr>
                      </w:pPr>
                      <w:r>
                        <w:t xml:space="preserve">Programmas neto ietekmes izvērtējumu </w:t>
                      </w:r>
                      <w:r>
                        <w:rPr>
                          <w:b/>
                        </w:rPr>
                        <w:t>makrolīmenī vai programmas plānošanas teritorijas līmenī</w:t>
                      </w:r>
                      <w:r>
                        <w:t xml:space="preserve">, izmantojot hipotētisko analīzi, var veikt, izmantojot divas galvenās pieejas: </w:t>
                      </w:r>
                      <w:r>
                        <w:rPr>
                          <w:b/>
                        </w:rPr>
                        <w:t>pirmās pieejas</w:t>
                      </w:r>
                      <w:r>
                        <w:t xml:space="preserve"> pamatā ir mikroanalīze un tās rezultātu ekstrapolācija makrolīmenī (mēroga palielināšana). </w:t>
                      </w:r>
                      <w:r>
                        <w:rPr>
                          <w:b/>
                        </w:rPr>
                        <w:t>Otrajā pieejā</w:t>
                      </w:r>
                      <w:r>
                        <w:t xml:space="preserve"> tiek izmantoti tādi analītiski instrumenti kā </w:t>
                      </w:r>
                      <w:hyperlink r:id="rId52">
                        <w:r>
                          <w:rPr>
                            <w:rStyle w:val="Hyperlink"/>
                          </w:rPr>
                          <w:t>aprēķināmais vispārējais līdzsvars</w:t>
                        </w:r>
                      </w:hyperlink>
                      <w:r>
                        <w:t xml:space="preserve">, daļējs līdzsvars un telpiskie ekonometriskie modeļi vai citi modelēšanas paņēmieni, ar kuriem attiecīgie modeļa parametri (piemēram, produktivitātes vai emisiju koeficienti) tiek aplēsti ekonometriski, </w:t>
                      </w:r>
                      <w:r>
                        <w:rPr>
                          <w:b/>
                        </w:rPr>
                        <w:t>ņemot vērā</w:t>
                      </w:r>
                      <w:r>
                        <w:t xml:space="preserve"> stabilas cēloņsakarības, </w:t>
                      </w:r>
                      <w:r>
                        <w:t>iespējamo atlases neobjektivitāti, endogenitāti un telpiskās atkarības. Šajā pieejā iekļauts arī programmas ietekmes novērtējuma "lejup</w:t>
                      </w:r>
                      <w:r w:rsidR="007D45C5">
                        <w:t>ējas</w:t>
                      </w:r>
                      <w:r>
                        <w:t>" makrolīmeņa pieejas (piemēram, modeļu ar valsts vai reģionālu tvērumu) apvienojums ar "augšupēju" mikrolīmeņa pieeju, kurā vērtē dažādu pasākumu vai pasākumu apvienojumu neto ietekmi.</w:t>
                      </w:r>
                    </w:p>
                    <w:p w:rsidR="00A472D8" w:rsidRPr="00553149" w:rsidRDefault="00A472D8" w:rsidP="00AC0E3D">
                      <w:pPr>
                        <w:pStyle w:val="HStandard"/>
                        <w:spacing w:after="0"/>
                        <w:rPr>
                          <w:rFonts w:cs="Arial"/>
                          <w:szCs w:val="16"/>
                        </w:rPr>
                      </w:pPr>
                    </w:p>
                    <w:p w:rsidR="00A472D8" w:rsidRPr="00553149" w:rsidRDefault="00A472D8" w:rsidP="00AC0E3D">
                      <w:pPr>
                        <w:pStyle w:val="HStandard"/>
                        <w:spacing w:after="0"/>
                        <w:rPr>
                          <w:rFonts w:cs="Arial"/>
                          <w:szCs w:val="16"/>
                        </w:rPr>
                      </w:pPr>
                      <w:r>
                        <w:t xml:space="preserve">Ir svarīgi norādīt, ka neatkarīgi no izvēlētās pieejas LAP neto ietekmes analīzi var veikt tikai tad, ja ir pieejams pietiekami daudz kvantitatīvu datu un tiek izmantoti uzlaboti metodikas paņēmieni. Neskartās kvantitatīvās novērtēšanas iespēju izmantošana (piemēram, salīdzināšana pirms un pēc, neatbilstošu kontroles pasākumu veikšana u. c.) var būtiski ietekmēt iegūtos "neto ietekmes" rezultātus abos virzienos (pozitīvi vai negatīvi). </w:t>
                      </w:r>
                    </w:p>
                    <w:p w:rsidR="00A472D8" w:rsidRPr="00553149" w:rsidRDefault="00A472D8" w:rsidP="00AC0E3D">
                      <w:pPr>
                        <w:pStyle w:val="HStandard"/>
                        <w:spacing w:after="0"/>
                        <w:rPr>
                          <w:rFonts w:cs="Arial"/>
                          <w:szCs w:val="16"/>
                        </w:rPr>
                      </w:pPr>
                    </w:p>
                    <w:p w:rsidR="00A472D8" w:rsidRPr="00502017" w:rsidRDefault="00A472D8" w:rsidP="00AC0E3D">
                      <w:pPr>
                        <w:pStyle w:val="HStandard"/>
                        <w:spacing w:after="0"/>
                        <w:rPr>
                          <w:rFonts w:cs="Arial"/>
                          <w:szCs w:val="16"/>
                        </w:rPr>
                      </w:pPr>
                      <w:r>
                        <w:t xml:space="preserve">Lai gan </w:t>
                      </w:r>
                      <w:r>
                        <w:rPr>
                          <w:b/>
                        </w:rPr>
                        <w:t>pirmā pieeja</w:t>
                      </w:r>
                      <w:r>
                        <w:t xml:space="preserve"> (mikroanalīzes ekstrapolācija programmas plānošanas teritorijas makrolīmenī) ir vieglākā un visdaudzsološākā metode, turpmāk ir izklāstīti svarīgākie soļi. Pieeju veido pieci galvenie soļi, kurus piemēro gan ietekmes uz nozari rādītājiem, gan ietekmes uz vidi un sociālekonomiskās ietekmes rādītājiem. Pamatatšķirība LAP neto ietekmes analīzē šajās trijās jomās ir analīzes pamatā esošo vienību noteikšana: piemēram, saimniecības (uzņēmumi) vai administratīvie reģioni (piemēram, </w:t>
                      </w:r>
                      <w:r>
                        <w:rPr>
                          <w:i/>
                        </w:rPr>
                        <w:t>NUTS</w:t>
                      </w:r>
                      <w:r>
                        <w:t xml:space="preserve"> 4, </w:t>
                      </w:r>
                      <w:r>
                        <w:rPr>
                          <w:i/>
                        </w:rPr>
                        <w:t>NUTS</w:t>
                      </w:r>
                      <w:r>
                        <w:t xml:space="preserve"> 5 u. c.) nozares rādītājiem; zemes gabali vai mazi ģeogrāfiskie reģioni (reģionālie telpiskie dati) vides rādītājiem un administratīvie reģioni (piemēram, </w:t>
                      </w:r>
                      <w:r>
                        <w:rPr>
                          <w:i/>
                        </w:rPr>
                        <w:t>NUTS</w:t>
                      </w:r>
                      <w:r>
                        <w:t xml:space="preserve"> 3, </w:t>
                      </w:r>
                      <w:r>
                        <w:rPr>
                          <w:i/>
                        </w:rPr>
                        <w:t>NUTS</w:t>
                      </w:r>
                      <w:r>
                        <w:t xml:space="preserve"> 4 vai </w:t>
                      </w:r>
                      <w:r>
                        <w:rPr>
                          <w:i/>
                        </w:rPr>
                        <w:t>NUTS</w:t>
                      </w:r>
                      <w:r>
                        <w:t> 5) sociālekonomiskajiem rādītājiem. Attiecīgie soļi ir šādi.</w:t>
                      </w:r>
                    </w:p>
                    <w:p w:rsidR="00A472D8" w:rsidRPr="00502017" w:rsidRDefault="00A472D8" w:rsidP="00AC0E3D">
                      <w:pPr>
                        <w:pStyle w:val="HStandard"/>
                        <w:spacing w:after="0"/>
                        <w:rPr>
                          <w:rFonts w:cs="Arial"/>
                          <w:szCs w:val="16"/>
                        </w:rPr>
                      </w:pPr>
                    </w:p>
                    <w:p w:rsidR="00A472D8" w:rsidRPr="00735F08" w:rsidRDefault="00A472D8" w:rsidP="00AC0E3D">
                      <w:pPr>
                        <w:pStyle w:val="Hlistbullet"/>
                        <w:numPr>
                          <w:ilvl w:val="0"/>
                          <w:numId w:val="0"/>
                        </w:numPr>
                        <w:jc w:val="left"/>
                        <w:rPr>
                          <w:szCs w:val="16"/>
                        </w:rPr>
                      </w:pPr>
                      <w:r>
                        <w:rPr>
                          <w:b/>
                          <w:color w:val="F07E31" w:themeColor="accent1"/>
                        </w:rPr>
                        <w:t>1. solis.</w:t>
                      </w:r>
                      <w:r>
                        <w:t xml:space="preserve"> Aplēst LAP </w:t>
                      </w:r>
                      <w:r>
                        <w:rPr>
                          <w:b/>
                        </w:rPr>
                        <w:t>tiešo ietekmi uz saņēmējiem mikrolīmenī</w:t>
                      </w:r>
                      <w:r>
                        <w:t>:</w:t>
                      </w:r>
                    </w:p>
                    <w:p w:rsidR="00A472D8" w:rsidRPr="00553149" w:rsidRDefault="00A472D8" w:rsidP="00EC01C3">
                      <w:pPr>
                        <w:pStyle w:val="HStandard"/>
                        <w:numPr>
                          <w:ilvl w:val="1"/>
                          <w:numId w:val="13"/>
                        </w:numPr>
                        <w:spacing w:after="0"/>
                        <w:ind w:left="924" w:hanging="357"/>
                        <w:rPr>
                          <w:rFonts w:cs="Arial"/>
                          <w:szCs w:val="16"/>
                        </w:rPr>
                      </w:pPr>
                      <w:r>
                        <w:t>aprēķināt mikrolīmenī saņēmēju grupai un kontroles grupai kopējo vai papildu ietekmes rādītāju vidējo vērtību pirms (piemēram, 2013. gadā) un pēc atbalsta saņemšanas (piemēram, 2018. vai 2019. gadā);</w:t>
                      </w:r>
                    </w:p>
                    <w:p w:rsidR="00A472D8" w:rsidRPr="00553149" w:rsidRDefault="00A472D8" w:rsidP="00EC01C3">
                      <w:pPr>
                        <w:pStyle w:val="HStandard"/>
                        <w:numPr>
                          <w:ilvl w:val="1"/>
                          <w:numId w:val="13"/>
                        </w:numPr>
                        <w:spacing w:after="0"/>
                        <w:ind w:left="924" w:hanging="357"/>
                        <w:rPr>
                          <w:rFonts w:cs="Arial"/>
                          <w:szCs w:val="16"/>
                        </w:rPr>
                      </w:pPr>
                      <w:r>
                        <w:t xml:space="preserve">aprēķināt konkrētos politikas rādītājus (piemēram, vidējo apstrādes ietekmi uz apstrādātajiem (VAA)), kā iznākumu izmantojot attiecīgos kopējos vai papildu ietekmes rādītājus. Aprēķināt LAP </w:t>
                      </w:r>
                      <w:r>
                        <w:rPr>
                          <w:b/>
                        </w:rPr>
                        <w:t>neto tiešo ietekmi uz iepriekš minētajiem rādītājiem</w:t>
                      </w:r>
                      <w:r>
                        <w:t>, apvienojot aprēķināto VAA ar metodi "atšķirība atšķirībās";</w:t>
                      </w:r>
                    </w:p>
                    <w:p w:rsidR="00A472D8" w:rsidRPr="00553149" w:rsidRDefault="00A472D8" w:rsidP="00EC01C3">
                      <w:pPr>
                        <w:pStyle w:val="HStandard"/>
                        <w:numPr>
                          <w:ilvl w:val="1"/>
                          <w:numId w:val="13"/>
                        </w:numPr>
                        <w:spacing w:after="0"/>
                        <w:ind w:left="924" w:hanging="357"/>
                        <w:rPr>
                          <w:rFonts w:cs="Arial"/>
                          <w:szCs w:val="16"/>
                        </w:rPr>
                      </w:pPr>
                      <w:r>
                        <w:t>veikt iegūto rezultātu jutīguma analīzi.</w:t>
                      </w:r>
                    </w:p>
                    <w:p w:rsidR="00A472D8" w:rsidRDefault="00A472D8" w:rsidP="00AC0E3D">
                      <w:pPr>
                        <w:pStyle w:val="Hlistbullet"/>
                        <w:numPr>
                          <w:ilvl w:val="0"/>
                          <w:numId w:val="0"/>
                        </w:numPr>
                        <w:spacing w:before="0" w:after="120" w:line="280" w:lineRule="atLeast"/>
                        <w:rPr>
                          <w:rFonts w:cs="Arial"/>
                          <w:szCs w:val="16"/>
                        </w:rPr>
                      </w:pPr>
                      <w:r>
                        <w:rPr>
                          <w:b/>
                          <w:color w:val="F07E31" w:themeColor="accent1"/>
                        </w:rPr>
                        <w:t xml:space="preserve">2. solis. </w:t>
                      </w:r>
                      <w:r>
                        <w:t xml:space="preserve">Aplēst LAP </w:t>
                      </w:r>
                      <w:r>
                        <w:rPr>
                          <w:b/>
                        </w:rPr>
                        <w:t>netiešo ietekmi uz saņēmējiem mikrolīmenī</w:t>
                      </w:r>
                      <w:r>
                        <w:t>. Novērotās izmaiņas rādītāju vērtībās būtu atkal jāsadala izmaiņās programmas dēļ (primāro un sekundāro iemaksu kopējā ietekme) un izmaiņās citu faktoru dēļ.</w:t>
                      </w:r>
                      <w:r>
                        <w:rPr>
                          <w:color w:val="auto"/>
                        </w:rPr>
                        <w:t xml:space="preserve"> </w:t>
                      </w:r>
                      <w:r>
                        <w:t xml:space="preserve">LAP programmas netiešā ietekme (piemēram, aizvietošana, pārvietošana, reizināšana) būtu jāaprēķina un jāuzrāda atsevišķi. </w:t>
                      </w:r>
                    </w:p>
                    <w:p w:rsidR="00A472D8" w:rsidRPr="00027601" w:rsidRDefault="00A472D8" w:rsidP="00027601">
                      <w:pPr>
                        <w:pStyle w:val="Hlistbullet"/>
                        <w:numPr>
                          <w:ilvl w:val="0"/>
                          <w:numId w:val="0"/>
                        </w:numPr>
                        <w:spacing w:before="0" w:after="120" w:line="280" w:lineRule="atLeast"/>
                        <w:rPr>
                          <w:i/>
                          <w:color w:val="F07E31" w:themeColor="accent1"/>
                          <w:sz w:val="16"/>
                          <w:szCs w:val="16"/>
                        </w:rPr>
                      </w:pPr>
                    </w:p>
                  </w:txbxContent>
                </v:textbox>
                <w10:anchorlock/>
              </v:shape>
            </w:pict>
          </mc:Fallback>
        </mc:AlternateContent>
      </w:r>
    </w:p>
    <w:p w:rsidR="00AC0E3D" w:rsidRPr="00571D58" w:rsidRDefault="00AC0E3D" w:rsidP="000B6372">
      <w:pPr>
        <w:pStyle w:val="HStandard"/>
      </w:pPr>
    </w:p>
    <w:p w:rsidR="00FC012D" w:rsidRPr="00336531" w:rsidRDefault="000B213F" w:rsidP="00FC012D">
      <w:pPr>
        <w:pStyle w:val="HHeading4"/>
      </w:pPr>
      <w:r>
        <w:rPr>
          <w:b w:val="0"/>
          <w:i/>
          <w:noProof/>
          <w:color w:val="F07E31" w:themeColor="accent1"/>
          <w:lang w:val="en-GB" w:eastAsia="en-GB" w:bidi="lo-LA"/>
        </w:rPr>
        <mc:AlternateContent>
          <mc:Choice Requires="wps">
            <w:drawing>
              <wp:inline distT="0" distB="0" distL="0" distR="0" wp14:anchorId="7E524B91" wp14:editId="3629F083">
                <wp:extent cx="5731510" cy="4335780"/>
                <wp:effectExtent l="0" t="0" r="21590" b="26670"/>
                <wp:docPr id="900"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4335780"/>
                        </a:xfrm>
                        <a:custGeom>
                          <a:avLst/>
                          <a:gdLst>
                            <a:gd name="T0" fmla="*/ 335330 w 5731510"/>
                            <a:gd name="T1" fmla="*/ 0 h 4712335"/>
                            <a:gd name="T2" fmla="*/ 5731510 w 5731510"/>
                            <a:gd name="T3" fmla="*/ 0 h 4712335"/>
                            <a:gd name="T4" fmla="*/ 5731510 w 5731510"/>
                            <a:gd name="T5" fmla="*/ 0 h 4712335"/>
                            <a:gd name="T6" fmla="*/ 5731510 w 5731510"/>
                            <a:gd name="T7" fmla="*/ 4377005 h 4712335"/>
                            <a:gd name="T8" fmla="*/ 5396180 w 5731510"/>
                            <a:gd name="T9" fmla="*/ 4712335 h 4712335"/>
                            <a:gd name="T10" fmla="*/ 0 w 5731510"/>
                            <a:gd name="T11" fmla="*/ 4712335 h 4712335"/>
                            <a:gd name="T12" fmla="*/ 0 w 5731510"/>
                            <a:gd name="T13" fmla="*/ 4712335 h 4712335"/>
                            <a:gd name="T14" fmla="*/ 0 w 5731510"/>
                            <a:gd name="T15" fmla="*/ 335330 h 4712335"/>
                            <a:gd name="T16" fmla="*/ 335330 w 5731510"/>
                            <a:gd name="T17" fmla="*/ 0 h 471233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4712335"/>
                            <a:gd name="T29" fmla="*/ 5731510 w 5731510"/>
                            <a:gd name="T30" fmla="*/ 4712335 h 471233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4712335">
                              <a:moveTo>
                                <a:pt x="335330" y="0"/>
                              </a:moveTo>
                              <a:lnTo>
                                <a:pt x="5731510" y="0"/>
                              </a:lnTo>
                              <a:lnTo>
                                <a:pt x="5731510" y="4377005"/>
                              </a:lnTo>
                              <a:cubicBezTo>
                                <a:pt x="5731510" y="4562203"/>
                                <a:pt x="5581378" y="4712335"/>
                                <a:pt x="5396180" y="4712335"/>
                              </a:cubicBezTo>
                              <a:lnTo>
                                <a:pt x="0" y="4712335"/>
                              </a:lnTo>
                              <a:lnTo>
                                <a:pt x="0" y="335330"/>
                              </a:lnTo>
                              <a:cubicBezTo>
                                <a:pt x="0" y="150132"/>
                                <a:pt x="150132" y="0"/>
                                <a:pt x="335330"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A472D8" w:rsidRPr="005945BB" w:rsidRDefault="00A472D8" w:rsidP="00AC0E3D">
                            <w:pPr>
                              <w:pStyle w:val="Hlistbullet"/>
                              <w:numPr>
                                <w:ilvl w:val="0"/>
                                <w:numId w:val="0"/>
                              </w:numPr>
                              <w:spacing w:before="0" w:after="120" w:line="280" w:lineRule="atLeast"/>
                              <w:rPr>
                                <w:rFonts w:cs="Arial"/>
                                <w:szCs w:val="16"/>
                              </w:rPr>
                            </w:pPr>
                            <w:r>
                              <w:rPr>
                                <w:b/>
                                <w:color w:val="F07E31" w:themeColor="accent1"/>
                              </w:rPr>
                              <w:t xml:space="preserve">3. solis. </w:t>
                            </w:r>
                            <w:r>
                              <w:rPr>
                                <w:b/>
                              </w:rPr>
                              <w:t>Mikrolīmenī</w:t>
                            </w:r>
                            <w:r>
                              <w:t xml:space="preserve"> aprēķināt </w:t>
                            </w:r>
                            <w:r>
                              <w:rPr>
                                <w:b/>
                              </w:rPr>
                              <w:t>netiešo ietekmi uz subjektiem, kas nav saņēmēji</w:t>
                            </w:r>
                            <w:r>
                              <w:t xml:space="preserve">. Arī šajā gadījumā novērotās rādītāju vērtības izmaiņas būtu jādala divās daļās: izmaiņās programmas dēļ (primāro un sekundāro iemaksu kopējā ietekme) un izmaiņās citu faktoru dēļ. Šis posms attiecas uz gaidām, ka atbalstam, ko saņēmuši LAP pasākumu saņēmēji, varētu būt "paredzama/neparedzama" vispārēja līdzsvara ietekme (piemēram, negatīva ietekme uz subjektiem, kas nav saņēmēji un atrodas programmas saņēmēju ciešā tuvumā). </w:t>
                            </w:r>
                          </w:p>
                          <w:p w:rsidR="00A472D8" w:rsidRPr="005945BB" w:rsidRDefault="00A472D8" w:rsidP="00AC0E3D">
                            <w:pPr>
                              <w:pStyle w:val="HStandard"/>
                              <w:rPr>
                                <w:rFonts w:cs="Arial"/>
                                <w:szCs w:val="16"/>
                              </w:rPr>
                            </w:pPr>
                            <w:r>
                              <w:t xml:space="preserve">Šajā novērtējuma posmā sākotnējais kvalitatīvais vērtējums ir ļoti svarīgs, jo tas var sniegt vērtīgu iekšēju informāciju un palīdzēt noformulēt svarīgus programmai specifiskus novērtēšanas jautājumus (PSNJ) par programmas rezultātiem, jo īpaši tās pozitīvo, negatīvo, plānoto un neplānoto ietekmi uz subjektiem, kas nav saņēmēji. PSNJ izmantošana ir brīvprātīga, bet, ja kāds šāds jautājums ir noformulēts, uz to ir jāatbild. Sinerģiju </w:t>
                            </w:r>
                            <w:r>
                              <w:t>vai iespējamās negatīvās šķērsietekmes sākotnējai novērtēšanai vērtētāji var izmantot arī kvalitatīvās vērtēšanas instrumentus.</w:t>
                            </w:r>
                          </w:p>
                          <w:p w:rsidR="00A472D8" w:rsidRPr="005945BB" w:rsidRDefault="00A472D8" w:rsidP="00AC0E3D">
                            <w:pPr>
                              <w:pStyle w:val="Hlistbullet"/>
                              <w:numPr>
                                <w:ilvl w:val="0"/>
                                <w:numId w:val="0"/>
                              </w:numPr>
                              <w:spacing w:before="0" w:after="120" w:line="280" w:lineRule="atLeast"/>
                              <w:rPr>
                                <w:rFonts w:cs="Arial"/>
                                <w:szCs w:val="16"/>
                              </w:rPr>
                            </w:pPr>
                            <w:r>
                              <w:rPr>
                                <w:b/>
                                <w:color w:val="F07E31" w:themeColor="accent1"/>
                              </w:rPr>
                              <w:t xml:space="preserve">4. solis. </w:t>
                            </w:r>
                            <w:r>
                              <w:rPr>
                                <w:b/>
                              </w:rPr>
                              <w:t>Apkopot konstatējumus un aprēķināt LAP ietekmi uz analizētajiem ietekmes rādītājiem makrolīmenī un programmas plānošanas teritorijas līmenī.</w:t>
                            </w:r>
                            <w:r>
                              <w:t xml:space="preserve"> Šajā solī vērtētājam būtu jāaprēķina LAP neto tiešā ietekme uz ietekmes rādītājiem programmas plānošanas teritorijas līmenī, izmantojot ekstrapolācijas tehnikas (proti, reizinot vidējos mikrolīmenī aprēķinātos mikrolīmeņa rezultātus ar saņēmēju/subjektu, kas nav saņēmēji, skaitu).</w:t>
                            </w:r>
                          </w:p>
                          <w:p w:rsidR="00A472D8" w:rsidRPr="005945BB" w:rsidRDefault="00A472D8" w:rsidP="00AC0E3D">
                            <w:pPr>
                              <w:pStyle w:val="HStandard"/>
                              <w:rPr>
                                <w:color w:val="auto"/>
                                <w:szCs w:val="16"/>
                              </w:rPr>
                            </w:pPr>
                            <w:r>
                              <w:rPr>
                                <w:b/>
                                <w:color w:val="F07E31" w:themeColor="accent1"/>
                              </w:rPr>
                              <w:t xml:space="preserve">5. solis. </w:t>
                            </w:r>
                            <w:r>
                              <w:rPr>
                                <w:b/>
                              </w:rPr>
                              <w:t>Piemērot kvalitatīvas metodes</w:t>
                            </w:r>
                            <w:r>
                              <w:t xml:space="preserve"> iegūto rezultātu pārbaudei un verifikācijai (triangulācija).</w:t>
                            </w:r>
                          </w:p>
                          <w:p w:rsidR="00A472D8" w:rsidRPr="005945BB" w:rsidRDefault="00A472D8" w:rsidP="00735F08">
                            <w:pPr>
                              <w:pStyle w:val="Hlistbullet"/>
                              <w:numPr>
                                <w:ilvl w:val="0"/>
                                <w:numId w:val="0"/>
                              </w:numPr>
                              <w:jc w:val="center"/>
                              <w:rPr>
                                <w:i/>
                                <w:color w:val="F07E31" w:themeColor="accent1"/>
                                <w:szCs w:val="18"/>
                              </w:rPr>
                            </w:pPr>
                            <w:r>
                              <w:rPr>
                                <w:i/>
                                <w:color w:val="F07E31" w:themeColor="accent1"/>
                              </w:rPr>
                              <w:t xml:space="preserve">Papildu informāciju par programmas neto ietekmes noteikšanu skatīt </w:t>
                            </w:r>
                            <w:r>
                              <w:rPr>
                                <w:i/>
                                <w:color w:val="F07E31" w:themeColor="accent1"/>
                                <w:szCs w:val="18"/>
                              </w:rPr>
                              <w:br/>
                            </w:r>
                            <w:r>
                              <w:rPr>
                                <w:i/>
                                <w:color w:val="F07E31" w:themeColor="accent1"/>
                              </w:rPr>
                              <w:t xml:space="preserve"> </w:t>
                            </w:r>
                            <w:hyperlink r:id="rId53" w:history="1">
                              <w:r>
                                <w:rPr>
                                  <w:rStyle w:val="Hyperlink"/>
                                  <w:i/>
                                  <w:color w:val="F07E31" w:themeColor="accent1"/>
                                </w:rPr>
                                <w:t xml:space="preserve">"Pamatnostādņu par 2007.–2013. gada LAP </w:t>
                              </w:r>
                              <w:r w:rsidRPr="00F67434">
                                <w:rPr>
                                  <w:rStyle w:val="Hyperlink"/>
                                  <w:iCs/>
                                  <w:color w:val="F07E31" w:themeColor="accent1"/>
                                </w:rPr>
                                <w:t>ex post</w:t>
                              </w:r>
                              <w:r>
                                <w:rPr>
                                  <w:rStyle w:val="Hyperlink"/>
                                  <w:i/>
                                  <w:color w:val="F07E31" w:themeColor="accent1"/>
                                </w:rPr>
                                <w:t xml:space="preserve"> novērtējumu"</w:t>
                              </w:r>
                            </w:hyperlink>
                            <w:r>
                              <w:rPr>
                                <w:rStyle w:val="Hyperlink"/>
                                <w:i/>
                                <w:color w:val="F07E31" w:themeColor="accent1"/>
                              </w:rPr>
                              <w:t xml:space="preserve"> 4.2. nodaļā un par AVL 4.3.3. nodaļā</w:t>
                            </w:r>
                            <w:r>
                              <w:t>.</w:t>
                            </w:r>
                          </w:p>
                        </w:txbxContent>
                      </wps:txbx>
                      <wps:bodyPr rot="0" vert="horz" wrap="square" lIns="91440" tIns="45720" rIns="91440" bIns="45720" anchor="t" anchorCtr="0" upright="1">
                        <a:noAutofit/>
                      </wps:bodyPr>
                    </wps:wsp>
                  </a:graphicData>
                </a:graphic>
              </wp:inline>
            </w:drawing>
          </mc:Choice>
          <mc:Fallback>
            <w:pict>
              <v:shape w14:anchorId="7E524B91" id="AutoShape 63" o:spid="_x0000_s1039" style="width:451.3pt;height:341.4pt;visibility:visible;mso-wrap-style:square;mso-left-percent:-10001;mso-top-percent:-10001;mso-position-horizontal:absolute;mso-position-horizontal-relative:char;mso-position-vertical:absolute;mso-position-vertical-relative:line;mso-left-percent:-10001;mso-top-percent:-10001;v-text-anchor:top" coordsize="5731510,4712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" adj="-11796480,,5400" path="m335330,l5731510,r,4377005c5731510,4562203,5581378,4712335,5396180,4712335l,4712335,,335330c,150132,150132,,335330,xe" filled="f" strokecolor="#be4a35" strokeweight="2pt">
                <v:stroke joinstyle="miter"/>
                <v:formulas/>
                <v:path arrowok="t" o:connecttype="custom" o:connectlocs="335330,0;5731510,0;5731510,0;5731510,4027246;5396180,4335780;0,4335780;0,4335780;0,308534;335330,0" o:connectangles="0,0,0,0,0,0,0,0,0" textboxrect="0,0,5731510,4712335"/>
                <v:textbox>
                  <w:txbxContent>
                    <w:p w:rsidR="00A472D8" w:rsidRPr="005945BB" w:rsidRDefault="00A472D8" w:rsidP="00AC0E3D">
                      <w:pPr>
                        <w:pStyle w:val="Hlistbullet"/>
                        <w:numPr>
                          <w:ilvl w:val="0"/>
                          <w:numId w:val="0"/>
                        </w:numPr>
                        <w:spacing w:before="0" w:after="120" w:line="280" w:lineRule="atLeast"/>
                        <w:rPr>
                          <w:rFonts w:cs="Arial"/>
                          <w:szCs w:val="16"/>
                        </w:rPr>
                      </w:pPr>
                      <w:r>
                        <w:rPr>
                          <w:b/>
                          <w:color w:val="F07E31" w:themeColor="accent1"/>
                        </w:rPr>
                        <w:t xml:space="preserve">3. solis. </w:t>
                      </w:r>
                      <w:r>
                        <w:rPr>
                          <w:b/>
                        </w:rPr>
                        <w:t>Mikrolīmenī</w:t>
                      </w:r>
                      <w:r>
                        <w:t xml:space="preserve"> aprēķināt </w:t>
                      </w:r>
                      <w:r>
                        <w:rPr>
                          <w:b/>
                        </w:rPr>
                        <w:t>netiešo ietekmi uz subjektiem, kas nav saņēmēji</w:t>
                      </w:r>
                      <w:r>
                        <w:t xml:space="preserve">. Arī šajā gadījumā novērotās rādītāju vērtības izmaiņas būtu jādala divās daļās: izmaiņās programmas dēļ (primāro un sekundāro iemaksu kopējā ietekme) un izmaiņās citu faktoru dēļ. Šis posms attiecas uz gaidām, ka atbalstam, ko saņēmuši LAP pasākumu saņēmēji, varētu būt "paredzama/neparedzama" vispārēja līdzsvara ietekme (piemēram, negatīva ietekme uz subjektiem, kas nav saņēmēji un atrodas programmas saņēmēju ciešā tuvumā). </w:t>
                      </w:r>
                    </w:p>
                    <w:p w:rsidR="00A472D8" w:rsidRPr="005945BB" w:rsidRDefault="00A472D8" w:rsidP="00AC0E3D">
                      <w:pPr>
                        <w:pStyle w:val="HStandard"/>
                        <w:rPr>
                          <w:rFonts w:cs="Arial"/>
                          <w:szCs w:val="16"/>
                        </w:rPr>
                      </w:pPr>
                      <w:r>
                        <w:t xml:space="preserve">Šajā novērtējuma posmā sākotnējais kvalitatīvais vērtējums ir ļoti svarīgs, jo tas var sniegt vērtīgu iekšēju informāciju un palīdzēt noformulēt svarīgus programmai specifiskus novērtēšanas jautājumus (PSNJ) par programmas rezultātiem, jo īpaši tās pozitīvo, negatīvo, plānoto un neplānoto ietekmi uz subjektiem, kas nav saņēmēji. PSNJ izmantošana ir brīvprātīga, bet, ja kāds šāds jautājums ir noformulēts, uz to ir jāatbild. Sinerģiju </w:t>
                      </w:r>
                      <w:r>
                        <w:t>vai iespējamās negatīvās šķērsietekmes sākotnējai novērtēšanai vērtētāji var izmantot arī kvalitatīvās vērtēšanas instrumentus.</w:t>
                      </w:r>
                    </w:p>
                    <w:p w:rsidR="00A472D8" w:rsidRPr="005945BB" w:rsidRDefault="00A472D8" w:rsidP="00AC0E3D">
                      <w:pPr>
                        <w:pStyle w:val="Hlistbullet"/>
                        <w:numPr>
                          <w:ilvl w:val="0"/>
                          <w:numId w:val="0"/>
                        </w:numPr>
                        <w:spacing w:before="0" w:after="120" w:line="280" w:lineRule="atLeast"/>
                        <w:rPr>
                          <w:rFonts w:cs="Arial"/>
                          <w:szCs w:val="16"/>
                        </w:rPr>
                      </w:pPr>
                      <w:r>
                        <w:rPr>
                          <w:b/>
                          <w:color w:val="F07E31" w:themeColor="accent1"/>
                        </w:rPr>
                        <w:t xml:space="preserve">4. solis. </w:t>
                      </w:r>
                      <w:r>
                        <w:rPr>
                          <w:b/>
                        </w:rPr>
                        <w:t>Apkopot konstatējumus un aprēķināt LAP ietekmi uz analizētajiem ietekmes rādītājiem makrolīmenī un programmas plānošanas teritorijas līmenī.</w:t>
                      </w:r>
                      <w:r>
                        <w:t xml:space="preserve"> Šajā solī vērtētājam būtu jāaprēķina LAP neto tiešā ietekme uz ietekmes rādītājiem programmas plānošanas teritorijas līmenī, izmantojot ekstrapolācijas tehnikas (proti, reizinot vidējos mikrolīmenī aprēķinātos mikrolīmeņa rezultātus ar saņēmēju/subjektu, kas nav saņēmēji, skaitu).</w:t>
                      </w:r>
                    </w:p>
                    <w:p w:rsidR="00A472D8" w:rsidRPr="005945BB" w:rsidRDefault="00A472D8" w:rsidP="00AC0E3D">
                      <w:pPr>
                        <w:pStyle w:val="HStandard"/>
                        <w:rPr>
                          <w:color w:val="auto"/>
                          <w:szCs w:val="16"/>
                        </w:rPr>
                      </w:pPr>
                      <w:r>
                        <w:rPr>
                          <w:b/>
                          <w:color w:val="F07E31" w:themeColor="accent1"/>
                        </w:rPr>
                        <w:t xml:space="preserve">5. solis. </w:t>
                      </w:r>
                      <w:r>
                        <w:rPr>
                          <w:b/>
                        </w:rPr>
                        <w:t>Piemērot kvalitatīvas metodes</w:t>
                      </w:r>
                      <w:r>
                        <w:t xml:space="preserve"> iegūto rezultātu pārbaudei un verifikācijai (triangulācija).</w:t>
                      </w:r>
                    </w:p>
                    <w:p w:rsidR="00A472D8" w:rsidRPr="005945BB" w:rsidRDefault="00A472D8" w:rsidP="00735F08">
                      <w:pPr>
                        <w:pStyle w:val="Hlistbullet"/>
                        <w:numPr>
                          <w:ilvl w:val="0"/>
                          <w:numId w:val="0"/>
                        </w:numPr>
                        <w:jc w:val="center"/>
                        <w:rPr>
                          <w:i/>
                          <w:color w:val="F07E31" w:themeColor="accent1"/>
                          <w:szCs w:val="18"/>
                        </w:rPr>
                      </w:pPr>
                      <w:r>
                        <w:rPr>
                          <w:i/>
                          <w:color w:val="F07E31" w:themeColor="accent1"/>
                        </w:rPr>
                        <w:t xml:space="preserve">Papildu informāciju par programmas neto ietekmes noteikšanu skatīt </w:t>
                      </w:r>
                      <w:r>
                        <w:rPr>
                          <w:i/>
                          <w:color w:val="F07E31" w:themeColor="accent1"/>
                          <w:szCs w:val="18"/>
                        </w:rPr>
                        <w:br/>
                      </w:r>
                      <w:r>
                        <w:rPr>
                          <w:i/>
                          <w:color w:val="F07E31" w:themeColor="accent1"/>
                        </w:rPr>
                        <w:t xml:space="preserve"> </w:t>
                      </w:r>
                      <w:hyperlink r:id="rId54" w:history="1">
                        <w:r>
                          <w:rPr>
                            <w:rStyle w:val="Hyperlink"/>
                            <w:i/>
                            <w:color w:val="F07E31" w:themeColor="accent1"/>
                          </w:rPr>
                          <w:t xml:space="preserve">"Pamatnostādņu par 2007.–2013. gada LAP </w:t>
                        </w:r>
                        <w:r w:rsidRPr="00F67434">
                          <w:rPr>
                            <w:rStyle w:val="Hyperlink"/>
                            <w:iCs/>
                            <w:color w:val="F07E31" w:themeColor="accent1"/>
                          </w:rPr>
                          <w:t>ex post</w:t>
                        </w:r>
                        <w:r>
                          <w:rPr>
                            <w:rStyle w:val="Hyperlink"/>
                            <w:i/>
                            <w:color w:val="F07E31" w:themeColor="accent1"/>
                          </w:rPr>
                          <w:t xml:space="preserve"> novērtējumu"</w:t>
                        </w:r>
                      </w:hyperlink>
                      <w:r>
                        <w:rPr>
                          <w:rStyle w:val="Hyperlink"/>
                          <w:i/>
                          <w:color w:val="F07E31" w:themeColor="accent1"/>
                        </w:rPr>
                        <w:t xml:space="preserve"> 4.2. nodaļā un par AVL 4.3.3. nodaļā</w:t>
                      </w:r>
                      <w:r>
                        <w:t>.</w:t>
                      </w:r>
                    </w:p>
                  </w:txbxContent>
                </v:textbox>
                <w10:anchorlock/>
              </v:shape>
            </w:pict>
          </mc:Fallback>
        </mc:AlternateContent>
      </w:r>
      <w:r>
        <w:br w:type="column"/>
      </w:r>
      <w:r>
        <w:lastRenderedPageBreak/>
        <w:t>Mikro</w:t>
      </w:r>
      <w:r w:rsidR="000618CF">
        <w:t>līmeņa</w:t>
      </w:r>
      <w:r>
        <w:t xml:space="preserve"> un makro</w:t>
      </w:r>
      <w:r w:rsidR="000618CF">
        <w:t>līmeņa</w:t>
      </w:r>
      <w:r>
        <w:t xml:space="preserve"> atbilstības pārbaude un validācija (4. līmenis)</w:t>
      </w:r>
    </w:p>
    <w:p w:rsidR="00FC012D" w:rsidRPr="00336531" w:rsidRDefault="000B213F" w:rsidP="00FC012D">
      <w:pPr>
        <w:pStyle w:val="HStandard"/>
        <w:rPr>
          <w:rFonts w:cs="Arial"/>
        </w:rPr>
      </w:pPr>
      <w:r>
        <w:rPr>
          <w:b/>
          <w:i/>
          <w:noProof/>
          <w:color w:val="F07E31" w:themeColor="accent1"/>
          <w:lang w:val="en-GB" w:eastAsia="en-GB" w:bidi="lo-LA"/>
        </w:rPr>
        <mc:AlternateContent>
          <mc:Choice Requires="wps">
            <w:drawing>
              <wp:inline distT="0" distB="0" distL="0" distR="0" wp14:anchorId="1508B45B" wp14:editId="09FBBE49">
                <wp:extent cx="5731510" cy="1221740"/>
                <wp:effectExtent l="19050" t="19050" r="21590" b="16510"/>
                <wp:docPr id="89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21740"/>
                        </a:xfrm>
                        <a:custGeom>
                          <a:avLst/>
                          <a:gdLst>
                            <a:gd name="T0" fmla="*/ 106671 w 5731510"/>
                            <a:gd name="T1" fmla="*/ 0 h 1221469"/>
                            <a:gd name="T2" fmla="*/ 5731510 w 5731510"/>
                            <a:gd name="T3" fmla="*/ 0 h 1221469"/>
                            <a:gd name="T4" fmla="*/ 5731510 w 5731510"/>
                            <a:gd name="T5" fmla="*/ 0 h 1221469"/>
                            <a:gd name="T6" fmla="*/ 5731510 w 5731510"/>
                            <a:gd name="T7" fmla="*/ 1114798 h 1221469"/>
                            <a:gd name="T8" fmla="*/ 5624839 w 5731510"/>
                            <a:gd name="T9" fmla="*/ 1221469 h 1221469"/>
                            <a:gd name="T10" fmla="*/ 0 w 5731510"/>
                            <a:gd name="T11" fmla="*/ 1221469 h 1221469"/>
                            <a:gd name="T12" fmla="*/ 0 w 5731510"/>
                            <a:gd name="T13" fmla="*/ 1221469 h 1221469"/>
                            <a:gd name="T14" fmla="*/ 0 w 5731510"/>
                            <a:gd name="T15" fmla="*/ 106671 h 1221469"/>
                            <a:gd name="T16" fmla="*/ 106671 w 5731510"/>
                            <a:gd name="T17" fmla="*/ 0 h 122146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1221469"/>
                            <a:gd name="T29" fmla="*/ 5731510 w 5731510"/>
                            <a:gd name="T30" fmla="*/ 1221469 h 122146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1221469">
                              <a:moveTo>
                                <a:pt x="106671" y="0"/>
                              </a:moveTo>
                              <a:lnTo>
                                <a:pt x="5731510" y="0"/>
                              </a:lnTo>
                              <a:lnTo>
                                <a:pt x="5731510" y="1114798"/>
                              </a:lnTo>
                              <a:cubicBezTo>
                                <a:pt x="5731510" y="1173711"/>
                                <a:pt x="5683752" y="1221469"/>
                                <a:pt x="5624839" y="1221469"/>
                              </a:cubicBezTo>
                              <a:lnTo>
                                <a:pt x="0" y="1221469"/>
                              </a:lnTo>
                              <a:lnTo>
                                <a:pt x="0" y="106671"/>
                              </a:lnTo>
                              <a:cubicBezTo>
                                <a:pt x="0" y="47758"/>
                                <a:pt x="47758" y="0"/>
                                <a:pt x="106671"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A472D8" w:rsidRPr="00044269" w:rsidRDefault="00A472D8" w:rsidP="00EC01C3">
                            <w:pPr>
                              <w:pStyle w:val="HHeading4"/>
                              <w:spacing w:before="0"/>
                              <w:jc w:val="both"/>
                              <w:rPr>
                                <w:b w:val="0"/>
                                <w:i/>
                                <w:color w:val="373737" w:themeColor="text1"/>
                                <w:sz w:val="18"/>
                              </w:rPr>
                            </w:pPr>
                            <w:r>
                              <w:rPr>
                                <w:noProof/>
                                <w:color w:val="373737" w:themeColor="text1"/>
                                <w:lang w:val="en-GB" w:eastAsia="en-GB" w:bidi="lo-LA"/>
                              </w:rPr>
                              <w:drawing>
                                <wp:inline distT="0" distB="0" distL="0" distR="0" wp14:anchorId="7392153E" wp14:editId="4645F1DF">
                                  <wp:extent cx="664845" cy="487680"/>
                                  <wp:effectExtent l="0" t="0" r="0" b="7620"/>
                                  <wp:docPr id="91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Veicot neto ietekmes izvērtēšanu, </w:t>
                            </w:r>
                            <w:r>
                              <w:rPr>
                                <w:b w:val="0"/>
                                <w:color w:val="373737" w:themeColor="text1"/>
                              </w:rPr>
                              <w:t>ir svarīgi pārbaudīt mikrolīmeņa un makrolīmeņa izvērtējuma rezultātu saskanību, lai tos apstiprinātu. Saskanība ir nosakāma tad, ja konstatējumi abos līmeņos nav pretrunīgi.</w:t>
                            </w:r>
                          </w:p>
                        </w:txbxContent>
                      </wps:txbx>
                      <wps:bodyPr rot="0" vert="horz" wrap="square" lIns="91440" tIns="45720" rIns="91440" bIns="45720" anchor="ctr" anchorCtr="0" upright="1">
                        <a:noAutofit/>
                      </wps:bodyPr>
                    </wps:wsp>
                  </a:graphicData>
                </a:graphic>
              </wp:inline>
            </w:drawing>
          </mc:Choice>
          <mc:Fallback>
            <w:pict>
              <v:shape w14:anchorId="1508B45B" id="AutoShape 62" o:spid="_x0000_s1040" style="width:451.3pt;height:96.2pt;visibility:visible;mso-wrap-style:square;mso-left-percent:-10001;mso-top-percent:-10001;mso-position-horizontal:absolute;mso-position-horizontal-relative:char;mso-position-vertical:absolute;mso-position-vertical-relative:line;mso-left-percent:-10001;mso-top-percent:-10001;v-text-anchor:middle" coordsize="5731510,12214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" adj="-11796480,,5400" path="m106671,l5731510,r,1114798c5731510,1173711,5683752,1221469,5624839,1221469l,1221469,,106671c,47758,47758,,106671,xe" filled="f" strokecolor="#be4a35" strokeweight="2pt">
                <v:stroke joinstyle="miter"/>
                <v:formulas/>
                <v:path arrowok="t" o:connecttype="custom" o:connectlocs="106671,0;5731510,0;5731510,0;5731510,1115045;5624839,1221740;0,1221740;0,1221740;0,106695;106671,0" o:connectangles="0,0,0,0,0,0,0,0,0" textboxrect="0,0,5731510,1221469"/>
                <v:textbox>
                  <w:txbxContent>
                    <w:p w:rsidR="00A472D8" w:rsidRPr="00044269" w:rsidRDefault="00A472D8" w:rsidP="00EC01C3">
                      <w:pPr>
                        <w:pStyle w:val="HHeading4"/>
                        <w:spacing w:before="0"/>
                        <w:jc w:val="both"/>
                        <w:rPr>
                          <w:b w:val="0"/>
                          <w:i/>
                          <w:color w:val="373737" w:themeColor="text1"/>
                          <w:sz w:val="18"/>
                        </w:rPr>
                      </w:pPr>
                      <w:r>
                        <w:rPr>
                          <w:noProof/>
                          <w:color w:val="373737" w:themeColor="text1"/>
                          <w:lang w:val="en-GB" w:eastAsia="en-GB" w:bidi="lo-LA"/>
                        </w:rPr>
                        <w:drawing>
                          <wp:inline distT="0" distB="0" distL="0" distR="0" wp14:anchorId="7392153E" wp14:editId="4645F1DF">
                            <wp:extent cx="664845" cy="487680"/>
                            <wp:effectExtent l="0" t="0" r="0" b="7620"/>
                            <wp:docPr id="91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Veicot neto ietekmes izvērtēšanu, </w:t>
                      </w:r>
                      <w:r>
                        <w:rPr>
                          <w:b w:val="0"/>
                          <w:color w:val="373737" w:themeColor="text1"/>
                        </w:rPr>
                        <w:t>ir svarīgi pārbaudīt mikrolīmeņa un makrolīmeņa izvērtējuma rezultātu saskanību, lai tos apstiprinātu. Saskanība ir nosakāma tad, ja konstatējumi abos līmeņos nav pretrunīgi.</w:t>
                      </w:r>
                    </w:p>
                  </w:txbxContent>
                </v:textbox>
                <w10:anchorlock/>
              </v:shape>
            </w:pict>
          </mc:Fallback>
        </mc:AlternateContent>
      </w:r>
      <w:r>
        <w:t xml:space="preserve">Augšupējas kvantitatīvas novērtēšanas gadījumā atbilstību nodrošina datu mēroga paplašināšana no mikrolīmeņa </w:t>
      </w:r>
      <w:r w:rsidR="00833AA0">
        <w:t xml:space="preserve">uz </w:t>
      </w:r>
      <w:r>
        <w:t xml:space="preserve">makrolīmeni. </w:t>
      </w:r>
    </w:p>
    <w:p w:rsidR="00FC012D" w:rsidRPr="001C6ACF" w:rsidRDefault="00FC012D" w:rsidP="001E5FC4">
      <w:pPr>
        <w:spacing w:after="120" w:line="280" w:lineRule="atLeast"/>
        <w:rPr>
          <w:rFonts w:cs="Arial"/>
          <w:color w:val="373737"/>
          <w:sz w:val="20"/>
          <w:szCs w:val="20"/>
        </w:rPr>
      </w:pPr>
      <w:r>
        <w:rPr>
          <w:color w:val="373737" w:themeColor="text1"/>
          <w:sz w:val="20"/>
        </w:rPr>
        <w:t xml:space="preserve">Attiecībā uz programmas </w:t>
      </w:r>
      <w:r>
        <w:rPr>
          <w:i/>
          <w:color w:val="373737" w:themeColor="text1"/>
          <w:sz w:val="20"/>
        </w:rPr>
        <w:t>tiešo</w:t>
      </w:r>
      <w:r>
        <w:rPr>
          <w:color w:val="373737" w:themeColor="text1"/>
          <w:sz w:val="20"/>
        </w:rPr>
        <w:t xml:space="preserve"> ietekmi uz atbalstītajām vienībām programmas </w:t>
      </w:r>
      <w:r w:rsidR="006A3DCB">
        <w:rPr>
          <w:color w:val="373737" w:themeColor="text1"/>
          <w:sz w:val="20"/>
        </w:rPr>
        <w:t xml:space="preserve">neto </w:t>
      </w:r>
      <w:r>
        <w:rPr>
          <w:color w:val="373737" w:themeColor="text1"/>
          <w:sz w:val="20"/>
        </w:rPr>
        <w:t xml:space="preserve">tiešajai ietekmei, kas aprēķināta, izmantojot </w:t>
      </w:r>
      <w:r>
        <w:rPr>
          <w:b/>
          <w:color w:val="373737" w:themeColor="text1"/>
          <w:sz w:val="20"/>
        </w:rPr>
        <w:t>rezultātu rādītājus</w:t>
      </w:r>
      <w:r>
        <w:rPr>
          <w:color w:val="373737" w:themeColor="text1"/>
          <w:sz w:val="20"/>
        </w:rPr>
        <w:t xml:space="preserve">, pēc būtības jābūt saskanīgai un jāliecina par tendenci, kas atbilst programmas </w:t>
      </w:r>
      <w:r w:rsidR="006A3DCB">
        <w:rPr>
          <w:color w:val="373737" w:themeColor="text1"/>
          <w:sz w:val="20"/>
        </w:rPr>
        <w:t xml:space="preserve">neto </w:t>
      </w:r>
      <w:r>
        <w:rPr>
          <w:color w:val="373737" w:themeColor="text1"/>
          <w:sz w:val="20"/>
        </w:rPr>
        <w:t xml:space="preserve">ietekmes tendencei, kura aprēķināta, izmantojot </w:t>
      </w:r>
      <w:r>
        <w:rPr>
          <w:b/>
          <w:color w:val="373737" w:themeColor="text1"/>
          <w:sz w:val="20"/>
        </w:rPr>
        <w:t>ietekmes</w:t>
      </w:r>
      <w:r>
        <w:rPr>
          <w:color w:val="373737" w:themeColor="text1"/>
          <w:sz w:val="20"/>
        </w:rPr>
        <w:t xml:space="preserve"> rādītājus. Tomēr atkarībā no netiešās ietekmes apmēra un virziena makrolīmeņa rezultāti var būtībā arī parādīt makrolīmeņa ietekmei pretēju ietekmes virzienu. Taču šajos gadījumos ietekmes pretējais virziens ir jāpaskaidro ar netiešās ietekmes cēloņsakarības un/vai izmērāmiem pierādījumiem. Lai varētu veikt mikro</w:t>
      </w:r>
      <w:r w:rsidR="000618CF">
        <w:rPr>
          <w:color w:val="373737" w:themeColor="text1"/>
          <w:sz w:val="20"/>
        </w:rPr>
        <w:t>līmeņa</w:t>
      </w:r>
      <w:r>
        <w:rPr>
          <w:color w:val="373737" w:themeColor="text1"/>
          <w:sz w:val="20"/>
        </w:rPr>
        <w:t xml:space="preserve"> un makrolīmeņa rezultātu saskanības pārbaudi, ir nepieciešama laba izpratne par galvenajiem faktoriem, kas ietekmē katru rādītāju.</w:t>
      </w:r>
    </w:p>
    <w:p w:rsidR="00FC012D" w:rsidRPr="001C6ACF" w:rsidRDefault="00FC012D" w:rsidP="00FC012D">
      <w:pPr>
        <w:pStyle w:val="HStandard"/>
        <w:rPr>
          <w:rFonts w:cs="Arial"/>
        </w:rPr>
      </w:pPr>
      <w:r>
        <w:t xml:space="preserve">Attiecībā uz programmas </w:t>
      </w:r>
      <w:r>
        <w:rPr>
          <w:i/>
        </w:rPr>
        <w:t>netiešo</w:t>
      </w:r>
      <w:r>
        <w:t xml:space="preserve"> ietekmi uz atbalstītajām un neatbalstītajām saimniecībām mikroekonomiskie konstatējumi pēc to apkopošanas var tikai aptuveni noteikt visas LAP iespējamās netiešās ietekmes apmēru (</w:t>
      </w:r>
      <w:r w:rsidR="000D6687">
        <w:t xml:space="preserve">t. sk. </w:t>
      </w:r>
      <w:r>
        <w:t xml:space="preserve">ietekmes, kas aprēķināta, izmantojot nozares modeļus). Šādas aproksimācijas galvenais iemesls ir </w:t>
      </w:r>
      <w:r>
        <w:rPr>
          <w:b/>
        </w:rPr>
        <w:t>visas</w:t>
      </w:r>
      <w:r>
        <w:t xml:space="preserve"> iespējamās netiešās ietekmes, ar kuru </w:t>
      </w:r>
      <w:r w:rsidR="00490322">
        <w:t>"vismaz teorētiski"</w:t>
      </w:r>
      <w:r>
        <w:t xml:space="preserve"> varētu saskarties atbalstītās un neatbalstītās vienības, sarežģītā modelēšana. </w:t>
      </w:r>
    </w:p>
    <w:p w:rsidR="00FC012D" w:rsidRPr="00571D58" w:rsidRDefault="00FC012D" w:rsidP="00FC012D">
      <w:pPr>
        <w:pStyle w:val="HStandard"/>
        <w:rPr>
          <w:rFonts w:cs="Arial"/>
        </w:rPr>
      </w:pPr>
      <w:r>
        <w:t>Augšupēja novērtēšana, kuras pamatā ir dažādu datu avotu ar dažādu metriku un terminoloģiju apkopošana, var izraisīt neskaidrību. Viena no galvenajām makro</w:t>
      </w:r>
      <w:r w:rsidR="000618CF">
        <w:t>līmeņa</w:t>
      </w:r>
      <w:r>
        <w:t xml:space="preserve"> un mikrolīmeņa saskanības pārbaudes problēmām ir noteikt cēloņsakarību starp izmaiņām un ietekmi, kas novērtēta saimniecības vai zemes gabala līmenī, un izmaiņām un ietekmi ārpus saimniecības robežām (piemēram, </w:t>
      </w:r>
      <w:r>
        <w:rPr>
          <w:i/>
        </w:rPr>
        <w:t>NUTS</w:t>
      </w:r>
      <w:r>
        <w:t> 3 un programmas līmenī).</w:t>
      </w:r>
      <w:r>
        <w:rPr>
          <w:color w:val="373737"/>
        </w:rPr>
        <w:t xml:space="preserve"> Šajā saistībā piemērojamajās analīzes vienībās un mērogā </w:t>
      </w:r>
      <w:r w:rsidR="00833AA0">
        <w:rPr>
          <w:color w:val="373737"/>
        </w:rPr>
        <w:t xml:space="preserve">ir svarīgi </w:t>
      </w:r>
      <w:r>
        <w:rPr>
          <w:color w:val="373737"/>
        </w:rPr>
        <w:t xml:space="preserve">ņemt vērā apmēru un līmeni, kurā ietekme varētu rasties. Vienkārša fiksētu administratīvo robežu piemērošana var izkropļot rezultātus. </w:t>
      </w:r>
      <w:r>
        <w:t xml:space="preserve">Var mēģināt konsekventi izmantot paraugkopas veidošanas metodes lauka, saimniecības un ainavas mērogā, </w:t>
      </w:r>
      <w:r w:rsidR="00833AA0">
        <w:t>ņemot</w:t>
      </w:r>
      <w:r>
        <w:t xml:space="preserve"> vērā dažādus izpētītos taksonomijas veidus un dažādu klimata, topogrāfijas, zemes izmantošanas, sociālekonomisko un augsnes nosacījumu mainīgo mijiedarbību</w:t>
      </w:r>
      <w:r>
        <w:rPr>
          <w:rStyle w:val="FootnoteReference"/>
        </w:rPr>
        <w:footnoteReference w:id="29"/>
      </w:r>
      <w:r>
        <w:t xml:space="preserve">. </w:t>
      </w:r>
      <w:r w:rsidR="00490322">
        <w:t>"</w:t>
      </w:r>
      <w:r>
        <w:t>Augšupēja pieeja</w:t>
      </w:r>
      <w:r w:rsidR="00490322">
        <w:t>"</w:t>
      </w:r>
      <w:r>
        <w:t xml:space="preserve"> ar izpētes jomu zemes gabala vai lauka līmenī ļauj iegūt rezultātus, savācot datus no dažādiem vietas apsekojumiem, ievērojot eksperimentālus protokolus, un ekstrapolēt tos no mikrolīmeņa uz makrolīmeni, izmantojot ģeogrāfiskās informācijas sistēmas (ĢIS), satelītattēlus vai telpisko analīzi</w:t>
      </w:r>
      <w:r>
        <w:rPr>
          <w:rStyle w:val="FootnoteReference"/>
        </w:rPr>
        <w:footnoteReference w:id="30"/>
      </w:r>
      <w:r>
        <w:t>.</w:t>
      </w:r>
    </w:p>
    <w:p w:rsidR="00FC012D" w:rsidRPr="00571D58" w:rsidRDefault="00535279" w:rsidP="00FC012D">
      <w:pPr>
        <w:pStyle w:val="HStandard"/>
        <w:rPr>
          <w:rFonts w:cs="Arial"/>
        </w:rPr>
      </w:pPr>
      <w:r>
        <w:br w:type="column"/>
      </w:r>
      <w:r>
        <w:rPr>
          <w:noProof/>
          <w:lang w:val="en-GB" w:eastAsia="en-GB" w:bidi="lo-LA"/>
        </w:rPr>
        <w:lastRenderedPageBreak/>
        <mc:AlternateContent>
          <mc:Choice Requires="wps">
            <w:drawing>
              <wp:anchor distT="0" distB="0" distL="114300" distR="114300" simplePos="0" relativeHeight="251673088" behindDoc="0" locked="0" layoutInCell="1" allowOverlap="1" wp14:anchorId="1823D496" wp14:editId="319F30FF">
                <wp:simplePos x="0" y="0"/>
                <wp:positionH relativeFrom="column">
                  <wp:posOffset>-124127</wp:posOffset>
                </wp:positionH>
                <wp:positionV relativeFrom="paragraph">
                  <wp:posOffset>198603</wp:posOffset>
                </wp:positionV>
                <wp:extent cx="6038850" cy="4290646"/>
                <wp:effectExtent l="0" t="0" r="19050" b="15240"/>
                <wp:wrapNone/>
                <wp:docPr id="898" name="Rectangle: Diagonal Corners Rounded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0" cy="4290646"/>
                        </a:xfrm>
                        <a:prstGeom prst="round2DiagRect">
                          <a:avLst>
                            <a:gd name="adj1" fmla="val 8203"/>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DB26A" id="Rectangle: Diagonal Corners Rounded 15" o:spid="_x0000_s1026" style="position:absolute;margin-left:-9.75pt;margin-top:15.65pt;width:475.5pt;height:337.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850,429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" path="m351962,l6038850,r,l6038850,3938684v,194383,-157579,351962,-351962,351962l,4290646r,l,351962c,157579,157579,,351962,xe" filled="f" strokecolor="#be4a35 [3205]" strokeweight="2pt">
                <v:path arrowok="t" o:connecttype="custom" o:connectlocs="351962,0;6038850,0;6038850,0;6038850,3938684;5686888,4290646;0,4290646;0,4290646;0,351962;351962,0" o:connectangles="0,0,0,0,0,0,0,0,0"/>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C012D" w:rsidRPr="001C6ACF" w:rsidTr="00FC012D">
        <w:tc>
          <w:tcPr>
            <w:tcW w:w="9016" w:type="dxa"/>
          </w:tcPr>
          <w:p w:rsidR="00FC012D" w:rsidRPr="00336531" w:rsidRDefault="00FC012D" w:rsidP="005464B4">
            <w:pPr>
              <w:pStyle w:val="HHeading4"/>
              <w:jc w:val="both"/>
              <w:rPr>
                <w:rFonts w:cs="Arial"/>
              </w:rPr>
            </w:pPr>
            <w:r>
              <w:rPr>
                <w:noProof/>
                <w:color w:val="373737"/>
                <w:lang w:val="en-GB" w:eastAsia="en-GB" w:bidi="lo-LA"/>
              </w:rPr>
              <w:drawing>
                <wp:inline distT="0" distB="0" distL="0" distR="0" wp14:anchorId="43276A72" wp14:editId="5A2B8003">
                  <wp:extent cx="664845" cy="487680"/>
                  <wp:effectExtent l="0" t="0" r="0" b="7620"/>
                  <wp:docPr id="1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ĪSAIS NORĀDĪJUMS</w:t>
            </w:r>
            <w:r w:rsidR="005464B4">
              <w:t xml:space="preserve"> Nr. 5</w:t>
            </w:r>
            <w:r>
              <w:t>. Kā vislabāk izmantot kvalitatīvās pieejas?</w:t>
            </w:r>
          </w:p>
        </w:tc>
      </w:tr>
    </w:tbl>
    <w:p w:rsidR="00696B10" w:rsidRDefault="00696B10" w:rsidP="00EC01C3">
      <w:pPr>
        <w:pStyle w:val="HStandard"/>
        <w:spacing w:after="0"/>
        <w:ind w:left="709" w:hanging="709"/>
        <w:rPr>
          <w:rFonts w:cs="Arial"/>
          <w:sz w:val="18"/>
          <w:szCs w:val="18"/>
        </w:rPr>
      </w:pPr>
      <w:r>
        <w:rPr>
          <w:b/>
        </w:rPr>
        <w:t>Kvalitatīvās pieejas</w:t>
      </w:r>
      <w:r>
        <w:t xml:space="preserve"> var piemērot ar trīskāršu mērķi:</w:t>
      </w:r>
    </w:p>
    <w:p w:rsidR="00310B39" w:rsidRPr="001C6ACF" w:rsidRDefault="00310B39" w:rsidP="00EC01C3">
      <w:pPr>
        <w:pStyle w:val="HStandard"/>
        <w:spacing w:after="0"/>
        <w:ind w:left="709" w:hanging="709"/>
        <w:rPr>
          <w:rFonts w:cs="Arial"/>
          <w:sz w:val="18"/>
          <w:szCs w:val="18"/>
        </w:rPr>
      </w:pPr>
    </w:p>
    <w:p w:rsidR="00696B10"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Pr>
          <w:rFonts w:ascii="Arial" w:hAnsi="Arial"/>
          <w:b/>
          <w:color w:val="373737" w:themeColor="text1"/>
          <w:sz w:val="18"/>
        </w:rPr>
        <w:t xml:space="preserve">kā alternatīvu kvantitatīvajām metodēm, </w:t>
      </w:r>
      <w:r>
        <w:rPr>
          <w:rFonts w:ascii="Arial" w:hAnsi="Arial"/>
          <w:color w:val="373737" w:themeColor="text1"/>
          <w:sz w:val="18"/>
        </w:rPr>
        <w:t xml:space="preserve">kad trūkst datu. Piemēram, kvalitatīvu teorijā balstītu novērtēšanu (TBN) var izmantot, lai parādītu, kā un kāpēc programmas darbosies un nodrošinās paredzētos iznākumus. TBN seko katram programmas intervences loģikas solim, nosakot izmaiņu cēloņsakarības un mehānismus, kas izraisa rezultātus un ietekmi. Dažādas saites intervences loģikā var analizēt, izmantojot dažādas metodes. Šajās pamatnostādnēs mēs piedāvājam mērķa grupu (proti, PPINM metodi) vai ieinteresēto personu/ekspertu intervijas; </w:t>
      </w:r>
    </w:p>
    <w:p w:rsidR="00310B39" w:rsidRPr="00FB6C06" w:rsidRDefault="00310B39" w:rsidP="00EC01C3">
      <w:pPr>
        <w:pStyle w:val="ListParagraph"/>
        <w:autoSpaceDE w:val="0"/>
        <w:autoSpaceDN w:val="0"/>
        <w:adjustRightInd w:val="0"/>
        <w:spacing w:after="0" w:line="280" w:lineRule="atLeast"/>
        <w:ind w:left="426"/>
        <w:jc w:val="both"/>
        <w:rPr>
          <w:rFonts w:ascii="Arial" w:hAnsi="Arial" w:cs="Arial"/>
          <w:color w:val="373737" w:themeColor="text1"/>
          <w:sz w:val="18"/>
          <w:szCs w:val="18"/>
        </w:rPr>
      </w:pPr>
    </w:p>
    <w:p w:rsidR="00310B39"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Pr>
          <w:rFonts w:ascii="Arial" w:hAnsi="Arial"/>
          <w:b/>
          <w:color w:val="373737" w:themeColor="text1"/>
          <w:sz w:val="18"/>
        </w:rPr>
        <w:t>kā papildinājumu kvantitatīvajam hipotētiskajam novērtējumam,</w:t>
      </w:r>
      <w:r>
        <w:rPr>
          <w:rFonts w:ascii="Arial" w:hAnsi="Arial"/>
          <w:color w:val="373737" w:themeColor="text1"/>
          <w:sz w:val="18"/>
        </w:rPr>
        <w:t xml:space="preserve"> lai labāk varētu noteikt, kā un kāpēc ir radīta ietekme. Jānorāda, ka TBN nevar pārbaudīt </w:t>
      </w:r>
      <w:r w:rsidR="00490322">
        <w:rPr>
          <w:rFonts w:ascii="Arial" w:hAnsi="Arial"/>
          <w:color w:val="373737" w:themeColor="text1"/>
          <w:sz w:val="18"/>
        </w:rPr>
        <w:t>"</w:t>
      </w:r>
      <w:r w:rsidR="006A3DCB">
        <w:rPr>
          <w:rFonts w:ascii="Arial" w:hAnsi="Arial"/>
          <w:color w:val="373737" w:themeColor="text1"/>
          <w:sz w:val="18"/>
        </w:rPr>
        <w:t xml:space="preserve">neto </w:t>
      </w:r>
      <w:r w:rsidR="00490322">
        <w:rPr>
          <w:rFonts w:ascii="Arial" w:hAnsi="Arial"/>
          <w:color w:val="373737" w:themeColor="text1"/>
          <w:sz w:val="18"/>
        </w:rPr>
        <w:t>ietekmi"</w:t>
      </w:r>
      <w:r>
        <w:rPr>
          <w:rFonts w:ascii="Arial" w:hAnsi="Arial"/>
          <w:color w:val="373737" w:themeColor="text1"/>
          <w:sz w:val="18"/>
        </w:rPr>
        <w:t xml:space="preserve"> (t. i., apmēru, kādā programmas jomā novērotās izmaiņas var attiecināt uz programmu) vai nodalīt programmas ietekmi no citu faktoru ieguldījuma;</w:t>
      </w:r>
    </w:p>
    <w:p w:rsidR="00310B39" w:rsidRPr="00310B39" w:rsidRDefault="00310B39" w:rsidP="00EC01C3">
      <w:pPr>
        <w:pStyle w:val="ListParagraph"/>
        <w:jc w:val="both"/>
        <w:rPr>
          <w:rFonts w:ascii="Arial" w:hAnsi="Arial" w:cs="Arial"/>
          <w:color w:val="373737" w:themeColor="text1"/>
          <w:sz w:val="18"/>
          <w:szCs w:val="18"/>
        </w:rPr>
      </w:pPr>
    </w:p>
    <w:p w:rsidR="00696B10" w:rsidRPr="00310B39"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Pr>
          <w:rFonts w:ascii="Arial" w:hAnsi="Arial"/>
          <w:b/>
          <w:color w:val="373737" w:themeColor="text1"/>
          <w:sz w:val="18"/>
        </w:rPr>
        <w:t>kā triangulācijas daļu</w:t>
      </w:r>
      <w:r>
        <w:rPr>
          <w:rFonts w:ascii="Arial" w:hAnsi="Arial"/>
          <w:color w:val="373737" w:themeColor="text1"/>
          <w:sz w:val="18"/>
        </w:rPr>
        <w:t xml:space="preserve"> kvantitatīvo metožu konstatējumu apstiprināšanai.</w:t>
      </w:r>
    </w:p>
    <w:p w:rsidR="00310B39" w:rsidRPr="001C6ACF" w:rsidRDefault="00310B39" w:rsidP="00310B39">
      <w:pPr>
        <w:pStyle w:val="ListParagraph"/>
        <w:autoSpaceDE w:val="0"/>
        <w:autoSpaceDN w:val="0"/>
        <w:adjustRightInd w:val="0"/>
        <w:spacing w:after="0" w:line="280" w:lineRule="atLeast"/>
        <w:ind w:left="426"/>
        <w:rPr>
          <w:rFonts w:ascii="Arial" w:hAnsi="Arial" w:cs="Arial"/>
          <w:color w:val="373737" w:themeColor="text1"/>
          <w:sz w:val="18"/>
          <w:szCs w:val="18"/>
        </w:rPr>
      </w:pPr>
    </w:p>
    <w:p w:rsidR="0050142E" w:rsidRPr="001C6ACF" w:rsidRDefault="0050142E" w:rsidP="006A6A61">
      <w:pPr>
        <w:pStyle w:val="HStandard"/>
        <w:jc w:val="center"/>
        <w:rPr>
          <w:i/>
          <w:color w:val="F07E31" w:themeColor="accent1"/>
          <w:sz w:val="18"/>
        </w:rPr>
      </w:pPr>
      <w:r>
        <w:rPr>
          <w:i/>
          <w:color w:val="F07E31" w:themeColor="accent1"/>
          <w:sz w:val="18"/>
        </w:rPr>
        <w:t>Sīkāku informāciju par teorijā balstīt</w:t>
      </w:r>
      <w:r w:rsidR="00490322">
        <w:rPr>
          <w:i/>
          <w:color w:val="F07E31" w:themeColor="accent1"/>
          <w:sz w:val="18"/>
        </w:rPr>
        <w:t xml:space="preserve">u novērtēšanu skatīt dokumenta </w:t>
      </w:r>
      <w:r w:rsidR="00490322" w:rsidRPr="00490322">
        <w:rPr>
          <w:i/>
          <w:color w:val="F07E31" w:themeColor="accent1"/>
          <w:sz w:val="18"/>
          <w:u w:val="single"/>
        </w:rPr>
        <w:t>"</w:t>
      </w:r>
      <w:hyperlink r:id="rId55">
        <w:r>
          <w:rPr>
            <w:rStyle w:val="Hyperlink"/>
            <w:i/>
            <w:sz w:val="18"/>
          </w:rPr>
          <w:t>Ieguldījumu atbalsts saskaņā ar lauku attīstības politiku"</w:t>
        </w:r>
      </w:hyperlink>
      <w:r>
        <w:rPr>
          <w:i/>
          <w:color w:val="F07E31" w:themeColor="accent1"/>
          <w:sz w:val="18"/>
        </w:rPr>
        <w:t xml:space="preserve"> 3.3.4. nodaļā (EK, 2014) un par kvalitatīvo metožu izmantošanu kvantitatīvu datu vākšanai izdevumā </w:t>
      </w:r>
      <w:hyperlink r:id="rId56" w:anchor="v=onepage&amp;amp;q=distinguishing%20between%20types%20of%20data%20and%20methods%20of%20collecting%20them%2C&amp;amp;f=false">
        <w:r w:rsidR="00490322" w:rsidRPr="00490322">
          <w:rPr>
            <w:rStyle w:val="Hyperlink"/>
            <w:iCs/>
            <w:sz w:val="18"/>
          </w:rPr>
          <w:t>"</w:t>
        </w:r>
        <w:r w:rsidRPr="00F67434">
          <w:rPr>
            <w:rStyle w:val="Hyperlink"/>
            <w:iCs/>
            <w:sz w:val="18"/>
          </w:rPr>
          <w:t>Distinguishing Between Types of Data and Methods of Collecting Them</w:t>
        </w:r>
      </w:hyperlink>
      <w:r w:rsidR="00490322">
        <w:rPr>
          <w:rStyle w:val="Hyperlink"/>
          <w:iCs/>
          <w:sz w:val="18"/>
        </w:rPr>
        <w:t>"</w:t>
      </w:r>
      <w:r>
        <w:rPr>
          <w:i/>
          <w:color w:val="F07E31" w:themeColor="accent1"/>
          <w:sz w:val="18"/>
        </w:rPr>
        <w:t xml:space="preserve"> (</w:t>
      </w:r>
      <w:r w:rsidRPr="00F67434">
        <w:rPr>
          <w:iCs/>
          <w:color w:val="F07E31" w:themeColor="accent1"/>
          <w:sz w:val="18"/>
        </w:rPr>
        <w:t>Hentschel</w:t>
      </w:r>
      <w:r>
        <w:rPr>
          <w:i/>
          <w:color w:val="F07E31" w:themeColor="accent1"/>
          <w:sz w:val="18"/>
        </w:rPr>
        <w:t xml:space="preserve">, 1998). </w:t>
      </w:r>
    </w:p>
    <w:p w:rsidR="006D4194" w:rsidRPr="001C6ACF" w:rsidRDefault="006D4194" w:rsidP="006D4194">
      <w:pPr>
        <w:pStyle w:val="HStandard"/>
        <w:rPr>
          <w:sz w:val="22"/>
        </w:rPr>
      </w:pPr>
    </w:p>
    <w:p w:rsidR="00A24D39" w:rsidRPr="001C6ACF" w:rsidRDefault="0095652F" w:rsidP="00B63445">
      <w:pPr>
        <w:pStyle w:val="HHeading3"/>
      </w:pPr>
      <w:r>
        <w:t xml:space="preserve">Ieteicamo </w:t>
      </w:r>
      <w:r w:rsidR="00833AA0">
        <w:t xml:space="preserve">novērtēšanas pieeju pārskats </w:t>
      </w:r>
      <w:r>
        <w:t xml:space="preserve">KLP ietekmes rādītāju </w:t>
      </w:r>
      <w:r w:rsidR="00833AA0">
        <w:t>izvērtēšanai</w:t>
      </w:r>
    </w:p>
    <w:p w:rsidR="00186FCF" w:rsidRPr="00336531" w:rsidRDefault="00186FCF" w:rsidP="00186FCF">
      <w:pPr>
        <w:pStyle w:val="HStandard"/>
        <w:rPr>
          <w:rFonts w:cs="Arial"/>
        </w:rPr>
      </w:pPr>
      <w:r>
        <w:t xml:space="preserve">2014.–2020. gada plānošanas periodā LAP ietekmes </w:t>
      </w:r>
      <w:r w:rsidR="00833AA0">
        <w:t>izvērtēšanu</w:t>
      </w:r>
      <w:r>
        <w:t xml:space="preserve"> pirmo reizi veiks 2019. gadā — laikā, kad datu trūkums aizvien varētu būt problēma dažādām LAP konkrētu pasākumu ierobežotās/vēlās īstenošanas vai novērtēšanai vajadzīgo statistikas datu trūkuma dēļ. Tā kā datu trūkums ļoti apgrūtina LAP ietekmes novērošanu, šajās pamatnostādnēs ir ieteiktas vismaz divas dažādas pieejas katra KLP II pīlāra kop</w:t>
      </w:r>
      <w:r w:rsidR="00B23B3A">
        <w:t>ēj</w:t>
      </w:r>
      <w:r w:rsidR="004C2EDD">
        <w:t>ā</w:t>
      </w:r>
      <w:r>
        <w:t xml:space="preserve"> ietekmes rādītāja aprēķināšanai:</w:t>
      </w:r>
    </w:p>
    <w:p w:rsidR="00186FCF" w:rsidRPr="00FB6C06" w:rsidRDefault="00186FCF" w:rsidP="00C42303">
      <w:pPr>
        <w:pStyle w:val="Hlistbullet"/>
      </w:pPr>
      <w:r>
        <w:rPr>
          <w:b/>
        </w:rPr>
        <w:t>A pieeja</w:t>
      </w:r>
      <w:r>
        <w:t xml:space="preserve"> ir </w:t>
      </w:r>
      <w:r>
        <w:rPr>
          <w:b/>
        </w:rPr>
        <w:t>novērtēšanas pieejas optimālā datu situācijā</w:t>
      </w:r>
      <w:r>
        <w:t xml:space="preserve"> piemērs.</w:t>
      </w:r>
      <w:r>
        <w:rPr>
          <w:b/>
        </w:rPr>
        <w:t xml:space="preserve"> </w:t>
      </w:r>
      <w:r>
        <w:t xml:space="preserve">To var izmantot 2019. gadā un/vai </w:t>
      </w:r>
      <w:r>
        <w:rPr>
          <w:i/>
        </w:rPr>
        <w:t>ex post</w:t>
      </w:r>
      <w:r>
        <w:t xml:space="preserve"> novērtējumā. A pieeja ir progresīvāka nekā B pieeja un arī precīzāka; </w:t>
      </w:r>
    </w:p>
    <w:p w:rsidR="00186FCF" w:rsidRPr="001C6ACF" w:rsidRDefault="00186FCF" w:rsidP="00C42303">
      <w:pPr>
        <w:pStyle w:val="Hlistbullet"/>
      </w:pPr>
      <w:r>
        <w:rPr>
          <w:b/>
        </w:rPr>
        <w:t>B pieeja</w:t>
      </w:r>
      <w:r>
        <w:t xml:space="preserve"> ir </w:t>
      </w:r>
      <w:r>
        <w:rPr>
          <w:b/>
        </w:rPr>
        <w:t xml:space="preserve">alternatīvas novērtēšanas pieejas </w:t>
      </w:r>
      <w:r>
        <w:t xml:space="preserve">piemērs </w:t>
      </w:r>
      <w:r>
        <w:rPr>
          <w:b/>
        </w:rPr>
        <w:t>gadījumā, kad datu trūkums</w:t>
      </w:r>
      <w:r>
        <w:t xml:space="preserve"> (ko izraisījusi lēna programmas īstenošana, kas neļauj novērot LAP ietekmi) vai citi faktori (resursi, laiks, prasmes) traucē piemērot progresīvāku pieeju. B pieeja vairākos gadījumos ietver kvalitatīvu komponenti. </w:t>
      </w:r>
    </w:p>
    <w:p w:rsidR="00186FCF" w:rsidRPr="00336531" w:rsidRDefault="00CB3881" w:rsidP="00186FCF">
      <w:pPr>
        <w:pStyle w:val="HStandard"/>
        <w:rPr>
          <w:rFonts w:cs="Arial"/>
        </w:rPr>
      </w:pPr>
      <w:r>
        <w:rPr>
          <w:b/>
        </w:rPr>
        <w:t>Gan A, gan B pieeja atbilst novērtēšanas standartiem.</w:t>
      </w:r>
      <w:r>
        <w:t xml:space="preserve"> A pieeja ir definēta kā pieeja, kas sniedz visprecīzākos novērtēšanas rezultātus ideālā datu situācijā. Ņemot vērā datu situāciju 2019. gadā, tiek atzīts, ka daudzu LAP gadījumā A variants varētu nebūt vispraktiskākā pieeja (skatīt tabulas par </w:t>
      </w:r>
      <w:r w:rsidR="00833AA0">
        <w:t>ie</w:t>
      </w:r>
      <w:r>
        <w:t xml:space="preserve">rosināto novērtēšanas pieeju piemērotību tehniskā pielikuma 4.1.–4.7. nodaļā). Novērtēšanas metožu papildu piemēri ir minēti katra ietekmes rādītāja loģikas modeļa attiecīgajos attēlos. </w:t>
      </w:r>
    </w:p>
    <w:p w:rsidR="0095652F" w:rsidRPr="001C6ACF" w:rsidRDefault="008F39E9" w:rsidP="00E35440">
      <w:pPr>
        <w:pStyle w:val="HHeadingtables"/>
      </w:pPr>
      <w:r>
        <w:br w:type="column"/>
      </w:r>
      <w:r>
        <w:lastRenderedPageBreak/>
        <w:t xml:space="preserve"> KLP ietekmes rādītāju </w:t>
      </w:r>
      <w:r w:rsidR="00833AA0">
        <w:t xml:space="preserve">ieteicamo </w:t>
      </w:r>
      <w:r w:rsidR="002E159B">
        <w:t>no</w:t>
      </w:r>
      <w:r>
        <w:t xml:space="preserve">vērtēšanas pieeju piemēri </w:t>
      </w:r>
    </w:p>
    <w:tbl>
      <w:tblPr>
        <w:tblStyle w:val="TableGrid"/>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88"/>
        <w:gridCol w:w="1417"/>
        <w:gridCol w:w="1701"/>
        <w:gridCol w:w="1701"/>
        <w:gridCol w:w="1701"/>
        <w:gridCol w:w="1701"/>
      </w:tblGrid>
      <w:tr w:rsidR="00515FD4" w:rsidRPr="001C6ACF" w:rsidTr="005F69E8">
        <w:trPr>
          <w:trHeight w:val="289"/>
          <w:tblHeader/>
        </w:trPr>
        <w:tc>
          <w:tcPr>
            <w:tcW w:w="98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647A13" w:rsidP="00C202D0">
            <w:pPr>
              <w:pStyle w:val="HStandard"/>
              <w:jc w:val="center"/>
              <w:rPr>
                <w:b/>
                <w:bCs/>
                <w:color w:val="FFFFFF" w:themeColor="background1"/>
              </w:rPr>
            </w:pPr>
            <w:r>
              <w:rPr>
                <w:b/>
                <w:color w:val="FFFFFF" w:themeColor="background1"/>
                <w:sz w:val="16"/>
              </w:rPr>
              <w:t>Kods</w:t>
            </w:r>
          </w:p>
        </w:tc>
        <w:tc>
          <w:tcPr>
            <w:tcW w:w="141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647A13" w:rsidP="00C202D0">
            <w:pPr>
              <w:pStyle w:val="HStandard"/>
              <w:jc w:val="center"/>
              <w:rPr>
                <w:b/>
                <w:bCs/>
                <w:color w:val="FFFFFF" w:themeColor="background1"/>
                <w:sz w:val="16"/>
              </w:rPr>
            </w:pPr>
            <w:r>
              <w:rPr>
                <w:b/>
                <w:color w:val="FFFFFF" w:themeColor="background1"/>
                <w:sz w:val="16"/>
              </w:rPr>
              <w:t>Rādītājs</w:t>
            </w:r>
          </w:p>
        </w:tc>
        <w:tc>
          <w:tcPr>
            <w:tcW w:w="34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2D74F7" w:rsidP="008D4934">
            <w:pPr>
              <w:pStyle w:val="HStandard"/>
              <w:spacing w:line="240" w:lineRule="atLeast"/>
              <w:jc w:val="center"/>
              <w:rPr>
                <w:color w:val="FFFFFF" w:themeColor="background1"/>
                <w:sz w:val="16"/>
              </w:rPr>
            </w:pPr>
            <w:r>
              <w:rPr>
                <w:b/>
                <w:color w:val="FFFFFF" w:themeColor="background1"/>
              </w:rPr>
              <w:t>A</w:t>
            </w:r>
            <w:r>
              <w:rPr>
                <w:color w:val="FFFFFF" w:themeColor="background1"/>
              </w:rPr>
              <w:t> </w:t>
            </w:r>
            <w:r>
              <w:rPr>
                <w:b/>
                <w:color w:val="FFFFFF" w:themeColor="background1"/>
              </w:rPr>
              <w:t>pieeja</w:t>
            </w:r>
            <w:r>
              <w:rPr>
                <w:color w:val="FFFFFF" w:themeColor="background1"/>
              </w:rPr>
              <w:t xml:space="preserve"> </w:t>
            </w:r>
            <w:r>
              <w:rPr>
                <w:color w:val="FFFFFF" w:themeColor="background1"/>
                <w:sz w:val="16"/>
              </w:rPr>
              <w:t xml:space="preserve"> </w:t>
            </w:r>
            <w:r>
              <w:rPr>
                <w:color w:val="FFFFFF" w:themeColor="background1"/>
                <w:sz w:val="16"/>
              </w:rPr>
              <w:br/>
              <w:t>Pieejas piemērs optimālā datu situācijā</w:t>
            </w:r>
          </w:p>
        </w:tc>
        <w:tc>
          <w:tcPr>
            <w:tcW w:w="34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2D74F7" w:rsidP="0089010B">
            <w:pPr>
              <w:pStyle w:val="HStandard"/>
              <w:spacing w:line="240" w:lineRule="atLeast"/>
              <w:jc w:val="center"/>
              <w:rPr>
                <w:color w:val="FFFFFF" w:themeColor="background1"/>
                <w:sz w:val="16"/>
              </w:rPr>
            </w:pPr>
            <w:r>
              <w:rPr>
                <w:b/>
                <w:color w:val="FFFFFF" w:themeColor="background1"/>
              </w:rPr>
              <w:t>B pieeja</w:t>
            </w:r>
            <w:r>
              <w:rPr>
                <w:color w:val="FFFFFF" w:themeColor="background1"/>
              </w:rPr>
              <w:t xml:space="preserve">  </w:t>
            </w:r>
            <w:r>
              <w:rPr>
                <w:color w:val="FFFFFF" w:themeColor="background1"/>
              </w:rPr>
              <w:br/>
            </w:r>
            <w:r>
              <w:rPr>
                <w:color w:val="FFFFFF" w:themeColor="background1"/>
                <w:sz w:val="16"/>
              </w:rPr>
              <w:t>Alternatīvas pieejas piemērs datu trūkuma gadījumā</w:t>
            </w:r>
          </w:p>
        </w:tc>
      </w:tr>
      <w:tr w:rsidR="00515FD4" w:rsidRPr="001C6ACF" w:rsidTr="005F69E8">
        <w:trPr>
          <w:trHeight w:val="289"/>
          <w:tblHeader/>
        </w:trPr>
        <w:tc>
          <w:tcPr>
            <w:tcW w:w="98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515FD4" w:rsidP="00C202D0">
            <w:pPr>
              <w:pStyle w:val="HStandard"/>
              <w:jc w:val="center"/>
              <w:rPr>
                <w:b/>
                <w:bCs/>
                <w:color w:val="FFFFFF" w:themeColor="background1"/>
              </w:rPr>
            </w:pPr>
          </w:p>
        </w:tc>
        <w:tc>
          <w:tcPr>
            <w:tcW w:w="14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515FD4" w:rsidP="00C202D0">
            <w:pPr>
              <w:pStyle w:val="HStandard"/>
              <w:jc w:val="center"/>
              <w:rPr>
                <w:b/>
                <w:bCs/>
                <w:color w:val="FFFFFF" w:themeColor="background1"/>
                <w:sz w:val="16"/>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0618CF">
            <w:pPr>
              <w:pStyle w:val="HStandard"/>
              <w:spacing w:line="240" w:lineRule="atLeast"/>
              <w:jc w:val="center"/>
              <w:rPr>
                <w:i/>
                <w:iCs/>
                <w:color w:val="FFFFFF" w:themeColor="background1"/>
                <w:sz w:val="16"/>
              </w:rPr>
            </w:pPr>
            <w:r>
              <w:rPr>
                <w:i/>
                <w:color w:val="FFFFFF" w:themeColor="background1"/>
                <w:sz w:val="16"/>
              </w:rPr>
              <w:t>Mikrolīmenis</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0618CF">
            <w:pPr>
              <w:pStyle w:val="HStandard"/>
              <w:spacing w:line="240" w:lineRule="atLeast"/>
              <w:jc w:val="center"/>
              <w:rPr>
                <w:i/>
                <w:iCs/>
                <w:color w:val="FFFFFF" w:themeColor="background1"/>
                <w:sz w:val="16"/>
              </w:rPr>
            </w:pPr>
            <w:r>
              <w:rPr>
                <w:i/>
                <w:color w:val="FFFFFF" w:themeColor="background1"/>
                <w:sz w:val="16"/>
              </w:rPr>
              <w:t>Makrolīmenis</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0618CF">
            <w:pPr>
              <w:pStyle w:val="HStandard"/>
              <w:spacing w:line="240" w:lineRule="atLeast"/>
              <w:jc w:val="center"/>
              <w:rPr>
                <w:i/>
                <w:iCs/>
                <w:color w:val="FFFFFF" w:themeColor="background1"/>
                <w:sz w:val="16"/>
              </w:rPr>
            </w:pPr>
            <w:r>
              <w:rPr>
                <w:i/>
                <w:color w:val="FFFFFF" w:themeColor="background1"/>
                <w:sz w:val="16"/>
              </w:rPr>
              <w:t>Mikrolīmenis</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0618CF">
            <w:pPr>
              <w:pStyle w:val="HStandard"/>
              <w:spacing w:line="240" w:lineRule="atLeast"/>
              <w:jc w:val="center"/>
              <w:rPr>
                <w:i/>
                <w:iCs/>
                <w:color w:val="FFFFFF" w:themeColor="background1"/>
                <w:sz w:val="16"/>
              </w:rPr>
            </w:pPr>
            <w:r>
              <w:rPr>
                <w:i/>
                <w:color w:val="FFFFFF" w:themeColor="background1"/>
                <w:sz w:val="16"/>
              </w:rPr>
              <w:t>Makrolīmenis</w:t>
            </w:r>
          </w:p>
        </w:tc>
      </w:tr>
      <w:tr w:rsidR="00515FD4" w:rsidRPr="001C6ACF" w:rsidTr="00670F92">
        <w:trPr>
          <w:trHeight w:val="255"/>
        </w:trPr>
        <w:tc>
          <w:tcPr>
            <w:tcW w:w="9209" w:type="dxa"/>
            <w:gridSpan w:val="6"/>
            <w:tcBorders>
              <w:top w:val="single" w:sz="4" w:space="0" w:color="FFFFFF" w:themeColor="background1"/>
            </w:tcBorders>
            <w:shd w:val="clear" w:color="auto" w:fill="BE4A35" w:themeFill="accent2"/>
            <w:hideMark/>
          </w:tcPr>
          <w:p w:rsidR="00515FD4" w:rsidRPr="001C6ACF" w:rsidRDefault="00515FD4" w:rsidP="008D4934">
            <w:pPr>
              <w:pStyle w:val="HStandard"/>
              <w:spacing w:line="240" w:lineRule="atLeast"/>
              <w:rPr>
                <w:b/>
                <w:bCs/>
                <w:color w:val="FFFFFF" w:themeColor="background1"/>
                <w:sz w:val="16"/>
              </w:rPr>
            </w:pPr>
            <w:r>
              <w:rPr>
                <w:b/>
                <w:color w:val="FFFFFF" w:themeColor="background1"/>
                <w:sz w:val="16"/>
              </w:rPr>
              <w:t>Ar nozari saistīta ietekme</w:t>
            </w:r>
          </w:p>
        </w:tc>
      </w:tr>
      <w:tr w:rsidR="00515FD4" w:rsidRPr="001C6ACF" w:rsidTr="005F69E8">
        <w:trPr>
          <w:trHeight w:val="1193"/>
        </w:trPr>
        <w:tc>
          <w:tcPr>
            <w:tcW w:w="988" w:type="dxa"/>
            <w:tcBorders>
              <w:bottom w:val="single" w:sz="4" w:space="0" w:color="808080" w:themeColor="background1" w:themeShade="80"/>
              <w:right w:val="nil"/>
            </w:tcBorders>
            <w:hideMark/>
          </w:tcPr>
          <w:p w:rsidR="00515FD4" w:rsidRPr="00571D58" w:rsidRDefault="00515FD4" w:rsidP="00887886">
            <w:pPr>
              <w:pStyle w:val="HStandard"/>
              <w:jc w:val="center"/>
              <w:rPr>
                <w:b/>
                <w:bCs/>
                <w:color w:val="BE4A35" w:themeColor="accent2"/>
              </w:rPr>
            </w:pPr>
            <w:r>
              <w:rPr>
                <w:b/>
                <w:bCs/>
                <w:noProof/>
                <w:color w:val="BE4A35" w:themeColor="accent2"/>
                <w:lang w:val="en-GB" w:eastAsia="en-GB" w:bidi="lo-LA"/>
              </w:rPr>
              <w:drawing>
                <wp:anchor distT="0" distB="0" distL="114300" distR="114300" simplePos="0" relativeHeight="251713024" behindDoc="1" locked="0" layoutInCell="1" allowOverlap="1" wp14:anchorId="74C40261" wp14:editId="1E9C45C4">
                  <wp:simplePos x="0" y="0"/>
                  <wp:positionH relativeFrom="column">
                    <wp:posOffset>-233</wp:posOffset>
                  </wp:positionH>
                  <wp:positionV relativeFrom="paragraph">
                    <wp:posOffset>185115</wp:posOffset>
                  </wp:positionV>
                  <wp:extent cx="489585" cy="489585"/>
                  <wp:effectExtent l="0" t="0" r="0" b="5715"/>
                  <wp:wrapTight wrapText="bothSides">
                    <wp:wrapPolygon edited="0">
                      <wp:start x="5043" y="0"/>
                      <wp:lineTo x="2521" y="2521"/>
                      <wp:lineTo x="840" y="8405"/>
                      <wp:lineTo x="1681" y="15969"/>
                      <wp:lineTo x="5883" y="21012"/>
                      <wp:lineTo x="8405" y="21012"/>
                      <wp:lineTo x="14288" y="21012"/>
                      <wp:lineTo x="15128" y="21012"/>
                      <wp:lineTo x="18490" y="13447"/>
                      <wp:lineTo x="19331" y="10926"/>
                      <wp:lineTo x="17650" y="3362"/>
                      <wp:lineTo x="14288" y="0"/>
                      <wp:lineTo x="5043"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01.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BE4A35" w:themeColor="accent2"/>
              </w:rPr>
              <w:t>I.01</w:t>
            </w:r>
          </w:p>
        </w:tc>
        <w:tc>
          <w:tcPr>
            <w:tcW w:w="1417" w:type="dxa"/>
            <w:tcBorders>
              <w:left w:val="nil"/>
              <w:bottom w:val="single" w:sz="4" w:space="0" w:color="808080" w:themeColor="background1" w:themeShade="80"/>
            </w:tcBorders>
            <w:vAlign w:val="center"/>
            <w:hideMark/>
          </w:tcPr>
          <w:p w:rsidR="00515FD4" w:rsidRPr="00FB6C06" w:rsidRDefault="00515FD4" w:rsidP="007B323D">
            <w:pPr>
              <w:pStyle w:val="HStandard"/>
              <w:spacing w:after="0"/>
              <w:jc w:val="left"/>
              <w:rPr>
                <w:b/>
                <w:color w:val="BE4A35" w:themeColor="accent2"/>
                <w:sz w:val="16"/>
                <w:szCs w:val="18"/>
              </w:rPr>
            </w:pPr>
            <w:r>
              <w:rPr>
                <w:b/>
                <w:color w:val="BE4A35" w:themeColor="accent2"/>
                <w:sz w:val="16"/>
              </w:rPr>
              <w:t>Lauksaimnieciskās uzņēmējdarbības ienākumi</w:t>
            </w:r>
          </w:p>
        </w:tc>
        <w:tc>
          <w:tcPr>
            <w:tcW w:w="1701" w:type="dxa"/>
            <w:vMerge w:val="restart"/>
            <w:vAlign w:val="center"/>
            <w:hideMark/>
          </w:tcPr>
          <w:p w:rsidR="00515FD4" w:rsidRPr="001C6ACF" w:rsidRDefault="00515FD4" w:rsidP="00490322">
            <w:pPr>
              <w:pStyle w:val="HStandard"/>
              <w:spacing w:after="0" w:line="240" w:lineRule="auto"/>
              <w:jc w:val="center"/>
              <w:rPr>
                <w:sz w:val="16"/>
                <w:szCs w:val="18"/>
              </w:rPr>
            </w:pPr>
            <w:r>
              <w:rPr>
                <w:sz w:val="16"/>
              </w:rPr>
              <w:t xml:space="preserve">Noslieces rezultātu saskaņošanas metožu un metodes </w:t>
            </w:r>
            <w:r w:rsidR="00490322">
              <w:rPr>
                <w:sz w:val="16"/>
              </w:rPr>
              <w:t>"</w:t>
            </w:r>
            <w:r>
              <w:rPr>
                <w:sz w:val="16"/>
              </w:rPr>
              <w:t>atšķirība atšķirībās</w:t>
            </w:r>
            <w:r w:rsidR="00490322">
              <w:rPr>
                <w:sz w:val="16"/>
              </w:rPr>
              <w:t>"</w:t>
            </w:r>
            <w:r>
              <w:rPr>
                <w:sz w:val="16"/>
              </w:rPr>
              <w:t xml:space="preserve"> apvienojums (NRS–AA)</w:t>
            </w:r>
          </w:p>
        </w:tc>
        <w:tc>
          <w:tcPr>
            <w:tcW w:w="1701" w:type="dxa"/>
            <w:vMerge w:val="restart"/>
            <w:vAlign w:val="center"/>
            <w:hideMark/>
          </w:tcPr>
          <w:p w:rsidR="00515FD4" w:rsidRPr="001C6ACF" w:rsidRDefault="00515FD4" w:rsidP="000618CF">
            <w:pPr>
              <w:pStyle w:val="HStandard"/>
              <w:spacing w:after="0" w:line="240" w:lineRule="auto"/>
              <w:jc w:val="center"/>
              <w:rPr>
                <w:sz w:val="16"/>
                <w:szCs w:val="18"/>
              </w:rPr>
            </w:pPr>
            <w:r>
              <w:rPr>
                <w:sz w:val="16"/>
              </w:rPr>
              <w:t xml:space="preserve">Augšupējas pieejas, kas paplašina mikrolīmeņa konstatējumu mērogu  </w:t>
            </w:r>
            <w:r>
              <w:rPr>
                <w:sz w:val="16"/>
                <w:szCs w:val="18"/>
              </w:rPr>
              <w:br/>
            </w:r>
            <w:r>
              <w:rPr>
                <w:sz w:val="16"/>
              </w:rPr>
              <w:t xml:space="preserve"> </w:t>
            </w:r>
            <w:r>
              <w:rPr>
                <w:sz w:val="16"/>
                <w:szCs w:val="18"/>
              </w:rPr>
              <w:br/>
            </w:r>
            <w:r>
              <w:rPr>
                <w:sz w:val="16"/>
              </w:rPr>
              <w:t>Nozares modeļa piemērošana</w:t>
            </w:r>
          </w:p>
        </w:tc>
        <w:tc>
          <w:tcPr>
            <w:tcW w:w="1701" w:type="dxa"/>
            <w:vMerge w:val="restart"/>
            <w:vAlign w:val="center"/>
            <w:hideMark/>
          </w:tcPr>
          <w:p w:rsidR="00515FD4" w:rsidRPr="001C6ACF" w:rsidRDefault="00515FD4" w:rsidP="007008C0">
            <w:pPr>
              <w:pStyle w:val="HStandard"/>
              <w:spacing w:after="0" w:line="240" w:lineRule="auto"/>
              <w:jc w:val="center"/>
              <w:rPr>
                <w:sz w:val="16"/>
                <w:szCs w:val="18"/>
              </w:rPr>
            </w:pPr>
            <w:r>
              <w:rPr>
                <w:sz w:val="16"/>
              </w:rPr>
              <w:t>Regresijas neturpināšanas projekts (RNP)</w:t>
            </w:r>
          </w:p>
        </w:tc>
        <w:tc>
          <w:tcPr>
            <w:tcW w:w="1701" w:type="dxa"/>
            <w:vMerge w:val="restart"/>
            <w:vAlign w:val="center"/>
            <w:hideMark/>
          </w:tcPr>
          <w:p w:rsidR="00515FD4" w:rsidRPr="001C6ACF" w:rsidRDefault="00515FD4" w:rsidP="000618CF">
            <w:pPr>
              <w:pStyle w:val="HStandard"/>
              <w:spacing w:after="0" w:line="240" w:lineRule="auto"/>
              <w:jc w:val="center"/>
              <w:rPr>
                <w:sz w:val="16"/>
                <w:szCs w:val="18"/>
              </w:rPr>
            </w:pPr>
            <w:r>
              <w:rPr>
                <w:sz w:val="16"/>
              </w:rPr>
              <w:t>Augšupējas pieejas, kas paplašina mikrolīmeņa konstatējumu mērogu</w:t>
            </w:r>
          </w:p>
        </w:tc>
      </w:tr>
      <w:tr w:rsidR="00515FD4" w:rsidRPr="001C6ACF" w:rsidTr="005F69E8">
        <w:trPr>
          <w:trHeight w:val="1167"/>
        </w:trPr>
        <w:tc>
          <w:tcPr>
            <w:tcW w:w="988" w:type="dxa"/>
            <w:tcBorders>
              <w:right w:val="nil"/>
            </w:tcBorders>
            <w:hideMark/>
          </w:tcPr>
          <w:p w:rsidR="00515FD4" w:rsidRPr="00336531" w:rsidRDefault="008D4934" w:rsidP="008D4934">
            <w:pPr>
              <w:pStyle w:val="HStandard"/>
              <w:jc w:val="center"/>
              <w:rPr>
                <w:b/>
                <w:bCs/>
                <w:color w:val="BE4A35" w:themeColor="accent2"/>
              </w:rPr>
            </w:pPr>
            <w:r>
              <w:rPr>
                <w:b/>
                <w:bCs/>
                <w:noProof/>
                <w:color w:val="BE4A35" w:themeColor="accent2"/>
                <w:lang w:val="en-GB" w:eastAsia="en-GB" w:bidi="lo-LA"/>
              </w:rPr>
              <w:drawing>
                <wp:anchor distT="0" distB="0" distL="114300" distR="114300" simplePos="0" relativeHeight="251727360" behindDoc="0" locked="0" layoutInCell="1" allowOverlap="1" wp14:anchorId="16A637EC" wp14:editId="01BC0519">
                  <wp:simplePos x="0" y="0"/>
                  <wp:positionH relativeFrom="column">
                    <wp:posOffset>31750</wp:posOffset>
                  </wp:positionH>
                  <wp:positionV relativeFrom="paragraph">
                    <wp:posOffset>215394</wp:posOffset>
                  </wp:positionV>
                  <wp:extent cx="489600" cy="489600"/>
                  <wp:effectExtent l="0" t="0" r="5715" b="571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02.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anchor>
              </w:drawing>
            </w:r>
            <w:r>
              <w:rPr>
                <w:b/>
                <w:color w:val="BE4A35" w:themeColor="accent2"/>
              </w:rPr>
              <w:t>I.02</w:t>
            </w:r>
          </w:p>
        </w:tc>
        <w:tc>
          <w:tcPr>
            <w:tcW w:w="1417" w:type="dxa"/>
            <w:tcBorders>
              <w:left w:val="nil"/>
            </w:tcBorders>
            <w:vAlign w:val="center"/>
            <w:hideMark/>
          </w:tcPr>
          <w:p w:rsidR="00515FD4" w:rsidRPr="00336531" w:rsidRDefault="00515FD4" w:rsidP="00670F92">
            <w:pPr>
              <w:pStyle w:val="HStandard"/>
              <w:spacing w:after="0"/>
              <w:jc w:val="left"/>
              <w:rPr>
                <w:b/>
                <w:color w:val="BE4A35" w:themeColor="accent2"/>
                <w:sz w:val="16"/>
                <w:szCs w:val="18"/>
              </w:rPr>
            </w:pPr>
            <w:r>
              <w:rPr>
                <w:b/>
                <w:color w:val="BE4A35" w:themeColor="accent2"/>
                <w:sz w:val="16"/>
              </w:rPr>
              <w:t>Lauksaimniecības faktoru ienākumi</w:t>
            </w: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r>
      <w:tr w:rsidR="00515FD4" w:rsidRPr="001C6ACF" w:rsidTr="005F69E8">
        <w:trPr>
          <w:trHeight w:val="1163"/>
        </w:trPr>
        <w:tc>
          <w:tcPr>
            <w:tcW w:w="988" w:type="dxa"/>
            <w:tcBorders>
              <w:right w:val="nil"/>
            </w:tcBorders>
            <w:hideMark/>
          </w:tcPr>
          <w:p w:rsidR="00515FD4" w:rsidRPr="00571D58" w:rsidRDefault="00515FD4" w:rsidP="004A2D39">
            <w:pPr>
              <w:pStyle w:val="HStandard"/>
              <w:jc w:val="center"/>
              <w:rPr>
                <w:b/>
                <w:bCs/>
                <w:color w:val="BE4A35" w:themeColor="accent2"/>
              </w:rPr>
            </w:pPr>
            <w:r>
              <w:rPr>
                <w:b/>
                <w:bCs/>
                <w:noProof/>
                <w:color w:val="BE4A35" w:themeColor="accent2"/>
                <w:lang w:val="en-GB" w:eastAsia="en-GB" w:bidi="lo-LA"/>
              </w:rPr>
              <w:drawing>
                <wp:anchor distT="0" distB="0" distL="114300" distR="114300" simplePos="0" relativeHeight="251712000" behindDoc="1" locked="0" layoutInCell="1" allowOverlap="1" wp14:anchorId="251C3194" wp14:editId="45A6B5A9">
                  <wp:simplePos x="0" y="0"/>
                  <wp:positionH relativeFrom="column">
                    <wp:posOffset>63428</wp:posOffset>
                  </wp:positionH>
                  <wp:positionV relativeFrom="paragraph">
                    <wp:posOffset>215900</wp:posOffset>
                  </wp:positionV>
                  <wp:extent cx="489585" cy="489585"/>
                  <wp:effectExtent l="0" t="0" r="0" b="5715"/>
                  <wp:wrapTight wrapText="bothSides">
                    <wp:wrapPolygon edited="0">
                      <wp:start x="6724" y="0"/>
                      <wp:lineTo x="5043" y="2521"/>
                      <wp:lineTo x="2521" y="14288"/>
                      <wp:lineTo x="5883" y="21012"/>
                      <wp:lineTo x="15128" y="21012"/>
                      <wp:lineTo x="18490" y="12607"/>
                      <wp:lineTo x="15969" y="2521"/>
                      <wp:lineTo x="14288" y="0"/>
                      <wp:lineTo x="6724"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03.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BE4A35" w:themeColor="accent2"/>
              </w:rPr>
              <w:t>I.03</w:t>
            </w:r>
          </w:p>
        </w:tc>
        <w:tc>
          <w:tcPr>
            <w:tcW w:w="1417" w:type="dxa"/>
            <w:tcBorders>
              <w:left w:val="nil"/>
            </w:tcBorders>
            <w:vAlign w:val="center"/>
            <w:hideMark/>
          </w:tcPr>
          <w:p w:rsidR="00515FD4" w:rsidRPr="00336531" w:rsidRDefault="00515FD4" w:rsidP="00670F92">
            <w:pPr>
              <w:pStyle w:val="HStandard"/>
              <w:spacing w:after="0"/>
              <w:jc w:val="left"/>
              <w:rPr>
                <w:b/>
                <w:color w:val="BE4A35" w:themeColor="accent2"/>
                <w:sz w:val="16"/>
                <w:szCs w:val="18"/>
              </w:rPr>
            </w:pPr>
            <w:r>
              <w:rPr>
                <w:b/>
                <w:color w:val="BE4A35" w:themeColor="accent2"/>
                <w:sz w:val="16"/>
              </w:rPr>
              <w:t>Kopējais faktoru ražīgums lauksaimniecībā</w:t>
            </w: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r>
      <w:tr w:rsidR="00515FD4" w:rsidRPr="001C6ACF" w:rsidTr="00670F92">
        <w:trPr>
          <w:trHeight w:val="255"/>
        </w:trPr>
        <w:tc>
          <w:tcPr>
            <w:tcW w:w="9209" w:type="dxa"/>
            <w:gridSpan w:val="6"/>
            <w:shd w:val="clear" w:color="auto" w:fill="57825E" w:themeFill="accent4"/>
            <w:hideMark/>
          </w:tcPr>
          <w:p w:rsidR="00515FD4" w:rsidRPr="001C6ACF" w:rsidRDefault="00515FD4" w:rsidP="007008C0">
            <w:pPr>
              <w:pStyle w:val="HStandard"/>
              <w:spacing w:line="240" w:lineRule="auto"/>
              <w:rPr>
                <w:bCs/>
                <w:color w:val="FFFFFF" w:themeColor="background1"/>
                <w:sz w:val="16"/>
              </w:rPr>
            </w:pPr>
            <w:r>
              <w:rPr>
                <w:color w:val="FFFFFF" w:themeColor="background1"/>
                <w:sz w:val="16"/>
              </w:rPr>
              <w:t>Ietekme uz vidi</w:t>
            </w:r>
          </w:p>
        </w:tc>
      </w:tr>
      <w:tr w:rsidR="00515FD4" w:rsidRPr="001C6ACF" w:rsidTr="005F69E8">
        <w:trPr>
          <w:trHeight w:val="1068"/>
        </w:trPr>
        <w:tc>
          <w:tcPr>
            <w:tcW w:w="988" w:type="dxa"/>
            <w:tcBorders>
              <w:right w:val="nil"/>
            </w:tcBorders>
            <w:hideMark/>
          </w:tcPr>
          <w:p w:rsidR="00515FD4" w:rsidRPr="00571D58" w:rsidRDefault="00515FD4" w:rsidP="000F570B">
            <w:pPr>
              <w:pStyle w:val="HStandard"/>
              <w:jc w:val="center"/>
              <w:rPr>
                <w:b/>
                <w:bCs/>
                <w:color w:val="57825E" w:themeColor="accent4"/>
              </w:rPr>
            </w:pPr>
            <w:r>
              <w:rPr>
                <w:b/>
                <w:bCs/>
                <w:noProof/>
                <w:color w:val="57825E" w:themeColor="accent4"/>
                <w:lang w:val="en-GB" w:eastAsia="en-GB" w:bidi="lo-LA"/>
              </w:rPr>
              <w:drawing>
                <wp:anchor distT="0" distB="0" distL="114300" distR="114300" simplePos="0" relativeHeight="251714048" behindDoc="1" locked="0" layoutInCell="1" allowOverlap="1" wp14:anchorId="2793FC66" wp14:editId="73468D06">
                  <wp:simplePos x="0" y="0"/>
                  <wp:positionH relativeFrom="column">
                    <wp:posOffset>63572</wp:posOffset>
                  </wp:positionH>
                  <wp:positionV relativeFrom="paragraph">
                    <wp:posOffset>202983</wp:posOffset>
                  </wp:positionV>
                  <wp:extent cx="489585" cy="489585"/>
                  <wp:effectExtent l="0" t="0" r="5715" b="0"/>
                  <wp:wrapTight wrapText="bothSides">
                    <wp:wrapPolygon edited="0">
                      <wp:start x="10086" y="1681"/>
                      <wp:lineTo x="0" y="10926"/>
                      <wp:lineTo x="0" y="19331"/>
                      <wp:lineTo x="21012" y="19331"/>
                      <wp:lineTo x="21012" y="9245"/>
                      <wp:lineTo x="17650" y="1681"/>
                      <wp:lineTo x="10086" y="1681"/>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07.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I.07</w:t>
            </w:r>
          </w:p>
        </w:tc>
        <w:tc>
          <w:tcPr>
            <w:tcW w:w="1417" w:type="dxa"/>
            <w:tcBorders>
              <w:left w:val="nil"/>
            </w:tcBorders>
            <w:vAlign w:val="center"/>
            <w:hideMark/>
          </w:tcPr>
          <w:p w:rsidR="00515FD4" w:rsidRPr="00336531" w:rsidRDefault="00515FD4" w:rsidP="00670F92">
            <w:pPr>
              <w:pStyle w:val="HStandard"/>
              <w:jc w:val="left"/>
              <w:rPr>
                <w:rFonts w:cs="Arial"/>
                <w:b/>
                <w:color w:val="57825E" w:themeColor="accent4"/>
                <w:sz w:val="16"/>
                <w:szCs w:val="18"/>
              </w:rPr>
            </w:pPr>
            <w:r>
              <w:rPr>
                <w:b/>
                <w:color w:val="57825E" w:themeColor="accent4"/>
                <w:sz w:val="16"/>
              </w:rPr>
              <w:t xml:space="preserve">Lauksaimniecības emisijas </w:t>
            </w:r>
          </w:p>
        </w:tc>
        <w:tc>
          <w:tcPr>
            <w:tcW w:w="1701" w:type="dxa"/>
            <w:vAlign w:val="center"/>
            <w:hideMark/>
          </w:tcPr>
          <w:p w:rsidR="00515FD4" w:rsidRPr="007645B4" w:rsidRDefault="00BB68D4" w:rsidP="007008C0">
            <w:pPr>
              <w:pStyle w:val="HStandard"/>
              <w:spacing w:line="240" w:lineRule="auto"/>
              <w:jc w:val="center"/>
              <w:rPr>
                <w:rFonts w:cs="Arial"/>
                <w:sz w:val="16"/>
                <w:szCs w:val="18"/>
              </w:rPr>
            </w:pPr>
            <w:r>
              <w:rPr>
                <w:sz w:val="16"/>
              </w:rPr>
              <w:t>Regresijas un saskaņošanas metodes</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 xml:space="preserve">Vispārināta noslieces rezultātu saskaņošana (VNRS), izmantojot </w:t>
            </w:r>
            <w:r>
              <w:rPr>
                <w:i/>
                <w:sz w:val="16"/>
              </w:rPr>
              <w:t>NUTS</w:t>
            </w:r>
            <w:r>
              <w:rPr>
                <w:sz w:val="16"/>
              </w:rPr>
              <w:t> 3 vai citus telpiskos datus</w:t>
            </w:r>
          </w:p>
        </w:tc>
        <w:tc>
          <w:tcPr>
            <w:tcW w:w="1701" w:type="dxa"/>
            <w:vAlign w:val="center"/>
            <w:hideMark/>
          </w:tcPr>
          <w:p w:rsidR="00515FD4" w:rsidRPr="001C6ACF" w:rsidRDefault="00515FD4" w:rsidP="00DE4B7E">
            <w:pPr>
              <w:pStyle w:val="HStandard"/>
              <w:spacing w:line="240" w:lineRule="auto"/>
              <w:jc w:val="center"/>
              <w:rPr>
                <w:rFonts w:cs="Arial"/>
                <w:sz w:val="16"/>
                <w:szCs w:val="18"/>
              </w:rPr>
            </w:pPr>
            <w:r>
              <w:rPr>
                <w:sz w:val="16"/>
              </w:rPr>
              <w:t>Nevien</w:t>
            </w:r>
            <w:r w:rsidR="00DE4B7E">
              <w:rPr>
                <w:sz w:val="16"/>
              </w:rPr>
              <w:t>a</w:t>
            </w:r>
          </w:p>
        </w:tc>
        <w:tc>
          <w:tcPr>
            <w:tcW w:w="1701" w:type="dxa"/>
            <w:vAlign w:val="center"/>
            <w:hideMark/>
          </w:tcPr>
          <w:p w:rsidR="00515FD4" w:rsidRPr="001C6ACF" w:rsidRDefault="002340B6" w:rsidP="00DE4B7E">
            <w:pPr>
              <w:pStyle w:val="HStandard"/>
              <w:spacing w:line="240" w:lineRule="auto"/>
              <w:jc w:val="center"/>
              <w:rPr>
                <w:rFonts w:cs="Arial"/>
                <w:sz w:val="16"/>
                <w:szCs w:val="18"/>
              </w:rPr>
            </w:pPr>
            <w:r>
              <w:rPr>
                <w:sz w:val="16"/>
              </w:rPr>
              <w:t xml:space="preserve">Neskarta </w:t>
            </w:r>
            <w:r w:rsidR="00515FD4">
              <w:rPr>
                <w:sz w:val="16"/>
              </w:rPr>
              <w:t xml:space="preserve">sākumpozīcija  </w:t>
            </w:r>
            <w:r w:rsidR="00515FD4">
              <w:rPr>
                <w:rFonts w:cs="Arial"/>
                <w:sz w:val="16"/>
                <w:szCs w:val="18"/>
              </w:rPr>
              <w:br/>
            </w:r>
            <w:r w:rsidR="00515FD4">
              <w:rPr>
                <w:sz w:val="16"/>
              </w:rPr>
              <w:t>Salīdzinājumi (</w:t>
            </w:r>
            <w:r w:rsidR="000D6687">
              <w:rPr>
                <w:sz w:val="16"/>
              </w:rPr>
              <w:t xml:space="preserve">t. sk. </w:t>
            </w:r>
            <w:r w:rsidR="00515FD4">
              <w:rPr>
                <w:sz w:val="16"/>
              </w:rPr>
              <w:t>kvalitatīvās metodes)</w:t>
            </w:r>
          </w:p>
        </w:tc>
      </w:tr>
      <w:tr w:rsidR="00515FD4" w:rsidRPr="001C6ACF" w:rsidTr="005F69E8">
        <w:trPr>
          <w:trHeight w:val="630"/>
        </w:trPr>
        <w:tc>
          <w:tcPr>
            <w:tcW w:w="988" w:type="dxa"/>
            <w:tcBorders>
              <w:right w:val="nil"/>
            </w:tcBorders>
            <w:hideMark/>
          </w:tcPr>
          <w:p w:rsidR="00515FD4" w:rsidRPr="00571D58" w:rsidRDefault="008D4934" w:rsidP="000F570B">
            <w:pPr>
              <w:pStyle w:val="HStandard"/>
              <w:jc w:val="center"/>
              <w:rPr>
                <w:b/>
                <w:bCs/>
                <w:color w:val="57825E" w:themeColor="accent4"/>
              </w:rPr>
            </w:pPr>
            <w:r>
              <w:rPr>
                <w:b/>
                <w:bCs/>
                <w:noProof/>
                <w:color w:val="57825E" w:themeColor="accent4"/>
                <w:lang w:val="en-GB" w:eastAsia="en-GB" w:bidi="lo-LA"/>
              </w:rPr>
              <w:drawing>
                <wp:anchor distT="0" distB="0" distL="114300" distR="114300" simplePos="0" relativeHeight="251710976" behindDoc="1" locked="0" layoutInCell="1" allowOverlap="1" wp14:anchorId="77211BD6" wp14:editId="4C35EAE9">
                  <wp:simplePos x="0" y="0"/>
                  <wp:positionH relativeFrom="column">
                    <wp:posOffset>34290</wp:posOffset>
                  </wp:positionH>
                  <wp:positionV relativeFrom="paragraph">
                    <wp:posOffset>215136</wp:posOffset>
                  </wp:positionV>
                  <wp:extent cx="489585" cy="489585"/>
                  <wp:effectExtent l="0" t="0" r="5715" b="5715"/>
                  <wp:wrapTight wrapText="bothSides">
                    <wp:wrapPolygon edited="0">
                      <wp:start x="14288" y="0"/>
                      <wp:lineTo x="0" y="5883"/>
                      <wp:lineTo x="0" y="8405"/>
                      <wp:lineTo x="8405" y="13447"/>
                      <wp:lineTo x="13447" y="21012"/>
                      <wp:lineTo x="14288" y="21012"/>
                      <wp:lineTo x="18490" y="21012"/>
                      <wp:lineTo x="15969" y="13447"/>
                      <wp:lineTo x="21012" y="3362"/>
                      <wp:lineTo x="21012" y="0"/>
                      <wp:lineTo x="18490" y="0"/>
                      <wp:lineTo x="14288"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08.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I.08</w:t>
            </w:r>
          </w:p>
        </w:tc>
        <w:tc>
          <w:tcPr>
            <w:tcW w:w="1417" w:type="dxa"/>
            <w:tcBorders>
              <w:left w:val="nil"/>
            </w:tcBorders>
            <w:vAlign w:val="center"/>
            <w:hideMark/>
          </w:tcPr>
          <w:p w:rsidR="00515FD4" w:rsidRPr="00FB6C06" w:rsidRDefault="00515FD4" w:rsidP="005464B4">
            <w:pPr>
              <w:pStyle w:val="HStandard"/>
              <w:jc w:val="left"/>
              <w:rPr>
                <w:rFonts w:cs="Arial"/>
                <w:b/>
                <w:color w:val="57825E" w:themeColor="accent4"/>
                <w:sz w:val="16"/>
                <w:szCs w:val="18"/>
              </w:rPr>
            </w:pPr>
            <w:r>
              <w:rPr>
                <w:b/>
                <w:color w:val="57825E" w:themeColor="accent4"/>
                <w:sz w:val="16"/>
              </w:rPr>
              <w:t>Lauku putnu indekss</w:t>
            </w:r>
          </w:p>
        </w:tc>
        <w:tc>
          <w:tcPr>
            <w:tcW w:w="1701" w:type="dxa"/>
            <w:vMerge w:val="restart"/>
            <w:vAlign w:val="center"/>
            <w:hideMark/>
          </w:tcPr>
          <w:p w:rsidR="00515FD4" w:rsidRPr="001C6ACF" w:rsidRDefault="00515FD4" w:rsidP="00490322">
            <w:pPr>
              <w:pStyle w:val="HStandard"/>
              <w:spacing w:line="240" w:lineRule="auto"/>
              <w:jc w:val="center"/>
              <w:rPr>
                <w:rFonts w:cs="Arial"/>
                <w:sz w:val="16"/>
                <w:szCs w:val="18"/>
              </w:rPr>
            </w:pPr>
            <w:r>
              <w:rPr>
                <w:sz w:val="16"/>
              </w:rPr>
              <w:t xml:space="preserve">Noslieces rezultātu saskaņošana (NRS) un </w:t>
            </w:r>
            <w:r w:rsidR="00490322">
              <w:rPr>
                <w:sz w:val="16"/>
              </w:rPr>
              <w:t>"</w:t>
            </w:r>
            <w:r>
              <w:rPr>
                <w:sz w:val="16"/>
              </w:rPr>
              <w:t>atšķirība atšķirībās</w:t>
            </w:r>
            <w:r w:rsidR="00490322">
              <w:rPr>
                <w:sz w:val="16"/>
              </w:rPr>
              <w:t>"</w:t>
            </w:r>
            <w:r>
              <w:rPr>
                <w:sz w:val="16"/>
              </w:rPr>
              <w:t xml:space="preserve"> (AA)</w:t>
            </w:r>
          </w:p>
        </w:tc>
        <w:tc>
          <w:tcPr>
            <w:tcW w:w="1701"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 xml:space="preserve">Noslieces rezultātu saskaņošana (NRS) un </w:t>
            </w:r>
            <w:r w:rsidR="00490322">
              <w:rPr>
                <w:sz w:val="16"/>
              </w:rPr>
              <w:t>"</w:t>
            </w:r>
            <w:r>
              <w:rPr>
                <w:sz w:val="16"/>
              </w:rPr>
              <w:t>atšķirība atšķirībās</w:t>
            </w:r>
            <w:r w:rsidR="00490322">
              <w:rPr>
                <w:sz w:val="16"/>
              </w:rPr>
              <w:t>"</w:t>
            </w:r>
            <w:r>
              <w:rPr>
                <w:sz w:val="16"/>
              </w:rPr>
              <w:t xml:space="preserve"> (AA)</w:t>
            </w:r>
          </w:p>
          <w:p w:rsidR="00515FD4" w:rsidRPr="001C6ACF" w:rsidRDefault="00515FD4" w:rsidP="007008C0">
            <w:pPr>
              <w:pStyle w:val="HStandard"/>
              <w:spacing w:line="240" w:lineRule="auto"/>
              <w:jc w:val="center"/>
              <w:rPr>
                <w:rFonts w:cs="Arial"/>
                <w:sz w:val="16"/>
                <w:szCs w:val="18"/>
              </w:rPr>
            </w:pPr>
            <w:r>
              <w:rPr>
                <w:sz w:val="16"/>
              </w:rPr>
              <w:t>Telpiskie ekonometriskie modeļi bioģeogrāfiskajās teritorijās</w:t>
            </w:r>
          </w:p>
        </w:tc>
        <w:tc>
          <w:tcPr>
            <w:tcW w:w="1701" w:type="dxa"/>
            <w:vMerge w:val="restart"/>
            <w:vAlign w:val="center"/>
            <w:hideMark/>
          </w:tcPr>
          <w:p w:rsidR="00515FD4" w:rsidRPr="001C6ACF" w:rsidRDefault="00515FD4" w:rsidP="002C4C52">
            <w:pPr>
              <w:pStyle w:val="HStandard"/>
              <w:spacing w:line="240" w:lineRule="auto"/>
              <w:jc w:val="center"/>
              <w:rPr>
                <w:rFonts w:cs="Arial"/>
                <w:sz w:val="16"/>
                <w:szCs w:val="18"/>
              </w:rPr>
            </w:pPr>
            <w:r>
              <w:rPr>
                <w:i/>
                <w:sz w:val="16"/>
              </w:rPr>
              <w:t>Ad</w:t>
            </w:r>
            <w:r w:rsidR="005E1AA3">
              <w:rPr>
                <w:i/>
                <w:sz w:val="16"/>
              </w:rPr>
              <w:t xml:space="preserve"> </w:t>
            </w:r>
            <w:r>
              <w:rPr>
                <w:i/>
                <w:sz w:val="16"/>
              </w:rPr>
              <w:t>hoc</w:t>
            </w:r>
            <w:r>
              <w:rPr>
                <w:sz w:val="16"/>
              </w:rPr>
              <w:t xml:space="preserve"> pāru salīdzinājumu vai vairāku salīdzinājumu grupu statistiskā analīze, izmantojot metodi AA apvienojumā ar kvalitatīv</w:t>
            </w:r>
            <w:r w:rsidR="00DE4B7E">
              <w:rPr>
                <w:sz w:val="16"/>
              </w:rPr>
              <w:t>iem</w:t>
            </w:r>
            <w:r>
              <w:rPr>
                <w:sz w:val="16"/>
              </w:rPr>
              <w:t xml:space="preserve"> vērtējum</w:t>
            </w:r>
            <w:r w:rsidR="00DE4B7E">
              <w:rPr>
                <w:sz w:val="16"/>
              </w:rPr>
              <w:t>iem</w:t>
            </w:r>
          </w:p>
        </w:tc>
        <w:tc>
          <w:tcPr>
            <w:tcW w:w="1701" w:type="dxa"/>
            <w:vMerge w:val="restart"/>
            <w:vAlign w:val="center"/>
            <w:hideMark/>
          </w:tcPr>
          <w:p w:rsidR="00515FD4" w:rsidRPr="001C6ACF" w:rsidRDefault="00515FD4" w:rsidP="00AA27BE">
            <w:pPr>
              <w:pStyle w:val="HStandard"/>
              <w:spacing w:line="240" w:lineRule="auto"/>
              <w:jc w:val="center"/>
              <w:rPr>
                <w:rFonts w:cs="Arial"/>
                <w:sz w:val="16"/>
                <w:szCs w:val="18"/>
              </w:rPr>
            </w:pPr>
            <w:r>
              <w:rPr>
                <w:sz w:val="16"/>
              </w:rPr>
              <w:t>Augšupējas pieejas, kas paplašina mikrolīmeņa konstatējumu mērogu, kuras papildina kvalitatīvi vērtējumi</w:t>
            </w:r>
          </w:p>
        </w:tc>
      </w:tr>
      <w:tr w:rsidR="00515FD4" w:rsidRPr="001C6ACF" w:rsidTr="005F69E8">
        <w:trPr>
          <w:trHeight w:val="1083"/>
        </w:trPr>
        <w:tc>
          <w:tcPr>
            <w:tcW w:w="988" w:type="dxa"/>
            <w:tcBorders>
              <w:right w:val="nil"/>
            </w:tcBorders>
            <w:hideMark/>
          </w:tcPr>
          <w:p w:rsidR="00515FD4" w:rsidRPr="00571D58" w:rsidRDefault="00515FD4" w:rsidP="004A2D39">
            <w:pPr>
              <w:pStyle w:val="HStandard"/>
              <w:jc w:val="center"/>
              <w:rPr>
                <w:b/>
                <w:bCs/>
                <w:color w:val="57825E" w:themeColor="accent4"/>
              </w:rPr>
            </w:pPr>
            <w:r>
              <w:rPr>
                <w:b/>
                <w:bCs/>
                <w:noProof/>
                <w:color w:val="57825E" w:themeColor="accent4"/>
                <w:lang w:val="en-GB" w:eastAsia="en-GB" w:bidi="lo-LA"/>
              </w:rPr>
              <w:drawing>
                <wp:anchor distT="0" distB="0" distL="114300" distR="114300" simplePos="0" relativeHeight="251709952" behindDoc="1" locked="0" layoutInCell="1" allowOverlap="1" wp14:anchorId="4EE5A178" wp14:editId="5A7063BD">
                  <wp:simplePos x="0" y="0"/>
                  <wp:positionH relativeFrom="column">
                    <wp:posOffset>63500</wp:posOffset>
                  </wp:positionH>
                  <wp:positionV relativeFrom="paragraph">
                    <wp:posOffset>183627</wp:posOffset>
                  </wp:positionV>
                  <wp:extent cx="489585" cy="489585"/>
                  <wp:effectExtent l="0" t="0" r="5715" b="5715"/>
                  <wp:wrapTight wrapText="bothSides">
                    <wp:wrapPolygon edited="0">
                      <wp:start x="840" y="0"/>
                      <wp:lineTo x="0" y="5043"/>
                      <wp:lineTo x="0" y="18490"/>
                      <wp:lineTo x="14288" y="21012"/>
                      <wp:lineTo x="17650" y="21012"/>
                      <wp:lineTo x="21012" y="15969"/>
                      <wp:lineTo x="21012" y="1681"/>
                      <wp:lineTo x="6724" y="0"/>
                      <wp:lineTo x="84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09.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I.09</w:t>
            </w:r>
          </w:p>
        </w:tc>
        <w:tc>
          <w:tcPr>
            <w:tcW w:w="1417" w:type="dxa"/>
            <w:tcBorders>
              <w:left w:val="nil"/>
            </w:tcBorders>
            <w:vAlign w:val="center"/>
            <w:hideMark/>
          </w:tcPr>
          <w:p w:rsidR="00515FD4" w:rsidRPr="00336531" w:rsidRDefault="00515FD4" w:rsidP="00670F92">
            <w:pPr>
              <w:pStyle w:val="HStandard"/>
              <w:jc w:val="left"/>
              <w:rPr>
                <w:rFonts w:cs="Arial"/>
                <w:b/>
                <w:color w:val="57825E" w:themeColor="accent4"/>
                <w:sz w:val="16"/>
                <w:szCs w:val="18"/>
              </w:rPr>
            </w:pPr>
            <w:r>
              <w:rPr>
                <w:b/>
                <w:color w:val="57825E" w:themeColor="accent4"/>
                <w:sz w:val="16"/>
              </w:rPr>
              <w:t>Augstas dabas vērtības (ADV) lauksaimniecība</w:t>
            </w: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r>
      <w:tr w:rsidR="00273775" w:rsidRPr="001C6ACF" w:rsidTr="005F69E8">
        <w:trPr>
          <w:trHeight w:val="1082"/>
        </w:trPr>
        <w:tc>
          <w:tcPr>
            <w:tcW w:w="988" w:type="dxa"/>
            <w:tcBorders>
              <w:right w:val="nil"/>
            </w:tcBorders>
            <w:hideMark/>
          </w:tcPr>
          <w:p w:rsidR="00273775" w:rsidRPr="00571D58" w:rsidRDefault="00273775" w:rsidP="000F570B">
            <w:pPr>
              <w:pStyle w:val="HStandard"/>
              <w:jc w:val="center"/>
              <w:rPr>
                <w:b/>
                <w:bCs/>
                <w:color w:val="57825E" w:themeColor="accent4"/>
              </w:rPr>
            </w:pPr>
            <w:r>
              <w:rPr>
                <w:b/>
                <w:bCs/>
                <w:noProof/>
                <w:color w:val="57825E" w:themeColor="accent4"/>
                <w:lang w:val="en-GB" w:eastAsia="en-GB" w:bidi="lo-LA"/>
              </w:rPr>
              <w:drawing>
                <wp:anchor distT="0" distB="0" distL="114300" distR="114300" simplePos="0" relativeHeight="251722240" behindDoc="1" locked="0" layoutInCell="1" allowOverlap="1" wp14:anchorId="24AF4020" wp14:editId="723BC5C4">
                  <wp:simplePos x="0" y="0"/>
                  <wp:positionH relativeFrom="column">
                    <wp:posOffset>63572</wp:posOffset>
                  </wp:positionH>
                  <wp:positionV relativeFrom="paragraph">
                    <wp:posOffset>208481</wp:posOffset>
                  </wp:positionV>
                  <wp:extent cx="489585" cy="489585"/>
                  <wp:effectExtent l="0" t="0" r="5715" b="5715"/>
                  <wp:wrapTight wrapText="bothSides">
                    <wp:wrapPolygon edited="0">
                      <wp:start x="6724" y="0"/>
                      <wp:lineTo x="0" y="3362"/>
                      <wp:lineTo x="0" y="14288"/>
                      <wp:lineTo x="13447" y="21012"/>
                      <wp:lineTo x="14288" y="21012"/>
                      <wp:lineTo x="21012" y="21012"/>
                      <wp:lineTo x="21012" y="13447"/>
                      <wp:lineTo x="20171" y="7564"/>
                      <wp:lineTo x="15128" y="0"/>
                      <wp:lineTo x="6724" y="0"/>
                    </wp:wrapPolygon>
                  </wp:wrapTight>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10.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I.10</w:t>
            </w:r>
          </w:p>
        </w:tc>
        <w:tc>
          <w:tcPr>
            <w:tcW w:w="1417" w:type="dxa"/>
            <w:tcBorders>
              <w:left w:val="nil"/>
            </w:tcBorders>
            <w:vAlign w:val="center"/>
            <w:hideMark/>
          </w:tcPr>
          <w:p w:rsidR="00273775" w:rsidRPr="00336531" w:rsidRDefault="00273775" w:rsidP="00670F92">
            <w:pPr>
              <w:pStyle w:val="HStandard"/>
              <w:jc w:val="left"/>
              <w:rPr>
                <w:rFonts w:cs="Arial"/>
                <w:b/>
                <w:color w:val="57825E" w:themeColor="accent4"/>
                <w:sz w:val="16"/>
                <w:szCs w:val="18"/>
              </w:rPr>
            </w:pPr>
            <w:r>
              <w:rPr>
                <w:b/>
                <w:color w:val="57825E" w:themeColor="accent4"/>
                <w:sz w:val="16"/>
              </w:rPr>
              <w:t xml:space="preserve">Ūdens ieguve lauksaimniecībā </w:t>
            </w:r>
          </w:p>
        </w:tc>
        <w:tc>
          <w:tcPr>
            <w:tcW w:w="1701" w:type="dxa"/>
            <w:vMerge w:val="restart"/>
            <w:vAlign w:val="center"/>
            <w:hideMark/>
          </w:tcPr>
          <w:p w:rsidR="00273775" w:rsidRPr="001C6ACF" w:rsidRDefault="00273775" w:rsidP="00490322">
            <w:pPr>
              <w:pStyle w:val="HStandard"/>
              <w:spacing w:line="240" w:lineRule="auto"/>
              <w:jc w:val="center"/>
              <w:rPr>
                <w:rFonts w:cs="Arial"/>
                <w:sz w:val="16"/>
                <w:szCs w:val="18"/>
              </w:rPr>
            </w:pPr>
            <w:r>
              <w:rPr>
                <w:sz w:val="16"/>
              </w:rPr>
              <w:t xml:space="preserve">Regresijas un saskaņošanas metodes I.10, I.11-1 un atkarībā no datu pieejamības I.11-2 </w:t>
            </w:r>
            <w:r>
              <w:rPr>
                <w:rFonts w:cs="Arial"/>
                <w:sz w:val="16"/>
                <w:szCs w:val="18"/>
              </w:rPr>
              <w:br/>
            </w:r>
            <w:r>
              <w:rPr>
                <w:sz w:val="16"/>
              </w:rPr>
              <w:t xml:space="preserve">Upes baseina apgabala (UBA) </w:t>
            </w:r>
            <w:r w:rsidR="00490322">
              <w:rPr>
                <w:sz w:val="16"/>
              </w:rPr>
              <w:t>"</w:t>
            </w:r>
            <w:r>
              <w:rPr>
                <w:sz w:val="16"/>
              </w:rPr>
              <w:t>gadījuma pētījuma</w:t>
            </w:r>
            <w:r w:rsidR="00490322">
              <w:rPr>
                <w:sz w:val="16"/>
              </w:rPr>
              <w:t>"</w:t>
            </w:r>
            <w:r>
              <w:rPr>
                <w:sz w:val="16"/>
              </w:rPr>
              <w:t xml:space="preserve"> vai tā apakšvienības simulācija tikai I.11-2</w:t>
            </w:r>
          </w:p>
        </w:tc>
        <w:tc>
          <w:tcPr>
            <w:tcW w:w="1701" w:type="dxa"/>
            <w:vMerge w:val="restart"/>
            <w:vAlign w:val="center"/>
            <w:hideMark/>
          </w:tcPr>
          <w:p w:rsidR="00273775" w:rsidRPr="001C6ACF" w:rsidRDefault="00273775" w:rsidP="007008C0">
            <w:pPr>
              <w:pStyle w:val="HStandard"/>
              <w:spacing w:line="240" w:lineRule="auto"/>
              <w:jc w:val="center"/>
              <w:rPr>
                <w:rFonts w:cs="Arial"/>
                <w:sz w:val="16"/>
                <w:szCs w:val="18"/>
              </w:rPr>
            </w:pPr>
            <w:r>
              <w:rPr>
                <w:sz w:val="16"/>
              </w:rPr>
              <w:t xml:space="preserve">Vispārināta noslieces rezultātu saskaņošana (VNRS)  </w:t>
            </w:r>
            <w:r>
              <w:rPr>
                <w:rFonts w:cs="Arial"/>
                <w:sz w:val="16"/>
                <w:szCs w:val="18"/>
              </w:rPr>
              <w:br/>
            </w:r>
            <w:r>
              <w:rPr>
                <w:sz w:val="16"/>
              </w:rPr>
              <w:t xml:space="preserve"> </w:t>
            </w:r>
            <w:r>
              <w:rPr>
                <w:rFonts w:cs="Arial"/>
                <w:sz w:val="16"/>
                <w:szCs w:val="18"/>
              </w:rPr>
              <w:br/>
            </w:r>
            <w:r>
              <w:rPr>
                <w:sz w:val="16"/>
              </w:rPr>
              <w:t>Telpiskās ekonometriskās metodes</w:t>
            </w:r>
          </w:p>
        </w:tc>
        <w:tc>
          <w:tcPr>
            <w:tcW w:w="1701" w:type="dxa"/>
            <w:vMerge w:val="restart"/>
            <w:vAlign w:val="center"/>
            <w:hideMark/>
          </w:tcPr>
          <w:p w:rsidR="00273775" w:rsidRPr="001C6ACF" w:rsidRDefault="00B9614C" w:rsidP="007008C0">
            <w:pPr>
              <w:pStyle w:val="HStandard"/>
              <w:spacing w:line="240" w:lineRule="auto"/>
              <w:jc w:val="center"/>
              <w:rPr>
                <w:rFonts w:cs="Arial"/>
                <w:sz w:val="16"/>
                <w:szCs w:val="18"/>
              </w:rPr>
            </w:pPr>
            <w:r>
              <w:rPr>
                <w:sz w:val="16"/>
              </w:rPr>
              <w:t>Kvalitatīvas metodes</w:t>
            </w:r>
          </w:p>
        </w:tc>
        <w:tc>
          <w:tcPr>
            <w:tcW w:w="1701" w:type="dxa"/>
            <w:vMerge w:val="restart"/>
            <w:vAlign w:val="center"/>
          </w:tcPr>
          <w:p w:rsidR="00273775" w:rsidRPr="001C6ACF" w:rsidRDefault="002340B6" w:rsidP="007008C0">
            <w:pPr>
              <w:pStyle w:val="HStandard"/>
              <w:spacing w:line="240" w:lineRule="auto"/>
              <w:jc w:val="center"/>
              <w:rPr>
                <w:rFonts w:cs="Arial"/>
                <w:sz w:val="16"/>
                <w:szCs w:val="18"/>
              </w:rPr>
            </w:pPr>
            <w:r>
              <w:rPr>
                <w:sz w:val="16"/>
              </w:rPr>
              <w:t xml:space="preserve">Neskartu </w:t>
            </w:r>
            <w:r w:rsidR="001043CE">
              <w:rPr>
                <w:sz w:val="16"/>
              </w:rPr>
              <w:t>grupu salīdzinājumi, ko atbalsta ar kvalitatīvām metodēm</w:t>
            </w:r>
          </w:p>
        </w:tc>
      </w:tr>
      <w:tr w:rsidR="00273775" w:rsidRPr="001C6ACF" w:rsidTr="005F69E8">
        <w:trPr>
          <w:trHeight w:val="984"/>
        </w:trPr>
        <w:tc>
          <w:tcPr>
            <w:tcW w:w="988" w:type="dxa"/>
            <w:tcBorders>
              <w:right w:val="nil"/>
            </w:tcBorders>
            <w:hideMark/>
          </w:tcPr>
          <w:p w:rsidR="00273775" w:rsidRPr="00571D58" w:rsidRDefault="00273775" w:rsidP="000F570B">
            <w:pPr>
              <w:pStyle w:val="HStandard"/>
              <w:jc w:val="center"/>
              <w:rPr>
                <w:b/>
                <w:bCs/>
                <w:color w:val="57825E" w:themeColor="accent4"/>
              </w:rPr>
            </w:pPr>
            <w:r>
              <w:rPr>
                <w:b/>
                <w:bCs/>
                <w:noProof/>
                <w:color w:val="57825E" w:themeColor="accent4"/>
                <w:lang w:val="en-GB" w:eastAsia="en-GB" w:bidi="lo-LA"/>
              </w:rPr>
              <w:drawing>
                <wp:anchor distT="0" distB="0" distL="114300" distR="114300" simplePos="0" relativeHeight="251721216" behindDoc="1" locked="0" layoutInCell="1" allowOverlap="1" wp14:anchorId="43E17A4F" wp14:editId="3C1E0DA1">
                  <wp:simplePos x="0" y="0"/>
                  <wp:positionH relativeFrom="column">
                    <wp:posOffset>60960</wp:posOffset>
                  </wp:positionH>
                  <wp:positionV relativeFrom="paragraph">
                    <wp:posOffset>213360</wp:posOffset>
                  </wp:positionV>
                  <wp:extent cx="489585" cy="489585"/>
                  <wp:effectExtent l="0" t="0" r="5715" b="5715"/>
                  <wp:wrapTight wrapText="bothSides">
                    <wp:wrapPolygon edited="0">
                      <wp:start x="5043" y="0"/>
                      <wp:lineTo x="0" y="3362"/>
                      <wp:lineTo x="0" y="17650"/>
                      <wp:lineTo x="5043" y="21012"/>
                      <wp:lineTo x="15969" y="21012"/>
                      <wp:lineTo x="21012" y="17650"/>
                      <wp:lineTo x="21012" y="3362"/>
                      <wp:lineTo x="15969" y="0"/>
                      <wp:lineTo x="5043" y="0"/>
                    </wp:wrapPolygon>
                  </wp:wrapTight>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I.11.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I.11</w:t>
            </w:r>
          </w:p>
        </w:tc>
        <w:tc>
          <w:tcPr>
            <w:tcW w:w="1417" w:type="dxa"/>
            <w:tcBorders>
              <w:left w:val="nil"/>
            </w:tcBorders>
            <w:vAlign w:val="center"/>
            <w:hideMark/>
          </w:tcPr>
          <w:p w:rsidR="00273775" w:rsidRPr="00336531" w:rsidRDefault="00273775" w:rsidP="00670F92">
            <w:pPr>
              <w:pStyle w:val="HStandard"/>
              <w:jc w:val="left"/>
              <w:rPr>
                <w:rFonts w:cs="Arial"/>
                <w:b/>
                <w:color w:val="57825E" w:themeColor="accent4"/>
                <w:sz w:val="16"/>
                <w:szCs w:val="18"/>
              </w:rPr>
            </w:pPr>
            <w:r>
              <w:rPr>
                <w:b/>
                <w:color w:val="57825E" w:themeColor="accent4"/>
                <w:sz w:val="16"/>
              </w:rPr>
              <w:t xml:space="preserve">Ūdens kvalitāte </w:t>
            </w:r>
          </w:p>
        </w:tc>
        <w:tc>
          <w:tcPr>
            <w:tcW w:w="1701" w:type="dxa"/>
            <w:vMerge/>
            <w:hideMark/>
          </w:tcPr>
          <w:p w:rsidR="00273775" w:rsidRPr="001C6ACF" w:rsidRDefault="00273775" w:rsidP="007008C0">
            <w:pPr>
              <w:pStyle w:val="HStandard"/>
              <w:spacing w:line="240" w:lineRule="auto"/>
              <w:jc w:val="center"/>
              <w:rPr>
                <w:rFonts w:cs="Arial"/>
                <w:sz w:val="16"/>
                <w:szCs w:val="18"/>
              </w:rPr>
            </w:pPr>
          </w:p>
        </w:tc>
        <w:tc>
          <w:tcPr>
            <w:tcW w:w="1701" w:type="dxa"/>
            <w:vMerge/>
            <w:hideMark/>
          </w:tcPr>
          <w:p w:rsidR="00273775" w:rsidRPr="001C6ACF" w:rsidRDefault="00273775" w:rsidP="007008C0">
            <w:pPr>
              <w:pStyle w:val="HStandard"/>
              <w:spacing w:line="240" w:lineRule="auto"/>
              <w:jc w:val="center"/>
              <w:rPr>
                <w:rFonts w:cs="Arial"/>
                <w:sz w:val="16"/>
                <w:szCs w:val="18"/>
              </w:rPr>
            </w:pPr>
          </w:p>
        </w:tc>
        <w:tc>
          <w:tcPr>
            <w:tcW w:w="1701" w:type="dxa"/>
            <w:vMerge/>
            <w:hideMark/>
          </w:tcPr>
          <w:p w:rsidR="00273775" w:rsidRPr="001C6ACF" w:rsidRDefault="00273775" w:rsidP="007008C0">
            <w:pPr>
              <w:pStyle w:val="HStandard"/>
              <w:spacing w:line="240" w:lineRule="auto"/>
              <w:jc w:val="center"/>
              <w:rPr>
                <w:rFonts w:cs="Arial"/>
                <w:sz w:val="16"/>
                <w:szCs w:val="18"/>
              </w:rPr>
            </w:pPr>
          </w:p>
        </w:tc>
        <w:tc>
          <w:tcPr>
            <w:tcW w:w="1701" w:type="dxa"/>
            <w:vMerge/>
          </w:tcPr>
          <w:p w:rsidR="00273775" w:rsidRPr="001C6ACF" w:rsidRDefault="00273775" w:rsidP="007008C0">
            <w:pPr>
              <w:pStyle w:val="HStandard"/>
              <w:spacing w:line="240" w:lineRule="auto"/>
              <w:jc w:val="center"/>
              <w:rPr>
                <w:rFonts w:cs="Arial"/>
                <w:sz w:val="16"/>
                <w:szCs w:val="18"/>
              </w:rPr>
            </w:pPr>
          </w:p>
        </w:tc>
      </w:tr>
      <w:tr w:rsidR="00515FD4" w:rsidRPr="001C6ACF" w:rsidTr="005F69E8">
        <w:trPr>
          <w:trHeight w:val="1214"/>
        </w:trPr>
        <w:tc>
          <w:tcPr>
            <w:tcW w:w="988" w:type="dxa"/>
            <w:tcBorders>
              <w:right w:val="nil"/>
            </w:tcBorders>
            <w:hideMark/>
          </w:tcPr>
          <w:p w:rsidR="00515FD4" w:rsidRPr="00571D58" w:rsidRDefault="00515FD4" w:rsidP="000F570B">
            <w:pPr>
              <w:pStyle w:val="HStandard"/>
              <w:jc w:val="center"/>
              <w:rPr>
                <w:b/>
                <w:bCs/>
                <w:color w:val="57825E" w:themeColor="accent4"/>
              </w:rPr>
            </w:pPr>
            <w:r>
              <w:rPr>
                <w:b/>
                <w:bCs/>
                <w:noProof/>
                <w:color w:val="57825E" w:themeColor="accent4"/>
                <w:lang w:val="en-GB" w:eastAsia="en-GB" w:bidi="lo-LA"/>
              </w:rPr>
              <w:drawing>
                <wp:anchor distT="0" distB="0" distL="114300" distR="114300" simplePos="0" relativeHeight="251715072" behindDoc="1" locked="0" layoutInCell="1" allowOverlap="1" wp14:anchorId="67FDA6AA" wp14:editId="08EFA50C">
                  <wp:simplePos x="0" y="0"/>
                  <wp:positionH relativeFrom="column">
                    <wp:posOffset>33944</wp:posOffset>
                  </wp:positionH>
                  <wp:positionV relativeFrom="paragraph">
                    <wp:posOffset>247650</wp:posOffset>
                  </wp:positionV>
                  <wp:extent cx="489585" cy="489585"/>
                  <wp:effectExtent l="0" t="0" r="5715" b="5715"/>
                  <wp:wrapTight wrapText="bothSides">
                    <wp:wrapPolygon edited="0">
                      <wp:start x="4202" y="0"/>
                      <wp:lineTo x="0" y="840"/>
                      <wp:lineTo x="0" y="21012"/>
                      <wp:lineTo x="21012" y="21012"/>
                      <wp:lineTo x="21012" y="840"/>
                      <wp:lineTo x="16809" y="0"/>
                      <wp:lineTo x="4202"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12.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I.12</w:t>
            </w:r>
          </w:p>
        </w:tc>
        <w:tc>
          <w:tcPr>
            <w:tcW w:w="1417" w:type="dxa"/>
            <w:tcBorders>
              <w:left w:val="nil"/>
            </w:tcBorders>
            <w:vAlign w:val="center"/>
            <w:hideMark/>
          </w:tcPr>
          <w:p w:rsidR="00515FD4" w:rsidRPr="00336531" w:rsidRDefault="00515FD4" w:rsidP="001B04F9">
            <w:pPr>
              <w:pStyle w:val="HStandard"/>
              <w:jc w:val="left"/>
              <w:rPr>
                <w:rFonts w:cs="Arial"/>
                <w:b/>
                <w:color w:val="57825E" w:themeColor="accent4"/>
                <w:sz w:val="16"/>
                <w:szCs w:val="18"/>
              </w:rPr>
            </w:pPr>
            <w:r>
              <w:rPr>
                <w:b/>
                <w:color w:val="57825E" w:themeColor="accent4"/>
                <w:sz w:val="16"/>
              </w:rPr>
              <w:t xml:space="preserve">Augsnes organiskās vielas aramzemē </w:t>
            </w:r>
          </w:p>
        </w:tc>
        <w:tc>
          <w:tcPr>
            <w:tcW w:w="1701" w:type="dxa"/>
            <w:vAlign w:val="center"/>
            <w:hideMark/>
          </w:tcPr>
          <w:p w:rsidR="00515FD4" w:rsidRPr="001C6ACF" w:rsidRDefault="00FF2060" w:rsidP="00132FBB">
            <w:pPr>
              <w:pStyle w:val="HStandard"/>
              <w:spacing w:line="240" w:lineRule="auto"/>
              <w:jc w:val="center"/>
              <w:rPr>
                <w:rFonts w:cs="Arial"/>
                <w:sz w:val="16"/>
                <w:szCs w:val="18"/>
              </w:rPr>
            </w:pPr>
            <w:r>
              <w:rPr>
                <w:sz w:val="16"/>
              </w:rPr>
              <w:t>Augsnes organisko vielu (AOV) vērtējums 0–60 cm dziļumā</w:t>
            </w:r>
          </w:p>
        </w:tc>
        <w:tc>
          <w:tcPr>
            <w:tcW w:w="1701" w:type="dxa"/>
            <w:vAlign w:val="center"/>
            <w:hideMark/>
          </w:tcPr>
          <w:p w:rsidR="00515FD4" w:rsidRPr="001C6ACF" w:rsidRDefault="00515FD4" w:rsidP="00DE4B7E">
            <w:pPr>
              <w:pStyle w:val="HStandard"/>
              <w:spacing w:line="240" w:lineRule="auto"/>
              <w:jc w:val="center"/>
              <w:rPr>
                <w:rFonts w:cs="Arial"/>
                <w:sz w:val="16"/>
                <w:szCs w:val="18"/>
              </w:rPr>
            </w:pPr>
            <w:r>
              <w:rPr>
                <w:sz w:val="16"/>
              </w:rPr>
              <w:t>Nevien</w:t>
            </w:r>
            <w:r w:rsidR="00DE4B7E">
              <w:rPr>
                <w:sz w:val="16"/>
              </w:rPr>
              <w:t>a</w:t>
            </w:r>
          </w:p>
        </w:tc>
        <w:tc>
          <w:tcPr>
            <w:tcW w:w="1701" w:type="dxa"/>
            <w:vAlign w:val="center"/>
            <w:hideMark/>
          </w:tcPr>
          <w:p w:rsidR="00515FD4" w:rsidRPr="001C6ACF" w:rsidRDefault="00515FD4" w:rsidP="00132FBB">
            <w:pPr>
              <w:pStyle w:val="HStandard"/>
              <w:spacing w:line="240" w:lineRule="auto"/>
              <w:jc w:val="center"/>
              <w:rPr>
                <w:rFonts w:cs="Arial"/>
                <w:sz w:val="16"/>
                <w:szCs w:val="18"/>
              </w:rPr>
            </w:pPr>
            <w:r>
              <w:rPr>
                <w:sz w:val="16"/>
              </w:rPr>
              <w:t xml:space="preserve">AOV vērtējums,  </w:t>
            </w:r>
            <w:r>
              <w:rPr>
                <w:rFonts w:cs="Arial"/>
                <w:sz w:val="16"/>
                <w:szCs w:val="18"/>
              </w:rPr>
              <w:br/>
            </w:r>
            <w:r>
              <w:rPr>
                <w:sz w:val="16"/>
              </w:rPr>
              <w:t>pamatojoties uz vienkāršotām augsnes uzraudzības programmām</w:t>
            </w:r>
          </w:p>
        </w:tc>
        <w:tc>
          <w:tcPr>
            <w:tcW w:w="1701" w:type="dxa"/>
            <w:vAlign w:val="center"/>
            <w:hideMark/>
          </w:tcPr>
          <w:p w:rsidR="00515FD4" w:rsidRPr="001C6ACF" w:rsidRDefault="00515FD4" w:rsidP="00132FBB">
            <w:pPr>
              <w:pStyle w:val="HStandard"/>
              <w:spacing w:line="240" w:lineRule="auto"/>
              <w:jc w:val="center"/>
              <w:rPr>
                <w:rFonts w:cs="Arial"/>
                <w:sz w:val="16"/>
                <w:szCs w:val="18"/>
              </w:rPr>
            </w:pPr>
            <w:r>
              <w:rPr>
                <w:sz w:val="16"/>
              </w:rPr>
              <w:t xml:space="preserve">AOV vērtējums, pamatojoties  </w:t>
            </w:r>
            <w:r>
              <w:rPr>
                <w:rFonts w:cs="Arial"/>
                <w:sz w:val="16"/>
                <w:szCs w:val="18"/>
              </w:rPr>
              <w:br/>
            </w:r>
            <w:r>
              <w:rPr>
                <w:sz w:val="16"/>
              </w:rPr>
              <w:t xml:space="preserve">uz </w:t>
            </w:r>
            <w:r>
              <w:rPr>
                <w:i/>
                <w:sz w:val="16"/>
              </w:rPr>
              <w:t>LUCAS</w:t>
            </w:r>
            <w:r>
              <w:rPr>
                <w:sz w:val="16"/>
              </w:rPr>
              <w:t xml:space="preserve"> datubāzi</w:t>
            </w:r>
          </w:p>
        </w:tc>
      </w:tr>
      <w:tr w:rsidR="00515FD4" w:rsidRPr="001C6ACF" w:rsidTr="006A4FC1">
        <w:trPr>
          <w:trHeight w:val="43"/>
        </w:trPr>
        <w:tc>
          <w:tcPr>
            <w:tcW w:w="988" w:type="dxa"/>
            <w:tcBorders>
              <w:right w:val="nil"/>
            </w:tcBorders>
            <w:hideMark/>
          </w:tcPr>
          <w:p w:rsidR="00515FD4" w:rsidRPr="00571D58" w:rsidRDefault="00515FD4" w:rsidP="000F570B">
            <w:pPr>
              <w:pStyle w:val="HStandard"/>
              <w:jc w:val="center"/>
              <w:rPr>
                <w:b/>
                <w:bCs/>
                <w:color w:val="57825E" w:themeColor="accent4"/>
              </w:rPr>
            </w:pPr>
            <w:r>
              <w:rPr>
                <w:b/>
                <w:bCs/>
                <w:noProof/>
                <w:color w:val="57825E" w:themeColor="accent4"/>
                <w:lang w:val="en-GB" w:eastAsia="en-GB" w:bidi="lo-LA"/>
              </w:rPr>
              <w:lastRenderedPageBreak/>
              <w:drawing>
                <wp:anchor distT="0" distB="0" distL="114300" distR="114300" simplePos="0" relativeHeight="251716096" behindDoc="1" locked="0" layoutInCell="1" allowOverlap="1" wp14:anchorId="0E33617B" wp14:editId="642F5172">
                  <wp:simplePos x="0" y="0"/>
                  <wp:positionH relativeFrom="column">
                    <wp:posOffset>62881</wp:posOffset>
                  </wp:positionH>
                  <wp:positionV relativeFrom="paragraph">
                    <wp:posOffset>198321</wp:posOffset>
                  </wp:positionV>
                  <wp:extent cx="489585" cy="489585"/>
                  <wp:effectExtent l="0" t="0" r="5715" b="5715"/>
                  <wp:wrapTight wrapText="bothSides">
                    <wp:wrapPolygon edited="0">
                      <wp:start x="4202" y="0"/>
                      <wp:lineTo x="0" y="0"/>
                      <wp:lineTo x="0" y="21012"/>
                      <wp:lineTo x="21012" y="21012"/>
                      <wp:lineTo x="21012" y="12607"/>
                      <wp:lineTo x="15969" y="0"/>
                      <wp:lineTo x="4202"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13.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I.13</w:t>
            </w:r>
          </w:p>
        </w:tc>
        <w:tc>
          <w:tcPr>
            <w:tcW w:w="1417" w:type="dxa"/>
            <w:tcBorders>
              <w:left w:val="nil"/>
            </w:tcBorders>
            <w:vAlign w:val="center"/>
            <w:hideMark/>
          </w:tcPr>
          <w:p w:rsidR="006E3A77" w:rsidRPr="00FB6C06" w:rsidRDefault="00515FD4" w:rsidP="001B04F9">
            <w:pPr>
              <w:pStyle w:val="HStandard"/>
              <w:jc w:val="left"/>
              <w:rPr>
                <w:rFonts w:cs="Arial"/>
                <w:b/>
                <w:color w:val="57825E" w:themeColor="accent4"/>
                <w:sz w:val="16"/>
                <w:szCs w:val="18"/>
              </w:rPr>
            </w:pPr>
            <w:r>
              <w:rPr>
                <w:b/>
                <w:color w:val="57825E" w:themeColor="accent4"/>
                <w:sz w:val="16"/>
              </w:rPr>
              <w:t>Ūdens izraisīta augsnes erozija</w:t>
            </w:r>
          </w:p>
        </w:tc>
        <w:tc>
          <w:tcPr>
            <w:tcW w:w="1701" w:type="dxa"/>
            <w:vAlign w:val="center"/>
            <w:hideMark/>
          </w:tcPr>
          <w:p w:rsidR="00515FD4" w:rsidRPr="00863E73" w:rsidRDefault="00BB68D4" w:rsidP="00DE4B7E">
            <w:pPr>
              <w:pStyle w:val="NormalWeb"/>
              <w:jc w:val="center"/>
              <w:rPr>
                <w:rFonts w:ascii="Arial" w:hAnsi="Arial" w:cs="Arial"/>
                <w:color w:val="373737" w:themeColor="text1"/>
                <w:sz w:val="16"/>
                <w:szCs w:val="18"/>
              </w:rPr>
            </w:pPr>
            <w:r>
              <w:rPr>
                <w:rFonts w:ascii="Arial" w:hAnsi="Arial"/>
                <w:color w:val="373737" w:themeColor="text1"/>
                <w:sz w:val="16"/>
              </w:rPr>
              <w:t>Statisti</w:t>
            </w:r>
            <w:r w:rsidR="006B1298">
              <w:rPr>
                <w:rFonts w:ascii="Arial" w:hAnsi="Arial"/>
                <w:color w:val="373737" w:themeColor="text1"/>
                <w:sz w:val="16"/>
              </w:rPr>
              <w:t>skās</w:t>
            </w:r>
            <w:r>
              <w:rPr>
                <w:rFonts w:ascii="Arial" w:hAnsi="Arial"/>
                <w:color w:val="373737" w:themeColor="text1"/>
                <w:sz w:val="16"/>
              </w:rPr>
              <w:t xml:space="preserve"> novērtēšanas </w:t>
            </w:r>
            <w:r w:rsidR="00DE4B7E">
              <w:rPr>
                <w:rFonts w:ascii="Arial" w:hAnsi="Arial"/>
                <w:color w:val="373737" w:themeColor="text1"/>
                <w:sz w:val="16"/>
              </w:rPr>
              <w:t>tehnikas</w:t>
            </w:r>
          </w:p>
        </w:tc>
        <w:tc>
          <w:tcPr>
            <w:tcW w:w="1701" w:type="dxa"/>
            <w:vAlign w:val="center"/>
            <w:hideMark/>
          </w:tcPr>
          <w:p w:rsidR="00515FD4" w:rsidRPr="001C6ACF" w:rsidRDefault="00515FD4" w:rsidP="00DE4B7E">
            <w:pPr>
              <w:pStyle w:val="HStandard"/>
              <w:spacing w:line="240" w:lineRule="auto"/>
              <w:jc w:val="center"/>
              <w:rPr>
                <w:rFonts w:cs="Arial"/>
                <w:sz w:val="16"/>
                <w:szCs w:val="18"/>
              </w:rPr>
            </w:pPr>
            <w:r>
              <w:rPr>
                <w:sz w:val="16"/>
              </w:rPr>
              <w:t>VNRS telpiskā ekonometrija, ko atbalsta ar metodi AA</w:t>
            </w:r>
          </w:p>
        </w:tc>
        <w:tc>
          <w:tcPr>
            <w:tcW w:w="1701" w:type="dxa"/>
            <w:vAlign w:val="center"/>
            <w:hideMark/>
          </w:tcPr>
          <w:p w:rsidR="00515FD4" w:rsidRPr="001C6ACF" w:rsidRDefault="002340B6" w:rsidP="007008C0">
            <w:pPr>
              <w:pStyle w:val="HStandard"/>
              <w:spacing w:line="240" w:lineRule="auto"/>
              <w:jc w:val="center"/>
              <w:rPr>
                <w:rFonts w:cs="Arial"/>
                <w:sz w:val="16"/>
                <w:szCs w:val="18"/>
              </w:rPr>
            </w:pPr>
            <w:r>
              <w:rPr>
                <w:sz w:val="16"/>
              </w:rPr>
              <w:t xml:space="preserve">Neskartas </w:t>
            </w:r>
            <w:r w:rsidR="00515FD4">
              <w:rPr>
                <w:sz w:val="16"/>
              </w:rPr>
              <w:t>sākumpozīcijas vai dinamiskie grupu salīdzinājumi</w:t>
            </w:r>
          </w:p>
        </w:tc>
        <w:tc>
          <w:tcPr>
            <w:tcW w:w="1701" w:type="dxa"/>
            <w:vAlign w:val="center"/>
            <w:hideMark/>
          </w:tcPr>
          <w:p w:rsidR="00B52E11" w:rsidRPr="001C6ACF" w:rsidRDefault="00515FD4" w:rsidP="007008C0">
            <w:pPr>
              <w:pStyle w:val="HStandard"/>
              <w:spacing w:line="240" w:lineRule="auto"/>
              <w:jc w:val="center"/>
              <w:rPr>
                <w:rFonts w:cs="Arial"/>
                <w:sz w:val="16"/>
                <w:szCs w:val="18"/>
              </w:rPr>
            </w:pPr>
            <w:r>
              <w:rPr>
                <w:sz w:val="16"/>
              </w:rPr>
              <w:t xml:space="preserve">Telpisko vienību un valsts vidējās vērtības kvantitatīvais </w:t>
            </w:r>
            <w:r w:rsidR="002340B6">
              <w:rPr>
                <w:sz w:val="16"/>
              </w:rPr>
              <w:t xml:space="preserve">neskartais </w:t>
            </w:r>
            <w:r>
              <w:rPr>
                <w:sz w:val="16"/>
              </w:rPr>
              <w:t>vērtējums</w:t>
            </w:r>
          </w:p>
          <w:p w:rsidR="00735F08" w:rsidRPr="001C6ACF" w:rsidRDefault="00735F08" w:rsidP="007008C0">
            <w:pPr>
              <w:pStyle w:val="HStandard"/>
              <w:spacing w:line="240" w:lineRule="auto"/>
              <w:jc w:val="center"/>
              <w:rPr>
                <w:rFonts w:cs="Arial"/>
                <w:sz w:val="16"/>
                <w:szCs w:val="18"/>
              </w:rPr>
            </w:pPr>
          </w:p>
        </w:tc>
      </w:tr>
      <w:tr w:rsidR="00515FD4" w:rsidRPr="001C6ACF" w:rsidTr="00670F92">
        <w:trPr>
          <w:trHeight w:val="255"/>
        </w:trPr>
        <w:tc>
          <w:tcPr>
            <w:tcW w:w="9209" w:type="dxa"/>
            <w:gridSpan w:val="6"/>
            <w:tcBorders>
              <w:top w:val="single" w:sz="4" w:space="0" w:color="FFFFFF" w:themeColor="background1"/>
            </w:tcBorders>
            <w:shd w:val="clear" w:color="auto" w:fill="59638E" w:themeFill="accent3"/>
            <w:hideMark/>
          </w:tcPr>
          <w:p w:rsidR="00515FD4" w:rsidRPr="001C6ACF" w:rsidRDefault="00515FD4" w:rsidP="007008C0">
            <w:pPr>
              <w:pStyle w:val="HStandard"/>
              <w:spacing w:line="240" w:lineRule="auto"/>
              <w:rPr>
                <w:bCs/>
                <w:color w:val="FFFFFF" w:themeColor="background1"/>
                <w:sz w:val="16"/>
              </w:rPr>
            </w:pPr>
            <w:r>
              <w:rPr>
                <w:color w:val="FFFFFF" w:themeColor="background1"/>
                <w:sz w:val="16"/>
              </w:rPr>
              <w:t>Sociālekonomiskā ietekme</w:t>
            </w:r>
          </w:p>
        </w:tc>
      </w:tr>
      <w:tr w:rsidR="00515FD4" w:rsidRPr="001C6ACF" w:rsidTr="005F69E8">
        <w:trPr>
          <w:trHeight w:val="1189"/>
        </w:trPr>
        <w:tc>
          <w:tcPr>
            <w:tcW w:w="988" w:type="dxa"/>
            <w:tcBorders>
              <w:right w:val="nil"/>
            </w:tcBorders>
            <w:hideMark/>
          </w:tcPr>
          <w:p w:rsidR="00515FD4" w:rsidRPr="00571D58" w:rsidRDefault="00515FD4" w:rsidP="00B91C1E">
            <w:pPr>
              <w:pStyle w:val="HStandard"/>
              <w:jc w:val="center"/>
              <w:rPr>
                <w:b/>
                <w:bCs/>
                <w:color w:val="59638E" w:themeColor="accent3"/>
              </w:rPr>
            </w:pPr>
            <w:r>
              <w:rPr>
                <w:b/>
                <w:bCs/>
                <w:noProof/>
                <w:color w:val="59638E" w:themeColor="accent3"/>
                <w:lang w:val="en-GB" w:eastAsia="en-GB" w:bidi="lo-LA"/>
              </w:rPr>
              <w:drawing>
                <wp:anchor distT="0" distB="0" distL="114300" distR="114300" simplePos="0" relativeHeight="251717120" behindDoc="1" locked="0" layoutInCell="1" allowOverlap="1" wp14:anchorId="2EFC8D02" wp14:editId="29BA4FC2">
                  <wp:simplePos x="0" y="0"/>
                  <wp:positionH relativeFrom="column">
                    <wp:posOffset>11414</wp:posOffset>
                  </wp:positionH>
                  <wp:positionV relativeFrom="paragraph">
                    <wp:posOffset>184351</wp:posOffset>
                  </wp:positionV>
                  <wp:extent cx="489585" cy="489585"/>
                  <wp:effectExtent l="0" t="0" r="5715" b="5715"/>
                  <wp:wrapTight wrapText="bothSides">
                    <wp:wrapPolygon edited="0">
                      <wp:start x="2521" y="0"/>
                      <wp:lineTo x="0" y="7564"/>
                      <wp:lineTo x="0" y="21012"/>
                      <wp:lineTo x="20171" y="21012"/>
                      <wp:lineTo x="21012" y="15969"/>
                      <wp:lineTo x="21012" y="13447"/>
                      <wp:lineTo x="9245" y="0"/>
                      <wp:lineTo x="2521" y="0"/>
                    </wp:wrapPolygon>
                  </wp:wrapTight>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14.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9638E" w:themeColor="accent3"/>
              </w:rPr>
              <w:t>I.14</w:t>
            </w:r>
          </w:p>
        </w:tc>
        <w:tc>
          <w:tcPr>
            <w:tcW w:w="1417" w:type="dxa"/>
            <w:tcBorders>
              <w:left w:val="nil"/>
            </w:tcBorders>
            <w:vAlign w:val="center"/>
            <w:hideMark/>
          </w:tcPr>
          <w:p w:rsidR="00515FD4" w:rsidRPr="00336531" w:rsidRDefault="00515FD4" w:rsidP="001B04F9">
            <w:pPr>
              <w:pStyle w:val="HStandard"/>
              <w:jc w:val="left"/>
              <w:rPr>
                <w:b/>
                <w:color w:val="59638E" w:themeColor="accent3"/>
                <w:sz w:val="16"/>
                <w:szCs w:val="18"/>
              </w:rPr>
            </w:pPr>
            <w:r>
              <w:rPr>
                <w:b/>
                <w:color w:val="59638E" w:themeColor="accent3"/>
                <w:sz w:val="16"/>
              </w:rPr>
              <w:t xml:space="preserve">Nodarbinātības līmenis laukos </w:t>
            </w:r>
          </w:p>
        </w:tc>
        <w:tc>
          <w:tcPr>
            <w:tcW w:w="1701" w:type="dxa"/>
            <w:vMerge w:val="restart"/>
            <w:vAlign w:val="center"/>
            <w:hideMark/>
          </w:tcPr>
          <w:p w:rsidR="00515FD4" w:rsidRPr="00FB6C06" w:rsidRDefault="00515FD4" w:rsidP="00DE4B7E">
            <w:pPr>
              <w:pStyle w:val="HStandard"/>
              <w:spacing w:line="240" w:lineRule="auto"/>
              <w:jc w:val="center"/>
              <w:rPr>
                <w:sz w:val="16"/>
                <w:szCs w:val="18"/>
              </w:rPr>
            </w:pPr>
            <w:r>
              <w:rPr>
                <w:sz w:val="16"/>
              </w:rPr>
              <w:t>Nevien</w:t>
            </w:r>
            <w:r w:rsidR="00DE4B7E">
              <w:rPr>
                <w:sz w:val="16"/>
              </w:rPr>
              <w:t>a</w:t>
            </w:r>
          </w:p>
        </w:tc>
        <w:tc>
          <w:tcPr>
            <w:tcW w:w="1701" w:type="dxa"/>
            <w:vMerge w:val="restart"/>
            <w:vAlign w:val="center"/>
            <w:hideMark/>
          </w:tcPr>
          <w:p w:rsidR="00515FD4" w:rsidRPr="001C6ACF" w:rsidRDefault="00515FD4" w:rsidP="007008C0">
            <w:pPr>
              <w:pStyle w:val="HStandard"/>
              <w:spacing w:line="240" w:lineRule="auto"/>
              <w:jc w:val="center"/>
              <w:rPr>
                <w:sz w:val="16"/>
                <w:szCs w:val="18"/>
              </w:rPr>
            </w:pPr>
            <w:r>
              <w:rPr>
                <w:sz w:val="16"/>
              </w:rPr>
              <w:t xml:space="preserve">Rekursīvi dinamiskais aprēķināmā vispārējā līdzsvara (AVL) modelis  </w:t>
            </w:r>
            <w:r>
              <w:rPr>
                <w:sz w:val="16"/>
                <w:szCs w:val="18"/>
              </w:rPr>
              <w:br/>
            </w:r>
            <w:r>
              <w:rPr>
                <w:sz w:val="16"/>
              </w:rPr>
              <w:t xml:space="preserve"> </w:t>
            </w:r>
            <w:r>
              <w:rPr>
                <w:sz w:val="16"/>
                <w:szCs w:val="18"/>
              </w:rPr>
              <w:br/>
            </w:r>
            <w:r>
              <w:rPr>
                <w:sz w:val="16"/>
              </w:rPr>
              <w:t>Noslieces rezultātu saskaņošana (NRS) un vispārināta noslieces rezultātu saskaņošana (VNRS)</w:t>
            </w:r>
          </w:p>
        </w:tc>
        <w:tc>
          <w:tcPr>
            <w:tcW w:w="1701" w:type="dxa"/>
            <w:vMerge w:val="restart"/>
            <w:noWrap/>
            <w:vAlign w:val="center"/>
            <w:hideMark/>
          </w:tcPr>
          <w:p w:rsidR="00515FD4" w:rsidRPr="001C6ACF" w:rsidRDefault="00515FD4" w:rsidP="00DE4B7E">
            <w:pPr>
              <w:pStyle w:val="HStandard"/>
              <w:spacing w:line="240" w:lineRule="auto"/>
              <w:jc w:val="center"/>
              <w:rPr>
                <w:sz w:val="16"/>
                <w:szCs w:val="18"/>
              </w:rPr>
            </w:pPr>
            <w:r>
              <w:rPr>
                <w:sz w:val="16"/>
              </w:rPr>
              <w:t>Nevien</w:t>
            </w:r>
            <w:r w:rsidR="00DE4B7E">
              <w:rPr>
                <w:sz w:val="16"/>
              </w:rPr>
              <w:t>a</w:t>
            </w:r>
          </w:p>
        </w:tc>
        <w:tc>
          <w:tcPr>
            <w:tcW w:w="1701" w:type="dxa"/>
            <w:vMerge w:val="restart"/>
            <w:vAlign w:val="center"/>
            <w:hideMark/>
          </w:tcPr>
          <w:p w:rsidR="00515FD4" w:rsidRPr="001C6ACF" w:rsidRDefault="00515FD4" w:rsidP="007008C0">
            <w:pPr>
              <w:pStyle w:val="HStandard"/>
              <w:spacing w:line="240" w:lineRule="auto"/>
              <w:jc w:val="center"/>
              <w:rPr>
                <w:sz w:val="16"/>
                <w:szCs w:val="18"/>
              </w:rPr>
            </w:pPr>
            <w:r>
              <w:rPr>
                <w:sz w:val="16"/>
              </w:rPr>
              <w:t>Izejvielu un produkcijas analīze (IPA)</w:t>
            </w:r>
          </w:p>
          <w:p w:rsidR="00186FCF" w:rsidRPr="001C6ACF" w:rsidRDefault="00186FCF" w:rsidP="00DE4B7E">
            <w:pPr>
              <w:pStyle w:val="HStandard"/>
              <w:spacing w:line="240" w:lineRule="auto"/>
              <w:jc w:val="center"/>
              <w:rPr>
                <w:sz w:val="16"/>
                <w:szCs w:val="18"/>
              </w:rPr>
            </w:pPr>
            <w:r>
              <w:rPr>
                <w:sz w:val="16"/>
              </w:rPr>
              <w:t>(</w:t>
            </w:r>
            <w:r w:rsidR="00DE4B7E">
              <w:rPr>
                <w:sz w:val="16"/>
              </w:rPr>
              <w:t xml:space="preserve">ar </w:t>
            </w:r>
            <w:r>
              <w:rPr>
                <w:sz w:val="16"/>
              </w:rPr>
              <w:t>kvalitatīv</w:t>
            </w:r>
            <w:r w:rsidR="00DE4B7E">
              <w:rPr>
                <w:sz w:val="16"/>
              </w:rPr>
              <w:t>as</w:t>
            </w:r>
            <w:r>
              <w:rPr>
                <w:sz w:val="16"/>
              </w:rPr>
              <w:t xml:space="preserve"> analīz</w:t>
            </w:r>
            <w:r w:rsidR="00DE4B7E">
              <w:rPr>
                <w:sz w:val="16"/>
              </w:rPr>
              <w:t>es palīdzību</w:t>
            </w:r>
            <w:r>
              <w:rPr>
                <w:sz w:val="16"/>
              </w:rPr>
              <w:t>)</w:t>
            </w:r>
          </w:p>
        </w:tc>
      </w:tr>
      <w:tr w:rsidR="00515FD4" w:rsidRPr="001C6ACF" w:rsidTr="005F69E8">
        <w:trPr>
          <w:trHeight w:val="1405"/>
        </w:trPr>
        <w:tc>
          <w:tcPr>
            <w:tcW w:w="988" w:type="dxa"/>
            <w:tcBorders>
              <w:right w:val="nil"/>
            </w:tcBorders>
            <w:hideMark/>
          </w:tcPr>
          <w:p w:rsidR="00515FD4" w:rsidRPr="00571D58" w:rsidRDefault="00515FD4" w:rsidP="00B91C1E">
            <w:pPr>
              <w:pStyle w:val="HStandard"/>
              <w:jc w:val="center"/>
              <w:rPr>
                <w:b/>
                <w:bCs/>
                <w:color w:val="59638E" w:themeColor="accent3"/>
              </w:rPr>
            </w:pPr>
            <w:r>
              <w:rPr>
                <w:b/>
                <w:color w:val="59638E" w:themeColor="accent3"/>
              </w:rPr>
              <w:t>I.15</w:t>
            </w:r>
            <w:r>
              <w:rPr>
                <w:b/>
                <w:bCs/>
                <w:noProof/>
                <w:color w:val="59638E" w:themeColor="accent3"/>
                <w:lang w:val="en-GB" w:eastAsia="en-GB" w:bidi="lo-LA"/>
              </w:rPr>
              <w:drawing>
                <wp:inline distT="0" distB="0" distL="0" distR="0" wp14:anchorId="10022934" wp14:editId="3DF37A12">
                  <wp:extent cx="490220" cy="490220"/>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1-feeding_Blue.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90220" cy="490220"/>
                          </a:xfrm>
                          <a:prstGeom prst="rect">
                            <a:avLst/>
                          </a:prstGeom>
                        </pic:spPr>
                      </pic:pic>
                    </a:graphicData>
                  </a:graphic>
                </wp:inline>
              </w:drawing>
            </w:r>
          </w:p>
        </w:tc>
        <w:tc>
          <w:tcPr>
            <w:tcW w:w="1417" w:type="dxa"/>
            <w:tcBorders>
              <w:left w:val="nil"/>
            </w:tcBorders>
            <w:vAlign w:val="center"/>
            <w:hideMark/>
          </w:tcPr>
          <w:p w:rsidR="00515FD4" w:rsidRPr="00336531" w:rsidRDefault="00515FD4" w:rsidP="001B04F9">
            <w:pPr>
              <w:pStyle w:val="HStandard"/>
              <w:jc w:val="left"/>
              <w:rPr>
                <w:b/>
                <w:color w:val="59638E" w:themeColor="accent3"/>
                <w:sz w:val="16"/>
                <w:szCs w:val="18"/>
              </w:rPr>
            </w:pPr>
            <w:r>
              <w:rPr>
                <w:b/>
                <w:color w:val="59638E" w:themeColor="accent3"/>
                <w:sz w:val="16"/>
              </w:rPr>
              <w:t>Nabadzības līmenis laukos</w:t>
            </w: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r>
      <w:tr w:rsidR="00515FD4" w:rsidRPr="001C6ACF" w:rsidTr="005F69E8">
        <w:trPr>
          <w:trHeight w:val="1413"/>
        </w:trPr>
        <w:tc>
          <w:tcPr>
            <w:tcW w:w="988" w:type="dxa"/>
            <w:tcBorders>
              <w:right w:val="nil"/>
            </w:tcBorders>
            <w:hideMark/>
          </w:tcPr>
          <w:p w:rsidR="00515FD4" w:rsidRPr="00571D58" w:rsidRDefault="00515FD4" w:rsidP="00B91C1E">
            <w:pPr>
              <w:pStyle w:val="HStandard"/>
              <w:jc w:val="center"/>
              <w:rPr>
                <w:b/>
                <w:bCs/>
                <w:color w:val="59638E" w:themeColor="accent3"/>
              </w:rPr>
            </w:pPr>
            <w:r>
              <w:rPr>
                <w:b/>
                <w:bCs/>
                <w:noProof/>
                <w:color w:val="59638E" w:themeColor="accent3"/>
                <w:lang w:val="en-GB" w:eastAsia="en-GB" w:bidi="lo-LA"/>
              </w:rPr>
              <w:drawing>
                <wp:anchor distT="0" distB="0" distL="114300" distR="114300" simplePos="0" relativeHeight="251719168" behindDoc="1" locked="0" layoutInCell="1" allowOverlap="1" wp14:anchorId="409ED7A3" wp14:editId="28C34C8D">
                  <wp:simplePos x="0" y="0"/>
                  <wp:positionH relativeFrom="column">
                    <wp:posOffset>63500</wp:posOffset>
                  </wp:positionH>
                  <wp:positionV relativeFrom="paragraph">
                    <wp:posOffset>224139</wp:posOffset>
                  </wp:positionV>
                  <wp:extent cx="489600" cy="489600"/>
                  <wp:effectExtent l="0" t="0" r="5715" b="5715"/>
                  <wp:wrapTight wrapText="bothSides">
                    <wp:wrapPolygon edited="0">
                      <wp:start x="0" y="0"/>
                      <wp:lineTo x="0" y="21012"/>
                      <wp:lineTo x="21012" y="21012"/>
                      <wp:lineTo x="21012" y="0"/>
                      <wp:lineTo x="0" y="0"/>
                    </wp:wrapPolygon>
                  </wp:wrapTight>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007-nail.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anchor>
              </w:drawing>
            </w:r>
            <w:r>
              <w:rPr>
                <w:b/>
                <w:color w:val="59638E" w:themeColor="accent3"/>
              </w:rPr>
              <w:t>I.16</w:t>
            </w:r>
          </w:p>
        </w:tc>
        <w:tc>
          <w:tcPr>
            <w:tcW w:w="1417" w:type="dxa"/>
            <w:tcBorders>
              <w:left w:val="nil"/>
            </w:tcBorders>
            <w:vAlign w:val="center"/>
            <w:hideMark/>
          </w:tcPr>
          <w:p w:rsidR="00515FD4" w:rsidRPr="00336531" w:rsidRDefault="00515FD4" w:rsidP="001B04F9">
            <w:pPr>
              <w:pStyle w:val="HStandard"/>
              <w:jc w:val="left"/>
              <w:rPr>
                <w:b/>
                <w:color w:val="59638E" w:themeColor="accent3"/>
                <w:sz w:val="16"/>
                <w:szCs w:val="18"/>
              </w:rPr>
            </w:pPr>
            <w:r>
              <w:rPr>
                <w:b/>
                <w:color w:val="59638E" w:themeColor="accent3"/>
                <w:sz w:val="16"/>
              </w:rPr>
              <w:t xml:space="preserve">IKP uz vienu lauku iedzīvotāju </w:t>
            </w: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r>
    </w:tbl>
    <w:p w:rsidR="00186FCF" w:rsidRPr="001C6ACF" w:rsidRDefault="00186FCF" w:rsidP="00186FCF">
      <w:pPr>
        <w:pStyle w:val="HStandard"/>
        <w:rPr>
          <w:rFonts w:cs="Arial"/>
        </w:rPr>
      </w:pPr>
    </w:p>
    <w:p w:rsidR="00186FCF" w:rsidRPr="001C6ACF" w:rsidRDefault="00186FCF" w:rsidP="00186FCF">
      <w:pPr>
        <w:pStyle w:val="HStandard"/>
        <w:rPr>
          <w:rFonts w:cs="Arial"/>
        </w:rPr>
      </w:pPr>
      <w:r>
        <w:t>Iepriekšējā tabulā pie katra KLP II pīlāra ietekmes rādītāja ir sniegts pārskats par ieteicamajām mikro</w:t>
      </w:r>
      <w:r w:rsidR="000618CF">
        <w:t>līmeņa</w:t>
      </w:r>
      <w:r>
        <w:t xml:space="preserve"> un makrolīmeņa </w:t>
      </w:r>
      <w:r w:rsidR="00132FBB">
        <w:t>iz</w:t>
      </w:r>
      <w:r>
        <w:t>vērtē</w:t>
      </w:r>
      <w:r w:rsidR="00DE4B7E">
        <w:t>šanas</w:t>
      </w:r>
      <w:r>
        <w:t xml:space="preserve"> pieejām, kuras ir sīkāk aprakstītas šo pamatnostādņu 2.2.–2.9. nodaļā, kā arī tehniskajā pielikumā. </w:t>
      </w:r>
    </w:p>
    <w:p w:rsidR="00186FCF" w:rsidRPr="001C6ACF" w:rsidRDefault="00186FCF"/>
    <w:p w:rsidR="008D4934" w:rsidRPr="00571D58" w:rsidRDefault="000B213F" w:rsidP="00B34DDC">
      <w:pPr>
        <w:pStyle w:val="HStandard"/>
        <w:jc w:val="center"/>
      </w:pPr>
      <w:r>
        <w:rPr>
          <w:b/>
          <w:i/>
          <w:noProof/>
          <w:color w:val="F07E31" w:themeColor="accent1"/>
          <w:lang w:val="en-GB" w:eastAsia="en-GB" w:bidi="lo-LA"/>
        </w:rPr>
        <mc:AlternateContent>
          <mc:Choice Requires="wps">
            <w:drawing>
              <wp:inline distT="0" distB="0" distL="0" distR="0" wp14:anchorId="478E0C60" wp14:editId="2F7DAB26">
                <wp:extent cx="5819775" cy="2568777"/>
                <wp:effectExtent l="0" t="0" r="28575" b="22225"/>
                <wp:docPr id="89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9775" cy="2568777"/>
                        </a:xfrm>
                        <a:custGeom>
                          <a:avLst/>
                          <a:gdLst>
                            <a:gd name="T0" fmla="*/ 157545 w 5819775"/>
                            <a:gd name="T1" fmla="*/ 0 h 1804016"/>
                            <a:gd name="T2" fmla="*/ 5819775 w 5819775"/>
                            <a:gd name="T3" fmla="*/ 0 h 1804016"/>
                            <a:gd name="T4" fmla="*/ 5819775 w 5819775"/>
                            <a:gd name="T5" fmla="*/ 0 h 1804016"/>
                            <a:gd name="T6" fmla="*/ 5819775 w 5819775"/>
                            <a:gd name="T7" fmla="*/ 1646471 h 1804016"/>
                            <a:gd name="T8" fmla="*/ 5662230 w 5819775"/>
                            <a:gd name="T9" fmla="*/ 1804016 h 1804016"/>
                            <a:gd name="T10" fmla="*/ 0 w 5819775"/>
                            <a:gd name="T11" fmla="*/ 1804016 h 1804016"/>
                            <a:gd name="T12" fmla="*/ 0 w 5819775"/>
                            <a:gd name="T13" fmla="*/ 1804016 h 1804016"/>
                            <a:gd name="T14" fmla="*/ 0 w 5819775"/>
                            <a:gd name="T15" fmla="*/ 157545 h 1804016"/>
                            <a:gd name="T16" fmla="*/ 157545 w 5819775"/>
                            <a:gd name="T17" fmla="*/ 0 h 18040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819775"/>
                            <a:gd name="T28" fmla="*/ 0 h 1804016"/>
                            <a:gd name="T29" fmla="*/ 5819775 w 5819775"/>
                            <a:gd name="T30" fmla="*/ 1804016 h 180401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819775" h="1804016">
                              <a:moveTo>
                                <a:pt x="157545" y="0"/>
                              </a:moveTo>
                              <a:lnTo>
                                <a:pt x="5819775" y="0"/>
                              </a:lnTo>
                              <a:lnTo>
                                <a:pt x="5819775" y="1646471"/>
                              </a:lnTo>
                              <a:cubicBezTo>
                                <a:pt x="5819775" y="1733481"/>
                                <a:pt x="5749240" y="1804016"/>
                                <a:pt x="5662230" y="1804016"/>
                              </a:cubicBezTo>
                              <a:lnTo>
                                <a:pt x="0" y="1804016"/>
                              </a:lnTo>
                              <a:lnTo>
                                <a:pt x="0" y="157545"/>
                              </a:lnTo>
                              <a:cubicBezTo>
                                <a:pt x="0" y="70535"/>
                                <a:pt x="70535" y="0"/>
                                <a:pt x="157545"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A472D8" w:rsidRPr="00D43E45" w:rsidRDefault="00A472D8" w:rsidP="00EC01C3">
                            <w:pPr>
                              <w:pStyle w:val="HHeading4"/>
                              <w:spacing w:before="0"/>
                              <w:jc w:val="both"/>
                              <w:rPr>
                                <w:rFonts w:cs="Arial"/>
                                <w:b w:val="0"/>
                                <w:color w:val="373737" w:themeColor="text1"/>
                              </w:rPr>
                            </w:pPr>
                            <w:r>
                              <w:rPr>
                                <w:noProof/>
                                <w:color w:val="373737" w:themeColor="text1"/>
                                <w:lang w:val="en-GB" w:eastAsia="en-GB" w:bidi="lo-LA"/>
                              </w:rPr>
                              <w:drawing>
                                <wp:inline distT="0" distB="0" distL="0" distR="0" wp14:anchorId="41ACD616" wp14:editId="1E9DDE10">
                                  <wp:extent cx="664845" cy="487680"/>
                                  <wp:effectExtent l="0" t="0" r="0" b="7620"/>
                                  <wp:docPr id="91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val="0"/>
                                <w:color w:val="373737" w:themeColor="text1"/>
                              </w:rPr>
                              <w:t xml:space="preserve">Šajās pamatnostādnēs aprakstītās </w:t>
                            </w:r>
                            <w:r>
                              <w:rPr>
                                <w:color w:val="373737" w:themeColor="text1"/>
                              </w:rPr>
                              <w:t xml:space="preserve">novērtēšanas pieejas </w:t>
                            </w:r>
                            <w:r w:rsidRPr="00F67434">
                              <w:rPr>
                                <w:b w:val="0"/>
                                <w:bCs/>
                                <w:color w:val="373737" w:themeColor="text1"/>
                              </w:rPr>
                              <w:t>ir iespējamo variantu piemēri, taču pastāv arī citas iespējas</w:t>
                            </w:r>
                            <w:r>
                              <w:rPr>
                                <w:b w:val="0"/>
                                <w:color w:val="373737" w:themeColor="text1"/>
                              </w:rPr>
                              <w:t xml:space="preserve">. Vērtētāji var izvēlēties citas pieejas LAP ietekmes izvērtēšanai, ņemot vērā labāko veidu, kā savākt pārliecinošus pierādījumus, kā arī </w:t>
                            </w:r>
                            <w:r>
                              <w:rPr>
                                <w:color w:val="373737" w:themeColor="text1"/>
                              </w:rPr>
                              <w:t>LAP īpašo situāciju</w:t>
                            </w:r>
                            <w:r>
                              <w:rPr>
                                <w:b w:val="0"/>
                                <w:color w:val="373737" w:themeColor="text1"/>
                              </w:rPr>
                              <w:t xml:space="preserve"> attiecībā uz:</w:t>
                            </w:r>
                          </w:p>
                          <w:p w:rsidR="00A472D8" w:rsidRPr="00D43E45" w:rsidRDefault="00A472D8" w:rsidP="00EC01C3">
                            <w:pPr>
                              <w:pStyle w:val="Hlistbullet"/>
                              <w:rPr>
                                <w:i/>
                                <w:sz w:val="18"/>
                              </w:rPr>
                            </w:pPr>
                            <w:r>
                              <w:t xml:space="preserve">LAP apmēru, </w:t>
                            </w:r>
                          </w:p>
                          <w:p w:rsidR="00A472D8" w:rsidRPr="00D43E45" w:rsidRDefault="00A472D8" w:rsidP="00EC01C3">
                            <w:pPr>
                              <w:pStyle w:val="Hlistbullet"/>
                              <w:rPr>
                                <w:i/>
                                <w:sz w:val="18"/>
                              </w:rPr>
                            </w:pPr>
                            <w:r>
                              <w:t xml:space="preserve">LAP īstenošanu, </w:t>
                            </w:r>
                          </w:p>
                          <w:p w:rsidR="00A472D8" w:rsidRPr="00D43E45" w:rsidRDefault="00A472D8" w:rsidP="00EC01C3">
                            <w:pPr>
                              <w:pStyle w:val="Hlistbullet"/>
                              <w:rPr>
                                <w:i/>
                                <w:sz w:val="18"/>
                              </w:rPr>
                            </w:pPr>
                            <w:r>
                              <w:t>novērtēšanai vajadzīgo datu pieejamību un kvalitāti.</w:t>
                            </w:r>
                          </w:p>
                          <w:p w:rsidR="00A472D8" w:rsidRPr="00E53246" w:rsidRDefault="00A472D8" w:rsidP="00EC01C3">
                            <w:pPr>
                              <w:pStyle w:val="HHeading4"/>
                              <w:spacing w:before="0"/>
                              <w:jc w:val="both"/>
                              <w:rPr>
                                <w:b w:val="0"/>
                                <w:color w:val="373737" w:themeColor="text1"/>
                              </w:rPr>
                            </w:pPr>
                            <w:r>
                              <w:rPr>
                                <w:b w:val="0"/>
                                <w:color w:val="373737" w:themeColor="text1"/>
                              </w:rPr>
                              <w:t>Šajās pamatnostādnēs izklāstītajiem loģikas modeļiem būtu jākļūst par noderīgiem rīkiem, ar kuriem vērtētāji nosaka novērtēšanas iespējas reālās pasaules attiecīgajā kontekstā.</w:t>
                            </w:r>
                          </w:p>
                        </w:txbxContent>
                      </wps:txbx>
                      <wps:bodyPr rot="0" vert="horz" wrap="square" lIns="91440" tIns="45720" rIns="91440" bIns="45720" anchor="ctr" anchorCtr="0" upright="1">
                        <a:noAutofit/>
                      </wps:bodyPr>
                    </wps:wsp>
                  </a:graphicData>
                </a:graphic>
              </wp:inline>
            </w:drawing>
          </mc:Choice>
          <mc:Fallback>
            <w:pict>
              <v:shape w14:anchorId="478E0C60" id="AutoShape 61" o:spid="_x0000_s1041" style="width:458.25pt;height:202.25pt;visibility:visible;mso-wrap-style:square;mso-left-percent:-10001;mso-top-percent:-10001;mso-position-horizontal:absolute;mso-position-horizontal-relative:char;mso-position-vertical:absolute;mso-position-vertical-relative:line;mso-left-percent:-10001;mso-top-percent:-10001;v-text-anchor:middle" coordsize="5819775,18040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" adj="-11796480,,5400" path="m157545,l5819775,r,1646471c5819775,1733481,5749240,1804016,5662230,1804016l,1804016,,157545c,70535,70535,,157545,xe" filled="f" strokecolor="#be4a35" strokeweight="2pt">
                <v:stroke joinstyle="miter"/>
                <v:formulas/>
                <v:path arrowok="t" o:connecttype="custom" o:connectlocs="157545,0;5819775,0;5819775,0;5819775,2344445;5662230,2568777;0,2568777;0,2568777;0,224332;157545,0" o:connectangles="0,0,0,0,0,0,0,0,0" textboxrect="0,0,5819775,1804016"/>
                <v:textbox>
                  <w:txbxContent>
                    <w:p w:rsidR="00A472D8" w:rsidRPr="00D43E45" w:rsidRDefault="00A472D8" w:rsidP="00EC01C3">
                      <w:pPr>
                        <w:pStyle w:val="HHeading4"/>
                        <w:spacing w:before="0"/>
                        <w:jc w:val="both"/>
                        <w:rPr>
                          <w:rFonts w:cs="Arial"/>
                          <w:b w:val="0"/>
                          <w:color w:val="373737" w:themeColor="text1"/>
                        </w:rPr>
                      </w:pPr>
                      <w:r>
                        <w:rPr>
                          <w:noProof/>
                          <w:color w:val="373737" w:themeColor="text1"/>
                          <w:lang w:val="en-GB" w:eastAsia="en-GB" w:bidi="lo-LA"/>
                        </w:rPr>
                        <w:drawing>
                          <wp:inline distT="0" distB="0" distL="0" distR="0" wp14:anchorId="41ACD616" wp14:editId="1E9DDE10">
                            <wp:extent cx="664845" cy="487680"/>
                            <wp:effectExtent l="0" t="0" r="0" b="7620"/>
                            <wp:docPr id="91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val="0"/>
                          <w:color w:val="373737" w:themeColor="text1"/>
                        </w:rPr>
                        <w:t xml:space="preserve">Šajās pamatnostādnēs aprakstītās </w:t>
                      </w:r>
                      <w:r>
                        <w:rPr>
                          <w:color w:val="373737" w:themeColor="text1"/>
                        </w:rPr>
                        <w:t xml:space="preserve">novērtēšanas pieejas </w:t>
                      </w:r>
                      <w:r w:rsidRPr="00F67434">
                        <w:rPr>
                          <w:b w:val="0"/>
                          <w:bCs/>
                          <w:color w:val="373737" w:themeColor="text1"/>
                        </w:rPr>
                        <w:t>ir iespējamo variantu piemēri, taču pastāv arī citas iespējas</w:t>
                      </w:r>
                      <w:r>
                        <w:rPr>
                          <w:b w:val="0"/>
                          <w:color w:val="373737" w:themeColor="text1"/>
                        </w:rPr>
                        <w:t xml:space="preserve">. Vērtētāji var izvēlēties citas pieejas LAP ietekmes izvērtēšanai, ņemot vērā labāko veidu, kā savākt pārliecinošus pierādījumus, kā arī </w:t>
                      </w:r>
                      <w:r>
                        <w:rPr>
                          <w:color w:val="373737" w:themeColor="text1"/>
                        </w:rPr>
                        <w:t>LAP īpašo situāciju</w:t>
                      </w:r>
                      <w:r>
                        <w:rPr>
                          <w:b w:val="0"/>
                          <w:color w:val="373737" w:themeColor="text1"/>
                        </w:rPr>
                        <w:t xml:space="preserve"> attiecībā uz:</w:t>
                      </w:r>
                    </w:p>
                    <w:p w:rsidR="00A472D8" w:rsidRPr="00D43E45" w:rsidRDefault="00A472D8" w:rsidP="00EC01C3">
                      <w:pPr>
                        <w:pStyle w:val="Hlistbullet"/>
                        <w:rPr>
                          <w:i/>
                          <w:sz w:val="18"/>
                        </w:rPr>
                      </w:pPr>
                      <w:r>
                        <w:t xml:space="preserve">LAP apmēru, </w:t>
                      </w:r>
                    </w:p>
                    <w:p w:rsidR="00A472D8" w:rsidRPr="00D43E45" w:rsidRDefault="00A472D8" w:rsidP="00EC01C3">
                      <w:pPr>
                        <w:pStyle w:val="Hlistbullet"/>
                        <w:rPr>
                          <w:i/>
                          <w:sz w:val="18"/>
                        </w:rPr>
                      </w:pPr>
                      <w:r>
                        <w:t xml:space="preserve">LAP īstenošanu, </w:t>
                      </w:r>
                    </w:p>
                    <w:p w:rsidR="00A472D8" w:rsidRPr="00D43E45" w:rsidRDefault="00A472D8" w:rsidP="00EC01C3">
                      <w:pPr>
                        <w:pStyle w:val="Hlistbullet"/>
                        <w:rPr>
                          <w:i/>
                          <w:sz w:val="18"/>
                        </w:rPr>
                      </w:pPr>
                      <w:r>
                        <w:t>novērtēšanai vajadzīgo datu pieejamību un kvalitāti.</w:t>
                      </w:r>
                    </w:p>
                    <w:p w:rsidR="00A472D8" w:rsidRPr="00E53246" w:rsidRDefault="00A472D8" w:rsidP="00EC01C3">
                      <w:pPr>
                        <w:pStyle w:val="HHeading4"/>
                        <w:spacing w:before="0"/>
                        <w:jc w:val="both"/>
                        <w:rPr>
                          <w:b w:val="0"/>
                          <w:color w:val="373737" w:themeColor="text1"/>
                        </w:rPr>
                      </w:pPr>
                      <w:r>
                        <w:rPr>
                          <w:b w:val="0"/>
                          <w:color w:val="373737" w:themeColor="text1"/>
                        </w:rPr>
                        <w:t>Šajās pamatnostādnēs izklāstītajiem loģikas modeļiem būtu jākļūst par noderīgiem rīkiem, ar kuriem vērtētāji nosaka novērtēšanas iespējas reālās pasaules attiecīgajā kontekstā.</w:t>
                      </w:r>
                    </w:p>
                  </w:txbxContent>
                </v:textbox>
                <w10:anchorlock/>
              </v:shape>
            </w:pict>
          </mc:Fallback>
        </mc:AlternateContent>
      </w:r>
    </w:p>
    <w:p w:rsidR="003F30B5" w:rsidRDefault="003F30B5">
      <w:pPr>
        <w:spacing w:before="0" w:after="0" w:line="240" w:lineRule="auto"/>
        <w:jc w:val="left"/>
        <w:rPr>
          <w:color w:val="373737" w:themeColor="text1"/>
          <w:sz w:val="20"/>
          <w:szCs w:val="20"/>
        </w:rPr>
      </w:pPr>
    </w:p>
    <w:sectPr w:rsidR="003F30B5" w:rsidSect="005F79DE">
      <w:headerReference w:type="default" r:id="rId70"/>
      <w:pgSz w:w="11906" w:h="16838" w:code="9"/>
      <w:pgMar w:top="1440" w:right="1440" w:bottom="1134" w:left="1440" w:header="567"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2202" w:rsidRDefault="000D2202">
      <w:pPr>
        <w:spacing w:before="0" w:after="0" w:line="240" w:lineRule="auto"/>
      </w:pPr>
      <w:r>
        <w:separator/>
      </w:r>
    </w:p>
  </w:endnote>
  <w:endnote w:type="continuationSeparator" w:id="0">
    <w:p w:rsidR="000D2202" w:rsidRDefault="000D22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DokChampa">
    <w:charset w:val="00"/>
    <w:family w:val="swiss"/>
    <w:pitch w:val="variable"/>
    <w:sig w:usb0="03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2D8" w:rsidRDefault="00A472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2D8" w:rsidRDefault="00A472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2427707"/>
      <w:docPartObj>
        <w:docPartGallery w:val="Page Numbers (Bottom of Page)"/>
        <w:docPartUnique/>
      </w:docPartObj>
    </w:sdtPr>
    <w:sdtEndPr>
      <w:rPr>
        <w:noProof/>
      </w:rPr>
    </w:sdtEndPr>
    <w:sdtContent>
      <w:p w:rsidR="00A472D8" w:rsidRDefault="00A472D8">
        <w:pPr>
          <w:pStyle w:val="Footer"/>
        </w:pPr>
        <w:r>
          <w:fldChar w:fldCharType="begin"/>
        </w:r>
        <w:r>
          <w:instrText xml:space="preserve"> PAGE   \* MERGEFORMAT </w:instrText>
        </w:r>
        <w:r>
          <w:fldChar w:fldCharType="separate"/>
        </w:r>
        <w:r w:rsidR="00240D34">
          <w:rPr>
            <w:noProof/>
          </w:rPr>
          <w:t>1</w:t>
        </w:r>
        <w:r>
          <w:rPr>
            <w:noProof/>
          </w:rPr>
          <w:fldChar w:fldCharType="end"/>
        </w:r>
      </w:p>
    </w:sdtContent>
  </w:sdt>
  <w:p w:rsidR="00A472D8" w:rsidRDefault="00A472D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2D8" w:rsidRDefault="00A472D8">
    <w:pPr>
      <w:pStyle w:val="Footer"/>
    </w:pPr>
  </w:p>
  <w:p w:rsidR="00A472D8" w:rsidRDefault="00A472D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3635045"/>
      <w:docPartObj>
        <w:docPartGallery w:val="Page Numbers (Bottom of Page)"/>
        <w:docPartUnique/>
      </w:docPartObj>
    </w:sdtPr>
    <w:sdtEndPr>
      <w:rPr>
        <w:noProof/>
      </w:rPr>
    </w:sdtEndPr>
    <w:sdtContent>
      <w:p w:rsidR="00A472D8" w:rsidRDefault="00A472D8">
        <w:pPr>
          <w:pStyle w:val="Footer"/>
        </w:pPr>
        <w:r>
          <w:fldChar w:fldCharType="begin"/>
        </w:r>
        <w:r>
          <w:instrText xml:space="preserve"> PAGE   \* MERGEFORMAT </w:instrText>
        </w:r>
        <w:r>
          <w:fldChar w:fldCharType="separate"/>
        </w:r>
        <w:r w:rsidR="00240D34">
          <w:rPr>
            <w:noProof/>
          </w:rPr>
          <w:t>25</w:t>
        </w:r>
        <w:r>
          <w:rPr>
            <w:noProof/>
          </w:rPr>
          <w:fldChar w:fldCharType="end"/>
        </w:r>
      </w:p>
    </w:sdtContent>
  </w:sdt>
  <w:p w:rsidR="00A472D8" w:rsidRDefault="00A472D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0787632"/>
      <w:docPartObj>
        <w:docPartGallery w:val="Page Numbers (Bottom of Page)"/>
        <w:docPartUnique/>
      </w:docPartObj>
    </w:sdtPr>
    <w:sdtEndPr>
      <w:rPr>
        <w:noProof/>
      </w:rPr>
    </w:sdtEndPr>
    <w:sdtContent>
      <w:p w:rsidR="00A472D8" w:rsidRDefault="00A472D8">
        <w:pPr>
          <w:pStyle w:val="Footer"/>
        </w:pPr>
        <w:r>
          <w:fldChar w:fldCharType="begin"/>
        </w:r>
        <w:r>
          <w:instrText xml:space="preserve"> PAGE   \* MERGEFORMAT </w:instrText>
        </w:r>
        <w:r>
          <w:fldChar w:fldCharType="separate"/>
        </w:r>
        <w:r w:rsidR="00240D34">
          <w:rPr>
            <w:noProof/>
          </w:rPr>
          <w:t>1</w:t>
        </w:r>
        <w:r>
          <w:rPr>
            <w:noProof/>
          </w:rPr>
          <w:fldChar w:fldCharType="end"/>
        </w:r>
      </w:p>
    </w:sdtContent>
  </w:sdt>
  <w:p w:rsidR="00A472D8" w:rsidRDefault="00A472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2202" w:rsidRPr="005B2AAC" w:rsidRDefault="000D2202">
      <w:pPr>
        <w:spacing w:before="0" w:after="0" w:line="240" w:lineRule="auto"/>
        <w:rPr>
          <w:color w:val="F07E31" w:themeColor="accent1"/>
        </w:rPr>
      </w:pPr>
      <w:r>
        <w:rPr>
          <w:color w:val="F07E31" w:themeColor="accent1"/>
        </w:rPr>
        <w:separator/>
      </w:r>
    </w:p>
  </w:footnote>
  <w:footnote w:type="continuationSeparator" w:id="0">
    <w:p w:rsidR="000D2202" w:rsidRDefault="000D2202">
      <w:pPr>
        <w:spacing w:before="0" w:after="0" w:line="240" w:lineRule="auto"/>
      </w:pPr>
      <w:r>
        <w:continuationSeparator/>
      </w:r>
    </w:p>
  </w:footnote>
  <w:footnote w:id="1">
    <w:p w:rsidR="00A472D8" w:rsidRPr="003563F4" w:rsidRDefault="00A472D8">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Regulas (ES) Nr. 1303/2013 54. pants un 56. panta 3. punkts.</w:t>
      </w:r>
    </w:p>
  </w:footnote>
  <w:footnote w:id="2">
    <w:p w:rsidR="00A472D8" w:rsidRPr="00E53246" w:rsidRDefault="00A472D8" w:rsidP="00CD63F6">
      <w:pPr>
        <w:pStyle w:val="FootnoteText"/>
      </w:pPr>
      <w:r>
        <w:rPr>
          <w:rStyle w:val="FootnoteReference"/>
          <w:color w:val="878787" w:themeColor="text2" w:themeTint="99"/>
        </w:rPr>
        <w:footnoteRef/>
      </w:r>
      <w:r>
        <w:rPr>
          <w:color w:val="878787" w:themeColor="text2" w:themeTint="99"/>
        </w:rPr>
        <w:t xml:space="preserve"> Regulas (ES) Nr. 808/2014 VII pielikums.</w:t>
      </w:r>
    </w:p>
  </w:footnote>
  <w:footnote w:id="3">
    <w:p w:rsidR="00A472D8" w:rsidRPr="003563F4" w:rsidRDefault="00A472D8" w:rsidP="001C2076">
      <w:pPr>
        <w:pStyle w:val="FootnoteText"/>
        <w:rPr>
          <w:color w:val="878787" w:themeColor="text2" w:themeTint="99"/>
        </w:rPr>
      </w:pPr>
      <w:r>
        <w:rPr>
          <w:color w:val="878787" w:themeColor="text2" w:themeTint="99"/>
          <w:vertAlign w:val="superscript"/>
        </w:rPr>
        <w:footnoteRef/>
      </w:r>
      <w:r>
        <w:rPr>
          <w:color w:val="878787" w:themeColor="text2" w:themeTint="99"/>
        </w:rPr>
        <w:t xml:space="preserve"> </w:t>
      </w:r>
      <w:hyperlink r:id="rId1">
        <w:r>
          <w:rPr>
            <w:color w:val="878787" w:themeColor="text2" w:themeTint="99"/>
          </w:rPr>
          <w:t>Regulas (ES) Nr. 1305/2013</w:t>
        </w:r>
      </w:hyperlink>
      <w:r>
        <w:t xml:space="preserve"> 75. pants.</w:t>
      </w:r>
    </w:p>
  </w:footnote>
  <w:footnote w:id="4">
    <w:p w:rsidR="00A472D8" w:rsidRPr="003563F4" w:rsidRDefault="00A472D8" w:rsidP="00BA41C1">
      <w:pPr>
        <w:pStyle w:val="FootnoteText"/>
        <w:rPr>
          <w:color w:val="878787" w:themeColor="text2" w:themeTint="99"/>
        </w:rPr>
      </w:pPr>
      <w:r>
        <w:rPr>
          <w:color w:val="878787" w:themeColor="text2" w:themeTint="99"/>
          <w:vertAlign w:val="superscript"/>
        </w:rPr>
        <w:footnoteRef/>
      </w:r>
      <w:r>
        <w:rPr>
          <w:color w:val="878787" w:themeColor="text2" w:themeTint="99"/>
          <w:vertAlign w:val="superscript"/>
        </w:rPr>
        <w:t xml:space="preserve"> </w:t>
      </w:r>
      <w:hyperlink r:id="rId2">
        <w:r>
          <w:rPr>
            <w:rStyle w:val="Hyperlink"/>
            <w:color w:val="878787" w:themeColor="text2" w:themeTint="99"/>
            <w:sz w:val="16"/>
            <w:u w:val="none"/>
          </w:rPr>
          <w:t xml:space="preserve">Pamatnostādnes “2014.–2020. gada LAP novērtēšanas plāna izstrāde un īstenošana”. </w:t>
        </w:r>
      </w:hyperlink>
    </w:p>
  </w:footnote>
  <w:footnote w:id="5">
    <w:p w:rsidR="00A472D8" w:rsidRPr="003563F4" w:rsidRDefault="00A472D8" w:rsidP="00BA41C1">
      <w:pPr>
        <w:pStyle w:val="FootnoteText"/>
        <w:rPr>
          <w:color w:val="878787" w:themeColor="text2" w:themeTint="99"/>
        </w:rPr>
      </w:pPr>
      <w:r>
        <w:rPr>
          <w:color w:val="878787" w:themeColor="text2" w:themeTint="99"/>
          <w:vertAlign w:val="superscript"/>
        </w:rPr>
        <w:footnoteRef/>
      </w:r>
      <w:r>
        <w:rPr>
          <w:color w:val="878787" w:themeColor="text2" w:themeTint="99"/>
        </w:rPr>
        <w:t xml:space="preserve"> </w:t>
      </w:r>
      <w:hyperlink r:id="rId3">
        <w:r>
          <w:rPr>
            <w:rStyle w:val="Hyperlink"/>
            <w:color w:val="878787" w:themeColor="text2" w:themeTint="99"/>
            <w:sz w:val="16"/>
            <w:u w:val="none"/>
          </w:rPr>
          <w:t>Komisijas Īstenošanas regulas (ES) Nr. 808/2014 I pielikuma 9. punkts un VII pielikuma 7. punkts</w:t>
        </w:r>
      </w:hyperlink>
      <w:r>
        <w:rPr>
          <w:rStyle w:val="Hyperlink"/>
          <w:color w:val="878787" w:themeColor="text2" w:themeTint="99"/>
          <w:sz w:val="16"/>
          <w:u w:val="none"/>
        </w:rPr>
        <w:t>.</w:t>
      </w:r>
    </w:p>
  </w:footnote>
  <w:footnote w:id="6">
    <w:p w:rsidR="00A472D8" w:rsidRPr="003563F4" w:rsidRDefault="00A472D8" w:rsidP="000D3DB8">
      <w:pPr>
        <w:pStyle w:val="FootnoteText"/>
        <w:ind w:left="142" w:hanging="142"/>
        <w:rPr>
          <w:color w:val="878787" w:themeColor="text2" w:themeTint="99"/>
        </w:rPr>
      </w:pPr>
      <w:r>
        <w:rPr>
          <w:i/>
          <w:color w:val="878787" w:themeColor="text2" w:themeTint="99"/>
          <w:vertAlign w:val="superscript"/>
        </w:rPr>
        <w:footnoteRef/>
      </w:r>
      <w:r>
        <w:rPr>
          <w:color w:val="878787" w:themeColor="text2" w:themeTint="99"/>
          <w:vertAlign w:val="superscript"/>
        </w:rPr>
        <w:t xml:space="preserve"> </w:t>
      </w:r>
      <w:r>
        <w:t xml:space="preserve">Novērtēšanas palīdzības dienests apkopoja 2017. gadā iesniegto GĪZ konstatējumus </w:t>
      </w:r>
      <w:hyperlink r:id="rId4">
        <w:r>
          <w:rPr>
            <w:color w:val="878787" w:themeColor="text2" w:themeTint="99"/>
          </w:rPr>
          <w:t>kopsavilkuma ziņojumā par 2017. gada pastiprināto GĪZ novērtēšanas komponentēm: 7. nodaļa</w:t>
        </w:r>
      </w:hyperlink>
      <w:r>
        <w:rPr>
          <w:color w:val="878787" w:themeColor="text2" w:themeTint="99"/>
        </w:rPr>
        <w:t>.</w:t>
      </w:r>
    </w:p>
  </w:footnote>
  <w:footnote w:id="7">
    <w:p w:rsidR="00A472D8" w:rsidRPr="00E53246" w:rsidRDefault="00A472D8">
      <w:pPr>
        <w:pStyle w:val="FootnoteText"/>
      </w:pPr>
      <w:r>
        <w:rPr>
          <w:i/>
          <w:color w:val="878787" w:themeColor="text2" w:themeTint="99"/>
          <w:vertAlign w:val="superscript"/>
        </w:rPr>
        <w:footnoteRef/>
      </w:r>
      <w:r>
        <w:rPr>
          <w:color w:val="878787" w:themeColor="text2" w:themeTint="99"/>
          <w:vertAlign w:val="superscript"/>
        </w:rPr>
        <w:t xml:space="preserve"> </w:t>
      </w:r>
      <w:r>
        <w:rPr>
          <w:color w:val="878787" w:themeColor="text2" w:themeTint="99"/>
        </w:rPr>
        <w:t>Regulas (ES) Nr. 808/2014 VII pielikums.</w:t>
      </w:r>
    </w:p>
  </w:footnote>
  <w:footnote w:id="8">
    <w:p w:rsidR="00A472D8" w:rsidRPr="003563F4" w:rsidRDefault="00A472D8" w:rsidP="00BA41C1">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w:t>
      </w:r>
      <w:hyperlink r:id="rId5">
        <w:r>
          <w:rPr>
            <w:color w:val="878787" w:themeColor="text2" w:themeTint="99"/>
          </w:rPr>
          <w:t>Regulas (ES) Nr. 1305/2014 67.–79. pants</w:t>
        </w:r>
      </w:hyperlink>
      <w:r>
        <w:rPr>
          <w:color w:val="878787" w:themeColor="text2" w:themeTint="99"/>
        </w:rPr>
        <w:t xml:space="preserve">, </w:t>
      </w:r>
      <w:hyperlink r:id="rId6">
        <w:r>
          <w:rPr>
            <w:color w:val="878787" w:themeColor="text2" w:themeTint="99"/>
          </w:rPr>
          <w:t>Regulas (ES) Nr. 1306/2013 110. pants,</w:t>
        </w:r>
      </w:hyperlink>
      <w:r>
        <w:rPr>
          <w:color w:val="878787" w:themeColor="text2" w:themeTint="99"/>
        </w:rPr>
        <w:t xml:space="preserve"> </w:t>
      </w:r>
      <w:hyperlink r:id="rId7">
        <w:r>
          <w:rPr>
            <w:color w:val="878787" w:themeColor="text2" w:themeTint="99"/>
          </w:rPr>
          <w:t>Regulas (ES) Nr. 834/2014 1. panta a) punkts un I pielikums</w:t>
        </w:r>
      </w:hyperlink>
      <w:r>
        <w:rPr>
          <w:color w:val="878787" w:themeColor="text2" w:themeTint="99"/>
        </w:rPr>
        <w:t xml:space="preserve">, </w:t>
      </w:r>
      <w:hyperlink r:id="rId8">
        <w:r>
          <w:rPr>
            <w:color w:val="878787" w:themeColor="text2" w:themeTint="99"/>
          </w:rPr>
          <w:t>Regulas (ES) Nr. 808/2014 14. pants un IV, V, VI un VII pielikums</w:t>
        </w:r>
      </w:hyperlink>
      <w:r>
        <w:rPr>
          <w:color w:val="878787" w:themeColor="text2" w:themeTint="99"/>
        </w:rPr>
        <w:t>.</w:t>
      </w:r>
    </w:p>
  </w:footnote>
  <w:footnote w:id="9">
    <w:p w:rsidR="00A472D8" w:rsidRPr="003563F4" w:rsidRDefault="00A472D8"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Regulas (ES) Nr. 1303/2013 54. pants.</w:t>
      </w:r>
    </w:p>
  </w:footnote>
  <w:footnote w:id="10">
    <w:p w:rsidR="00A472D8" w:rsidRPr="003563F4" w:rsidRDefault="00A472D8"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Regulas (ES) Nr. 1303/2013 56. pants.</w:t>
      </w:r>
    </w:p>
  </w:footnote>
  <w:footnote w:id="11">
    <w:p w:rsidR="00A472D8" w:rsidRPr="003563F4" w:rsidRDefault="00A472D8"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Regulas (ES) Nr. 1306/2013 110. pants.</w:t>
      </w:r>
    </w:p>
  </w:footnote>
  <w:footnote w:id="12">
    <w:p w:rsidR="00A472D8" w:rsidRPr="003563F4" w:rsidRDefault="00A472D8"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Regulas (ES) Nr. 1306/2013 110. panta 3. punkts un 110. panta 4. punkts.</w:t>
      </w:r>
    </w:p>
  </w:footnote>
  <w:footnote w:id="13">
    <w:p w:rsidR="00A472D8" w:rsidRPr="003563F4" w:rsidRDefault="00A472D8"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Regulas (ES) Nr. 1305/2013 67. un 68. pants.</w:t>
      </w:r>
    </w:p>
  </w:footnote>
  <w:footnote w:id="14">
    <w:p w:rsidR="00A472D8" w:rsidRPr="00E53246" w:rsidRDefault="00A472D8" w:rsidP="001C2076">
      <w:pPr>
        <w:pStyle w:val="FootnoteText"/>
      </w:pPr>
      <w:r>
        <w:rPr>
          <w:rStyle w:val="FootnoteReference"/>
          <w:color w:val="878787" w:themeColor="text2" w:themeTint="99"/>
        </w:rPr>
        <w:footnoteRef/>
      </w:r>
      <w:r>
        <w:rPr>
          <w:color w:val="878787" w:themeColor="text2" w:themeTint="99"/>
        </w:rPr>
        <w:t xml:space="preserve"> Regulas (ES) Nr. 1305/2013 69. pants.</w:t>
      </w:r>
    </w:p>
  </w:footnote>
  <w:footnote w:id="15">
    <w:p w:rsidR="00A472D8" w:rsidRPr="003563F4" w:rsidRDefault="00A472D8" w:rsidP="00693C0D">
      <w:pPr>
        <w:pStyle w:val="FootnoteText"/>
        <w:rPr>
          <w:color w:val="878787" w:themeColor="text2" w:themeTint="99"/>
        </w:rPr>
      </w:pPr>
      <w:r>
        <w:rPr>
          <w:rStyle w:val="FootnoteReference"/>
          <w:i w:val="0"/>
          <w:color w:val="878787" w:themeColor="text2" w:themeTint="99"/>
          <w:position w:val="0"/>
        </w:rPr>
        <w:footnoteRef/>
      </w:r>
      <w:r>
        <w:rPr>
          <w:color w:val="878787" w:themeColor="text2" w:themeTint="99"/>
        </w:rPr>
        <w:t xml:space="preserve"> </w:t>
      </w:r>
      <w:hyperlink r:id="rId9">
        <w:r w:rsidRPr="00F67434">
          <w:rPr>
            <w:i/>
            <w:iCs/>
            <w:color w:val="878787" w:themeColor="text2" w:themeTint="99"/>
          </w:rPr>
          <w:t xml:space="preserve"> </w:t>
        </w:r>
        <w:r w:rsidRPr="00F67434">
          <w:rPr>
            <w:i/>
            <w:iCs/>
            <w:color w:val="878787" w:themeColor="text2" w:themeTint="99"/>
          </w:rPr>
          <w:t>Technical Handbook on the Monitoring and Evaluation of the Common Agriculture Policy 2014-2020</w:t>
        </w:r>
        <w:r>
          <w:rPr>
            <w:color w:val="878787" w:themeColor="text2" w:themeTint="99"/>
          </w:rPr>
          <w:t>, Eiropas Komisija, 2017. gada jūnijs</w:t>
        </w:r>
      </w:hyperlink>
      <w:r>
        <w:rPr>
          <w:rStyle w:val="Hyperlink"/>
          <w:color w:val="878787" w:themeColor="text2" w:themeTint="99"/>
          <w:sz w:val="16"/>
          <w:u w:val="none"/>
        </w:rPr>
        <w:t>.</w:t>
      </w:r>
    </w:p>
  </w:footnote>
  <w:footnote w:id="16">
    <w:p w:rsidR="00A472D8" w:rsidRPr="003563F4" w:rsidRDefault="00A472D8"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Regulas (ES) Nr. 808/2014 14. pants.</w:t>
      </w:r>
    </w:p>
  </w:footnote>
  <w:footnote w:id="17">
    <w:p w:rsidR="00A472D8" w:rsidRPr="003563F4" w:rsidRDefault="00A472D8"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Regulas (ES) Nr. 808/2014 IV pielikums.</w:t>
      </w:r>
    </w:p>
  </w:footnote>
  <w:footnote w:id="18">
    <w:p w:rsidR="00A472D8" w:rsidRPr="003563F4" w:rsidRDefault="00A472D8"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Regulas (ES) Nr. 808/2014 V pielikums.</w:t>
      </w:r>
    </w:p>
  </w:footnote>
  <w:footnote w:id="19">
    <w:p w:rsidR="00A472D8" w:rsidRPr="003563F4" w:rsidRDefault="00A472D8"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Regulas (ES) Nr. 808/2014 VII pielikuma 2. punkts.</w:t>
      </w:r>
    </w:p>
  </w:footnote>
  <w:footnote w:id="20">
    <w:p w:rsidR="00A472D8" w:rsidRPr="003563F4" w:rsidRDefault="00A472D8"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Regulas (ES) Nr. 808/2014 I pielikuma I daļas 9. punkts.</w:t>
      </w:r>
    </w:p>
  </w:footnote>
  <w:footnote w:id="21">
    <w:p w:rsidR="00A472D8" w:rsidRPr="003563F4" w:rsidRDefault="00A472D8"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Regulas (ES) Nr. 808/2014 VII pielikuma 7. punkts.</w:t>
      </w:r>
    </w:p>
  </w:footnote>
  <w:footnote w:id="22">
    <w:p w:rsidR="00A472D8" w:rsidRPr="00E53246" w:rsidRDefault="00A472D8" w:rsidP="00FC0340">
      <w:pPr>
        <w:pStyle w:val="FootnoteText"/>
      </w:pPr>
      <w:r>
        <w:rPr>
          <w:rStyle w:val="FootnoteReference"/>
          <w:color w:val="878787" w:themeColor="text2" w:themeTint="99"/>
        </w:rPr>
        <w:footnoteRef/>
      </w:r>
      <w:r>
        <w:rPr>
          <w:color w:val="878787" w:themeColor="text2" w:themeTint="99"/>
        </w:rPr>
        <w:t xml:space="preserve"> Regulas (ES) Nr. 808/2014 VI pielikums.</w:t>
      </w:r>
    </w:p>
  </w:footnote>
  <w:footnote w:id="23">
    <w:p w:rsidR="00A472D8" w:rsidRPr="00E53246" w:rsidRDefault="00A472D8">
      <w:pPr>
        <w:pStyle w:val="FootnoteText"/>
      </w:pPr>
      <w:r>
        <w:rPr>
          <w:rStyle w:val="FootnoteReference"/>
          <w:color w:val="878787" w:themeColor="text2" w:themeTint="99"/>
        </w:rPr>
        <w:footnoteRef/>
      </w:r>
      <w:r>
        <w:rPr>
          <w:color w:val="878787" w:themeColor="text2" w:themeTint="99"/>
        </w:rPr>
        <w:t xml:space="preserve"> </w:t>
      </w:r>
      <w:hyperlink r:id="rId10">
        <w:r>
          <w:rPr>
            <w:color w:val="878787" w:themeColor="text2" w:themeTint="99"/>
          </w:rPr>
          <w:t xml:space="preserve"> </w:t>
        </w:r>
        <w:r w:rsidRPr="00F67434">
          <w:rPr>
            <w:i/>
            <w:iCs/>
            <w:color w:val="878787" w:themeColor="text2" w:themeTint="99"/>
          </w:rPr>
          <w:t>Technical Handbook on the Monitoring and Evaluation of the Common Agriculture Policy 2014-2020</w:t>
        </w:r>
        <w:r>
          <w:rPr>
            <w:color w:val="878787" w:themeColor="text2" w:themeTint="99"/>
          </w:rPr>
          <w:t>, Eiropas Komisija, 2017. gada jūnijs</w:t>
        </w:r>
      </w:hyperlink>
      <w:r>
        <w:rPr>
          <w:rStyle w:val="Hyperlink"/>
          <w:color w:val="878787" w:themeColor="text2" w:themeTint="99"/>
          <w:sz w:val="16"/>
          <w:u w:val="none"/>
        </w:rPr>
        <w:t>.</w:t>
      </w:r>
    </w:p>
  </w:footnote>
  <w:footnote w:id="24">
    <w:p w:rsidR="00A472D8" w:rsidRPr="000D3DB8" w:rsidRDefault="00A472D8" w:rsidP="00176032">
      <w:pPr>
        <w:pStyle w:val="FootnoteText"/>
        <w:rPr>
          <w:rStyle w:val="Hyperlink"/>
          <w:sz w:val="16"/>
          <w:szCs w:val="16"/>
        </w:rPr>
      </w:pPr>
      <w:r>
        <w:rPr>
          <w:rStyle w:val="FootnoteReference"/>
          <w:color w:val="878787" w:themeColor="text2" w:themeTint="99"/>
        </w:rPr>
        <w:footnoteRef/>
      </w:r>
      <w:r>
        <w:rPr>
          <w:color w:val="878787" w:themeColor="text2" w:themeTint="99"/>
        </w:rPr>
        <w:t xml:space="preserve"> </w:t>
      </w:r>
      <w:r>
        <w:t xml:space="preserve">Papildu informāciju par vērtēšanas ciklu skatīt pamatnostādnēs </w:t>
      </w:r>
      <w:hyperlink r:id="rId11">
        <w:r>
          <w:rPr>
            <w:rStyle w:val="Hyperlink"/>
            <w:sz w:val="16"/>
          </w:rPr>
          <w:t>"LAP rezultātu izvērtēšana: kā sagatavoties ziņošanai par novērtējumu 2017. gadā"</w:t>
        </w:r>
      </w:hyperlink>
      <w:r>
        <w:rPr>
          <w:rStyle w:val="Hyperlink"/>
          <w:sz w:val="16"/>
        </w:rPr>
        <w:t>.</w:t>
      </w:r>
    </w:p>
  </w:footnote>
  <w:footnote w:id="25">
    <w:p w:rsidR="00A472D8" w:rsidRPr="00E53246" w:rsidRDefault="00A472D8" w:rsidP="000D3DB8">
      <w:pPr>
        <w:pStyle w:val="FootnoteText"/>
      </w:pPr>
      <w:r>
        <w:rPr>
          <w:rStyle w:val="FootnoteReference"/>
          <w:color w:val="878787" w:themeColor="text2" w:themeTint="99"/>
        </w:rPr>
        <w:footnoteRef/>
      </w:r>
      <w:r>
        <w:t xml:space="preserve"> VI — vadošā iestāde, UK — uzraudzības komiteja, MA — maksājumu aģentūra, vērt. v. — vērtēšanas vienība, NVG — novērtējuma vadības grupa, vērt. — vērtētāji, DS — datu sniedzēji, C — citi</w:t>
      </w:r>
      <w:r w:rsidR="00951208">
        <w:t>.</w:t>
      </w:r>
    </w:p>
  </w:footnote>
  <w:footnote w:id="26">
    <w:p w:rsidR="00A472D8" w:rsidRPr="00274AB7" w:rsidRDefault="00A472D8">
      <w:pPr>
        <w:pStyle w:val="FootnoteText"/>
      </w:pPr>
      <w:r>
        <w:rPr>
          <w:rStyle w:val="FootnoteReference"/>
          <w:color w:val="878787" w:themeColor="text2" w:themeTint="99"/>
        </w:rPr>
        <w:footnoteRef/>
      </w:r>
      <w:r>
        <w:rPr>
          <w:color w:val="878787" w:themeColor="text2" w:themeTint="99"/>
        </w:rPr>
        <w:t xml:space="preserve"> </w:t>
      </w:r>
      <w:r>
        <w:rPr>
          <w:i/>
          <w:color w:val="878787" w:themeColor="text2" w:themeTint="99"/>
        </w:rPr>
        <w:t>ENVIEVAL</w:t>
      </w:r>
      <w:r w:rsidR="00951208">
        <w:rPr>
          <w:color w:val="878787" w:themeColor="text2" w:themeTint="99"/>
        </w:rPr>
        <w:t xml:space="preserve"> bija ES sadarbības projekts (d</w:t>
      </w:r>
      <w:r>
        <w:rPr>
          <w:color w:val="878787" w:themeColor="text2" w:themeTint="99"/>
        </w:rPr>
        <w:t>otācijas nolīgums Nr. 312071), kas no 2013. gada janvāra līdz 2015. gada decembrim saņēma finansējumu no Eiropas Savienības Septītās pamatprogrammas pētniecības, tehnoloģiju attīstības un demonstrāciju pasākumiem.</w:t>
      </w:r>
    </w:p>
  </w:footnote>
  <w:footnote w:id="27">
    <w:p w:rsidR="00A472D8" w:rsidRPr="00E53246" w:rsidRDefault="00A472D8">
      <w:pPr>
        <w:pStyle w:val="FootnoteText"/>
      </w:pPr>
      <w:r>
        <w:rPr>
          <w:rStyle w:val="FootnoteReference"/>
          <w:color w:val="878787" w:themeColor="text2" w:themeTint="99"/>
        </w:rPr>
        <w:footnoteRef/>
      </w:r>
      <w:r>
        <w:t xml:space="preserve"> </w:t>
      </w:r>
      <w:r w:rsidRPr="00F67434">
        <w:rPr>
          <w:i/>
          <w:iCs/>
        </w:rPr>
        <w:t>Methodological Handbook for the evaluation of environmental impacts of RDPs</w:t>
      </w:r>
      <w:r>
        <w:t xml:space="preserve">, D9.5 ziņojums, </w:t>
      </w:r>
      <w:r>
        <w:rPr>
          <w:i/>
        </w:rPr>
        <w:t>ENVIEVAL</w:t>
      </w:r>
      <w:r w:rsidR="00951208">
        <w:t xml:space="preserve"> projekts (d</w:t>
      </w:r>
      <w:r>
        <w:t xml:space="preserve">otācijas nolīgums Nr. 312071). Brisele: Eiropas Komisija, </w:t>
      </w:r>
      <w:r>
        <w:rPr>
          <w:i/>
        </w:rPr>
        <w:t>Morkvenas Z</w:t>
      </w:r>
      <w:r>
        <w:t xml:space="preserve">., </w:t>
      </w:r>
      <w:r>
        <w:rPr>
          <w:i/>
        </w:rPr>
        <w:t>Navickas K</w:t>
      </w:r>
      <w:r>
        <w:t xml:space="preserve">., </w:t>
      </w:r>
      <w:r>
        <w:rPr>
          <w:i/>
        </w:rPr>
        <w:t>Gulbinas J</w:t>
      </w:r>
      <w:r>
        <w:t xml:space="preserve">., </w:t>
      </w:r>
      <w:r>
        <w:rPr>
          <w:i/>
        </w:rPr>
        <w:t>Jefanovas A</w:t>
      </w:r>
      <w:r>
        <w:t xml:space="preserve">., </w:t>
      </w:r>
      <w:r>
        <w:rPr>
          <w:i/>
        </w:rPr>
        <w:t>Schwarz G</w:t>
      </w:r>
      <w:r>
        <w:t xml:space="preserve">., </w:t>
      </w:r>
      <w:r>
        <w:rPr>
          <w:i/>
        </w:rPr>
        <w:t>Wolff A</w:t>
      </w:r>
      <w:r>
        <w:t xml:space="preserve">., </w:t>
      </w:r>
      <w:r>
        <w:rPr>
          <w:i/>
        </w:rPr>
        <w:t>Offermann F</w:t>
      </w:r>
      <w:r>
        <w:t xml:space="preserve">., </w:t>
      </w:r>
      <w:r>
        <w:rPr>
          <w:i/>
        </w:rPr>
        <w:t>Osterburg B</w:t>
      </w:r>
      <w:r>
        <w:t xml:space="preserve">., </w:t>
      </w:r>
      <w:r>
        <w:rPr>
          <w:i/>
        </w:rPr>
        <w:t>Aalders I</w:t>
      </w:r>
      <w:r>
        <w:t xml:space="preserve">., </w:t>
      </w:r>
      <w:r>
        <w:rPr>
          <w:i/>
        </w:rPr>
        <w:t>Miller D</w:t>
      </w:r>
      <w:r>
        <w:t xml:space="preserve">., </w:t>
      </w:r>
      <w:r>
        <w:rPr>
          <w:i/>
        </w:rPr>
        <w:t>Morrice J</w:t>
      </w:r>
      <w:r>
        <w:t xml:space="preserve">., </w:t>
      </w:r>
      <w:r>
        <w:rPr>
          <w:i/>
        </w:rPr>
        <w:t>Vlahos G</w:t>
      </w:r>
      <w:r>
        <w:t xml:space="preserve">., </w:t>
      </w:r>
      <w:r>
        <w:rPr>
          <w:i/>
        </w:rPr>
        <w:t>Smyrniotopoulou A</w:t>
      </w:r>
      <w:r>
        <w:t xml:space="preserve">., </w:t>
      </w:r>
      <w:r>
        <w:rPr>
          <w:i/>
        </w:rPr>
        <w:t>Artell J</w:t>
      </w:r>
      <w:r>
        <w:t xml:space="preserve">., </w:t>
      </w:r>
      <w:r>
        <w:rPr>
          <w:i/>
        </w:rPr>
        <w:t>Aakkula J</w:t>
      </w:r>
      <w:r>
        <w:t xml:space="preserve">., </w:t>
      </w:r>
      <w:r>
        <w:rPr>
          <w:i/>
        </w:rPr>
        <w:t>Toikkanen H</w:t>
      </w:r>
      <w:r>
        <w:t xml:space="preserve">., </w:t>
      </w:r>
      <w:r>
        <w:rPr>
          <w:i/>
        </w:rPr>
        <w:t>Povellato A</w:t>
      </w:r>
      <w:r>
        <w:t xml:space="preserve">., </w:t>
      </w:r>
      <w:r>
        <w:rPr>
          <w:i/>
        </w:rPr>
        <w:t>Longhitano D</w:t>
      </w:r>
      <w:r>
        <w:t xml:space="preserve">., </w:t>
      </w:r>
      <w:r>
        <w:rPr>
          <w:i/>
        </w:rPr>
        <w:t>Lasorella V</w:t>
      </w:r>
      <w:r>
        <w:t xml:space="preserve">., </w:t>
      </w:r>
      <w:r>
        <w:rPr>
          <w:i/>
        </w:rPr>
        <w:t>Balazs K</w:t>
      </w:r>
      <w:r>
        <w:t>. un citi (2015), 152. lpp.</w:t>
      </w:r>
    </w:p>
  </w:footnote>
  <w:footnote w:id="28">
    <w:p w:rsidR="00A472D8" w:rsidRPr="00E53246" w:rsidRDefault="00A472D8" w:rsidP="00820050">
      <w:pPr>
        <w:pStyle w:val="FootnoteText"/>
      </w:pPr>
      <w:r>
        <w:rPr>
          <w:rStyle w:val="FootnoteReference"/>
          <w:color w:val="878787" w:themeColor="text2" w:themeTint="99"/>
        </w:rPr>
        <w:footnoteRef/>
      </w:r>
      <w:r>
        <w:rPr>
          <w:color w:val="878787" w:themeColor="text2" w:themeTint="99"/>
        </w:rPr>
        <w:t xml:space="preserve"> </w:t>
      </w:r>
      <w:r>
        <w:t xml:space="preserve">Soļi, kas jāizpilda LAP neto ietekmes izvērtēšanai, ir sīkāk izklāstīti </w:t>
      </w:r>
      <w:hyperlink r:id="rId12">
        <w:r>
          <w:rPr>
            <w:rStyle w:val="Hyperlink"/>
            <w:sz w:val="16"/>
          </w:rPr>
          <w:t>"Pamatnostādnēs par 2007.–2013. </w:t>
        </w:r>
        <w:r>
          <w:rPr>
            <w:rStyle w:val="Hyperlink"/>
            <w:sz w:val="16"/>
          </w:rPr>
          <w:t xml:space="preserve">gada LAP </w:t>
        </w:r>
        <w:r>
          <w:rPr>
            <w:rStyle w:val="Hyperlink"/>
            <w:i/>
            <w:sz w:val="16"/>
          </w:rPr>
          <w:t>ex post</w:t>
        </w:r>
        <w:r>
          <w:rPr>
            <w:rStyle w:val="Hyperlink"/>
            <w:sz w:val="16"/>
          </w:rPr>
          <w:t xml:space="preserve"> novērtējumu"</w:t>
        </w:r>
      </w:hyperlink>
      <w:r>
        <w:t>, proti, 4.2.3. un 4.2.4. nodaļā.</w:t>
      </w:r>
    </w:p>
  </w:footnote>
  <w:footnote w:id="29">
    <w:p w:rsidR="00A472D8" w:rsidRPr="003563F4" w:rsidRDefault="00A472D8" w:rsidP="00B9614C">
      <w:pPr>
        <w:pStyle w:val="FootnoteText"/>
      </w:pPr>
      <w:r>
        <w:rPr>
          <w:rStyle w:val="FootnoteReference"/>
          <w:color w:val="878787" w:themeColor="text2" w:themeTint="99"/>
        </w:rPr>
        <w:footnoteRef/>
      </w:r>
      <w:r>
        <w:t xml:space="preserve"> Sīkāku </w:t>
      </w:r>
      <w:r>
        <w:t xml:space="preserve">informāciju skatīt </w:t>
      </w:r>
      <w:r>
        <w:rPr>
          <w:i/>
        </w:rPr>
        <w:t>Landscape-moderated biodiversity effects of agri-environmental management:</w:t>
      </w:r>
      <w:r>
        <w:t xml:space="preserve"> </w:t>
      </w:r>
      <w:r>
        <w:rPr>
          <w:i/>
        </w:rPr>
        <w:t>a meta-analysis</w:t>
      </w:r>
      <w:r>
        <w:t xml:space="preserve">, </w:t>
      </w:r>
      <w:r>
        <w:rPr>
          <w:i/>
        </w:rPr>
        <w:t>Proceedings</w:t>
      </w:r>
      <w:r>
        <w:t xml:space="preserve">. </w:t>
      </w:r>
      <w:r>
        <w:rPr>
          <w:i/>
        </w:rPr>
        <w:t>Biological sciences / The Royal Society</w:t>
      </w:r>
      <w:r>
        <w:t xml:space="preserve">, 278(1713): 1894–1902, </w:t>
      </w:r>
      <w:r>
        <w:rPr>
          <w:i/>
        </w:rPr>
        <w:t>Batáry P</w:t>
      </w:r>
      <w:r>
        <w:t xml:space="preserve">., </w:t>
      </w:r>
      <w:r>
        <w:rPr>
          <w:i/>
        </w:rPr>
        <w:t>Báldi A</w:t>
      </w:r>
      <w:r>
        <w:t xml:space="preserve">., </w:t>
      </w:r>
      <w:r>
        <w:rPr>
          <w:i/>
        </w:rPr>
        <w:t>Kleijn D</w:t>
      </w:r>
      <w:r>
        <w:t xml:space="preserve">., </w:t>
      </w:r>
      <w:r>
        <w:rPr>
          <w:i/>
        </w:rPr>
        <w:t>Tscharntke T</w:t>
      </w:r>
      <w:r>
        <w:t xml:space="preserve">. (2011). </w:t>
      </w:r>
    </w:p>
  </w:footnote>
  <w:footnote w:id="30">
    <w:p w:rsidR="00A472D8" w:rsidRPr="00E53246" w:rsidRDefault="00A472D8" w:rsidP="00FC012D">
      <w:pPr>
        <w:pStyle w:val="FootnoteText"/>
      </w:pPr>
      <w:r>
        <w:rPr>
          <w:rStyle w:val="FootnoteReference"/>
          <w:color w:val="878787" w:themeColor="text2" w:themeTint="99"/>
        </w:rPr>
        <w:footnoteRef/>
      </w:r>
      <w:r>
        <w:rPr>
          <w:color w:val="878787" w:themeColor="text2" w:themeTint="99"/>
        </w:rPr>
        <w:t xml:space="preserve"> </w:t>
      </w:r>
      <w:r>
        <w:t xml:space="preserve">Sīkāku informāciju skatīt </w:t>
      </w:r>
      <w:r>
        <w:rPr>
          <w:i/>
        </w:rPr>
        <w:t>Organic farming at local and landscape scales benefits plant diversity, Ecography 33(3)</w:t>
      </w:r>
      <w:r>
        <w:t xml:space="preserve">: 514.– 522. lpp., </w:t>
      </w:r>
      <w:r>
        <w:rPr>
          <w:i/>
        </w:rPr>
        <w:t>Rundlöf M</w:t>
      </w:r>
      <w:r>
        <w:t xml:space="preserve">., </w:t>
      </w:r>
      <w:r>
        <w:rPr>
          <w:i/>
        </w:rPr>
        <w:t>Edlund M</w:t>
      </w:r>
      <w:r>
        <w:t xml:space="preserve">., </w:t>
      </w:r>
      <w:r>
        <w:rPr>
          <w:i/>
        </w:rPr>
        <w:t>Smith HG</w:t>
      </w:r>
      <w:r>
        <w:t xml:space="preserve">. (2009).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2D8" w:rsidRDefault="00A472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2D8" w:rsidRDefault="00A472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2D8" w:rsidRDefault="00A472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2D8" w:rsidRPr="00E4509B" w:rsidRDefault="00A472D8" w:rsidP="008D52EA">
    <w:pPr>
      <w:pStyle w:val="Header"/>
    </w:pPr>
    <w:r>
      <w:tab/>
      <w:t>I daļa. Par kuriem novērtēšanas aspektiem jāziņo GĪZ 2019. gadā?</w:t>
    </w:r>
  </w:p>
  <w:p w:rsidR="00A472D8" w:rsidRPr="002C3379" w:rsidRDefault="00A472D8" w:rsidP="00E4509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2D8" w:rsidRDefault="00A472D8" w:rsidP="000412E5">
    <w:pPr>
      <w:pStyle w:val="Header"/>
      <w:tabs>
        <w:tab w:val="clear" w:pos="9072"/>
        <w:tab w:val="right" w:pos="14175"/>
      </w:tabs>
    </w:pPr>
    <w:r>
      <w:tab/>
      <w:t>III. daļa. Datu lapas atbilžu sniegšanai uz KNJ</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01F6A078">
      <w:start w:val="1"/>
      <w:numFmt w:val="decimal"/>
      <w:pStyle w:val="HHeadingboxes"/>
      <w:lvlText w:val="Box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700E3"/>
    <w:multiLevelType w:val="hybridMultilevel"/>
    <w:tmpl w:val="4C805968"/>
    <w:lvl w:ilvl="0" w:tplc="12F6D094">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77E1094"/>
    <w:multiLevelType w:val="multilevel"/>
    <w:tmpl w:val="9552195C"/>
    <w:lvl w:ilvl="0">
      <w:start w:val="1"/>
      <w:numFmt w:val="decimal"/>
      <w:pStyle w:val="Subtitle"/>
      <w:lvlText w:val="Table %1"/>
      <w:lvlJc w:val="left"/>
      <w:pPr>
        <w:ind w:left="851" w:hanging="851"/>
      </w:pPr>
      <w:rPr>
        <w:rFonts w:ascii="Arial" w:hAnsi="Arial" w:cs="Times New Roman" w:hint="default"/>
        <w:b/>
        <w:bCs w:val="0"/>
        <w:i w:val="0"/>
        <w:iCs w:val="0"/>
        <w:caps w:val="0"/>
        <w:smallCaps w:val="0"/>
        <w:strike w:val="0"/>
        <w:dstrike w:val="0"/>
        <w:noProof w:val="0"/>
        <w:vanish w:val="0"/>
        <w:color w:val="000000"/>
        <w:spacing w:val="0"/>
        <w:kern w:val="0"/>
        <w:position w:val="0"/>
        <w:sz w:val="16"/>
        <w:szCs w:val="16"/>
        <w:u w:val="none"/>
        <w:effect w:val="none"/>
        <w:vertAlign w:val="baseline"/>
        <w:em w:val="none"/>
        <w:specVanish w:val="0"/>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rPr>
        <w:rFonts w:hint="default"/>
      </w:rPr>
    </w:lvl>
    <w:lvl w:ilvl="3">
      <w:start w:val="1"/>
      <w:numFmt w:val="decimal"/>
      <w:lvlText w:val="%4."/>
      <w:lvlJc w:val="left"/>
      <w:pPr>
        <w:ind w:left="3513" w:hanging="360"/>
      </w:pPr>
      <w:rPr>
        <w:rFonts w:hint="default"/>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
      <w:numFmt w:val="decimal"/>
      <w:lvlText w:val="%7."/>
      <w:lvlJc w:val="left"/>
      <w:pPr>
        <w:ind w:left="5673" w:hanging="360"/>
      </w:pPr>
      <w:rPr>
        <w:rFonts w:hint="default"/>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3" w15:restartNumberingAfterBreak="0">
    <w:nsid w:val="0AC8565D"/>
    <w:multiLevelType w:val="hybridMultilevel"/>
    <w:tmpl w:val="BB8A429A"/>
    <w:lvl w:ilvl="0" w:tplc="A49EE124">
      <w:start w:val="1"/>
      <w:numFmt w:val="decimal"/>
      <w:pStyle w:val="HHeadingmaps"/>
      <w:lvlText w:val="Map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DF342A9"/>
    <w:multiLevelType w:val="hybridMultilevel"/>
    <w:tmpl w:val="F04C2544"/>
    <w:lvl w:ilvl="0" w:tplc="8C24ADFE">
      <w:start w:val="1"/>
      <w:numFmt w:val="decimal"/>
      <w:lvlText w:val="%1."/>
      <w:lvlJc w:val="left"/>
      <w:pPr>
        <w:ind w:left="720" w:hanging="360"/>
      </w:pPr>
      <w:rPr>
        <w:rFonts w:hint="default"/>
        <w:u w:val="single"/>
      </w:rPr>
    </w:lvl>
    <w:lvl w:ilvl="1" w:tplc="041B0019">
      <w:start w:val="1"/>
      <w:numFmt w:val="lowerLetter"/>
      <w:lvlText w:val="%2."/>
      <w:lvlJc w:val="left"/>
      <w:pPr>
        <w:ind w:left="1440" w:hanging="360"/>
      </w:pPr>
    </w:lvl>
    <w:lvl w:ilvl="2" w:tplc="F7D8BF0E">
      <w:start w:val="1"/>
      <w:numFmt w:val="lowerLetter"/>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2CB28B3"/>
    <w:multiLevelType w:val="hybridMultilevel"/>
    <w:tmpl w:val="4A3C5D26"/>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7" w15:restartNumberingAfterBreak="0">
    <w:nsid w:val="1D101BF3"/>
    <w:multiLevelType w:val="hybridMultilevel"/>
    <w:tmpl w:val="4AE6BB48"/>
    <w:lvl w:ilvl="0" w:tplc="B016B200">
      <w:start w:val="1"/>
      <w:numFmt w:val="bullet"/>
      <w:pStyle w:val="HBoxbullet"/>
      <w:lvlText w:val=""/>
      <w:lvlJc w:val="left"/>
      <w:pPr>
        <w:ind w:left="440" w:hanging="360"/>
      </w:pPr>
      <w:rPr>
        <w:rFonts w:ascii="Symbol" w:hAnsi="Symbol" w:hint="default"/>
        <w:color w:val="57825E"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006F01"/>
    <w:multiLevelType w:val="hybridMultilevel"/>
    <w:tmpl w:val="DB9808B8"/>
    <w:lvl w:ilvl="0" w:tplc="455EAEA8">
      <w:start w:val="1"/>
      <w:numFmt w:val="bullet"/>
      <w:pStyle w:val="Hlistline3"/>
      <w:lvlText w:val="-"/>
      <w:lvlJc w:val="left"/>
      <w:pPr>
        <w:ind w:left="644" w:hanging="360"/>
      </w:pPr>
      <w:rPr>
        <w:rFonts w:ascii="Courier New" w:hAnsi="Courier New" w:hint="default"/>
        <w:color w:val="373737" w:themeColor="text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027FC8"/>
    <w:multiLevelType w:val="hybridMultilevel"/>
    <w:tmpl w:val="FA02B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BA4DA5"/>
    <w:multiLevelType w:val="multilevel"/>
    <w:tmpl w:val="0E4CF658"/>
    <w:styleLink w:val="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113FF8"/>
    <w:multiLevelType w:val="hybridMultilevel"/>
    <w:tmpl w:val="B9964EBC"/>
    <w:lvl w:ilvl="0" w:tplc="041B0001">
      <w:start w:val="1"/>
      <w:numFmt w:val="bullet"/>
      <w:lvlText w:val=""/>
      <w:lvlJc w:val="left"/>
      <w:pPr>
        <w:ind w:left="775" w:hanging="360"/>
      </w:pPr>
      <w:rPr>
        <w:rFonts w:ascii="Symbol" w:hAnsi="Symbol" w:hint="default"/>
      </w:rPr>
    </w:lvl>
    <w:lvl w:ilvl="1" w:tplc="041B0003" w:tentative="1">
      <w:start w:val="1"/>
      <w:numFmt w:val="bullet"/>
      <w:lvlText w:val="o"/>
      <w:lvlJc w:val="left"/>
      <w:pPr>
        <w:ind w:left="1495" w:hanging="360"/>
      </w:pPr>
      <w:rPr>
        <w:rFonts w:ascii="Courier New" w:hAnsi="Courier New" w:cs="Courier New" w:hint="default"/>
      </w:rPr>
    </w:lvl>
    <w:lvl w:ilvl="2" w:tplc="041B0005" w:tentative="1">
      <w:start w:val="1"/>
      <w:numFmt w:val="bullet"/>
      <w:lvlText w:val=""/>
      <w:lvlJc w:val="left"/>
      <w:pPr>
        <w:ind w:left="2215" w:hanging="360"/>
      </w:pPr>
      <w:rPr>
        <w:rFonts w:ascii="Wingdings" w:hAnsi="Wingdings" w:hint="default"/>
      </w:rPr>
    </w:lvl>
    <w:lvl w:ilvl="3" w:tplc="041B0001" w:tentative="1">
      <w:start w:val="1"/>
      <w:numFmt w:val="bullet"/>
      <w:lvlText w:val=""/>
      <w:lvlJc w:val="left"/>
      <w:pPr>
        <w:ind w:left="2935" w:hanging="360"/>
      </w:pPr>
      <w:rPr>
        <w:rFonts w:ascii="Symbol" w:hAnsi="Symbol" w:hint="default"/>
      </w:rPr>
    </w:lvl>
    <w:lvl w:ilvl="4" w:tplc="041B0003" w:tentative="1">
      <w:start w:val="1"/>
      <w:numFmt w:val="bullet"/>
      <w:lvlText w:val="o"/>
      <w:lvlJc w:val="left"/>
      <w:pPr>
        <w:ind w:left="3655" w:hanging="360"/>
      </w:pPr>
      <w:rPr>
        <w:rFonts w:ascii="Courier New" w:hAnsi="Courier New" w:cs="Courier New" w:hint="default"/>
      </w:rPr>
    </w:lvl>
    <w:lvl w:ilvl="5" w:tplc="041B0005" w:tentative="1">
      <w:start w:val="1"/>
      <w:numFmt w:val="bullet"/>
      <w:lvlText w:val=""/>
      <w:lvlJc w:val="left"/>
      <w:pPr>
        <w:ind w:left="4375" w:hanging="360"/>
      </w:pPr>
      <w:rPr>
        <w:rFonts w:ascii="Wingdings" w:hAnsi="Wingdings" w:hint="default"/>
      </w:rPr>
    </w:lvl>
    <w:lvl w:ilvl="6" w:tplc="041B0001" w:tentative="1">
      <w:start w:val="1"/>
      <w:numFmt w:val="bullet"/>
      <w:lvlText w:val=""/>
      <w:lvlJc w:val="left"/>
      <w:pPr>
        <w:ind w:left="5095" w:hanging="360"/>
      </w:pPr>
      <w:rPr>
        <w:rFonts w:ascii="Symbol" w:hAnsi="Symbol" w:hint="default"/>
      </w:rPr>
    </w:lvl>
    <w:lvl w:ilvl="7" w:tplc="041B0003" w:tentative="1">
      <w:start w:val="1"/>
      <w:numFmt w:val="bullet"/>
      <w:lvlText w:val="o"/>
      <w:lvlJc w:val="left"/>
      <w:pPr>
        <w:ind w:left="5815" w:hanging="360"/>
      </w:pPr>
      <w:rPr>
        <w:rFonts w:ascii="Courier New" w:hAnsi="Courier New" w:cs="Courier New" w:hint="default"/>
      </w:rPr>
    </w:lvl>
    <w:lvl w:ilvl="8" w:tplc="041B0005" w:tentative="1">
      <w:start w:val="1"/>
      <w:numFmt w:val="bullet"/>
      <w:lvlText w:val=""/>
      <w:lvlJc w:val="left"/>
      <w:pPr>
        <w:ind w:left="6535" w:hanging="360"/>
      </w:pPr>
      <w:rPr>
        <w:rFonts w:ascii="Wingdings" w:hAnsi="Wingdings" w:hint="default"/>
      </w:rPr>
    </w:lvl>
  </w:abstractNum>
  <w:abstractNum w:abstractNumId="12" w15:restartNumberingAfterBreak="0">
    <w:nsid w:val="310547BD"/>
    <w:multiLevelType w:val="hybridMultilevel"/>
    <w:tmpl w:val="E66C45A0"/>
    <w:lvl w:ilvl="0" w:tplc="FED03B72">
      <w:start w:val="1"/>
      <w:numFmt w:val="decimal"/>
      <w:pStyle w:val="HHeadingfigures"/>
      <w:lvlText w:val="%1. attēls."/>
      <w:lvlJc w:val="left"/>
      <w:pPr>
        <w:tabs>
          <w:tab w:val="num" w:pos="964"/>
        </w:tabs>
        <w:ind w:left="964" w:hanging="964"/>
      </w:pPr>
      <w:rPr>
        <w:rFonts w:hint="default"/>
        <w:b/>
        <w:bCs w:val="0"/>
        <w:i w:val="0"/>
        <w:iCs w:val="0"/>
        <w:caps w:val="0"/>
        <w:smallCaps w:val="0"/>
        <w:strike w:val="0"/>
        <w:dstrike w:val="0"/>
        <w:noProof w:val="0"/>
        <w:vanish w:val="0"/>
        <w:color w:val="373737" w:themeColor="text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BBC6932"/>
    <w:multiLevelType w:val="hybridMultilevel"/>
    <w:tmpl w:val="BBBE01C4"/>
    <w:lvl w:ilvl="0" w:tplc="91608FB0">
      <w:start w:val="1"/>
      <w:numFmt w:val="bullet"/>
      <w:pStyle w:val="Hlistbullet"/>
      <w:lvlText w:val=""/>
      <w:lvlJc w:val="left"/>
      <w:pPr>
        <w:ind w:left="928" w:hanging="360"/>
      </w:pPr>
      <w:rPr>
        <w:rFonts w:ascii="Symbol" w:hAnsi="Symbol" w:hint="default"/>
        <w:color w:val="57825E"/>
        <w:sz w:val="18"/>
        <w:szCs w:val="18"/>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677474"/>
    <w:multiLevelType w:val="hybridMultilevel"/>
    <w:tmpl w:val="9DC66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A72027"/>
    <w:multiLevelType w:val="hybridMultilevel"/>
    <w:tmpl w:val="54C67F92"/>
    <w:lvl w:ilvl="0" w:tplc="8982E262">
      <w:start w:val="1"/>
      <w:numFmt w:val="decimal"/>
      <w:pStyle w:val="HHeadingtables"/>
      <w:lvlText w:val="%1. tabula."/>
      <w:lvlJc w:val="left"/>
      <w:pPr>
        <w:ind w:left="360" w:hanging="360"/>
      </w:pPr>
      <w:rPr>
        <w:rFonts w:hint="default"/>
        <w:specVanish w:val="0"/>
      </w:rPr>
    </w:lvl>
    <w:lvl w:ilvl="1" w:tplc="04070019" w:tentative="1">
      <w:start w:val="1"/>
      <w:numFmt w:val="lowerLetter"/>
      <w:lvlText w:val="%2."/>
      <w:lvlJc w:val="left"/>
      <w:pPr>
        <w:ind w:left="-829" w:hanging="360"/>
      </w:pPr>
    </w:lvl>
    <w:lvl w:ilvl="2" w:tplc="0407001B" w:tentative="1">
      <w:start w:val="1"/>
      <w:numFmt w:val="lowerRoman"/>
      <w:lvlText w:val="%3."/>
      <w:lvlJc w:val="right"/>
      <w:pPr>
        <w:ind w:left="-109" w:hanging="180"/>
      </w:pPr>
    </w:lvl>
    <w:lvl w:ilvl="3" w:tplc="0407000F" w:tentative="1">
      <w:start w:val="1"/>
      <w:numFmt w:val="decimal"/>
      <w:lvlText w:val="%4."/>
      <w:lvlJc w:val="left"/>
      <w:pPr>
        <w:ind w:left="611" w:hanging="360"/>
      </w:pPr>
    </w:lvl>
    <w:lvl w:ilvl="4" w:tplc="04070019" w:tentative="1">
      <w:start w:val="1"/>
      <w:numFmt w:val="lowerLetter"/>
      <w:lvlText w:val="%5."/>
      <w:lvlJc w:val="left"/>
      <w:pPr>
        <w:ind w:left="1331" w:hanging="360"/>
      </w:pPr>
    </w:lvl>
    <w:lvl w:ilvl="5" w:tplc="0407001B" w:tentative="1">
      <w:start w:val="1"/>
      <w:numFmt w:val="lowerRoman"/>
      <w:lvlText w:val="%6."/>
      <w:lvlJc w:val="right"/>
      <w:pPr>
        <w:ind w:left="2051" w:hanging="180"/>
      </w:pPr>
    </w:lvl>
    <w:lvl w:ilvl="6" w:tplc="0407000F" w:tentative="1">
      <w:start w:val="1"/>
      <w:numFmt w:val="decimal"/>
      <w:lvlText w:val="%7."/>
      <w:lvlJc w:val="left"/>
      <w:pPr>
        <w:ind w:left="2771" w:hanging="360"/>
      </w:pPr>
    </w:lvl>
    <w:lvl w:ilvl="7" w:tplc="04070019" w:tentative="1">
      <w:start w:val="1"/>
      <w:numFmt w:val="lowerLetter"/>
      <w:lvlText w:val="%8."/>
      <w:lvlJc w:val="left"/>
      <w:pPr>
        <w:ind w:left="3491" w:hanging="360"/>
      </w:pPr>
    </w:lvl>
    <w:lvl w:ilvl="8" w:tplc="0407001B" w:tentative="1">
      <w:start w:val="1"/>
      <w:numFmt w:val="lowerRoman"/>
      <w:lvlText w:val="%9."/>
      <w:lvlJc w:val="right"/>
      <w:pPr>
        <w:ind w:left="4211" w:hanging="180"/>
      </w:pPr>
    </w:lvl>
  </w:abstractNum>
  <w:abstractNum w:abstractNumId="16" w15:restartNumberingAfterBreak="0">
    <w:nsid w:val="446B7352"/>
    <w:multiLevelType w:val="hybridMultilevel"/>
    <w:tmpl w:val="E758C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F8294A"/>
    <w:multiLevelType w:val="hybridMultilevel"/>
    <w:tmpl w:val="A61044DA"/>
    <w:lvl w:ilvl="0" w:tplc="C1BE37B8">
      <w:start w:val="1"/>
      <w:numFmt w:val="lowerLetter"/>
      <w:pStyle w:val="Hlistabc"/>
      <w:lvlText w:val="%1)"/>
      <w:lvlJc w:val="left"/>
      <w:pPr>
        <w:tabs>
          <w:tab w:val="num" w:pos="644"/>
        </w:tabs>
        <w:ind w:left="567" w:hanging="283"/>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C663347"/>
    <w:multiLevelType w:val="hybridMultilevel"/>
    <w:tmpl w:val="BEE86F04"/>
    <w:lvl w:ilvl="0" w:tplc="EAF66E3A">
      <w:start w:val="1"/>
      <w:numFmt w:val="bullet"/>
      <w:pStyle w:val="Hlistbullet2"/>
      <w:lvlText w:val="o"/>
      <w:lvlJc w:val="left"/>
      <w:pPr>
        <w:ind w:left="720" w:hanging="360"/>
      </w:pPr>
      <w:rPr>
        <w:rFonts w:ascii="Courier New" w:hAnsi="Courier New" w:hint="default"/>
        <w:color w:val="F07E31"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933F93"/>
    <w:multiLevelType w:val="hybridMultilevel"/>
    <w:tmpl w:val="3EFCB27A"/>
    <w:lvl w:ilvl="0" w:tplc="0809000F">
      <w:start w:val="1"/>
      <w:numFmt w:val="decimal"/>
      <w:lvlText w:val="%1."/>
      <w:lvlJc w:val="left"/>
      <w:pPr>
        <w:ind w:left="928" w:hanging="360"/>
      </w:pPr>
      <w:rPr>
        <w:rFonts w:hint="default"/>
        <w:color w:val="57825E"/>
        <w:sz w:val="18"/>
        <w:szCs w:val="18"/>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E973CF"/>
    <w:multiLevelType w:val="hybridMultilevel"/>
    <w:tmpl w:val="471E9ED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53FC3597"/>
    <w:multiLevelType w:val="hybridMultilevel"/>
    <w:tmpl w:val="33407086"/>
    <w:lvl w:ilvl="0" w:tplc="041B000F">
      <w:start w:val="1"/>
      <w:numFmt w:val="decimal"/>
      <w:lvlText w:val="%1."/>
      <w:lvlJc w:val="left"/>
      <w:pPr>
        <w:ind w:left="1571" w:hanging="360"/>
      </w:pPr>
    </w:lvl>
    <w:lvl w:ilvl="1" w:tplc="041B0019" w:tentative="1">
      <w:start w:val="1"/>
      <w:numFmt w:val="lowerLetter"/>
      <w:lvlText w:val="%2."/>
      <w:lvlJc w:val="left"/>
      <w:pPr>
        <w:ind w:left="2291" w:hanging="360"/>
      </w:pPr>
    </w:lvl>
    <w:lvl w:ilvl="2" w:tplc="041B001B" w:tentative="1">
      <w:start w:val="1"/>
      <w:numFmt w:val="lowerRoman"/>
      <w:lvlText w:val="%3."/>
      <w:lvlJc w:val="right"/>
      <w:pPr>
        <w:ind w:left="3011" w:hanging="180"/>
      </w:p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22" w15:restartNumberingAfterBreak="0">
    <w:nsid w:val="66691E4D"/>
    <w:multiLevelType w:val="hybridMultilevel"/>
    <w:tmpl w:val="4FC82400"/>
    <w:lvl w:ilvl="0" w:tplc="663C7372">
      <w:numFmt w:val="bullet"/>
      <w:lvlText w:val=""/>
      <w:lvlJc w:val="left"/>
      <w:pPr>
        <w:ind w:left="720" w:hanging="360"/>
      </w:pPr>
      <w:rPr>
        <w:rFonts w:ascii="Wingdings 3" w:eastAsia="Times New Roman" w:hAnsi="Wingdings 3" w:cs="Times New Roman" w:hint="default"/>
        <w:color w:val="F07E31"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F14428"/>
    <w:multiLevelType w:val="hybridMultilevel"/>
    <w:tmpl w:val="ED044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C72A78"/>
    <w:multiLevelType w:val="hybridMultilevel"/>
    <w:tmpl w:val="0A804530"/>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5" w15:restartNumberingAfterBreak="0">
    <w:nsid w:val="6C4D270F"/>
    <w:multiLevelType w:val="hybridMultilevel"/>
    <w:tmpl w:val="5B761532"/>
    <w:lvl w:ilvl="0" w:tplc="C0A2A0CC">
      <w:start w:val="3"/>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8090001">
      <w:start w:val="1"/>
      <w:numFmt w:val="bullet"/>
      <w:lvlText w:val=""/>
      <w:lvlJc w:val="left"/>
      <w:pPr>
        <w:ind w:left="1457" w:hanging="180"/>
      </w:pPr>
      <w:rPr>
        <w:rFonts w:ascii="Symbol" w:hAnsi="Symbol" w:hint="default"/>
        <w:color w:val="F07E31" w:themeColor="accent1"/>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5B3440"/>
    <w:multiLevelType w:val="hybridMultilevel"/>
    <w:tmpl w:val="D624ACF8"/>
    <w:lvl w:ilvl="0" w:tplc="3BC8D07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0D15F02"/>
    <w:multiLevelType w:val="hybridMultilevel"/>
    <w:tmpl w:val="33743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916E6D"/>
    <w:multiLevelType w:val="hybridMultilevel"/>
    <w:tmpl w:val="19704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5D33D3"/>
    <w:multiLevelType w:val="multilevel"/>
    <w:tmpl w:val="EC66BD28"/>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146"/>
        </w:tabs>
        <w:ind w:left="426"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0" w15:restartNumberingAfterBreak="0">
    <w:nsid w:val="7E752836"/>
    <w:multiLevelType w:val="hybridMultilevel"/>
    <w:tmpl w:val="EA7050F0"/>
    <w:lvl w:ilvl="0" w:tplc="7A1AAC92">
      <w:start w:val="1"/>
      <w:numFmt w:val="bullet"/>
      <w:pStyle w:val="Htablebullet"/>
      <w:lvlText w:val=""/>
      <w:lvlJc w:val="left"/>
      <w:pPr>
        <w:ind w:left="360"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3"/>
  </w:num>
  <w:num w:numId="3">
    <w:abstractNumId w:val="17"/>
  </w:num>
  <w:num w:numId="4">
    <w:abstractNumId w:val="8"/>
  </w:num>
  <w:num w:numId="5">
    <w:abstractNumId w:val="30"/>
  </w:num>
  <w:num w:numId="6">
    <w:abstractNumId w:val="29"/>
  </w:num>
  <w:num w:numId="7">
    <w:abstractNumId w:val="15"/>
  </w:num>
  <w:num w:numId="8">
    <w:abstractNumId w:val="12"/>
  </w:num>
  <w:num w:numId="9">
    <w:abstractNumId w:val="3"/>
  </w:num>
  <w:num w:numId="10">
    <w:abstractNumId w:val="0"/>
  </w:num>
  <w:num w:numId="11">
    <w:abstractNumId w:val="7"/>
  </w:num>
  <w:num w:numId="12">
    <w:abstractNumId w:val="18"/>
  </w:num>
  <w:num w:numId="13">
    <w:abstractNumId w:val="4"/>
  </w:num>
  <w:num w:numId="14">
    <w:abstractNumId w:val="17"/>
    <w:lvlOverride w:ilvl="0">
      <w:startOverride w:val="1"/>
    </w:lvlOverride>
  </w:num>
  <w:num w:numId="15">
    <w:abstractNumId w:val="10"/>
  </w:num>
  <w:num w:numId="16">
    <w:abstractNumId w:val="1"/>
  </w:num>
  <w:num w:numId="17">
    <w:abstractNumId w:val="26"/>
  </w:num>
  <w:num w:numId="18">
    <w:abstractNumId w:val="25"/>
  </w:num>
  <w:num w:numId="19">
    <w:abstractNumId w:val="2"/>
  </w:num>
  <w:num w:numId="20">
    <w:abstractNumId w:val="5"/>
  </w:num>
  <w:num w:numId="21">
    <w:abstractNumId w:val="20"/>
  </w:num>
  <w:num w:numId="22">
    <w:abstractNumId w:val="12"/>
  </w:num>
  <w:num w:numId="23">
    <w:abstractNumId w:val="22"/>
  </w:num>
  <w:num w:numId="24">
    <w:abstractNumId w:val="21"/>
  </w:num>
  <w:num w:numId="25">
    <w:abstractNumId w:val="19"/>
  </w:num>
  <w:num w:numId="26">
    <w:abstractNumId w:val="9"/>
  </w:num>
  <w:num w:numId="27">
    <w:abstractNumId w:val="28"/>
  </w:num>
  <w:num w:numId="28">
    <w:abstractNumId w:val="23"/>
  </w:num>
  <w:num w:numId="29">
    <w:abstractNumId w:val="24"/>
  </w:num>
  <w:num w:numId="30">
    <w:abstractNumId w:val="27"/>
  </w:num>
  <w:num w:numId="31">
    <w:abstractNumId w:val="16"/>
  </w:num>
  <w:num w:numId="32">
    <w:abstractNumId w:val="14"/>
  </w:num>
  <w:num w:numId="33">
    <w:abstractNumId w:val="13"/>
  </w:num>
  <w:num w:numId="34">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284"/>
  <w:doNotHyphenateCap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LW_DocType" w:val="WTEMPLATE_ORANGE_2017"/>
  </w:docVars>
  <w:rsids>
    <w:rsidRoot w:val="00CD63F6"/>
    <w:rsid w:val="0000007B"/>
    <w:rsid w:val="000001D4"/>
    <w:rsid w:val="0000104B"/>
    <w:rsid w:val="00001565"/>
    <w:rsid w:val="00002482"/>
    <w:rsid w:val="000026A3"/>
    <w:rsid w:val="00002A15"/>
    <w:rsid w:val="00002FFD"/>
    <w:rsid w:val="00003C64"/>
    <w:rsid w:val="00004E4F"/>
    <w:rsid w:val="000068EF"/>
    <w:rsid w:val="00006B47"/>
    <w:rsid w:val="00010136"/>
    <w:rsid w:val="00010901"/>
    <w:rsid w:val="00010981"/>
    <w:rsid w:val="00010A66"/>
    <w:rsid w:val="00010B08"/>
    <w:rsid w:val="00011CD6"/>
    <w:rsid w:val="00011DC7"/>
    <w:rsid w:val="00011E21"/>
    <w:rsid w:val="0001214D"/>
    <w:rsid w:val="000128D8"/>
    <w:rsid w:val="00012BA4"/>
    <w:rsid w:val="00012F22"/>
    <w:rsid w:val="0001311F"/>
    <w:rsid w:val="00013C3D"/>
    <w:rsid w:val="0001428E"/>
    <w:rsid w:val="000142AB"/>
    <w:rsid w:val="00015D95"/>
    <w:rsid w:val="00016061"/>
    <w:rsid w:val="00016C49"/>
    <w:rsid w:val="00017C34"/>
    <w:rsid w:val="000200FC"/>
    <w:rsid w:val="0002085D"/>
    <w:rsid w:val="0002086B"/>
    <w:rsid w:val="00021325"/>
    <w:rsid w:val="0002177B"/>
    <w:rsid w:val="0002182E"/>
    <w:rsid w:val="0002341F"/>
    <w:rsid w:val="00023F16"/>
    <w:rsid w:val="0002477B"/>
    <w:rsid w:val="00025015"/>
    <w:rsid w:val="00025148"/>
    <w:rsid w:val="00025E70"/>
    <w:rsid w:val="000266E6"/>
    <w:rsid w:val="00026F9F"/>
    <w:rsid w:val="0002704D"/>
    <w:rsid w:val="0002732C"/>
    <w:rsid w:val="00027601"/>
    <w:rsid w:val="000305BF"/>
    <w:rsid w:val="00031E67"/>
    <w:rsid w:val="0003232A"/>
    <w:rsid w:val="000325AF"/>
    <w:rsid w:val="00032732"/>
    <w:rsid w:val="000330AD"/>
    <w:rsid w:val="0003333B"/>
    <w:rsid w:val="00033ACC"/>
    <w:rsid w:val="00033B15"/>
    <w:rsid w:val="00034FB1"/>
    <w:rsid w:val="0003500B"/>
    <w:rsid w:val="0003605E"/>
    <w:rsid w:val="00041200"/>
    <w:rsid w:val="000412E5"/>
    <w:rsid w:val="00041A27"/>
    <w:rsid w:val="000420F9"/>
    <w:rsid w:val="0004231E"/>
    <w:rsid w:val="00043C2A"/>
    <w:rsid w:val="00044397"/>
    <w:rsid w:val="00044CBB"/>
    <w:rsid w:val="00045382"/>
    <w:rsid w:val="000457A0"/>
    <w:rsid w:val="0004609A"/>
    <w:rsid w:val="00047532"/>
    <w:rsid w:val="00047872"/>
    <w:rsid w:val="000506E2"/>
    <w:rsid w:val="00050912"/>
    <w:rsid w:val="00050D72"/>
    <w:rsid w:val="00050EA9"/>
    <w:rsid w:val="00051E23"/>
    <w:rsid w:val="00051EEE"/>
    <w:rsid w:val="0005260E"/>
    <w:rsid w:val="00052870"/>
    <w:rsid w:val="0005382D"/>
    <w:rsid w:val="00054C75"/>
    <w:rsid w:val="00055507"/>
    <w:rsid w:val="000561D6"/>
    <w:rsid w:val="000574E7"/>
    <w:rsid w:val="00057D3C"/>
    <w:rsid w:val="000601FF"/>
    <w:rsid w:val="00060339"/>
    <w:rsid w:val="00060AFC"/>
    <w:rsid w:val="00061150"/>
    <w:rsid w:val="00061838"/>
    <w:rsid w:val="000618CF"/>
    <w:rsid w:val="000624B0"/>
    <w:rsid w:val="00062CD2"/>
    <w:rsid w:val="00063251"/>
    <w:rsid w:val="00063276"/>
    <w:rsid w:val="00063B79"/>
    <w:rsid w:val="000650BF"/>
    <w:rsid w:val="000670A3"/>
    <w:rsid w:val="00067C10"/>
    <w:rsid w:val="00070475"/>
    <w:rsid w:val="0007095D"/>
    <w:rsid w:val="00072032"/>
    <w:rsid w:val="0007283B"/>
    <w:rsid w:val="00074916"/>
    <w:rsid w:val="00074F33"/>
    <w:rsid w:val="0007598A"/>
    <w:rsid w:val="00075CA3"/>
    <w:rsid w:val="00076652"/>
    <w:rsid w:val="00076C57"/>
    <w:rsid w:val="000771E1"/>
    <w:rsid w:val="0007726F"/>
    <w:rsid w:val="0007786B"/>
    <w:rsid w:val="00077AF9"/>
    <w:rsid w:val="000804B0"/>
    <w:rsid w:val="00081280"/>
    <w:rsid w:val="00081736"/>
    <w:rsid w:val="000833CD"/>
    <w:rsid w:val="000836F2"/>
    <w:rsid w:val="00083705"/>
    <w:rsid w:val="0008418C"/>
    <w:rsid w:val="0008437E"/>
    <w:rsid w:val="00084915"/>
    <w:rsid w:val="00084CD6"/>
    <w:rsid w:val="00084EBA"/>
    <w:rsid w:val="000852E7"/>
    <w:rsid w:val="000856AA"/>
    <w:rsid w:val="00085EAA"/>
    <w:rsid w:val="00087412"/>
    <w:rsid w:val="00087931"/>
    <w:rsid w:val="00087ABB"/>
    <w:rsid w:val="00087F85"/>
    <w:rsid w:val="00090ACF"/>
    <w:rsid w:val="0009119D"/>
    <w:rsid w:val="00092C7D"/>
    <w:rsid w:val="000936B3"/>
    <w:rsid w:val="00093CBB"/>
    <w:rsid w:val="00096C99"/>
    <w:rsid w:val="00096E8E"/>
    <w:rsid w:val="0009736F"/>
    <w:rsid w:val="00097A53"/>
    <w:rsid w:val="000A1917"/>
    <w:rsid w:val="000A2A5A"/>
    <w:rsid w:val="000A3F19"/>
    <w:rsid w:val="000A428E"/>
    <w:rsid w:val="000A49DA"/>
    <w:rsid w:val="000A4B75"/>
    <w:rsid w:val="000A6EDF"/>
    <w:rsid w:val="000A72D0"/>
    <w:rsid w:val="000A7970"/>
    <w:rsid w:val="000A7E25"/>
    <w:rsid w:val="000B00DB"/>
    <w:rsid w:val="000B0B8B"/>
    <w:rsid w:val="000B1405"/>
    <w:rsid w:val="000B213F"/>
    <w:rsid w:val="000B2933"/>
    <w:rsid w:val="000B2A17"/>
    <w:rsid w:val="000B30FF"/>
    <w:rsid w:val="000B3BF2"/>
    <w:rsid w:val="000B3D31"/>
    <w:rsid w:val="000B434D"/>
    <w:rsid w:val="000B4920"/>
    <w:rsid w:val="000B4B84"/>
    <w:rsid w:val="000B567F"/>
    <w:rsid w:val="000B5726"/>
    <w:rsid w:val="000B5C67"/>
    <w:rsid w:val="000B5E5F"/>
    <w:rsid w:val="000B62C2"/>
    <w:rsid w:val="000B6372"/>
    <w:rsid w:val="000B7376"/>
    <w:rsid w:val="000C0BB1"/>
    <w:rsid w:val="000C2540"/>
    <w:rsid w:val="000C2567"/>
    <w:rsid w:val="000C3B60"/>
    <w:rsid w:val="000C3D9D"/>
    <w:rsid w:val="000C43F0"/>
    <w:rsid w:val="000C4695"/>
    <w:rsid w:val="000C499A"/>
    <w:rsid w:val="000C49F1"/>
    <w:rsid w:val="000C5796"/>
    <w:rsid w:val="000C5F42"/>
    <w:rsid w:val="000C65CB"/>
    <w:rsid w:val="000C6873"/>
    <w:rsid w:val="000C6FAB"/>
    <w:rsid w:val="000C7C56"/>
    <w:rsid w:val="000D01D5"/>
    <w:rsid w:val="000D07C2"/>
    <w:rsid w:val="000D1414"/>
    <w:rsid w:val="000D1B19"/>
    <w:rsid w:val="000D2202"/>
    <w:rsid w:val="000D251E"/>
    <w:rsid w:val="000D3DB8"/>
    <w:rsid w:val="000D476B"/>
    <w:rsid w:val="000D57BD"/>
    <w:rsid w:val="000D5A8C"/>
    <w:rsid w:val="000D6488"/>
    <w:rsid w:val="000D6687"/>
    <w:rsid w:val="000D6757"/>
    <w:rsid w:val="000D7A58"/>
    <w:rsid w:val="000D7AB8"/>
    <w:rsid w:val="000D7F4E"/>
    <w:rsid w:val="000D7FDC"/>
    <w:rsid w:val="000E0A0A"/>
    <w:rsid w:val="000E223C"/>
    <w:rsid w:val="000E3057"/>
    <w:rsid w:val="000E31A7"/>
    <w:rsid w:val="000E375A"/>
    <w:rsid w:val="000E420E"/>
    <w:rsid w:val="000E436F"/>
    <w:rsid w:val="000E5513"/>
    <w:rsid w:val="000E6F6F"/>
    <w:rsid w:val="000E787D"/>
    <w:rsid w:val="000E7F1D"/>
    <w:rsid w:val="000F0463"/>
    <w:rsid w:val="000F07C1"/>
    <w:rsid w:val="000F086F"/>
    <w:rsid w:val="000F1DDC"/>
    <w:rsid w:val="000F3028"/>
    <w:rsid w:val="000F4BEA"/>
    <w:rsid w:val="000F4F4F"/>
    <w:rsid w:val="000F5315"/>
    <w:rsid w:val="000F570B"/>
    <w:rsid w:val="000F5CC2"/>
    <w:rsid w:val="000F5E15"/>
    <w:rsid w:val="000F77F0"/>
    <w:rsid w:val="000F7876"/>
    <w:rsid w:val="00100A1E"/>
    <w:rsid w:val="00100B02"/>
    <w:rsid w:val="0010132E"/>
    <w:rsid w:val="001018C4"/>
    <w:rsid w:val="001018DD"/>
    <w:rsid w:val="001028FE"/>
    <w:rsid w:val="00102C05"/>
    <w:rsid w:val="00102C6A"/>
    <w:rsid w:val="00103E79"/>
    <w:rsid w:val="001040A8"/>
    <w:rsid w:val="001040F8"/>
    <w:rsid w:val="001043CE"/>
    <w:rsid w:val="001061CD"/>
    <w:rsid w:val="00106C0A"/>
    <w:rsid w:val="00113A37"/>
    <w:rsid w:val="00113F8C"/>
    <w:rsid w:val="00115ED4"/>
    <w:rsid w:val="0011661B"/>
    <w:rsid w:val="00116824"/>
    <w:rsid w:val="00116912"/>
    <w:rsid w:val="00116A79"/>
    <w:rsid w:val="00116CCB"/>
    <w:rsid w:val="001170FF"/>
    <w:rsid w:val="001174CF"/>
    <w:rsid w:val="00117E78"/>
    <w:rsid w:val="00120BAA"/>
    <w:rsid w:val="00120EA9"/>
    <w:rsid w:val="00121696"/>
    <w:rsid w:val="00122285"/>
    <w:rsid w:val="00123367"/>
    <w:rsid w:val="001247FE"/>
    <w:rsid w:val="00125341"/>
    <w:rsid w:val="00126224"/>
    <w:rsid w:val="00131592"/>
    <w:rsid w:val="001315A5"/>
    <w:rsid w:val="001316FD"/>
    <w:rsid w:val="0013249F"/>
    <w:rsid w:val="00132E89"/>
    <w:rsid w:val="00132FBB"/>
    <w:rsid w:val="0013332D"/>
    <w:rsid w:val="00133C0C"/>
    <w:rsid w:val="00134E3F"/>
    <w:rsid w:val="00134F6F"/>
    <w:rsid w:val="001355C4"/>
    <w:rsid w:val="00135778"/>
    <w:rsid w:val="00135951"/>
    <w:rsid w:val="00135B4A"/>
    <w:rsid w:val="0013678F"/>
    <w:rsid w:val="001367B9"/>
    <w:rsid w:val="00136C15"/>
    <w:rsid w:val="00137201"/>
    <w:rsid w:val="00137828"/>
    <w:rsid w:val="00140380"/>
    <w:rsid w:val="0014085A"/>
    <w:rsid w:val="00140A22"/>
    <w:rsid w:val="00140F4E"/>
    <w:rsid w:val="00141199"/>
    <w:rsid w:val="0014235A"/>
    <w:rsid w:val="00143D51"/>
    <w:rsid w:val="00144841"/>
    <w:rsid w:val="00146C75"/>
    <w:rsid w:val="00150D5B"/>
    <w:rsid w:val="00150E9E"/>
    <w:rsid w:val="00151F61"/>
    <w:rsid w:val="0015205D"/>
    <w:rsid w:val="001524F2"/>
    <w:rsid w:val="0015333B"/>
    <w:rsid w:val="00154C43"/>
    <w:rsid w:val="00156B10"/>
    <w:rsid w:val="0015708F"/>
    <w:rsid w:val="00157A50"/>
    <w:rsid w:val="00157DA4"/>
    <w:rsid w:val="00160E60"/>
    <w:rsid w:val="00161851"/>
    <w:rsid w:val="00162193"/>
    <w:rsid w:val="0016310E"/>
    <w:rsid w:val="001631F8"/>
    <w:rsid w:val="00164401"/>
    <w:rsid w:val="00164E60"/>
    <w:rsid w:val="00170920"/>
    <w:rsid w:val="00171AB2"/>
    <w:rsid w:val="00172554"/>
    <w:rsid w:val="0017331C"/>
    <w:rsid w:val="00173923"/>
    <w:rsid w:val="00174DB8"/>
    <w:rsid w:val="00175DAE"/>
    <w:rsid w:val="00176032"/>
    <w:rsid w:val="0017622B"/>
    <w:rsid w:val="00176555"/>
    <w:rsid w:val="001773C8"/>
    <w:rsid w:val="00180B7A"/>
    <w:rsid w:val="001814C1"/>
    <w:rsid w:val="0018197E"/>
    <w:rsid w:val="00182991"/>
    <w:rsid w:val="00183503"/>
    <w:rsid w:val="00183988"/>
    <w:rsid w:val="00183DEC"/>
    <w:rsid w:val="00183FE7"/>
    <w:rsid w:val="00184AD2"/>
    <w:rsid w:val="0018534D"/>
    <w:rsid w:val="001854A1"/>
    <w:rsid w:val="001856B4"/>
    <w:rsid w:val="00185910"/>
    <w:rsid w:val="00185B1D"/>
    <w:rsid w:val="001862E5"/>
    <w:rsid w:val="00186543"/>
    <w:rsid w:val="00186A1A"/>
    <w:rsid w:val="00186FCF"/>
    <w:rsid w:val="00187445"/>
    <w:rsid w:val="00187945"/>
    <w:rsid w:val="00187DD0"/>
    <w:rsid w:val="001900F6"/>
    <w:rsid w:val="00190D63"/>
    <w:rsid w:val="00190F9A"/>
    <w:rsid w:val="00191106"/>
    <w:rsid w:val="00191253"/>
    <w:rsid w:val="00192333"/>
    <w:rsid w:val="00194978"/>
    <w:rsid w:val="00194BE6"/>
    <w:rsid w:val="0019588B"/>
    <w:rsid w:val="0019599B"/>
    <w:rsid w:val="001962E1"/>
    <w:rsid w:val="00196C94"/>
    <w:rsid w:val="00196DF6"/>
    <w:rsid w:val="00197783"/>
    <w:rsid w:val="00197E1C"/>
    <w:rsid w:val="001A088C"/>
    <w:rsid w:val="001A12ED"/>
    <w:rsid w:val="001A1ABF"/>
    <w:rsid w:val="001A2395"/>
    <w:rsid w:val="001A2E63"/>
    <w:rsid w:val="001A2EC3"/>
    <w:rsid w:val="001A3195"/>
    <w:rsid w:val="001A36F4"/>
    <w:rsid w:val="001A3B8C"/>
    <w:rsid w:val="001A424D"/>
    <w:rsid w:val="001A4A92"/>
    <w:rsid w:val="001A51C8"/>
    <w:rsid w:val="001B04F9"/>
    <w:rsid w:val="001B0B03"/>
    <w:rsid w:val="001B0E2D"/>
    <w:rsid w:val="001B1731"/>
    <w:rsid w:val="001B1831"/>
    <w:rsid w:val="001B1DC6"/>
    <w:rsid w:val="001B2DB2"/>
    <w:rsid w:val="001B383F"/>
    <w:rsid w:val="001B42E2"/>
    <w:rsid w:val="001B53E3"/>
    <w:rsid w:val="001B5B15"/>
    <w:rsid w:val="001B5F5A"/>
    <w:rsid w:val="001B62AB"/>
    <w:rsid w:val="001B6888"/>
    <w:rsid w:val="001B6B1D"/>
    <w:rsid w:val="001B70AC"/>
    <w:rsid w:val="001B749E"/>
    <w:rsid w:val="001C10A8"/>
    <w:rsid w:val="001C159A"/>
    <w:rsid w:val="001C2076"/>
    <w:rsid w:val="001C2A72"/>
    <w:rsid w:val="001C31EB"/>
    <w:rsid w:val="001C4CA3"/>
    <w:rsid w:val="001C4D03"/>
    <w:rsid w:val="001C4E09"/>
    <w:rsid w:val="001C4F2E"/>
    <w:rsid w:val="001C6679"/>
    <w:rsid w:val="001C6ACF"/>
    <w:rsid w:val="001C704F"/>
    <w:rsid w:val="001C71BC"/>
    <w:rsid w:val="001C74A1"/>
    <w:rsid w:val="001C763B"/>
    <w:rsid w:val="001C7730"/>
    <w:rsid w:val="001D0014"/>
    <w:rsid w:val="001D1659"/>
    <w:rsid w:val="001D32F7"/>
    <w:rsid w:val="001D4EDE"/>
    <w:rsid w:val="001D5984"/>
    <w:rsid w:val="001D5A8C"/>
    <w:rsid w:val="001D644A"/>
    <w:rsid w:val="001D6736"/>
    <w:rsid w:val="001D74AA"/>
    <w:rsid w:val="001E0DCE"/>
    <w:rsid w:val="001E17B2"/>
    <w:rsid w:val="001E1E51"/>
    <w:rsid w:val="001E24F4"/>
    <w:rsid w:val="001E36C8"/>
    <w:rsid w:val="001E51CE"/>
    <w:rsid w:val="001E5FC4"/>
    <w:rsid w:val="001F126C"/>
    <w:rsid w:val="001F1A2D"/>
    <w:rsid w:val="001F1DD1"/>
    <w:rsid w:val="001F25E0"/>
    <w:rsid w:val="001F3F33"/>
    <w:rsid w:val="001F485E"/>
    <w:rsid w:val="001F4DFD"/>
    <w:rsid w:val="001F52E4"/>
    <w:rsid w:val="001F5F53"/>
    <w:rsid w:val="001F6320"/>
    <w:rsid w:val="001F6572"/>
    <w:rsid w:val="001F7942"/>
    <w:rsid w:val="001F7B17"/>
    <w:rsid w:val="002000FD"/>
    <w:rsid w:val="00200679"/>
    <w:rsid w:val="0020196C"/>
    <w:rsid w:val="002047BF"/>
    <w:rsid w:val="0020488A"/>
    <w:rsid w:val="0020546C"/>
    <w:rsid w:val="00206921"/>
    <w:rsid w:val="00207FC1"/>
    <w:rsid w:val="00211573"/>
    <w:rsid w:val="002118E2"/>
    <w:rsid w:val="0021206F"/>
    <w:rsid w:val="00212EFF"/>
    <w:rsid w:val="002132F1"/>
    <w:rsid w:val="00213571"/>
    <w:rsid w:val="00213D26"/>
    <w:rsid w:val="00213DEE"/>
    <w:rsid w:val="00214324"/>
    <w:rsid w:val="00214FBE"/>
    <w:rsid w:val="00217482"/>
    <w:rsid w:val="0021750E"/>
    <w:rsid w:val="00217A65"/>
    <w:rsid w:val="00217C27"/>
    <w:rsid w:val="002208C7"/>
    <w:rsid w:val="00220B99"/>
    <w:rsid w:val="00220D70"/>
    <w:rsid w:val="00221159"/>
    <w:rsid w:val="002212DB"/>
    <w:rsid w:val="0022256C"/>
    <w:rsid w:val="002227D4"/>
    <w:rsid w:val="00223B64"/>
    <w:rsid w:val="00224BEB"/>
    <w:rsid w:val="0022630A"/>
    <w:rsid w:val="00226826"/>
    <w:rsid w:val="00227C57"/>
    <w:rsid w:val="00231360"/>
    <w:rsid w:val="00231C9C"/>
    <w:rsid w:val="002331B4"/>
    <w:rsid w:val="00233DA6"/>
    <w:rsid w:val="002340B6"/>
    <w:rsid w:val="00235026"/>
    <w:rsid w:val="00235402"/>
    <w:rsid w:val="00235C84"/>
    <w:rsid w:val="00240A7E"/>
    <w:rsid w:val="00240D34"/>
    <w:rsid w:val="002419CA"/>
    <w:rsid w:val="002426BA"/>
    <w:rsid w:val="00244620"/>
    <w:rsid w:val="0024762A"/>
    <w:rsid w:val="002479D6"/>
    <w:rsid w:val="00247F5A"/>
    <w:rsid w:val="002506A5"/>
    <w:rsid w:val="00250C24"/>
    <w:rsid w:val="0025123F"/>
    <w:rsid w:val="0025164E"/>
    <w:rsid w:val="002520A7"/>
    <w:rsid w:val="00252E56"/>
    <w:rsid w:val="002535D9"/>
    <w:rsid w:val="002553C6"/>
    <w:rsid w:val="00255E6A"/>
    <w:rsid w:val="00256636"/>
    <w:rsid w:val="002573E7"/>
    <w:rsid w:val="00260D48"/>
    <w:rsid w:val="00261A45"/>
    <w:rsid w:val="00263267"/>
    <w:rsid w:val="002643D5"/>
    <w:rsid w:val="00264C41"/>
    <w:rsid w:val="0026686F"/>
    <w:rsid w:val="0026726B"/>
    <w:rsid w:val="00267555"/>
    <w:rsid w:val="002709BC"/>
    <w:rsid w:val="0027196C"/>
    <w:rsid w:val="0027225E"/>
    <w:rsid w:val="00272AD5"/>
    <w:rsid w:val="00272E24"/>
    <w:rsid w:val="002730B0"/>
    <w:rsid w:val="00273775"/>
    <w:rsid w:val="0027414F"/>
    <w:rsid w:val="00274AB7"/>
    <w:rsid w:val="00274FF5"/>
    <w:rsid w:val="002751CF"/>
    <w:rsid w:val="00275616"/>
    <w:rsid w:val="00275838"/>
    <w:rsid w:val="002762F1"/>
    <w:rsid w:val="00276DE0"/>
    <w:rsid w:val="00276E62"/>
    <w:rsid w:val="00277A78"/>
    <w:rsid w:val="00280163"/>
    <w:rsid w:val="00280314"/>
    <w:rsid w:val="002807CD"/>
    <w:rsid w:val="002807DC"/>
    <w:rsid w:val="002808E9"/>
    <w:rsid w:val="00281058"/>
    <w:rsid w:val="00281530"/>
    <w:rsid w:val="002826E2"/>
    <w:rsid w:val="002829E5"/>
    <w:rsid w:val="00282BE1"/>
    <w:rsid w:val="00284356"/>
    <w:rsid w:val="00285170"/>
    <w:rsid w:val="0028553B"/>
    <w:rsid w:val="002865CA"/>
    <w:rsid w:val="00287179"/>
    <w:rsid w:val="002904B1"/>
    <w:rsid w:val="002909D3"/>
    <w:rsid w:val="00294410"/>
    <w:rsid w:val="0029590F"/>
    <w:rsid w:val="002963CB"/>
    <w:rsid w:val="00296609"/>
    <w:rsid w:val="002A0062"/>
    <w:rsid w:val="002A09A3"/>
    <w:rsid w:val="002A0D72"/>
    <w:rsid w:val="002A164E"/>
    <w:rsid w:val="002A16B7"/>
    <w:rsid w:val="002A2B60"/>
    <w:rsid w:val="002A2CB4"/>
    <w:rsid w:val="002A326C"/>
    <w:rsid w:val="002A37A1"/>
    <w:rsid w:val="002A42D8"/>
    <w:rsid w:val="002A48A4"/>
    <w:rsid w:val="002A4913"/>
    <w:rsid w:val="002A535A"/>
    <w:rsid w:val="002A6107"/>
    <w:rsid w:val="002A67B2"/>
    <w:rsid w:val="002A72C5"/>
    <w:rsid w:val="002B13CC"/>
    <w:rsid w:val="002B2700"/>
    <w:rsid w:val="002B2AAB"/>
    <w:rsid w:val="002B2E53"/>
    <w:rsid w:val="002B3E82"/>
    <w:rsid w:val="002B4474"/>
    <w:rsid w:val="002B6205"/>
    <w:rsid w:val="002B62FD"/>
    <w:rsid w:val="002B680E"/>
    <w:rsid w:val="002C0CD1"/>
    <w:rsid w:val="002C0D68"/>
    <w:rsid w:val="002C1A6B"/>
    <w:rsid w:val="002C1B75"/>
    <w:rsid w:val="002C1EAB"/>
    <w:rsid w:val="002C3379"/>
    <w:rsid w:val="002C3BA0"/>
    <w:rsid w:val="002C4C52"/>
    <w:rsid w:val="002C57D4"/>
    <w:rsid w:val="002C5A13"/>
    <w:rsid w:val="002C60AE"/>
    <w:rsid w:val="002C6565"/>
    <w:rsid w:val="002D2801"/>
    <w:rsid w:val="002D2EB0"/>
    <w:rsid w:val="002D4AB7"/>
    <w:rsid w:val="002D4C66"/>
    <w:rsid w:val="002D6124"/>
    <w:rsid w:val="002D6766"/>
    <w:rsid w:val="002D74F7"/>
    <w:rsid w:val="002D778C"/>
    <w:rsid w:val="002E08CE"/>
    <w:rsid w:val="002E0F7E"/>
    <w:rsid w:val="002E13D1"/>
    <w:rsid w:val="002E14FE"/>
    <w:rsid w:val="002E159B"/>
    <w:rsid w:val="002E1759"/>
    <w:rsid w:val="002E1E69"/>
    <w:rsid w:val="002E20C6"/>
    <w:rsid w:val="002E27EE"/>
    <w:rsid w:val="002E3569"/>
    <w:rsid w:val="002E46A5"/>
    <w:rsid w:val="002E5877"/>
    <w:rsid w:val="002E5EA6"/>
    <w:rsid w:val="002E6C3C"/>
    <w:rsid w:val="002E709A"/>
    <w:rsid w:val="002E7109"/>
    <w:rsid w:val="002E7348"/>
    <w:rsid w:val="002F172A"/>
    <w:rsid w:val="002F3E31"/>
    <w:rsid w:val="002F4800"/>
    <w:rsid w:val="002F5537"/>
    <w:rsid w:val="002F6F83"/>
    <w:rsid w:val="002F7855"/>
    <w:rsid w:val="003005E4"/>
    <w:rsid w:val="00300A0C"/>
    <w:rsid w:val="00300C4A"/>
    <w:rsid w:val="00301751"/>
    <w:rsid w:val="00301CBD"/>
    <w:rsid w:val="003030C5"/>
    <w:rsid w:val="003039E0"/>
    <w:rsid w:val="00304630"/>
    <w:rsid w:val="003047C9"/>
    <w:rsid w:val="00304E6A"/>
    <w:rsid w:val="0030598E"/>
    <w:rsid w:val="00306F55"/>
    <w:rsid w:val="00307FDF"/>
    <w:rsid w:val="00310961"/>
    <w:rsid w:val="00310B39"/>
    <w:rsid w:val="00310EEB"/>
    <w:rsid w:val="00312415"/>
    <w:rsid w:val="0031268C"/>
    <w:rsid w:val="00313290"/>
    <w:rsid w:val="00313561"/>
    <w:rsid w:val="00314452"/>
    <w:rsid w:val="003146E6"/>
    <w:rsid w:val="0031628C"/>
    <w:rsid w:val="00317BC3"/>
    <w:rsid w:val="00320592"/>
    <w:rsid w:val="00320E03"/>
    <w:rsid w:val="0032154C"/>
    <w:rsid w:val="00321FB3"/>
    <w:rsid w:val="0032242C"/>
    <w:rsid w:val="0032258B"/>
    <w:rsid w:val="003234A8"/>
    <w:rsid w:val="0032386B"/>
    <w:rsid w:val="00325734"/>
    <w:rsid w:val="003262F1"/>
    <w:rsid w:val="00326630"/>
    <w:rsid w:val="003304E5"/>
    <w:rsid w:val="003304F7"/>
    <w:rsid w:val="003308AB"/>
    <w:rsid w:val="003322CE"/>
    <w:rsid w:val="0033248F"/>
    <w:rsid w:val="00332915"/>
    <w:rsid w:val="003334FB"/>
    <w:rsid w:val="00333D04"/>
    <w:rsid w:val="003342D8"/>
    <w:rsid w:val="003360F6"/>
    <w:rsid w:val="00336531"/>
    <w:rsid w:val="00336F23"/>
    <w:rsid w:val="003371C4"/>
    <w:rsid w:val="0034132F"/>
    <w:rsid w:val="00341AC1"/>
    <w:rsid w:val="00342A8A"/>
    <w:rsid w:val="00342B5A"/>
    <w:rsid w:val="003433D2"/>
    <w:rsid w:val="003444BB"/>
    <w:rsid w:val="0034673C"/>
    <w:rsid w:val="00346A39"/>
    <w:rsid w:val="00350695"/>
    <w:rsid w:val="003506D4"/>
    <w:rsid w:val="00351B7E"/>
    <w:rsid w:val="003526FE"/>
    <w:rsid w:val="00352B28"/>
    <w:rsid w:val="00354817"/>
    <w:rsid w:val="003563F4"/>
    <w:rsid w:val="00357222"/>
    <w:rsid w:val="003604BB"/>
    <w:rsid w:val="00360775"/>
    <w:rsid w:val="00360800"/>
    <w:rsid w:val="003609A4"/>
    <w:rsid w:val="00362CC6"/>
    <w:rsid w:val="00362D7C"/>
    <w:rsid w:val="00362F04"/>
    <w:rsid w:val="0036326E"/>
    <w:rsid w:val="003646A8"/>
    <w:rsid w:val="0036483B"/>
    <w:rsid w:val="00364BFD"/>
    <w:rsid w:val="00364E0B"/>
    <w:rsid w:val="0036520B"/>
    <w:rsid w:val="00365997"/>
    <w:rsid w:val="003667BE"/>
    <w:rsid w:val="0036731C"/>
    <w:rsid w:val="003708EA"/>
    <w:rsid w:val="0037178D"/>
    <w:rsid w:val="003718F4"/>
    <w:rsid w:val="0037198A"/>
    <w:rsid w:val="00371D33"/>
    <w:rsid w:val="00372358"/>
    <w:rsid w:val="00372C7C"/>
    <w:rsid w:val="00372F8A"/>
    <w:rsid w:val="00373455"/>
    <w:rsid w:val="00373586"/>
    <w:rsid w:val="003742AF"/>
    <w:rsid w:val="003744E0"/>
    <w:rsid w:val="00374906"/>
    <w:rsid w:val="0037516F"/>
    <w:rsid w:val="0037519D"/>
    <w:rsid w:val="003754A1"/>
    <w:rsid w:val="00375DBD"/>
    <w:rsid w:val="00376861"/>
    <w:rsid w:val="003819D9"/>
    <w:rsid w:val="00383CF1"/>
    <w:rsid w:val="00386332"/>
    <w:rsid w:val="003865B0"/>
    <w:rsid w:val="00386750"/>
    <w:rsid w:val="00386E14"/>
    <w:rsid w:val="00386F36"/>
    <w:rsid w:val="0039118F"/>
    <w:rsid w:val="00391ECD"/>
    <w:rsid w:val="0039265F"/>
    <w:rsid w:val="003928D8"/>
    <w:rsid w:val="0039390F"/>
    <w:rsid w:val="00393D5C"/>
    <w:rsid w:val="00393ED7"/>
    <w:rsid w:val="0039432F"/>
    <w:rsid w:val="0039455E"/>
    <w:rsid w:val="00394B3E"/>
    <w:rsid w:val="00395B45"/>
    <w:rsid w:val="003962DB"/>
    <w:rsid w:val="00397169"/>
    <w:rsid w:val="003A110E"/>
    <w:rsid w:val="003A1F60"/>
    <w:rsid w:val="003A2E83"/>
    <w:rsid w:val="003A2FDD"/>
    <w:rsid w:val="003A379A"/>
    <w:rsid w:val="003A3B66"/>
    <w:rsid w:val="003A3C55"/>
    <w:rsid w:val="003A49FD"/>
    <w:rsid w:val="003A4B15"/>
    <w:rsid w:val="003A5175"/>
    <w:rsid w:val="003A53D8"/>
    <w:rsid w:val="003A5C74"/>
    <w:rsid w:val="003A6298"/>
    <w:rsid w:val="003A6F22"/>
    <w:rsid w:val="003A6F67"/>
    <w:rsid w:val="003B2309"/>
    <w:rsid w:val="003B25C7"/>
    <w:rsid w:val="003B26C5"/>
    <w:rsid w:val="003B2A7B"/>
    <w:rsid w:val="003B2FA7"/>
    <w:rsid w:val="003B2FE5"/>
    <w:rsid w:val="003B357E"/>
    <w:rsid w:val="003B3CE9"/>
    <w:rsid w:val="003B3F22"/>
    <w:rsid w:val="003B4CB5"/>
    <w:rsid w:val="003B5787"/>
    <w:rsid w:val="003B6354"/>
    <w:rsid w:val="003B6B53"/>
    <w:rsid w:val="003B6E52"/>
    <w:rsid w:val="003B7B0F"/>
    <w:rsid w:val="003B7F5F"/>
    <w:rsid w:val="003C0D75"/>
    <w:rsid w:val="003C0F40"/>
    <w:rsid w:val="003C1C67"/>
    <w:rsid w:val="003C228A"/>
    <w:rsid w:val="003C2430"/>
    <w:rsid w:val="003C28C3"/>
    <w:rsid w:val="003C33F0"/>
    <w:rsid w:val="003C4B2B"/>
    <w:rsid w:val="003C4F13"/>
    <w:rsid w:val="003C5026"/>
    <w:rsid w:val="003C5FCE"/>
    <w:rsid w:val="003C6475"/>
    <w:rsid w:val="003D070A"/>
    <w:rsid w:val="003D1461"/>
    <w:rsid w:val="003D188A"/>
    <w:rsid w:val="003D200A"/>
    <w:rsid w:val="003D3565"/>
    <w:rsid w:val="003D40C3"/>
    <w:rsid w:val="003D5AB8"/>
    <w:rsid w:val="003D6A06"/>
    <w:rsid w:val="003D7223"/>
    <w:rsid w:val="003D7A70"/>
    <w:rsid w:val="003D7AFB"/>
    <w:rsid w:val="003E2691"/>
    <w:rsid w:val="003E5C3B"/>
    <w:rsid w:val="003F08B4"/>
    <w:rsid w:val="003F0BF8"/>
    <w:rsid w:val="003F106A"/>
    <w:rsid w:val="003F117D"/>
    <w:rsid w:val="003F1454"/>
    <w:rsid w:val="003F1536"/>
    <w:rsid w:val="003F1EA5"/>
    <w:rsid w:val="003F30B5"/>
    <w:rsid w:val="003F3926"/>
    <w:rsid w:val="003F3E89"/>
    <w:rsid w:val="003F40E6"/>
    <w:rsid w:val="003F4AB9"/>
    <w:rsid w:val="003F4B4E"/>
    <w:rsid w:val="003F4E33"/>
    <w:rsid w:val="003F501D"/>
    <w:rsid w:val="003F506F"/>
    <w:rsid w:val="003F5C2B"/>
    <w:rsid w:val="003F601B"/>
    <w:rsid w:val="003F61FF"/>
    <w:rsid w:val="003F6950"/>
    <w:rsid w:val="003F7DB2"/>
    <w:rsid w:val="00400A77"/>
    <w:rsid w:val="0040345E"/>
    <w:rsid w:val="00403E15"/>
    <w:rsid w:val="00404040"/>
    <w:rsid w:val="00404FC6"/>
    <w:rsid w:val="00406364"/>
    <w:rsid w:val="004067FF"/>
    <w:rsid w:val="00407ED8"/>
    <w:rsid w:val="0041033D"/>
    <w:rsid w:val="00410580"/>
    <w:rsid w:val="00411F48"/>
    <w:rsid w:val="00413AE5"/>
    <w:rsid w:val="00413BDA"/>
    <w:rsid w:val="00414AD9"/>
    <w:rsid w:val="0041616A"/>
    <w:rsid w:val="00416466"/>
    <w:rsid w:val="004173FB"/>
    <w:rsid w:val="0041795F"/>
    <w:rsid w:val="00421009"/>
    <w:rsid w:val="00421D80"/>
    <w:rsid w:val="00421DB0"/>
    <w:rsid w:val="00422EA8"/>
    <w:rsid w:val="00423424"/>
    <w:rsid w:val="00423A3A"/>
    <w:rsid w:val="00424BAF"/>
    <w:rsid w:val="00425D88"/>
    <w:rsid w:val="00426861"/>
    <w:rsid w:val="00426AED"/>
    <w:rsid w:val="00430AB4"/>
    <w:rsid w:val="00430DE3"/>
    <w:rsid w:val="004323A7"/>
    <w:rsid w:val="00432D50"/>
    <w:rsid w:val="00433112"/>
    <w:rsid w:val="004335B0"/>
    <w:rsid w:val="004345FA"/>
    <w:rsid w:val="00434BEF"/>
    <w:rsid w:val="0043501C"/>
    <w:rsid w:val="00435E8D"/>
    <w:rsid w:val="00435F02"/>
    <w:rsid w:val="00437273"/>
    <w:rsid w:val="00437B5C"/>
    <w:rsid w:val="0044050B"/>
    <w:rsid w:val="00441DEC"/>
    <w:rsid w:val="00443640"/>
    <w:rsid w:val="00443659"/>
    <w:rsid w:val="004439B8"/>
    <w:rsid w:val="004453B3"/>
    <w:rsid w:val="0044617D"/>
    <w:rsid w:val="004461C7"/>
    <w:rsid w:val="00446502"/>
    <w:rsid w:val="00446E89"/>
    <w:rsid w:val="0044721B"/>
    <w:rsid w:val="004473A6"/>
    <w:rsid w:val="004474CE"/>
    <w:rsid w:val="00447D01"/>
    <w:rsid w:val="00447E5C"/>
    <w:rsid w:val="00450EE6"/>
    <w:rsid w:val="00452515"/>
    <w:rsid w:val="004527EE"/>
    <w:rsid w:val="00452E3F"/>
    <w:rsid w:val="00454A07"/>
    <w:rsid w:val="00456C47"/>
    <w:rsid w:val="0046042F"/>
    <w:rsid w:val="00461FB0"/>
    <w:rsid w:val="00462B63"/>
    <w:rsid w:val="00463DC8"/>
    <w:rsid w:val="00463F10"/>
    <w:rsid w:val="0046410C"/>
    <w:rsid w:val="004649DE"/>
    <w:rsid w:val="00465025"/>
    <w:rsid w:val="00465153"/>
    <w:rsid w:val="004651E1"/>
    <w:rsid w:val="00465864"/>
    <w:rsid w:val="00466142"/>
    <w:rsid w:val="00466223"/>
    <w:rsid w:val="0046767D"/>
    <w:rsid w:val="00467BFC"/>
    <w:rsid w:val="004705CC"/>
    <w:rsid w:val="0047118A"/>
    <w:rsid w:val="00471DAE"/>
    <w:rsid w:val="00471F90"/>
    <w:rsid w:val="00475525"/>
    <w:rsid w:val="004755EF"/>
    <w:rsid w:val="00475EC5"/>
    <w:rsid w:val="00476117"/>
    <w:rsid w:val="004773BB"/>
    <w:rsid w:val="00477420"/>
    <w:rsid w:val="004777C4"/>
    <w:rsid w:val="00477FF9"/>
    <w:rsid w:val="004812F7"/>
    <w:rsid w:val="00481C2E"/>
    <w:rsid w:val="00482ABA"/>
    <w:rsid w:val="00483660"/>
    <w:rsid w:val="00483B02"/>
    <w:rsid w:val="00483FCD"/>
    <w:rsid w:val="00484705"/>
    <w:rsid w:val="00484D72"/>
    <w:rsid w:val="004865BD"/>
    <w:rsid w:val="0048695C"/>
    <w:rsid w:val="0048782B"/>
    <w:rsid w:val="00490322"/>
    <w:rsid w:val="00491794"/>
    <w:rsid w:val="00491B60"/>
    <w:rsid w:val="004925DA"/>
    <w:rsid w:val="00492C4D"/>
    <w:rsid w:val="00492FAE"/>
    <w:rsid w:val="004934E9"/>
    <w:rsid w:val="0049483C"/>
    <w:rsid w:val="00495BF0"/>
    <w:rsid w:val="004965AA"/>
    <w:rsid w:val="0049661F"/>
    <w:rsid w:val="00496FDC"/>
    <w:rsid w:val="00497784"/>
    <w:rsid w:val="00497CFD"/>
    <w:rsid w:val="004A0AB3"/>
    <w:rsid w:val="004A132E"/>
    <w:rsid w:val="004A16E0"/>
    <w:rsid w:val="004A24A5"/>
    <w:rsid w:val="004A2960"/>
    <w:rsid w:val="004A2D39"/>
    <w:rsid w:val="004A33E5"/>
    <w:rsid w:val="004A3547"/>
    <w:rsid w:val="004A3955"/>
    <w:rsid w:val="004A4352"/>
    <w:rsid w:val="004A43E8"/>
    <w:rsid w:val="004A5414"/>
    <w:rsid w:val="004A7896"/>
    <w:rsid w:val="004B10DA"/>
    <w:rsid w:val="004B1636"/>
    <w:rsid w:val="004B222D"/>
    <w:rsid w:val="004B2840"/>
    <w:rsid w:val="004B348E"/>
    <w:rsid w:val="004B4061"/>
    <w:rsid w:val="004B42AD"/>
    <w:rsid w:val="004B44AA"/>
    <w:rsid w:val="004B5DE7"/>
    <w:rsid w:val="004B6A60"/>
    <w:rsid w:val="004B77E4"/>
    <w:rsid w:val="004B7A61"/>
    <w:rsid w:val="004C06A1"/>
    <w:rsid w:val="004C08F8"/>
    <w:rsid w:val="004C1E98"/>
    <w:rsid w:val="004C2EDD"/>
    <w:rsid w:val="004C3C30"/>
    <w:rsid w:val="004C44CE"/>
    <w:rsid w:val="004C4A52"/>
    <w:rsid w:val="004C4B4D"/>
    <w:rsid w:val="004C4F4C"/>
    <w:rsid w:val="004C59A4"/>
    <w:rsid w:val="004C5ACF"/>
    <w:rsid w:val="004C6EF8"/>
    <w:rsid w:val="004C6FF6"/>
    <w:rsid w:val="004C7653"/>
    <w:rsid w:val="004D0BAE"/>
    <w:rsid w:val="004D1723"/>
    <w:rsid w:val="004D2906"/>
    <w:rsid w:val="004D2B11"/>
    <w:rsid w:val="004D3447"/>
    <w:rsid w:val="004D4FF6"/>
    <w:rsid w:val="004D5689"/>
    <w:rsid w:val="004D5692"/>
    <w:rsid w:val="004D57FE"/>
    <w:rsid w:val="004D5C1F"/>
    <w:rsid w:val="004D6AC1"/>
    <w:rsid w:val="004D6E73"/>
    <w:rsid w:val="004D7345"/>
    <w:rsid w:val="004D79F3"/>
    <w:rsid w:val="004D7BB6"/>
    <w:rsid w:val="004E0319"/>
    <w:rsid w:val="004E0648"/>
    <w:rsid w:val="004E0724"/>
    <w:rsid w:val="004E091D"/>
    <w:rsid w:val="004E0985"/>
    <w:rsid w:val="004E19D7"/>
    <w:rsid w:val="004E29DD"/>
    <w:rsid w:val="004E3A6F"/>
    <w:rsid w:val="004E4636"/>
    <w:rsid w:val="004E527B"/>
    <w:rsid w:val="004E664A"/>
    <w:rsid w:val="004E7EDC"/>
    <w:rsid w:val="004F0150"/>
    <w:rsid w:val="004F0929"/>
    <w:rsid w:val="004F0BF4"/>
    <w:rsid w:val="004F10F5"/>
    <w:rsid w:val="004F1819"/>
    <w:rsid w:val="004F1D6E"/>
    <w:rsid w:val="004F2ED8"/>
    <w:rsid w:val="004F314E"/>
    <w:rsid w:val="004F322E"/>
    <w:rsid w:val="004F349E"/>
    <w:rsid w:val="004F365B"/>
    <w:rsid w:val="004F3B5C"/>
    <w:rsid w:val="004F4B67"/>
    <w:rsid w:val="004F4FDD"/>
    <w:rsid w:val="004F51AF"/>
    <w:rsid w:val="004F5BAA"/>
    <w:rsid w:val="004F6370"/>
    <w:rsid w:val="004F69B8"/>
    <w:rsid w:val="004F7020"/>
    <w:rsid w:val="004F7306"/>
    <w:rsid w:val="0050142E"/>
    <w:rsid w:val="0050158A"/>
    <w:rsid w:val="00501D64"/>
    <w:rsid w:val="00502017"/>
    <w:rsid w:val="00502B3F"/>
    <w:rsid w:val="00502C9E"/>
    <w:rsid w:val="00503332"/>
    <w:rsid w:val="00503F73"/>
    <w:rsid w:val="00503F99"/>
    <w:rsid w:val="005104CA"/>
    <w:rsid w:val="00510C28"/>
    <w:rsid w:val="005117EB"/>
    <w:rsid w:val="00512350"/>
    <w:rsid w:val="005138A3"/>
    <w:rsid w:val="00514A9F"/>
    <w:rsid w:val="00514AB5"/>
    <w:rsid w:val="00514D77"/>
    <w:rsid w:val="005158CE"/>
    <w:rsid w:val="00515ED6"/>
    <w:rsid w:val="00515FD4"/>
    <w:rsid w:val="00516483"/>
    <w:rsid w:val="005165F1"/>
    <w:rsid w:val="005166DD"/>
    <w:rsid w:val="005166F3"/>
    <w:rsid w:val="0051724E"/>
    <w:rsid w:val="005173D1"/>
    <w:rsid w:val="00517FEC"/>
    <w:rsid w:val="00520687"/>
    <w:rsid w:val="0052084B"/>
    <w:rsid w:val="00520B9D"/>
    <w:rsid w:val="00521895"/>
    <w:rsid w:val="005223AB"/>
    <w:rsid w:val="00522ECF"/>
    <w:rsid w:val="005239C9"/>
    <w:rsid w:val="00524177"/>
    <w:rsid w:val="005247AD"/>
    <w:rsid w:val="00524CF2"/>
    <w:rsid w:val="005255CD"/>
    <w:rsid w:val="00527888"/>
    <w:rsid w:val="00531500"/>
    <w:rsid w:val="00533757"/>
    <w:rsid w:val="00533777"/>
    <w:rsid w:val="00534340"/>
    <w:rsid w:val="00535279"/>
    <w:rsid w:val="00535481"/>
    <w:rsid w:val="005356E4"/>
    <w:rsid w:val="00536141"/>
    <w:rsid w:val="00536AFE"/>
    <w:rsid w:val="0053733F"/>
    <w:rsid w:val="00537B0D"/>
    <w:rsid w:val="00537EBC"/>
    <w:rsid w:val="00542440"/>
    <w:rsid w:val="00542EEC"/>
    <w:rsid w:val="00543013"/>
    <w:rsid w:val="0054567B"/>
    <w:rsid w:val="00545A56"/>
    <w:rsid w:val="005464B4"/>
    <w:rsid w:val="00546E33"/>
    <w:rsid w:val="00547BB4"/>
    <w:rsid w:val="00550332"/>
    <w:rsid w:val="005507A6"/>
    <w:rsid w:val="0055345A"/>
    <w:rsid w:val="00553915"/>
    <w:rsid w:val="005546D1"/>
    <w:rsid w:val="00554A32"/>
    <w:rsid w:val="00555210"/>
    <w:rsid w:val="00555AA1"/>
    <w:rsid w:val="00555DA7"/>
    <w:rsid w:val="00556469"/>
    <w:rsid w:val="0055677E"/>
    <w:rsid w:val="00556A9A"/>
    <w:rsid w:val="00560A1E"/>
    <w:rsid w:val="00560DF5"/>
    <w:rsid w:val="00560ECF"/>
    <w:rsid w:val="0056161A"/>
    <w:rsid w:val="0056232B"/>
    <w:rsid w:val="0056274E"/>
    <w:rsid w:val="00562813"/>
    <w:rsid w:val="00562E1A"/>
    <w:rsid w:val="00562F2A"/>
    <w:rsid w:val="00563906"/>
    <w:rsid w:val="005641D5"/>
    <w:rsid w:val="005645FD"/>
    <w:rsid w:val="00564F7D"/>
    <w:rsid w:val="005650CE"/>
    <w:rsid w:val="00565101"/>
    <w:rsid w:val="005662B6"/>
    <w:rsid w:val="00571A15"/>
    <w:rsid w:val="00571D58"/>
    <w:rsid w:val="00571F7C"/>
    <w:rsid w:val="00572283"/>
    <w:rsid w:val="005733DB"/>
    <w:rsid w:val="00573780"/>
    <w:rsid w:val="00573DB8"/>
    <w:rsid w:val="00574AC5"/>
    <w:rsid w:val="00574BCD"/>
    <w:rsid w:val="00574CEA"/>
    <w:rsid w:val="005759B5"/>
    <w:rsid w:val="00576309"/>
    <w:rsid w:val="005766B3"/>
    <w:rsid w:val="00576C0B"/>
    <w:rsid w:val="00576CDF"/>
    <w:rsid w:val="0058036D"/>
    <w:rsid w:val="00581384"/>
    <w:rsid w:val="0058178E"/>
    <w:rsid w:val="00581970"/>
    <w:rsid w:val="00583DFB"/>
    <w:rsid w:val="00583F78"/>
    <w:rsid w:val="005840C7"/>
    <w:rsid w:val="00584712"/>
    <w:rsid w:val="00584CA5"/>
    <w:rsid w:val="005851EE"/>
    <w:rsid w:val="00585A51"/>
    <w:rsid w:val="00586808"/>
    <w:rsid w:val="00587E5C"/>
    <w:rsid w:val="0059176B"/>
    <w:rsid w:val="005931FB"/>
    <w:rsid w:val="005934AE"/>
    <w:rsid w:val="00593F3E"/>
    <w:rsid w:val="00594B8F"/>
    <w:rsid w:val="00595217"/>
    <w:rsid w:val="00595DD1"/>
    <w:rsid w:val="0059799F"/>
    <w:rsid w:val="00597AF1"/>
    <w:rsid w:val="005A048F"/>
    <w:rsid w:val="005A0806"/>
    <w:rsid w:val="005A0A03"/>
    <w:rsid w:val="005A0E07"/>
    <w:rsid w:val="005A1134"/>
    <w:rsid w:val="005A3078"/>
    <w:rsid w:val="005A45B5"/>
    <w:rsid w:val="005A56B7"/>
    <w:rsid w:val="005A71F2"/>
    <w:rsid w:val="005B08CA"/>
    <w:rsid w:val="005B1955"/>
    <w:rsid w:val="005B1DA4"/>
    <w:rsid w:val="005B24FC"/>
    <w:rsid w:val="005B2AAC"/>
    <w:rsid w:val="005B2BFA"/>
    <w:rsid w:val="005B2C04"/>
    <w:rsid w:val="005B3F06"/>
    <w:rsid w:val="005B450F"/>
    <w:rsid w:val="005B4B85"/>
    <w:rsid w:val="005B5382"/>
    <w:rsid w:val="005B59F7"/>
    <w:rsid w:val="005B6876"/>
    <w:rsid w:val="005B71CC"/>
    <w:rsid w:val="005B75BD"/>
    <w:rsid w:val="005C022E"/>
    <w:rsid w:val="005C053E"/>
    <w:rsid w:val="005C0884"/>
    <w:rsid w:val="005C0B4D"/>
    <w:rsid w:val="005C17CE"/>
    <w:rsid w:val="005C1A92"/>
    <w:rsid w:val="005C3975"/>
    <w:rsid w:val="005C3E53"/>
    <w:rsid w:val="005C69CB"/>
    <w:rsid w:val="005C7C25"/>
    <w:rsid w:val="005D10AC"/>
    <w:rsid w:val="005D1419"/>
    <w:rsid w:val="005D20AA"/>
    <w:rsid w:val="005D2B7D"/>
    <w:rsid w:val="005D2F03"/>
    <w:rsid w:val="005D4437"/>
    <w:rsid w:val="005D50B8"/>
    <w:rsid w:val="005D575A"/>
    <w:rsid w:val="005D6100"/>
    <w:rsid w:val="005D64BE"/>
    <w:rsid w:val="005D68DC"/>
    <w:rsid w:val="005D719C"/>
    <w:rsid w:val="005E020E"/>
    <w:rsid w:val="005E0C8C"/>
    <w:rsid w:val="005E1AA3"/>
    <w:rsid w:val="005E2953"/>
    <w:rsid w:val="005E2E87"/>
    <w:rsid w:val="005E2F7E"/>
    <w:rsid w:val="005E5238"/>
    <w:rsid w:val="005E56B0"/>
    <w:rsid w:val="005E7C4C"/>
    <w:rsid w:val="005F08B4"/>
    <w:rsid w:val="005F0BBB"/>
    <w:rsid w:val="005F125E"/>
    <w:rsid w:val="005F2572"/>
    <w:rsid w:val="005F296B"/>
    <w:rsid w:val="005F2B24"/>
    <w:rsid w:val="005F3260"/>
    <w:rsid w:val="005F4D75"/>
    <w:rsid w:val="005F600D"/>
    <w:rsid w:val="005F69E8"/>
    <w:rsid w:val="005F79DE"/>
    <w:rsid w:val="005F7E77"/>
    <w:rsid w:val="006007AE"/>
    <w:rsid w:val="00601615"/>
    <w:rsid w:val="00602346"/>
    <w:rsid w:val="00604D86"/>
    <w:rsid w:val="00604FC3"/>
    <w:rsid w:val="00605FBB"/>
    <w:rsid w:val="006060D5"/>
    <w:rsid w:val="00606451"/>
    <w:rsid w:val="00606A41"/>
    <w:rsid w:val="00606DCB"/>
    <w:rsid w:val="00610036"/>
    <w:rsid w:val="00610A53"/>
    <w:rsid w:val="00610B5D"/>
    <w:rsid w:val="006111A3"/>
    <w:rsid w:val="00611A8A"/>
    <w:rsid w:val="006121F1"/>
    <w:rsid w:val="006123FE"/>
    <w:rsid w:val="00613C42"/>
    <w:rsid w:val="0061464F"/>
    <w:rsid w:val="00615E37"/>
    <w:rsid w:val="00620EFB"/>
    <w:rsid w:val="006219F7"/>
    <w:rsid w:val="0062264F"/>
    <w:rsid w:val="00623751"/>
    <w:rsid w:val="00623CD7"/>
    <w:rsid w:val="006242C0"/>
    <w:rsid w:val="006242EF"/>
    <w:rsid w:val="00624ACE"/>
    <w:rsid w:val="00625658"/>
    <w:rsid w:val="00627378"/>
    <w:rsid w:val="00627ED3"/>
    <w:rsid w:val="0063100F"/>
    <w:rsid w:val="0063147F"/>
    <w:rsid w:val="0063201E"/>
    <w:rsid w:val="006335B8"/>
    <w:rsid w:val="006338F0"/>
    <w:rsid w:val="00634E9E"/>
    <w:rsid w:val="006358AC"/>
    <w:rsid w:val="006367A0"/>
    <w:rsid w:val="006379C4"/>
    <w:rsid w:val="0064109D"/>
    <w:rsid w:val="006412F3"/>
    <w:rsid w:val="0064136A"/>
    <w:rsid w:val="006421D1"/>
    <w:rsid w:val="00643528"/>
    <w:rsid w:val="006435F1"/>
    <w:rsid w:val="00643DCA"/>
    <w:rsid w:val="0064454A"/>
    <w:rsid w:val="00644B98"/>
    <w:rsid w:val="00646138"/>
    <w:rsid w:val="00647342"/>
    <w:rsid w:val="00647794"/>
    <w:rsid w:val="00647A13"/>
    <w:rsid w:val="00647EBC"/>
    <w:rsid w:val="006506D3"/>
    <w:rsid w:val="00650B4A"/>
    <w:rsid w:val="0065163C"/>
    <w:rsid w:val="006517A3"/>
    <w:rsid w:val="0065190E"/>
    <w:rsid w:val="00651C71"/>
    <w:rsid w:val="00651F5D"/>
    <w:rsid w:val="006521A8"/>
    <w:rsid w:val="00652E3C"/>
    <w:rsid w:val="00653F28"/>
    <w:rsid w:val="00654012"/>
    <w:rsid w:val="0065437A"/>
    <w:rsid w:val="00654617"/>
    <w:rsid w:val="00654806"/>
    <w:rsid w:val="0065484D"/>
    <w:rsid w:val="00654C8B"/>
    <w:rsid w:val="0065552B"/>
    <w:rsid w:val="00655B49"/>
    <w:rsid w:val="00656704"/>
    <w:rsid w:val="0065744E"/>
    <w:rsid w:val="00657CF0"/>
    <w:rsid w:val="0066121C"/>
    <w:rsid w:val="00662213"/>
    <w:rsid w:val="00662F9C"/>
    <w:rsid w:val="006634F6"/>
    <w:rsid w:val="00664D61"/>
    <w:rsid w:val="00665257"/>
    <w:rsid w:val="0066538B"/>
    <w:rsid w:val="00665508"/>
    <w:rsid w:val="006661B0"/>
    <w:rsid w:val="0066699D"/>
    <w:rsid w:val="00667A91"/>
    <w:rsid w:val="0067064D"/>
    <w:rsid w:val="00670F92"/>
    <w:rsid w:val="00671656"/>
    <w:rsid w:val="00671C08"/>
    <w:rsid w:val="00671EFB"/>
    <w:rsid w:val="00672205"/>
    <w:rsid w:val="006737B0"/>
    <w:rsid w:val="00673B14"/>
    <w:rsid w:val="00673C4B"/>
    <w:rsid w:val="0067602C"/>
    <w:rsid w:val="00676768"/>
    <w:rsid w:val="006768AF"/>
    <w:rsid w:val="00676E1E"/>
    <w:rsid w:val="00676E2A"/>
    <w:rsid w:val="00676ED9"/>
    <w:rsid w:val="0068328E"/>
    <w:rsid w:val="00683ACB"/>
    <w:rsid w:val="00683B09"/>
    <w:rsid w:val="00684343"/>
    <w:rsid w:val="00684545"/>
    <w:rsid w:val="006846E4"/>
    <w:rsid w:val="00684AD4"/>
    <w:rsid w:val="00685C36"/>
    <w:rsid w:val="0068669F"/>
    <w:rsid w:val="00690954"/>
    <w:rsid w:val="00691113"/>
    <w:rsid w:val="006931AA"/>
    <w:rsid w:val="00693C0D"/>
    <w:rsid w:val="00694AE6"/>
    <w:rsid w:val="00695596"/>
    <w:rsid w:val="00695607"/>
    <w:rsid w:val="0069580E"/>
    <w:rsid w:val="00695BC6"/>
    <w:rsid w:val="00696B10"/>
    <w:rsid w:val="006A01AD"/>
    <w:rsid w:val="006A10A9"/>
    <w:rsid w:val="006A172F"/>
    <w:rsid w:val="006A32A7"/>
    <w:rsid w:val="006A3698"/>
    <w:rsid w:val="006A3DCB"/>
    <w:rsid w:val="006A43C7"/>
    <w:rsid w:val="006A4EF3"/>
    <w:rsid w:val="006A4FC1"/>
    <w:rsid w:val="006A5898"/>
    <w:rsid w:val="006A5F8D"/>
    <w:rsid w:val="006A6A61"/>
    <w:rsid w:val="006A770C"/>
    <w:rsid w:val="006A7EA5"/>
    <w:rsid w:val="006B0613"/>
    <w:rsid w:val="006B1298"/>
    <w:rsid w:val="006B1712"/>
    <w:rsid w:val="006B1C2A"/>
    <w:rsid w:val="006B1E90"/>
    <w:rsid w:val="006B2F4C"/>
    <w:rsid w:val="006B2FFD"/>
    <w:rsid w:val="006B34F5"/>
    <w:rsid w:val="006B3651"/>
    <w:rsid w:val="006B4096"/>
    <w:rsid w:val="006B44E5"/>
    <w:rsid w:val="006B57C4"/>
    <w:rsid w:val="006B580F"/>
    <w:rsid w:val="006B5811"/>
    <w:rsid w:val="006B5C40"/>
    <w:rsid w:val="006B5CA2"/>
    <w:rsid w:val="006B61A8"/>
    <w:rsid w:val="006B623D"/>
    <w:rsid w:val="006B670E"/>
    <w:rsid w:val="006C1066"/>
    <w:rsid w:val="006C2E4F"/>
    <w:rsid w:val="006C3DD0"/>
    <w:rsid w:val="006C4F64"/>
    <w:rsid w:val="006C5178"/>
    <w:rsid w:val="006C533E"/>
    <w:rsid w:val="006C55AE"/>
    <w:rsid w:val="006C61B5"/>
    <w:rsid w:val="006C637F"/>
    <w:rsid w:val="006C6762"/>
    <w:rsid w:val="006C695D"/>
    <w:rsid w:val="006C6F6B"/>
    <w:rsid w:val="006C7541"/>
    <w:rsid w:val="006C76B1"/>
    <w:rsid w:val="006D095D"/>
    <w:rsid w:val="006D33F1"/>
    <w:rsid w:val="006D4194"/>
    <w:rsid w:val="006D432C"/>
    <w:rsid w:val="006D43D4"/>
    <w:rsid w:val="006D4D90"/>
    <w:rsid w:val="006D57EE"/>
    <w:rsid w:val="006D5994"/>
    <w:rsid w:val="006D5DBE"/>
    <w:rsid w:val="006D5F02"/>
    <w:rsid w:val="006D6205"/>
    <w:rsid w:val="006D68BE"/>
    <w:rsid w:val="006D69A0"/>
    <w:rsid w:val="006D7ED3"/>
    <w:rsid w:val="006E2C24"/>
    <w:rsid w:val="006E34B1"/>
    <w:rsid w:val="006E3A77"/>
    <w:rsid w:val="006E5419"/>
    <w:rsid w:val="006E58A5"/>
    <w:rsid w:val="006E632E"/>
    <w:rsid w:val="006E651D"/>
    <w:rsid w:val="006E6649"/>
    <w:rsid w:val="006E71C3"/>
    <w:rsid w:val="006F00ED"/>
    <w:rsid w:val="006F01A9"/>
    <w:rsid w:val="006F0275"/>
    <w:rsid w:val="006F2EA7"/>
    <w:rsid w:val="006F3265"/>
    <w:rsid w:val="006F3E0A"/>
    <w:rsid w:val="006F4379"/>
    <w:rsid w:val="006F4A44"/>
    <w:rsid w:val="006F4D07"/>
    <w:rsid w:val="006F53A6"/>
    <w:rsid w:val="006F5D7B"/>
    <w:rsid w:val="006F62E2"/>
    <w:rsid w:val="006F6C7B"/>
    <w:rsid w:val="006F6FED"/>
    <w:rsid w:val="006F725C"/>
    <w:rsid w:val="006F7B85"/>
    <w:rsid w:val="006F7D30"/>
    <w:rsid w:val="006F7D93"/>
    <w:rsid w:val="00700012"/>
    <w:rsid w:val="007008C0"/>
    <w:rsid w:val="007008F8"/>
    <w:rsid w:val="00702686"/>
    <w:rsid w:val="00702AF0"/>
    <w:rsid w:val="00702C11"/>
    <w:rsid w:val="00702CBD"/>
    <w:rsid w:val="0070379D"/>
    <w:rsid w:val="0070385E"/>
    <w:rsid w:val="007038B3"/>
    <w:rsid w:val="00703CC0"/>
    <w:rsid w:val="00703FB7"/>
    <w:rsid w:val="00704161"/>
    <w:rsid w:val="007050D6"/>
    <w:rsid w:val="00705460"/>
    <w:rsid w:val="0070605E"/>
    <w:rsid w:val="00706487"/>
    <w:rsid w:val="00707145"/>
    <w:rsid w:val="0070747B"/>
    <w:rsid w:val="0071094A"/>
    <w:rsid w:val="0071097D"/>
    <w:rsid w:val="00710BFC"/>
    <w:rsid w:val="007110D0"/>
    <w:rsid w:val="00711A15"/>
    <w:rsid w:val="00711CF4"/>
    <w:rsid w:val="00713381"/>
    <w:rsid w:val="0071392E"/>
    <w:rsid w:val="00713AC3"/>
    <w:rsid w:val="007151E9"/>
    <w:rsid w:val="00715344"/>
    <w:rsid w:val="007165A2"/>
    <w:rsid w:val="00721DFD"/>
    <w:rsid w:val="00722FAD"/>
    <w:rsid w:val="00724332"/>
    <w:rsid w:val="00724B11"/>
    <w:rsid w:val="00724F65"/>
    <w:rsid w:val="00726C16"/>
    <w:rsid w:val="00726D43"/>
    <w:rsid w:val="007279B5"/>
    <w:rsid w:val="00727DDF"/>
    <w:rsid w:val="00731055"/>
    <w:rsid w:val="007316DC"/>
    <w:rsid w:val="0073197F"/>
    <w:rsid w:val="007339D3"/>
    <w:rsid w:val="00735F08"/>
    <w:rsid w:val="00735F2E"/>
    <w:rsid w:val="00735FEC"/>
    <w:rsid w:val="00736592"/>
    <w:rsid w:val="007375DC"/>
    <w:rsid w:val="00740973"/>
    <w:rsid w:val="00740E6F"/>
    <w:rsid w:val="0074191D"/>
    <w:rsid w:val="00741BFB"/>
    <w:rsid w:val="007421C8"/>
    <w:rsid w:val="007429E1"/>
    <w:rsid w:val="00742A43"/>
    <w:rsid w:val="00742D7A"/>
    <w:rsid w:val="00742E07"/>
    <w:rsid w:val="00743486"/>
    <w:rsid w:val="007434AB"/>
    <w:rsid w:val="007436A3"/>
    <w:rsid w:val="0074378F"/>
    <w:rsid w:val="007447D6"/>
    <w:rsid w:val="00744BAA"/>
    <w:rsid w:val="007452B3"/>
    <w:rsid w:val="00745B35"/>
    <w:rsid w:val="00747422"/>
    <w:rsid w:val="007477FD"/>
    <w:rsid w:val="007500A0"/>
    <w:rsid w:val="007512DA"/>
    <w:rsid w:val="00751824"/>
    <w:rsid w:val="00752FC6"/>
    <w:rsid w:val="007533F4"/>
    <w:rsid w:val="00753F39"/>
    <w:rsid w:val="0075510D"/>
    <w:rsid w:val="00755399"/>
    <w:rsid w:val="0075632C"/>
    <w:rsid w:val="0075637A"/>
    <w:rsid w:val="00756CDE"/>
    <w:rsid w:val="00756E9C"/>
    <w:rsid w:val="007575BF"/>
    <w:rsid w:val="007622B7"/>
    <w:rsid w:val="007624DE"/>
    <w:rsid w:val="0076284B"/>
    <w:rsid w:val="00762EF8"/>
    <w:rsid w:val="007634F7"/>
    <w:rsid w:val="00763B96"/>
    <w:rsid w:val="007644D1"/>
    <w:rsid w:val="007645B4"/>
    <w:rsid w:val="0076495A"/>
    <w:rsid w:val="0076613C"/>
    <w:rsid w:val="00766FA7"/>
    <w:rsid w:val="00767AF2"/>
    <w:rsid w:val="00770C7B"/>
    <w:rsid w:val="007710CE"/>
    <w:rsid w:val="00771E72"/>
    <w:rsid w:val="007725AF"/>
    <w:rsid w:val="00773056"/>
    <w:rsid w:val="007733E2"/>
    <w:rsid w:val="00773686"/>
    <w:rsid w:val="00774C1B"/>
    <w:rsid w:val="00774D15"/>
    <w:rsid w:val="00775F22"/>
    <w:rsid w:val="00782F62"/>
    <w:rsid w:val="00783798"/>
    <w:rsid w:val="00783B41"/>
    <w:rsid w:val="0078536C"/>
    <w:rsid w:val="007877F9"/>
    <w:rsid w:val="00790D8A"/>
    <w:rsid w:val="0079257D"/>
    <w:rsid w:val="00792E92"/>
    <w:rsid w:val="007935BE"/>
    <w:rsid w:val="00795D6E"/>
    <w:rsid w:val="00796464"/>
    <w:rsid w:val="00796F84"/>
    <w:rsid w:val="00797264"/>
    <w:rsid w:val="007A0961"/>
    <w:rsid w:val="007A0D59"/>
    <w:rsid w:val="007A14E2"/>
    <w:rsid w:val="007A2D1B"/>
    <w:rsid w:val="007A3053"/>
    <w:rsid w:val="007A38DA"/>
    <w:rsid w:val="007A462B"/>
    <w:rsid w:val="007A476A"/>
    <w:rsid w:val="007A5B50"/>
    <w:rsid w:val="007A7B3D"/>
    <w:rsid w:val="007B0646"/>
    <w:rsid w:val="007B1063"/>
    <w:rsid w:val="007B16A0"/>
    <w:rsid w:val="007B3004"/>
    <w:rsid w:val="007B323D"/>
    <w:rsid w:val="007B324B"/>
    <w:rsid w:val="007B3459"/>
    <w:rsid w:val="007B3943"/>
    <w:rsid w:val="007B3A43"/>
    <w:rsid w:val="007B3F8A"/>
    <w:rsid w:val="007B4B9E"/>
    <w:rsid w:val="007B6219"/>
    <w:rsid w:val="007B649C"/>
    <w:rsid w:val="007B68EC"/>
    <w:rsid w:val="007B6CE0"/>
    <w:rsid w:val="007B6D28"/>
    <w:rsid w:val="007B7117"/>
    <w:rsid w:val="007B736C"/>
    <w:rsid w:val="007B7505"/>
    <w:rsid w:val="007B7C9D"/>
    <w:rsid w:val="007C05B3"/>
    <w:rsid w:val="007C05D7"/>
    <w:rsid w:val="007C078B"/>
    <w:rsid w:val="007C18CD"/>
    <w:rsid w:val="007C2102"/>
    <w:rsid w:val="007C2542"/>
    <w:rsid w:val="007C2B67"/>
    <w:rsid w:val="007C34CA"/>
    <w:rsid w:val="007C52B9"/>
    <w:rsid w:val="007C6797"/>
    <w:rsid w:val="007C6889"/>
    <w:rsid w:val="007C6D6B"/>
    <w:rsid w:val="007C720D"/>
    <w:rsid w:val="007D0989"/>
    <w:rsid w:val="007D1462"/>
    <w:rsid w:val="007D1C1A"/>
    <w:rsid w:val="007D2A5B"/>
    <w:rsid w:val="007D2D54"/>
    <w:rsid w:val="007D3D53"/>
    <w:rsid w:val="007D4483"/>
    <w:rsid w:val="007D4491"/>
    <w:rsid w:val="007D45C5"/>
    <w:rsid w:val="007D61F5"/>
    <w:rsid w:val="007D69F2"/>
    <w:rsid w:val="007E07DC"/>
    <w:rsid w:val="007E13DC"/>
    <w:rsid w:val="007E290F"/>
    <w:rsid w:val="007E3721"/>
    <w:rsid w:val="007E3872"/>
    <w:rsid w:val="007E3E26"/>
    <w:rsid w:val="007E43FA"/>
    <w:rsid w:val="007E4498"/>
    <w:rsid w:val="007E49CF"/>
    <w:rsid w:val="007E4B02"/>
    <w:rsid w:val="007E4F4D"/>
    <w:rsid w:val="007E5C04"/>
    <w:rsid w:val="007E6A14"/>
    <w:rsid w:val="007E7041"/>
    <w:rsid w:val="007E7777"/>
    <w:rsid w:val="007E7EF2"/>
    <w:rsid w:val="007F0985"/>
    <w:rsid w:val="007F12F3"/>
    <w:rsid w:val="007F1351"/>
    <w:rsid w:val="007F2C45"/>
    <w:rsid w:val="007F3054"/>
    <w:rsid w:val="007F39FE"/>
    <w:rsid w:val="007F3E39"/>
    <w:rsid w:val="007F4B2F"/>
    <w:rsid w:val="007F534C"/>
    <w:rsid w:val="007F581C"/>
    <w:rsid w:val="007F74D3"/>
    <w:rsid w:val="007F7915"/>
    <w:rsid w:val="00800238"/>
    <w:rsid w:val="00800928"/>
    <w:rsid w:val="00801FF1"/>
    <w:rsid w:val="00802368"/>
    <w:rsid w:val="008023B9"/>
    <w:rsid w:val="0080249A"/>
    <w:rsid w:val="00803687"/>
    <w:rsid w:val="00803D07"/>
    <w:rsid w:val="00803EED"/>
    <w:rsid w:val="00804913"/>
    <w:rsid w:val="00804EBE"/>
    <w:rsid w:val="00806A70"/>
    <w:rsid w:val="00806D92"/>
    <w:rsid w:val="00806E20"/>
    <w:rsid w:val="00806FAE"/>
    <w:rsid w:val="0080710F"/>
    <w:rsid w:val="00810B79"/>
    <w:rsid w:val="00810ED5"/>
    <w:rsid w:val="00810F54"/>
    <w:rsid w:val="00811E12"/>
    <w:rsid w:val="00811EF1"/>
    <w:rsid w:val="00812032"/>
    <w:rsid w:val="00812980"/>
    <w:rsid w:val="00812A5C"/>
    <w:rsid w:val="00813263"/>
    <w:rsid w:val="00814217"/>
    <w:rsid w:val="00814592"/>
    <w:rsid w:val="00814FCA"/>
    <w:rsid w:val="0081522B"/>
    <w:rsid w:val="00816043"/>
    <w:rsid w:val="008160E4"/>
    <w:rsid w:val="0081613A"/>
    <w:rsid w:val="008163CB"/>
    <w:rsid w:val="0081669B"/>
    <w:rsid w:val="00816EFC"/>
    <w:rsid w:val="008170B0"/>
    <w:rsid w:val="00817237"/>
    <w:rsid w:val="00820050"/>
    <w:rsid w:val="00820BFF"/>
    <w:rsid w:val="00821B60"/>
    <w:rsid w:val="00822DD4"/>
    <w:rsid w:val="00823352"/>
    <w:rsid w:val="00823607"/>
    <w:rsid w:val="0082371D"/>
    <w:rsid w:val="00823B14"/>
    <w:rsid w:val="00824489"/>
    <w:rsid w:val="00826293"/>
    <w:rsid w:val="0082797C"/>
    <w:rsid w:val="0083003D"/>
    <w:rsid w:val="00831B83"/>
    <w:rsid w:val="0083220B"/>
    <w:rsid w:val="00832880"/>
    <w:rsid w:val="00833AA0"/>
    <w:rsid w:val="00835497"/>
    <w:rsid w:val="00835596"/>
    <w:rsid w:val="008358D0"/>
    <w:rsid w:val="00836018"/>
    <w:rsid w:val="00840293"/>
    <w:rsid w:val="008403AC"/>
    <w:rsid w:val="00840478"/>
    <w:rsid w:val="00840779"/>
    <w:rsid w:val="00841958"/>
    <w:rsid w:val="00841F4D"/>
    <w:rsid w:val="0084215A"/>
    <w:rsid w:val="00843741"/>
    <w:rsid w:val="0084500E"/>
    <w:rsid w:val="0084519A"/>
    <w:rsid w:val="008454CC"/>
    <w:rsid w:val="00845742"/>
    <w:rsid w:val="00845BF4"/>
    <w:rsid w:val="00846A8C"/>
    <w:rsid w:val="00846D60"/>
    <w:rsid w:val="0084723F"/>
    <w:rsid w:val="008475AE"/>
    <w:rsid w:val="00847885"/>
    <w:rsid w:val="00850F78"/>
    <w:rsid w:val="00851B76"/>
    <w:rsid w:val="0085319F"/>
    <w:rsid w:val="008540CD"/>
    <w:rsid w:val="008547B5"/>
    <w:rsid w:val="008549B5"/>
    <w:rsid w:val="0085514C"/>
    <w:rsid w:val="008554F6"/>
    <w:rsid w:val="00855A8B"/>
    <w:rsid w:val="0085646F"/>
    <w:rsid w:val="00857789"/>
    <w:rsid w:val="00857AD5"/>
    <w:rsid w:val="0086075C"/>
    <w:rsid w:val="00860B72"/>
    <w:rsid w:val="00861000"/>
    <w:rsid w:val="0086165F"/>
    <w:rsid w:val="00861EDD"/>
    <w:rsid w:val="0086323E"/>
    <w:rsid w:val="00863E73"/>
    <w:rsid w:val="008645E4"/>
    <w:rsid w:val="00865CE8"/>
    <w:rsid w:val="008678CA"/>
    <w:rsid w:val="008700AC"/>
    <w:rsid w:val="00870C1B"/>
    <w:rsid w:val="00871756"/>
    <w:rsid w:val="008717E9"/>
    <w:rsid w:val="008725AE"/>
    <w:rsid w:val="0087374D"/>
    <w:rsid w:val="00873986"/>
    <w:rsid w:val="00874EF5"/>
    <w:rsid w:val="00875DF2"/>
    <w:rsid w:val="00876A9D"/>
    <w:rsid w:val="008773FA"/>
    <w:rsid w:val="00877BB8"/>
    <w:rsid w:val="00877EBC"/>
    <w:rsid w:val="00881422"/>
    <w:rsid w:val="0088157D"/>
    <w:rsid w:val="008816EC"/>
    <w:rsid w:val="00881C17"/>
    <w:rsid w:val="00882E85"/>
    <w:rsid w:val="00882F10"/>
    <w:rsid w:val="0088319B"/>
    <w:rsid w:val="00883275"/>
    <w:rsid w:val="00885AF0"/>
    <w:rsid w:val="008867A0"/>
    <w:rsid w:val="00887886"/>
    <w:rsid w:val="0089010B"/>
    <w:rsid w:val="00890A86"/>
    <w:rsid w:val="00891A93"/>
    <w:rsid w:val="00891C37"/>
    <w:rsid w:val="008926FB"/>
    <w:rsid w:val="00893C8A"/>
    <w:rsid w:val="00894165"/>
    <w:rsid w:val="008948E7"/>
    <w:rsid w:val="00894E4B"/>
    <w:rsid w:val="008967E1"/>
    <w:rsid w:val="0089697A"/>
    <w:rsid w:val="00897CED"/>
    <w:rsid w:val="00897ED5"/>
    <w:rsid w:val="00897F87"/>
    <w:rsid w:val="008A2110"/>
    <w:rsid w:val="008A21A5"/>
    <w:rsid w:val="008A3914"/>
    <w:rsid w:val="008A4C61"/>
    <w:rsid w:val="008A4D52"/>
    <w:rsid w:val="008A4EEC"/>
    <w:rsid w:val="008A59FC"/>
    <w:rsid w:val="008A5F03"/>
    <w:rsid w:val="008A5FF8"/>
    <w:rsid w:val="008A76D6"/>
    <w:rsid w:val="008B138B"/>
    <w:rsid w:val="008B13F7"/>
    <w:rsid w:val="008B316E"/>
    <w:rsid w:val="008B47C1"/>
    <w:rsid w:val="008B5BD5"/>
    <w:rsid w:val="008B5BF9"/>
    <w:rsid w:val="008B6121"/>
    <w:rsid w:val="008B66E3"/>
    <w:rsid w:val="008B67BF"/>
    <w:rsid w:val="008B6859"/>
    <w:rsid w:val="008B6E5C"/>
    <w:rsid w:val="008B7031"/>
    <w:rsid w:val="008B7331"/>
    <w:rsid w:val="008B75E1"/>
    <w:rsid w:val="008C185C"/>
    <w:rsid w:val="008C2595"/>
    <w:rsid w:val="008C3EB7"/>
    <w:rsid w:val="008C48AD"/>
    <w:rsid w:val="008C5275"/>
    <w:rsid w:val="008C5541"/>
    <w:rsid w:val="008C71C8"/>
    <w:rsid w:val="008C7A75"/>
    <w:rsid w:val="008D011F"/>
    <w:rsid w:val="008D0703"/>
    <w:rsid w:val="008D2F75"/>
    <w:rsid w:val="008D31B4"/>
    <w:rsid w:val="008D4934"/>
    <w:rsid w:val="008D49FB"/>
    <w:rsid w:val="008D52EA"/>
    <w:rsid w:val="008D5C27"/>
    <w:rsid w:val="008D6245"/>
    <w:rsid w:val="008D6426"/>
    <w:rsid w:val="008D6D21"/>
    <w:rsid w:val="008D78B4"/>
    <w:rsid w:val="008D7C0C"/>
    <w:rsid w:val="008E0406"/>
    <w:rsid w:val="008E07ED"/>
    <w:rsid w:val="008E0A31"/>
    <w:rsid w:val="008E1F2E"/>
    <w:rsid w:val="008E34F5"/>
    <w:rsid w:val="008E3509"/>
    <w:rsid w:val="008E3909"/>
    <w:rsid w:val="008E391E"/>
    <w:rsid w:val="008E39C2"/>
    <w:rsid w:val="008E3ACB"/>
    <w:rsid w:val="008E4340"/>
    <w:rsid w:val="008E4D61"/>
    <w:rsid w:val="008E4E31"/>
    <w:rsid w:val="008E5031"/>
    <w:rsid w:val="008E579E"/>
    <w:rsid w:val="008E60E0"/>
    <w:rsid w:val="008E62F6"/>
    <w:rsid w:val="008E6964"/>
    <w:rsid w:val="008E728A"/>
    <w:rsid w:val="008E76DE"/>
    <w:rsid w:val="008F01D6"/>
    <w:rsid w:val="008F1018"/>
    <w:rsid w:val="008F11CC"/>
    <w:rsid w:val="008F19BD"/>
    <w:rsid w:val="008F24F3"/>
    <w:rsid w:val="008F2630"/>
    <w:rsid w:val="008F2A21"/>
    <w:rsid w:val="008F2FBE"/>
    <w:rsid w:val="008F39E9"/>
    <w:rsid w:val="008F4482"/>
    <w:rsid w:val="008F55BD"/>
    <w:rsid w:val="008F63FC"/>
    <w:rsid w:val="008F664A"/>
    <w:rsid w:val="008F76E5"/>
    <w:rsid w:val="00901829"/>
    <w:rsid w:val="00901C55"/>
    <w:rsid w:val="00902B4C"/>
    <w:rsid w:val="00902F20"/>
    <w:rsid w:val="00903793"/>
    <w:rsid w:val="00903D92"/>
    <w:rsid w:val="009042D7"/>
    <w:rsid w:val="00905C30"/>
    <w:rsid w:val="0090648B"/>
    <w:rsid w:val="00906DAF"/>
    <w:rsid w:val="009076EE"/>
    <w:rsid w:val="00907E11"/>
    <w:rsid w:val="00910016"/>
    <w:rsid w:val="00911A16"/>
    <w:rsid w:val="00912337"/>
    <w:rsid w:val="00912CB0"/>
    <w:rsid w:val="00913068"/>
    <w:rsid w:val="00913101"/>
    <w:rsid w:val="009132CA"/>
    <w:rsid w:val="00913B0C"/>
    <w:rsid w:val="00913E07"/>
    <w:rsid w:val="0091414C"/>
    <w:rsid w:val="00914228"/>
    <w:rsid w:val="009147FE"/>
    <w:rsid w:val="00915531"/>
    <w:rsid w:val="00915B09"/>
    <w:rsid w:val="00915C4A"/>
    <w:rsid w:val="0091793B"/>
    <w:rsid w:val="00921603"/>
    <w:rsid w:val="009217AC"/>
    <w:rsid w:val="009217DB"/>
    <w:rsid w:val="00921B80"/>
    <w:rsid w:val="00923B78"/>
    <w:rsid w:val="0092477D"/>
    <w:rsid w:val="009249E9"/>
    <w:rsid w:val="00926467"/>
    <w:rsid w:val="00926E34"/>
    <w:rsid w:val="009270F6"/>
    <w:rsid w:val="0093277B"/>
    <w:rsid w:val="00932C3E"/>
    <w:rsid w:val="00933009"/>
    <w:rsid w:val="00934FAE"/>
    <w:rsid w:val="00935496"/>
    <w:rsid w:val="009407AE"/>
    <w:rsid w:val="00940FD6"/>
    <w:rsid w:val="00941201"/>
    <w:rsid w:val="00941D2D"/>
    <w:rsid w:val="00946215"/>
    <w:rsid w:val="00951208"/>
    <w:rsid w:val="0095134D"/>
    <w:rsid w:val="009516DF"/>
    <w:rsid w:val="00951C79"/>
    <w:rsid w:val="0095356C"/>
    <w:rsid w:val="009543F6"/>
    <w:rsid w:val="0095480A"/>
    <w:rsid w:val="009553A7"/>
    <w:rsid w:val="0095652F"/>
    <w:rsid w:val="00956A0F"/>
    <w:rsid w:val="00962025"/>
    <w:rsid w:val="009642AA"/>
    <w:rsid w:val="009643A7"/>
    <w:rsid w:val="00964B93"/>
    <w:rsid w:val="00964EB7"/>
    <w:rsid w:val="009651E5"/>
    <w:rsid w:val="009662CA"/>
    <w:rsid w:val="0096656C"/>
    <w:rsid w:val="0096761D"/>
    <w:rsid w:val="00970698"/>
    <w:rsid w:val="009706EF"/>
    <w:rsid w:val="00970742"/>
    <w:rsid w:val="00970854"/>
    <w:rsid w:val="009709B6"/>
    <w:rsid w:val="00970A15"/>
    <w:rsid w:val="00973453"/>
    <w:rsid w:val="00973F37"/>
    <w:rsid w:val="00974278"/>
    <w:rsid w:val="00974946"/>
    <w:rsid w:val="00974BAC"/>
    <w:rsid w:val="009753AC"/>
    <w:rsid w:val="00975829"/>
    <w:rsid w:val="00975A45"/>
    <w:rsid w:val="00976690"/>
    <w:rsid w:val="00976923"/>
    <w:rsid w:val="0097763A"/>
    <w:rsid w:val="00977EEB"/>
    <w:rsid w:val="009803C5"/>
    <w:rsid w:val="009811C2"/>
    <w:rsid w:val="00982077"/>
    <w:rsid w:val="00982113"/>
    <w:rsid w:val="00983481"/>
    <w:rsid w:val="009835A7"/>
    <w:rsid w:val="00983F14"/>
    <w:rsid w:val="009863C8"/>
    <w:rsid w:val="009864F8"/>
    <w:rsid w:val="009866F7"/>
    <w:rsid w:val="00990290"/>
    <w:rsid w:val="009906F1"/>
    <w:rsid w:val="00993D47"/>
    <w:rsid w:val="00994E30"/>
    <w:rsid w:val="0099610E"/>
    <w:rsid w:val="00996C12"/>
    <w:rsid w:val="0099721E"/>
    <w:rsid w:val="0099756D"/>
    <w:rsid w:val="00997D4A"/>
    <w:rsid w:val="009A06B0"/>
    <w:rsid w:val="009A09FB"/>
    <w:rsid w:val="009A0BAC"/>
    <w:rsid w:val="009A1AB8"/>
    <w:rsid w:val="009A1C91"/>
    <w:rsid w:val="009A238C"/>
    <w:rsid w:val="009A29AB"/>
    <w:rsid w:val="009A29FE"/>
    <w:rsid w:val="009A2F79"/>
    <w:rsid w:val="009A3275"/>
    <w:rsid w:val="009A3C58"/>
    <w:rsid w:val="009A470E"/>
    <w:rsid w:val="009A60C8"/>
    <w:rsid w:val="009A74E8"/>
    <w:rsid w:val="009A7929"/>
    <w:rsid w:val="009A7B12"/>
    <w:rsid w:val="009B016B"/>
    <w:rsid w:val="009B0B1E"/>
    <w:rsid w:val="009B0E44"/>
    <w:rsid w:val="009B1843"/>
    <w:rsid w:val="009B22D1"/>
    <w:rsid w:val="009B2B9B"/>
    <w:rsid w:val="009B2BE5"/>
    <w:rsid w:val="009B2C0E"/>
    <w:rsid w:val="009B37D9"/>
    <w:rsid w:val="009B3E91"/>
    <w:rsid w:val="009B4489"/>
    <w:rsid w:val="009B4B57"/>
    <w:rsid w:val="009B4DE2"/>
    <w:rsid w:val="009B4E37"/>
    <w:rsid w:val="009B51BC"/>
    <w:rsid w:val="009B5325"/>
    <w:rsid w:val="009B6DCB"/>
    <w:rsid w:val="009B7558"/>
    <w:rsid w:val="009C15ED"/>
    <w:rsid w:val="009C197E"/>
    <w:rsid w:val="009C2207"/>
    <w:rsid w:val="009C23A6"/>
    <w:rsid w:val="009C25E3"/>
    <w:rsid w:val="009C3857"/>
    <w:rsid w:val="009C4DC3"/>
    <w:rsid w:val="009C4FEC"/>
    <w:rsid w:val="009C587D"/>
    <w:rsid w:val="009C6325"/>
    <w:rsid w:val="009C7073"/>
    <w:rsid w:val="009D0CA7"/>
    <w:rsid w:val="009D0DE7"/>
    <w:rsid w:val="009D196A"/>
    <w:rsid w:val="009D1A4C"/>
    <w:rsid w:val="009D22EB"/>
    <w:rsid w:val="009D24BA"/>
    <w:rsid w:val="009D264C"/>
    <w:rsid w:val="009D6CC8"/>
    <w:rsid w:val="009E0B6E"/>
    <w:rsid w:val="009E0DA1"/>
    <w:rsid w:val="009E1262"/>
    <w:rsid w:val="009E19FB"/>
    <w:rsid w:val="009E1AE9"/>
    <w:rsid w:val="009E209A"/>
    <w:rsid w:val="009E4FFA"/>
    <w:rsid w:val="009E68C2"/>
    <w:rsid w:val="009F2D87"/>
    <w:rsid w:val="009F3146"/>
    <w:rsid w:val="009F38AF"/>
    <w:rsid w:val="009F4965"/>
    <w:rsid w:val="009F4B4A"/>
    <w:rsid w:val="009F5116"/>
    <w:rsid w:val="009F5AEB"/>
    <w:rsid w:val="009F68F2"/>
    <w:rsid w:val="009F77FD"/>
    <w:rsid w:val="009F7952"/>
    <w:rsid w:val="00A0022A"/>
    <w:rsid w:val="00A003C5"/>
    <w:rsid w:val="00A00CF4"/>
    <w:rsid w:val="00A00EFF"/>
    <w:rsid w:val="00A01303"/>
    <w:rsid w:val="00A01A6C"/>
    <w:rsid w:val="00A01D40"/>
    <w:rsid w:val="00A0497F"/>
    <w:rsid w:val="00A05DFF"/>
    <w:rsid w:val="00A06287"/>
    <w:rsid w:val="00A063EE"/>
    <w:rsid w:val="00A07FF6"/>
    <w:rsid w:val="00A10F62"/>
    <w:rsid w:val="00A11DC0"/>
    <w:rsid w:val="00A12CD4"/>
    <w:rsid w:val="00A13491"/>
    <w:rsid w:val="00A136C8"/>
    <w:rsid w:val="00A17B7D"/>
    <w:rsid w:val="00A20A24"/>
    <w:rsid w:val="00A21A87"/>
    <w:rsid w:val="00A222EC"/>
    <w:rsid w:val="00A228A7"/>
    <w:rsid w:val="00A23F87"/>
    <w:rsid w:val="00A24369"/>
    <w:rsid w:val="00A24D39"/>
    <w:rsid w:val="00A257DF"/>
    <w:rsid w:val="00A258ED"/>
    <w:rsid w:val="00A25D5A"/>
    <w:rsid w:val="00A27090"/>
    <w:rsid w:val="00A27406"/>
    <w:rsid w:val="00A276EE"/>
    <w:rsid w:val="00A30F51"/>
    <w:rsid w:val="00A315D9"/>
    <w:rsid w:val="00A31A25"/>
    <w:rsid w:val="00A31CB7"/>
    <w:rsid w:val="00A3244E"/>
    <w:rsid w:val="00A33444"/>
    <w:rsid w:val="00A334B5"/>
    <w:rsid w:val="00A33E5F"/>
    <w:rsid w:val="00A35031"/>
    <w:rsid w:val="00A35839"/>
    <w:rsid w:val="00A36606"/>
    <w:rsid w:val="00A3675E"/>
    <w:rsid w:val="00A3756D"/>
    <w:rsid w:val="00A40754"/>
    <w:rsid w:val="00A407D9"/>
    <w:rsid w:val="00A41C7D"/>
    <w:rsid w:val="00A42339"/>
    <w:rsid w:val="00A4550A"/>
    <w:rsid w:val="00A468DF"/>
    <w:rsid w:val="00A472D8"/>
    <w:rsid w:val="00A5011E"/>
    <w:rsid w:val="00A52C4B"/>
    <w:rsid w:val="00A5327A"/>
    <w:rsid w:val="00A53DBE"/>
    <w:rsid w:val="00A54255"/>
    <w:rsid w:val="00A54780"/>
    <w:rsid w:val="00A54CC1"/>
    <w:rsid w:val="00A55006"/>
    <w:rsid w:val="00A558D6"/>
    <w:rsid w:val="00A55F6C"/>
    <w:rsid w:val="00A56BD4"/>
    <w:rsid w:val="00A571DF"/>
    <w:rsid w:val="00A6140F"/>
    <w:rsid w:val="00A61D57"/>
    <w:rsid w:val="00A629E1"/>
    <w:rsid w:val="00A646E1"/>
    <w:rsid w:val="00A64991"/>
    <w:rsid w:val="00A65886"/>
    <w:rsid w:val="00A66146"/>
    <w:rsid w:val="00A6640A"/>
    <w:rsid w:val="00A6697D"/>
    <w:rsid w:val="00A67FA6"/>
    <w:rsid w:val="00A70778"/>
    <w:rsid w:val="00A70EBE"/>
    <w:rsid w:val="00A70F01"/>
    <w:rsid w:val="00A716B1"/>
    <w:rsid w:val="00A71B66"/>
    <w:rsid w:val="00A72C66"/>
    <w:rsid w:val="00A72DBD"/>
    <w:rsid w:val="00A73007"/>
    <w:rsid w:val="00A735AE"/>
    <w:rsid w:val="00A7389C"/>
    <w:rsid w:val="00A743E3"/>
    <w:rsid w:val="00A746BC"/>
    <w:rsid w:val="00A749E9"/>
    <w:rsid w:val="00A7573B"/>
    <w:rsid w:val="00A75E50"/>
    <w:rsid w:val="00A77FC8"/>
    <w:rsid w:val="00A81207"/>
    <w:rsid w:val="00A82180"/>
    <w:rsid w:val="00A82477"/>
    <w:rsid w:val="00A82E49"/>
    <w:rsid w:val="00A83837"/>
    <w:rsid w:val="00A83B80"/>
    <w:rsid w:val="00A84ADE"/>
    <w:rsid w:val="00A860E0"/>
    <w:rsid w:val="00A868F9"/>
    <w:rsid w:val="00A86F4F"/>
    <w:rsid w:val="00A8715C"/>
    <w:rsid w:val="00A87AC0"/>
    <w:rsid w:val="00A90103"/>
    <w:rsid w:val="00A903FC"/>
    <w:rsid w:val="00A90442"/>
    <w:rsid w:val="00A90ECB"/>
    <w:rsid w:val="00A91063"/>
    <w:rsid w:val="00A91BF8"/>
    <w:rsid w:val="00A92120"/>
    <w:rsid w:val="00A92AF5"/>
    <w:rsid w:val="00A94A1F"/>
    <w:rsid w:val="00A96133"/>
    <w:rsid w:val="00A9627E"/>
    <w:rsid w:val="00A962B9"/>
    <w:rsid w:val="00A9656F"/>
    <w:rsid w:val="00A968DA"/>
    <w:rsid w:val="00A96A87"/>
    <w:rsid w:val="00A9701C"/>
    <w:rsid w:val="00A975B5"/>
    <w:rsid w:val="00A97AB1"/>
    <w:rsid w:val="00AA00ED"/>
    <w:rsid w:val="00AA137E"/>
    <w:rsid w:val="00AA13B2"/>
    <w:rsid w:val="00AA14A5"/>
    <w:rsid w:val="00AA158B"/>
    <w:rsid w:val="00AA1D51"/>
    <w:rsid w:val="00AA2612"/>
    <w:rsid w:val="00AA27BE"/>
    <w:rsid w:val="00AA2F84"/>
    <w:rsid w:val="00AA3A22"/>
    <w:rsid w:val="00AA5150"/>
    <w:rsid w:val="00AA75D2"/>
    <w:rsid w:val="00AB0051"/>
    <w:rsid w:val="00AB071D"/>
    <w:rsid w:val="00AB1231"/>
    <w:rsid w:val="00AB1834"/>
    <w:rsid w:val="00AB3450"/>
    <w:rsid w:val="00AB38AA"/>
    <w:rsid w:val="00AB3BA1"/>
    <w:rsid w:val="00AB3C43"/>
    <w:rsid w:val="00AB3FA1"/>
    <w:rsid w:val="00AB49EF"/>
    <w:rsid w:val="00AB5390"/>
    <w:rsid w:val="00AB59D1"/>
    <w:rsid w:val="00AB5C44"/>
    <w:rsid w:val="00AB5DD3"/>
    <w:rsid w:val="00AB7D82"/>
    <w:rsid w:val="00AC08AC"/>
    <w:rsid w:val="00AC0C2B"/>
    <w:rsid w:val="00AC0E3D"/>
    <w:rsid w:val="00AC1EBF"/>
    <w:rsid w:val="00AC3C7B"/>
    <w:rsid w:val="00AC6A80"/>
    <w:rsid w:val="00AC6B09"/>
    <w:rsid w:val="00AC75B8"/>
    <w:rsid w:val="00AD1570"/>
    <w:rsid w:val="00AD1743"/>
    <w:rsid w:val="00AD2675"/>
    <w:rsid w:val="00AD328A"/>
    <w:rsid w:val="00AD38D8"/>
    <w:rsid w:val="00AD4AAF"/>
    <w:rsid w:val="00AD4C39"/>
    <w:rsid w:val="00AD4D6E"/>
    <w:rsid w:val="00AD4DC6"/>
    <w:rsid w:val="00AD5402"/>
    <w:rsid w:val="00AD66CB"/>
    <w:rsid w:val="00AD7143"/>
    <w:rsid w:val="00AD7D6D"/>
    <w:rsid w:val="00AD7D8E"/>
    <w:rsid w:val="00AE1B08"/>
    <w:rsid w:val="00AE1EE4"/>
    <w:rsid w:val="00AE216A"/>
    <w:rsid w:val="00AE2329"/>
    <w:rsid w:val="00AE35E8"/>
    <w:rsid w:val="00AE3EC4"/>
    <w:rsid w:val="00AE4C09"/>
    <w:rsid w:val="00AE56D8"/>
    <w:rsid w:val="00AE5851"/>
    <w:rsid w:val="00AE58AC"/>
    <w:rsid w:val="00AE596C"/>
    <w:rsid w:val="00AE5E3B"/>
    <w:rsid w:val="00AE624B"/>
    <w:rsid w:val="00AE7080"/>
    <w:rsid w:val="00AE7E7B"/>
    <w:rsid w:val="00AF1EDE"/>
    <w:rsid w:val="00AF1FE8"/>
    <w:rsid w:val="00AF261D"/>
    <w:rsid w:val="00AF30BE"/>
    <w:rsid w:val="00AF3932"/>
    <w:rsid w:val="00AF3F78"/>
    <w:rsid w:val="00AF522C"/>
    <w:rsid w:val="00AF5661"/>
    <w:rsid w:val="00AF5927"/>
    <w:rsid w:val="00AF5B55"/>
    <w:rsid w:val="00AF6C6E"/>
    <w:rsid w:val="00AF6ED9"/>
    <w:rsid w:val="00AF6F00"/>
    <w:rsid w:val="00AF7190"/>
    <w:rsid w:val="00AF7D53"/>
    <w:rsid w:val="00B00451"/>
    <w:rsid w:val="00B013D7"/>
    <w:rsid w:val="00B02A70"/>
    <w:rsid w:val="00B030D7"/>
    <w:rsid w:val="00B03628"/>
    <w:rsid w:val="00B03933"/>
    <w:rsid w:val="00B066B9"/>
    <w:rsid w:val="00B0678D"/>
    <w:rsid w:val="00B067D5"/>
    <w:rsid w:val="00B07C72"/>
    <w:rsid w:val="00B101DF"/>
    <w:rsid w:val="00B11423"/>
    <w:rsid w:val="00B11721"/>
    <w:rsid w:val="00B11985"/>
    <w:rsid w:val="00B11AC8"/>
    <w:rsid w:val="00B130E3"/>
    <w:rsid w:val="00B134A0"/>
    <w:rsid w:val="00B13FF1"/>
    <w:rsid w:val="00B14756"/>
    <w:rsid w:val="00B1476E"/>
    <w:rsid w:val="00B147CC"/>
    <w:rsid w:val="00B14D8F"/>
    <w:rsid w:val="00B169CD"/>
    <w:rsid w:val="00B178EE"/>
    <w:rsid w:val="00B17CA3"/>
    <w:rsid w:val="00B17DCA"/>
    <w:rsid w:val="00B21618"/>
    <w:rsid w:val="00B21F48"/>
    <w:rsid w:val="00B22744"/>
    <w:rsid w:val="00B22ACC"/>
    <w:rsid w:val="00B23107"/>
    <w:rsid w:val="00B23247"/>
    <w:rsid w:val="00B23750"/>
    <w:rsid w:val="00B23B3A"/>
    <w:rsid w:val="00B24B39"/>
    <w:rsid w:val="00B25279"/>
    <w:rsid w:val="00B25390"/>
    <w:rsid w:val="00B254AC"/>
    <w:rsid w:val="00B25E40"/>
    <w:rsid w:val="00B25EB4"/>
    <w:rsid w:val="00B26038"/>
    <w:rsid w:val="00B26120"/>
    <w:rsid w:val="00B26B15"/>
    <w:rsid w:val="00B26CDF"/>
    <w:rsid w:val="00B26EC5"/>
    <w:rsid w:val="00B278DA"/>
    <w:rsid w:val="00B279DC"/>
    <w:rsid w:val="00B308C9"/>
    <w:rsid w:val="00B30948"/>
    <w:rsid w:val="00B315D2"/>
    <w:rsid w:val="00B31A67"/>
    <w:rsid w:val="00B335E5"/>
    <w:rsid w:val="00B34317"/>
    <w:rsid w:val="00B34830"/>
    <w:rsid w:val="00B34DDC"/>
    <w:rsid w:val="00B34E34"/>
    <w:rsid w:val="00B352F9"/>
    <w:rsid w:val="00B35826"/>
    <w:rsid w:val="00B35D61"/>
    <w:rsid w:val="00B377DB"/>
    <w:rsid w:val="00B37B0C"/>
    <w:rsid w:val="00B4036A"/>
    <w:rsid w:val="00B40D28"/>
    <w:rsid w:val="00B416C1"/>
    <w:rsid w:val="00B41B94"/>
    <w:rsid w:val="00B41C5F"/>
    <w:rsid w:val="00B41D0D"/>
    <w:rsid w:val="00B42C0F"/>
    <w:rsid w:val="00B42D5D"/>
    <w:rsid w:val="00B43788"/>
    <w:rsid w:val="00B437C1"/>
    <w:rsid w:val="00B4418B"/>
    <w:rsid w:val="00B44440"/>
    <w:rsid w:val="00B45176"/>
    <w:rsid w:val="00B46A90"/>
    <w:rsid w:val="00B46B16"/>
    <w:rsid w:val="00B474B6"/>
    <w:rsid w:val="00B4757A"/>
    <w:rsid w:val="00B50856"/>
    <w:rsid w:val="00B51C23"/>
    <w:rsid w:val="00B52943"/>
    <w:rsid w:val="00B52E11"/>
    <w:rsid w:val="00B53833"/>
    <w:rsid w:val="00B55AF2"/>
    <w:rsid w:val="00B601C8"/>
    <w:rsid w:val="00B60630"/>
    <w:rsid w:val="00B6077D"/>
    <w:rsid w:val="00B60D77"/>
    <w:rsid w:val="00B613A4"/>
    <w:rsid w:val="00B62AB3"/>
    <w:rsid w:val="00B62D0F"/>
    <w:rsid w:val="00B63445"/>
    <w:rsid w:val="00B639A0"/>
    <w:rsid w:val="00B6403A"/>
    <w:rsid w:val="00B64CAF"/>
    <w:rsid w:val="00B65410"/>
    <w:rsid w:val="00B6629E"/>
    <w:rsid w:val="00B66885"/>
    <w:rsid w:val="00B66EEC"/>
    <w:rsid w:val="00B67307"/>
    <w:rsid w:val="00B676C9"/>
    <w:rsid w:val="00B67E19"/>
    <w:rsid w:val="00B707D2"/>
    <w:rsid w:val="00B70B5B"/>
    <w:rsid w:val="00B70BBA"/>
    <w:rsid w:val="00B70E25"/>
    <w:rsid w:val="00B710BA"/>
    <w:rsid w:val="00B718C8"/>
    <w:rsid w:val="00B718EA"/>
    <w:rsid w:val="00B71F2D"/>
    <w:rsid w:val="00B72BF7"/>
    <w:rsid w:val="00B72DBE"/>
    <w:rsid w:val="00B7623B"/>
    <w:rsid w:val="00B7634D"/>
    <w:rsid w:val="00B77675"/>
    <w:rsid w:val="00B777AC"/>
    <w:rsid w:val="00B818F0"/>
    <w:rsid w:val="00B81D2A"/>
    <w:rsid w:val="00B81EB9"/>
    <w:rsid w:val="00B82233"/>
    <w:rsid w:val="00B82C81"/>
    <w:rsid w:val="00B8326C"/>
    <w:rsid w:val="00B8359B"/>
    <w:rsid w:val="00B83DAB"/>
    <w:rsid w:val="00B8452B"/>
    <w:rsid w:val="00B84C45"/>
    <w:rsid w:val="00B84C71"/>
    <w:rsid w:val="00B84DCD"/>
    <w:rsid w:val="00B86A38"/>
    <w:rsid w:val="00B86C6A"/>
    <w:rsid w:val="00B86E9F"/>
    <w:rsid w:val="00B87E22"/>
    <w:rsid w:val="00B900E9"/>
    <w:rsid w:val="00B909DE"/>
    <w:rsid w:val="00B90FAC"/>
    <w:rsid w:val="00B910A4"/>
    <w:rsid w:val="00B915E6"/>
    <w:rsid w:val="00B917FC"/>
    <w:rsid w:val="00B91C1E"/>
    <w:rsid w:val="00B9390E"/>
    <w:rsid w:val="00B95349"/>
    <w:rsid w:val="00B9544C"/>
    <w:rsid w:val="00B9614C"/>
    <w:rsid w:val="00B9615E"/>
    <w:rsid w:val="00B9631F"/>
    <w:rsid w:val="00B9664F"/>
    <w:rsid w:val="00B96C21"/>
    <w:rsid w:val="00B978D8"/>
    <w:rsid w:val="00B97DB1"/>
    <w:rsid w:val="00B97E47"/>
    <w:rsid w:val="00B97EA1"/>
    <w:rsid w:val="00BA00CB"/>
    <w:rsid w:val="00BA0267"/>
    <w:rsid w:val="00BA09E3"/>
    <w:rsid w:val="00BA11D3"/>
    <w:rsid w:val="00BA126D"/>
    <w:rsid w:val="00BA1544"/>
    <w:rsid w:val="00BA279F"/>
    <w:rsid w:val="00BA33B0"/>
    <w:rsid w:val="00BA3438"/>
    <w:rsid w:val="00BA37B3"/>
    <w:rsid w:val="00BA38A5"/>
    <w:rsid w:val="00BA3F91"/>
    <w:rsid w:val="00BA4119"/>
    <w:rsid w:val="00BA41C1"/>
    <w:rsid w:val="00BA5817"/>
    <w:rsid w:val="00BA59B8"/>
    <w:rsid w:val="00BA5F33"/>
    <w:rsid w:val="00BA6176"/>
    <w:rsid w:val="00BA617F"/>
    <w:rsid w:val="00BA66FC"/>
    <w:rsid w:val="00BA70D6"/>
    <w:rsid w:val="00BA770B"/>
    <w:rsid w:val="00BA7729"/>
    <w:rsid w:val="00BA7957"/>
    <w:rsid w:val="00BB067A"/>
    <w:rsid w:val="00BB1949"/>
    <w:rsid w:val="00BB1975"/>
    <w:rsid w:val="00BB21C0"/>
    <w:rsid w:val="00BB2D74"/>
    <w:rsid w:val="00BB339B"/>
    <w:rsid w:val="00BB38D2"/>
    <w:rsid w:val="00BB3C3B"/>
    <w:rsid w:val="00BB65CC"/>
    <w:rsid w:val="00BB68D4"/>
    <w:rsid w:val="00BB6B80"/>
    <w:rsid w:val="00BB6E28"/>
    <w:rsid w:val="00BB7221"/>
    <w:rsid w:val="00BB7A4E"/>
    <w:rsid w:val="00BC02B3"/>
    <w:rsid w:val="00BC03B8"/>
    <w:rsid w:val="00BC0D93"/>
    <w:rsid w:val="00BC23F1"/>
    <w:rsid w:val="00BC288F"/>
    <w:rsid w:val="00BC290D"/>
    <w:rsid w:val="00BC2DF4"/>
    <w:rsid w:val="00BC2EB8"/>
    <w:rsid w:val="00BC3BF6"/>
    <w:rsid w:val="00BC3C52"/>
    <w:rsid w:val="00BC5638"/>
    <w:rsid w:val="00BC631C"/>
    <w:rsid w:val="00BD02FA"/>
    <w:rsid w:val="00BD09F4"/>
    <w:rsid w:val="00BD0CC5"/>
    <w:rsid w:val="00BD11CD"/>
    <w:rsid w:val="00BD11F8"/>
    <w:rsid w:val="00BD1253"/>
    <w:rsid w:val="00BD14E1"/>
    <w:rsid w:val="00BD16E8"/>
    <w:rsid w:val="00BD5F58"/>
    <w:rsid w:val="00BD63B3"/>
    <w:rsid w:val="00BD6F71"/>
    <w:rsid w:val="00BD7C99"/>
    <w:rsid w:val="00BE127B"/>
    <w:rsid w:val="00BE1545"/>
    <w:rsid w:val="00BE154E"/>
    <w:rsid w:val="00BE19D0"/>
    <w:rsid w:val="00BE1C8B"/>
    <w:rsid w:val="00BE24D1"/>
    <w:rsid w:val="00BE2630"/>
    <w:rsid w:val="00BE3115"/>
    <w:rsid w:val="00BE3378"/>
    <w:rsid w:val="00BE34DE"/>
    <w:rsid w:val="00BE4122"/>
    <w:rsid w:val="00BE44D5"/>
    <w:rsid w:val="00BE49CF"/>
    <w:rsid w:val="00BE5754"/>
    <w:rsid w:val="00BE6057"/>
    <w:rsid w:val="00BE6B62"/>
    <w:rsid w:val="00BE7366"/>
    <w:rsid w:val="00BE7C1D"/>
    <w:rsid w:val="00BF1122"/>
    <w:rsid w:val="00BF1B96"/>
    <w:rsid w:val="00BF23E9"/>
    <w:rsid w:val="00BF257B"/>
    <w:rsid w:val="00BF2796"/>
    <w:rsid w:val="00BF420E"/>
    <w:rsid w:val="00BF497E"/>
    <w:rsid w:val="00BF4B43"/>
    <w:rsid w:val="00BF4E4E"/>
    <w:rsid w:val="00BF5158"/>
    <w:rsid w:val="00BF629F"/>
    <w:rsid w:val="00BF64F6"/>
    <w:rsid w:val="00BF6798"/>
    <w:rsid w:val="00BF67BA"/>
    <w:rsid w:val="00BF7A9C"/>
    <w:rsid w:val="00C00076"/>
    <w:rsid w:val="00C0037D"/>
    <w:rsid w:val="00C008A4"/>
    <w:rsid w:val="00C031EB"/>
    <w:rsid w:val="00C036FD"/>
    <w:rsid w:val="00C03900"/>
    <w:rsid w:val="00C04203"/>
    <w:rsid w:val="00C04647"/>
    <w:rsid w:val="00C0663E"/>
    <w:rsid w:val="00C06953"/>
    <w:rsid w:val="00C10A77"/>
    <w:rsid w:val="00C1162C"/>
    <w:rsid w:val="00C11C29"/>
    <w:rsid w:val="00C1242D"/>
    <w:rsid w:val="00C12C15"/>
    <w:rsid w:val="00C12FE0"/>
    <w:rsid w:val="00C132D2"/>
    <w:rsid w:val="00C1477E"/>
    <w:rsid w:val="00C15A0D"/>
    <w:rsid w:val="00C15D11"/>
    <w:rsid w:val="00C168E0"/>
    <w:rsid w:val="00C16EB2"/>
    <w:rsid w:val="00C202D0"/>
    <w:rsid w:val="00C20814"/>
    <w:rsid w:val="00C208C8"/>
    <w:rsid w:val="00C20BE3"/>
    <w:rsid w:val="00C20CE4"/>
    <w:rsid w:val="00C2119B"/>
    <w:rsid w:val="00C21A1D"/>
    <w:rsid w:val="00C230B9"/>
    <w:rsid w:val="00C23154"/>
    <w:rsid w:val="00C2385E"/>
    <w:rsid w:val="00C23BD0"/>
    <w:rsid w:val="00C24083"/>
    <w:rsid w:val="00C248DB"/>
    <w:rsid w:val="00C24E94"/>
    <w:rsid w:val="00C30ECE"/>
    <w:rsid w:val="00C318E3"/>
    <w:rsid w:val="00C31B43"/>
    <w:rsid w:val="00C32AB4"/>
    <w:rsid w:val="00C332EC"/>
    <w:rsid w:val="00C3344B"/>
    <w:rsid w:val="00C34581"/>
    <w:rsid w:val="00C34981"/>
    <w:rsid w:val="00C35DC3"/>
    <w:rsid w:val="00C36C67"/>
    <w:rsid w:val="00C374D0"/>
    <w:rsid w:val="00C37F99"/>
    <w:rsid w:val="00C41521"/>
    <w:rsid w:val="00C4168D"/>
    <w:rsid w:val="00C41960"/>
    <w:rsid w:val="00C42303"/>
    <w:rsid w:val="00C43994"/>
    <w:rsid w:val="00C44748"/>
    <w:rsid w:val="00C4588A"/>
    <w:rsid w:val="00C4666E"/>
    <w:rsid w:val="00C47542"/>
    <w:rsid w:val="00C501F9"/>
    <w:rsid w:val="00C5083D"/>
    <w:rsid w:val="00C50D65"/>
    <w:rsid w:val="00C51747"/>
    <w:rsid w:val="00C5205A"/>
    <w:rsid w:val="00C5308A"/>
    <w:rsid w:val="00C545E7"/>
    <w:rsid w:val="00C55297"/>
    <w:rsid w:val="00C55C1C"/>
    <w:rsid w:val="00C567FD"/>
    <w:rsid w:val="00C56861"/>
    <w:rsid w:val="00C579BA"/>
    <w:rsid w:val="00C57B89"/>
    <w:rsid w:val="00C60AC1"/>
    <w:rsid w:val="00C60BB4"/>
    <w:rsid w:val="00C60D45"/>
    <w:rsid w:val="00C619DC"/>
    <w:rsid w:val="00C62304"/>
    <w:rsid w:val="00C62F80"/>
    <w:rsid w:val="00C63CFC"/>
    <w:rsid w:val="00C640EB"/>
    <w:rsid w:val="00C64376"/>
    <w:rsid w:val="00C6446B"/>
    <w:rsid w:val="00C64CE0"/>
    <w:rsid w:val="00C65525"/>
    <w:rsid w:val="00C66265"/>
    <w:rsid w:val="00C663C5"/>
    <w:rsid w:val="00C6655E"/>
    <w:rsid w:val="00C67211"/>
    <w:rsid w:val="00C67D97"/>
    <w:rsid w:val="00C702ED"/>
    <w:rsid w:val="00C70D1B"/>
    <w:rsid w:val="00C70EF6"/>
    <w:rsid w:val="00C7120E"/>
    <w:rsid w:val="00C7248A"/>
    <w:rsid w:val="00C744FC"/>
    <w:rsid w:val="00C74760"/>
    <w:rsid w:val="00C74837"/>
    <w:rsid w:val="00C76126"/>
    <w:rsid w:val="00C774F1"/>
    <w:rsid w:val="00C77C51"/>
    <w:rsid w:val="00C77F74"/>
    <w:rsid w:val="00C81B31"/>
    <w:rsid w:val="00C8205A"/>
    <w:rsid w:val="00C825E0"/>
    <w:rsid w:val="00C83559"/>
    <w:rsid w:val="00C83E26"/>
    <w:rsid w:val="00C84CE5"/>
    <w:rsid w:val="00C85DA9"/>
    <w:rsid w:val="00C87083"/>
    <w:rsid w:val="00C87859"/>
    <w:rsid w:val="00C87D0C"/>
    <w:rsid w:val="00C9096C"/>
    <w:rsid w:val="00C90F3B"/>
    <w:rsid w:val="00C91303"/>
    <w:rsid w:val="00C915FE"/>
    <w:rsid w:val="00C91D15"/>
    <w:rsid w:val="00C927E7"/>
    <w:rsid w:val="00C92983"/>
    <w:rsid w:val="00C9311D"/>
    <w:rsid w:val="00C93310"/>
    <w:rsid w:val="00C941A8"/>
    <w:rsid w:val="00C944CF"/>
    <w:rsid w:val="00C9469B"/>
    <w:rsid w:val="00C969B0"/>
    <w:rsid w:val="00CA0528"/>
    <w:rsid w:val="00CA132B"/>
    <w:rsid w:val="00CA1C02"/>
    <w:rsid w:val="00CA1C21"/>
    <w:rsid w:val="00CA4F82"/>
    <w:rsid w:val="00CA5046"/>
    <w:rsid w:val="00CA66FD"/>
    <w:rsid w:val="00CB1537"/>
    <w:rsid w:val="00CB1E9F"/>
    <w:rsid w:val="00CB20AA"/>
    <w:rsid w:val="00CB20E7"/>
    <w:rsid w:val="00CB2FA8"/>
    <w:rsid w:val="00CB3290"/>
    <w:rsid w:val="00CB32D6"/>
    <w:rsid w:val="00CB36B5"/>
    <w:rsid w:val="00CB3881"/>
    <w:rsid w:val="00CB3CC9"/>
    <w:rsid w:val="00CB437A"/>
    <w:rsid w:val="00CB47F8"/>
    <w:rsid w:val="00CB6F46"/>
    <w:rsid w:val="00CB75E2"/>
    <w:rsid w:val="00CC00DA"/>
    <w:rsid w:val="00CC0D13"/>
    <w:rsid w:val="00CC1A78"/>
    <w:rsid w:val="00CC1E1C"/>
    <w:rsid w:val="00CC251A"/>
    <w:rsid w:val="00CC2F0B"/>
    <w:rsid w:val="00CC31BF"/>
    <w:rsid w:val="00CC34AB"/>
    <w:rsid w:val="00CC3828"/>
    <w:rsid w:val="00CC3A55"/>
    <w:rsid w:val="00CC3B2A"/>
    <w:rsid w:val="00CC4511"/>
    <w:rsid w:val="00CC507A"/>
    <w:rsid w:val="00CC5104"/>
    <w:rsid w:val="00CC6613"/>
    <w:rsid w:val="00CC6A57"/>
    <w:rsid w:val="00CC6C1D"/>
    <w:rsid w:val="00CC6C63"/>
    <w:rsid w:val="00CC78DE"/>
    <w:rsid w:val="00CD000C"/>
    <w:rsid w:val="00CD061B"/>
    <w:rsid w:val="00CD0800"/>
    <w:rsid w:val="00CD10A5"/>
    <w:rsid w:val="00CD134F"/>
    <w:rsid w:val="00CD1A2B"/>
    <w:rsid w:val="00CD220A"/>
    <w:rsid w:val="00CD39FF"/>
    <w:rsid w:val="00CD4276"/>
    <w:rsid w:val="00CD43ED"/>
    <w:rsid w:val="00CD5037"/>
    <w:rsid w:val="00CD5665"/>
    <w:rsid w:val="00CD6209"/>
    <w:rsid w:val="00CD63F6"/>
    <w:rsid w:val="00CD67A7"/>
    <w:rsid w:val="00CD6969"/>
    <w:rsid w:val="00CD6A87"/>
    <w:rsid w:val="00CD6C4E"/>
    <w:rsid w:val="00CD71A7"/>
    <w:rsid w:val="00CD74AA"/>
    <w:rsid w:val="00CE03B8"/>
    <w:rsid w:val="00CE0F6B"/>
    <w:rsid w:val="00CE1774"/>
    <w:rsid w:val="00CE4E98"/>
    <w:rsid w:val="00CE4F6B"/>
    <w:rsid w:val="00CE51C5"/>
    <w:rsid w:val="00CE53B8"/>
    <w:rsid w:val="00CE5B3A"/>
    <w:rsid w:val="00CE7F28"/>
    <w:rsid w:val="00CF117B"/>
    <w:rsid w:val="00CF276A"/>
    <w:rsid w:val="00CF35B7"/>
    <w:rsid w:val="00CF36F0"/>
    <w:rsid w:val="00CF3874"/>
    <w:rsid w:val="00CF3F64"/>
    <w:rsid w:val="00CF4201"/>
    <w:rsid w:val="00CF4B95"/>
    <w:rsid w:val="00CF4FF3"/>
    <w:rsid w:val="00CF69EF"/>
    <w:rsid w:val="00CF7076"/>
    <w:rsid w:val="00D0058A"/>
    <w:rsid w:val="00D00753"/>
    <w:rsid w:val="00D0098D"/>
    <w:rsid w:val="00D00FC2"/>
    <w:rsid w:val="00D01C8A"/>
    <w:rsid w:val="00D0352B"/>
    <w:rsid w:val="00D03BCA"/>
    <w:rsid w:val="00D03E56"/>
    <w:rsid w:val="00D0456F"/>
    <w:rsid w:val="00D049C8"/>
    <w:rsid w:val="00D05839"/>
    <w:rsid w:val="00D06B6D"/>
    <w:rsid w:val="00D07465"/>
    <w:rsid w:val="00D07498"/>
    <w:rsid w:val="00D07B70"/>
    <w:rsid w:val="00D10287"/>
    <w:rsid w:val="00D108D3"/>
    <w:rsid w:val="00D111A9"/>
    <w:rsid w:val="00D11EC8"/>
    <w:rsid w:val="00D12136"/>
    <w:rsid w:val="00D121CC"/>
    <w:rsid w:val="00D121D7"/>
    <w:rsid w:val="00D1233B"/>
    <w:rsid w:val="00D12465"/>
    <w:rsid w:val="00D12AA8"/>
    <w:rsid w:val="00D15501"/>
    <w:rsid w:val="00D15B4F"/>
    <w:rsid w:val="00D16599"/>
    <w:rsid w:val="00D1669F"/>
    <w:rsid w:val="00D170B2"/>
    <w:rsid w:val="00D17545"/>
    <w:rsid w:val="00D2082D"/>
    <w:rsid w:val="00D20C97"/>
    <w:rsid w:val="00D21171"/>
    <w:rsid w:val="00D21E83"/>
    <w:rsid w:val="00D22D9B"/>
    <w:rsid w:val="00D24245"/>
    <w:rsid w:val="00D24401"/>
    <w:rsid w:val="00D24579"/>
    <w:rsid w:val="00D2492C"/>
    <w:rsid w:val="00D250FA"/>
    <w:rsid w:val="00D2524D"/>
    <w:rsid w:val="00D2618E"/>
    <w:rsid w:val="00D26403"/>
    <w:rsid w:val="00D300E9"/>
    <w:rsid w:val="00D304E4"/>
    <w:rsid w:val="00D310A5"/>
    <w:rsid w:val="00D31CFF"/>
    <w:rsid w:val="00D31E11"/>
    <w:rsid w:val="00D32538"/>
    <w:rsid w:val="00D32C94"/>
    <w:rsid w:val="00D3329B"/>
    <w:rsid w:val="00D33A5D"/>
    <w:rsid w:val="00D34140"/>
    <w:rsid w:val="00D3450D"/>
    <w:rsid w:val="00D370B7"/>
    <w:rsid w:val="00D37860"/>
    <w:rsid w:val="00D40776"/>
    <w:rsid w:val="00D40E89"/>
    <w:rsid w:val="00D41DB6"/>
    <w:rsid w:val="00D425EE"/>
    <w:rsid w:val="00D4279F"/>
    <w:rsid w:val="00D42EC7"/>
    <w:rsid w:val="00D434F9"/>
    <w:rsid w:val="00D43AA0"/>
    <w:rsid w:val="00D43E45"/>
    <w:rsid w:val="00D445BE"/>
    <w:rsid w:val="00D45542"/>
    <w:rsid w:val="00D46054"/>
    <w:rsid w:val="00D469B5"/>
    <w:rsid w:val="00D4780F"/>
    <w:rsid w:val="00D47DA8"/>
    <w:rsid w:val="00D50032"/>
    <w:rsid w:val="00D500C9"/>
    <w:rsid w:val="00D511AC"/>
    <w:rsid w:val="00D5175C"/>
    <w:rsid w:val="00D529CF"/>
    <w:rsid w:val="00D52AFB"/>
    <w:rsid w:val="00D52BF6"/>
    <w:rsid w:val="00D53EFF"/>
    <w:rsid w:val="00D54441"/>
    <w:rsid w:val="00D555BC"/>
    <w:rsid w:val="00D56C6D"/>
    <w:rsid w:val="00D57B2B"/>
    <w:rsid w:val="00D57C39"/>
    <w:rsid w:val="00D57E30"/>
    <w:rsid w:val="00D61164"/>
    <w:rsid w:val="00D612E0"/>
    <w:rsid w:val="00D6134B"/>
    <w:rsid w:val="00D623D0"/>
    <w:rsid w:val="00D62FE7"/>
    <w:rsid w:val="00D6330E"/>
    <w:rsid w:val="00D63C02"/>
    <w:rsid w:val="00D6420F"/>
    <w:rsid w:val="00D650EB"/>
    <w:rsid w:val="00D664CE"/>
    <w:rsid w:val="00D66A89"/>
    <w:rsid w:val="00D66BE9"/>
    <w:rsid w:val="00D67549"/>
    <w:rsid w:val="00D67A66"/>
    <w:rsid w:val="00D67B5C"/>
    <w:rsid w:val="00D70A26"/>
    <w:rsid w:val="00D70BFE"/>
    <w:rsid w:val="00D71D66"/>
    <w:rsid w:val="00D71EA0"/>
    <w:rsid w:val="00D721F7"/>
    <w:rsid w:val="00D72F55"/>
    <w:rsid w:val="00D732D5"/>
    <w:rsid w:val="00D733B2"/>
    <w:rsid w:val="00D73D31"/>
    <w:rsid w:val="00D741BE"/>
    <w:rsid w:val="00D749E5"/>
    <w:rsid w:val="00D75828"/>
    <w:rsid w:val="00D75B85"/>
    <w:rsid w:val="00D76D1F"/>
    <w:rsid w:val="00D77354"/>
    <w:rsid w:val="00D773FB"/>
    <w:rsid w:val="00D81BDE"/>
    <w:rsid w:val="00D8204E"/>
    <w:rsid w:val="00D83C8B"/>
    <w:rsid w:val="00D84E77"/>
    <w:rsid w:val="00D8556D"/>
    <w:rsid w:val="00D85F6D"/>
    <w:rsid w:val="00D86514"/>
    <w:rsid w:val="00D86941"/>
    <w:rsid w:val="00D90325"/>
    <w:rsid w:val="00D90F03"/>
    <w:rsid w:val="00D9110D"/>
    <w:rsid w:val="00D93286"/>
    <w:rsid w:val="00D938C8"/>
    <w:rsid w:val="00D945BC"/>
    <w:rsid w:val="00D96689"/>
    <w:rsid w:val="00D96818"/>
    <w:rsid w:val="00D97AA5"/>
    <w:rsid w:val="00D97F9A"/>
    <w:rsid w:val="00DA10A7"/>
    <w:rsid w:val="00DA11C2"/>
    <w:rsid w:val="00DA1C8E"/>
    <w:rsid w:val="00DA263D"/>
    <w:rsid w:val="00DA29B4"/>
    <w:rsid w:val="00DA320D"/>
    <w:rsid w:val="00DA3493"/>
    <w:rsid w:val="00DA3569"/>
    <w:rsid w:val="00DA6B5F"/>
    <w:rsid w:val="00DA7CED"/>
    <w:rsid w:val="00DA7EA5"/>
    <w:rsid w:val="00DB0D38"/>
    <w:rsid w:val="00DB123A"/>
    <w:rsid w:val="00DB1F78"/>
    <w:rsid w:val="00DB2DEB"/>
    <w:rsid w:val="00DB309C"/>
    <w:rsid w:val="00DB5703"/>
    <w:rsid w:val="00DB689A"/>
    <w:rsid w:val="00DB73AF"/>
    <w:rsid w:val="00DB7DC1"/>
    <w:rsid w:val="00DB7F10"/>
    <w:rsid w:val="00DC1825"/>
    <w:rsid w:val="00DC1856"/>
    <w:rsid w:val="00DC19FE"/>
    <w:rsid w:val="00DC233B"/>
    <w:rsid w:val="00DC27A4"/>
    <w:rsid w:val="00DC2ED2"/>
    <w:rsid w:val="00DC3BB2"/>
    <w:rsid w:val="00DC3D13"/>
    <w:rsid w:val="00DC486E"/>
    <w:rsid w:val="00DC4AE5"/>
    <w:rsid w:val="00DC54B9"/>
    <w:rsid w:val="00DC5B5E"/>
    <w:rsid w:val="00DC5DE7"/>
    <w:rsid w:val="00DC5ECF"/>
    <w:rsid w:val="00DC77E8"/>
    <w:rsid w:val="00DC7EC0"/>
    <w:rsid w:val="00DD36A9"/>
    <w:rsid w:val="00DD385E"/>
    <w:rsid w:val="00DD4748"/>
    <w:rsid w:val="00DD4E21"/>
    <w:rsid w:val="00DD5318"/>
    <w:rsid w:val="00DD5611"/>
    <w:rsid w:val="00DD56B6"/>
    <w:rsid w:val="00DD6B6C"/>
    <w:rsid w:val="00DD707C"/>
    <w:rsid w:val="00DE0126"/>
    <w:rsid w:val="00DE03B0"/>
    <w:rsid w:val="00DE1B5E"/>
    <w:rsid w:val="00DE2C94"/>
    <w:rsid w:val="00DE2E91"/>
    <w:rsid w:val="00DE38D9"/>
    <w:rsid w:val="00DE3945"/>
    <w:rsid w:val="00DE3C8F"/>
    <w:rsid w:val="00DE4B7E"/>
    <w:rsid w:val="00DE65AB"/>
    <w:rsid w:val="00DE6A50"/>
    <w:rsid w:val="00DE6A89"/>
    <w:rsid w:val="00DE6BA3"/>
    <w:rsid w:val="00DE6D3D"/>
    <w:rsid w:val="00DE7890"/>
    <w:rsid w:val="00DF1056"/>
    <w:rsid w:val="00DF22D0"/>
    <w:rsid w:val="00DF257A"/>
    <w:rsid w:val="00DF3967"/>
    <w:rsid w:val="00DF425D"/>
    <w:rsid w:val="00DF4906"/>
    <w:rsid w:val="00DF49F5"/>
    <w:rsid w:val="00DF4B4F"/>
    <w:rsid w:val="00DF50FB"/>
    <w:rsid w:val="00DF66E5"/>
    <w:rsid w:val="00DF6828"/>
    <w:rsid w:val="00E00562"/>
    <w:rsid w:val="00E0074F"/>
    <w:rsid w:val="00E0186D"/>
    <w:rsid w:val="00E01F88"/>
    <w:rsid w:val="00E03798"/>
    <w:rsid w:val="00E037BD"/>
    <w:rsid w:val="00E043BC"/>
    <w:rsid w:val="00E051B5"/>
    <w:rsid w:val="00E05F85"/>
    <w:rsid w:val="00E06491"/>
    <w:rsid w:val="00E078EA"/>
    <w:rsid w:val="00E11612"/>
    <w:rsid w:val="00E127C2"/>
    <w:rsid w:val="00E16BC4"/>
    <w:rsid w:val="00E20077"/>
    <w:rsid w:val="00E20E01"/>
    <w:rsid w:val="00E2126E"/>
    <w:rsid w:val="00E21F39"/>
    <w:rsid w:val="00E22369"/>
    <w:rsid w:val="00E22EF0"/>
    <w:rsid w:val="00E2324D"/>
    <w:rsid w:val="00E23B4B"/>
    <w:rsid w:val="00E23B5D"/>
    <w:rsid w:val="00E2458E"/>
    <w:rsid w:val="00E24AA3"/>
    <w:rsid w:val="00E2522D"/>
    <w:rsid w:val="00E2575F"/>
    <w:rsid w:val="00E25E2D"/>
    <w:rsid w:val="00E2611C"/>
    <w:rsid w:val="00E274F4"/>
    <w:rsid w:val="00E27C06"/>
    <w:rsid w:val="00E27C7B"/>
    <w:rsid w:val="00E314BD"/>
    <w:rsid w:val="00E342FD"/>
    <w:rsid w:val="00E34CCF"/>
    <w:rsid w:val="00E35440"/>
    <w:rsid w:val="00E354B3"/>
    <w:rsid w:val="00E35D26"/>
    <w:rsid w:val="00E367F2"/>
    <w:rsid w:val="00E36960"/>
    <w:rsid w:val="00E36A12"/>
    <w:rsid w:val="00E37346"/>
    <w:rsid w:val="00E37C32"/>
    <w:rsid w:val="00E428A5"/>
    <w:rsid w:val="00E42E58"/>
    <w:rsid w:val="00E4350C"/>
    <w:rsid w:val="00E44649"/>
    <w:rsid w:val="00E44BAE"/>
    <w:rsid w:val="00E44C85"/>
    <w:rsid w:val="00E44FA5"/>
    <w:rsid w:val="00E4509B"/>
    <w:rsid w:val="00E456F1"/>
    <w:rsid w:val="00E45C1A"/>
    <w:rsid w:val="00E45C37"/>
    <w:rsid w:val="00E45D56"/>
    <w:rsid w:val="00E45FE9"/>
    <w:rsid w:val="00E4606D"/>
    <w:rsid w:val="00E461BD"/>
    <w:rsid w:val="00E464F2"/>
    <w:rsid w:val="00E465E1"/>
    <w:rsid w:val="00E472F4"/>
    <w:rsid w:val="00E47399"/>
    <w:rsid w:val="00E47610"/>
    <w:rsid w:val="00E504BA"/>
    <w:rsid w:val="00E51571"/>
    <w:rsid w:val="00E51BF7"/>
    <w:rsid w:val="00E525D2"/>
    <w:rsid w:val="00E52947"/>
    <w:rsid w:val="00E52E73"/>
    <w:rsid w:val="00E53246"/>
    <w:rsid w:val="00E55123"/>
    <w:rsid w:val="00E55A72"/>
    <w:rsid w:val="00E579DC"/>
    <w:rsid w:val="00E60054"/>
    <w:rsid w:val="00E6029D"/>
    <w:rsid w:val="00E61D48"/>
    <w:rsid w:val="00E61F65"/>
    <w:rsid w:val="00E627BB"/>
    <w:rsid w:val="00E63196"/>
    <w:rsid w:val="00E63907"/>
    <w:rsid w:val="00E64196"/>
    <w:rsid w:val="00E65FEE"/>
    <w:rsid w:val="00E67A77"/>
    <w:rsid w:val="00E715D6"/>
    <w:rsid w:val="00E72885"/>
    <w:rsid w:val="00E72DD0"/>
    <w:rsid w:val="00E73E78"/>
    <w:rsid w:val="00E7489B"/>
    <w:rsid w:val="00E76867"/>
    <w:rsid w:val="00E76949"/>
    <w:rsid w:val="00E801E9"/>
    <w:rsid w:val="00E801F1"/>
    <w:rsid w:val="00E813DB"/>
    <w:rsid w:val="00E8223B"/>
    <w:rsid w:val="00E828C2"/>
    <w:rsid w:val="00E839D1"/>
    <w:rsid w:val="00E83D84"/>
    <w:rsid w:val="00E83DFE"/>
    <w:rsid w:val="00E8422F"/>
    <w:rsid w:val="00E8493B"/>
    <w:rsid w:val="00E85112"/>
    <w:rsid w:val="00E85EC4"/>
    <w:rsid w:val="00E86170"/>
    <w:rsid w:val="00E86BA1"/>
    <w:rsid w:val="00E86DEF"/>
    <w:rsid w:val="00E879F5"/>
    <w:rsid w:val="00E87DD2"/>
    <w:rsid w:val="00E90507"/>
    <w:rsid w:val="00E90544"/>
    <w:rsid w:val="00E915A7"/>
    <w:rsid w:val="00E9251C"/>
    <w:rsid w:val="00E925C4"/>
    <w:rsid w:val="00E928BC"/>
    <w:rsid w:val="00E92C0C"/>
    <w:rsid w:val="00E92CA1"/>
    <w:rsid w:val="00E92D52"/>
    <w:rsid w:val="00E93611"/>
    <w:rsid w:val="00E93BEA"/>
    <w:rsid w:val="00E95159"/>
    <w:rsid w:val="00E96D48"/>
    <w:rsid w:val="00E974CC"/>
    <w:rsid w:val="00EA026F"/>
    <w:rsid w:val="00EA128C"/>
    <w:rsid w:val="00EA1ADB"/>
    <w:rsid w:val="00EA4C06"/>
    <w:rsid w:val="00EA5043"/>
    <w:rsid w:val="00EA5348"/>
    <w:rsid w:val="00EA5FB4"/>
    <w:rsid w:val="00EA6819"/>
    <w:rsid w:val="00EA70AC"/>
    <w:rsid w:val="00EA74E0"/>
    <w:rsid w:val="00EB040A"/>
    <w:rsid w:val="00EB0534"/>
    <w:rsid w:val="00EB0A8F"/>
    <w:rsid w:val="00EB120C"/>
    <w:rsid w:val="00EB1DFA"/>
    <w:rsid w:val="00EB257E"/>
    <w:rsid w:val="00EB438E"/>
    <w:rsid w:val="00EB490C"/>
    <w:rsid w:val="00EB52D5"/>
    <w:rsid w:val="00EB5C52"/>
    <w:rsid w:val="00EB66FD"/>
    <w:rsid w:val="00EB6A40"/>
    <w:rsid w:val="00EC01C3"/>
    <w:rsid w:val="00EC13D0"/>
    <w:rsid w:val="00EC203F"/>
    <w:rsid w:val="00EC2080"/>
    <w:rsid w:val="00EC2883"/>
    <w:rsid w:val="00EC297A"/>
    <w:rsid w:val="00EC4111"/>
    <w:rsid w:val="00EC4815"/>
    <w:rsid w:val="00EC48FC"/>
    <w:rsid w:val="00EC53B0"/>
    <w:rsid w:val="00EC56EF"/>
    <w:rsid w:val="00EC5748"/>
    <w:rsid w:val="00EC6E67"/>
    <w:rsid w:val="00EC7E2D"/>
    <w:rsid w:val="00ED1513"/>
    <w:rsid w:val="00ED2318"/>
    <w:rsid w:val="00ED26CF"/>
    <w:rsid w:val="00ED2BDB"/>
    <w:rsid w:val="00ED30AF"/>
    <w:rsid w:val="00ED381E"/>
    <w:rsid w:val="00ED3BC9"/>
    <w:rsid w:val="00ED3F2A"/>
    <w:rsid w:val="00ED4BF4"/>
    <w:rsid w:val="00ED6A3E"/>
    <w:rsid w:val="00ED6C03"/>
    <w:rsid w:val="00ED76FB"/>
    <w:rsid w:val="00ED795C"/>
    <w:rsid w:val="00EE0DAB"/>
    <w:rsid w:val="00EE10EA"/>
    <w:rsid w:val="00EE2B41"/>
    <w:rsid w:val="00EE2ECB"/>
    <w:rsid w:val="00EE3C06"/>
    <w:rsid w:val="00EE3E5E"/>
    <w:rsid w:val="00EE407C"/>
    <w:rsid w:val="00EE4476"/>
    <w:rsid w:val="00EE499A"/>
    <w:rsid w:val="00EE4DC8"/>
    <w:rsid w:val="00EE5BCF"/>
    <w:rsid w:val="00EE61BF"/>
    <w:rsid w:val="00EE6717"/>
    <w:rsid w:val="00EE7408"/>
    <w:rsid w:val="00EF095A"/>
    <w:rsid w:val="00EF11FD"/>
    <w:rsid w:val="00EF1B9E"/>
    <w:rsid w:val="00EF2CE7"/>
    <w:rsid w:val="00EF2EFA"/>
    <w:rsid w:val="00EF343F"/>
    <w:rsid w:val="00EF5AA2"/>
    <w:rsid w:val="00EF64D3"/>
    <w:rsid w:val="00EF6D33"/>
    <w:rsid w:val="00F0026E"/>
    <w:rsid w:val="00F019D1"/>
    <w:rsid w:val="00F01BC8"/>
    <w:rsid w:val="00F01F4A"/>
    <w:rsid w:val="00F020F7"/>
    <w:rsid w:val="00F021F7"/>
    <w:rsid w:val="00F02D71"/>
    <w:rsid w:val="00F02F92"/>
    <w:rsid w:val="00F03569"/>
    <w:rsid w:val="00F0598C"/>
    <w:rsid w:val="00F068C3"/>
    <w:rsid w:val="00F077C8"/>
    <w:rsid w:val="00F104B6"/>
    <w:rsid w:val="00F10DBE"/>
    <w:rsid w:val="00F1243F"/>
    <w:rsid w:val="00F14A8E"/>
    <w:rsid w:val="00F14B9C"/>
    <w:rsid w:val="00F15219"/>
    <w:rsid w:val="00F16656"/>
    <w:rsid w:val="00F2015D"/>
    <w:rsid w:val="00F20815"/>
    <w:rsid w:val="00F20DEE"/>
    <w:rsid w:val="00F217AA"/>
    <w:rsid w:val="00F221B7"/>
    <w:rsid w:val="00F22472"/>
    <w:rsid w:val="00F224AB"/>
    <w:rsid w:val="00F229B7"/>
    <w:rsid w:val="00F2319B"/>
    <w:rsid w:val="00F237BC"/>
    <w:rsid w:val="00F241CA"/>
    <w:rsid w:val="00F26C16"/>
    <w:rsid w:val="00F300FF"/>
    <w:rsid w:val="00F302F8"/>
    <w:rsid w:val="00F31C11"/>
    <w:rsid w:val="00F31C18"/>
    <w:rsid w:val="00F31E4C"/>
    <w:rsid w:val="00F33D08"/>
    <w:rsid w:val="00F3450D"/>
    <w:rsid w:val="00F3487A"/>
    <w:rsid w:val="00F34DE2"/>
    <w:rsid w:val="00F359B7"/>
    <w:rsid w:val="00F3766F"/>
    <w:rsid w:val="00F377B5"/>
    <w:rsid w:val="00F40273"/>
    <w:rsid w:val="00F403ED"/>
    <w:rsid w:val="00F40B49"/>
    <w:rsid w:val="00F414C2"/>
    <w:rsid w:val="00F43283"/>
    <w:rsid w:val="00F43A9F"/>
    <w:rsid w:val="00F43BB1"/>
    <w:rsid w:val="00F44053"/>
    <w:rsid w:val="00F44E29"/>
    <w:rsid w:val="00F453D0"/>
    <w:rsid w:val="00F477D1"/>
    <w:rsid w:val="00F508E9"/>
    <w:rsid w:val="00F50B53"/>
    <w:rsid w:val="00F50BA1"/>
    <w:rsid w:val="00F50E19"/>
    <w:rsid w:val="00F50F7D"/>
    <w:rsid w:val="00F514F3"/>
    <w:rsid w:val="00F515D2"/>
    <w:rsid w:val="00F51CBD"/>
    <w:rsid w:val="00F5357E"/>
    <w:rsid w:val="00F546E3"/>
    <w:rsid w:val="00F561BD"/>
    <w:rsid w:val="00F60499"/>
    <w:rsid w:val="00F60D7A"/>
    <w:rsid w:val="00F61399"/>
    <w:rsid w:val="00F64608"/>
    <w:rsid w:val="00F648BE"/>
    <w:rsid w:val="00F65593"/>
    <w:rsid w:val="00F657C9"/>
    <w:rsid w:val="00F65A7D"/>
    <w:rsid w:val="00F667FA"/>
    <w:rsid w:val="00F67434"/>
    <w:rsid w:val="00F675C9"/>
    <w:rsid w:val="00F70AFB"/>
    <w:rsid w:val="00F70D42"/>
    <w:rsid w:val="00F70D73"/>
    <w:rsid w:val="00F71499"/>
    <w:rsid w:val="00F7157A"/>
    <w:rsid w:val="00F715B6"/>
    <w:rsid w:val="00F7195C"/>
    <w:rsid w:val="00F71D24"/>
    <w:rsid w:val="00F72497"/>
    <w:rsid w:val="00F72550"/>
    <w:rsid w:val="00F73CC0"/>
    <w:rsid w:val="00F74B7E"/>
    <w:rsid w:val="00F75EFD"/>
    <w:rsid w:val="00F7627D"/>
    <w:rsid w:val="00F7755C"/>
    <w:rsid w:val="00F811BF"/>
    <w:rsid w:val="00F812BB"/>
    <w:rsid w:val="00F815DF"/>
    <w:rsid w:val="00F8206E"/>
    <w:rsid w:val="00F8391B"/>
    <w:rsid w:val="00F83CA0"/>
    <w:rsid w:val="00F83F5B"/>
    <w:rsid w:val="00F84576"/>
    <w:rsid w:val="00F8589F"/>
    <w:rsid w:val="00F90663"/>
    <w:rsid w:val="00F90F5A"/>
    <w:rsid w:val="00F92046"/>
    <w:rsid w:val="00F92742"/>
    <w:rsid w:val="00F936F2"/>
    <w:rsid w:val="00F9395F"/>
    <w:rsid w:val="00F93EFA"/>
    <w:rsid w:val="00F946EB"/>
    <w:rsid w:val="00F94FCF"/>
    <w:rsid w:val="00F95262"/>
    <w:rsid w:val="00F95A32"/>
    <w:rsid w:val="00F95D1F"/>
    <w:rsid w:val="00F96565"/>
    <w:rsid w:val="00FA00E5"/>
    <w:rsid w:val="00FA15AA"/>
    <w:rsid w:val="00FA16AE"/>
    <w:rsid w:val="00FA188D"/>
    <w:rsid w:val="00FA1AC4"/>
    <w:rsid w:val="00FA1CFE"/>
    <w:rsid w:val="00FA1DDA"/>
    <w:rsid w:val="00FA27E6"/>
    <w:rsid w:val="00FA38D1"/>
    <w:rsid w:val="00FA509D"/>
    <w:rsid w:val="00FA5BC8"/>
    <w:rsid w:val="00FA6E10"/>
    <w:rsid w:val="00FA7537"/>
    <w:rsid w:val="00FA7E7B"/>
    <w:rsid w:val="00FB11A4"/>
    <w:rsid w:val="00FB1CA8"/>
    <w:rsid w:val="00FB2C56"/>
    <w:rsid w:val="00FB3DD4"/>
    <w:rsid w:val="00FB4006"/>
    <w:rsid w:val="00FB4609"/>
    <w:rsid w:val="00FB4617"/>
    <w:rsid w:val="00FB5A40"/>
    <w:rsid w:val="00FB5E30"/>
    <w:rsid w:val="00FB6B39"/>
    <w:rsid w:val="00FB6C06"/>
    <w:rsid w:val="00FC012D"/>
    <w:rsid w:val="00FC0340"/>
    <w:rsid w:val="00FC067A"/>
    <w:rsid w:val="00FC13EB"/>
    <w:rsid w:val="00FC1879"/>
    <w:rsid w:val="00FC2BC5"/>
    <w:rsid w:val="00FC2CFE"/>
    <w:rsid w:val="00FC337E"/>
    <w:rsid w:val="00FC4396"/>
    <w:rsid w:val="00FC43BA"/>
    <w:rsid w:val="00FC46A6"/>
    <w:rsid w:val="00FC4D76"/>
    <w:rsid w:val="00FC5F1E"/>
    <w:rsid w:val="00FC6A16"/>
    <w:rsid w:val="00FC7FCE"/>
    <w:rsid w:val="00FD00D6"/>
    <w:rsid w:val="00FD024B"/>
    <w:rsid w:val="00FD073B"/>
    <w:rsid w:val="00FD0E91"/>
    <w:rsid w:val="00FD22EB"/>
    <w:rsid w:val="00FD2E05"/>
    <w:rsid w:val="00FD58E8"/>
    <w:rsid w:val="00FD730B"/>
    <w:rsid w:val="00FD7415"/>
    <w:rsid w:val="00FD743E"/>
    <w:rsid w:val="00FD7B53"/>
    <w:rsid w:val="00FE268E"/>
    <w:rsid w:val="00FE31BD"/>
    <w:rsid w:val="00FE3FE1"/>
    <w:rsid w:val="00FE491B"/>
    <w:rsid w:val="00FE4EB3"/>
    <w:rsid w:val="00FE69C7"/>
    <w:rsid w:val="00FE6D66"/>
    <w:rsid w:val="00FE7A8B"/>
    <w:rsid w:val="00FE7C76"/>
    <w:rsid w:val="00FF1274"/>
    <w:rsid w:val="00FF13C7"/>
    <w:rsid w:val="00FF192C"/>
    <w:rsid w:val="00FF2060"/>
    <w:rsid w:val="00FF222D"/>
    <w:rsid w:val="00FF327B"/>
    <w:rsid w:val="00FF3A25"/>
    <w:rsid w:val="00FF4127"/>
    <w:rsid w:val="00FF4A6D"/>
    <w:rsid w:val="00FF69FC"/>
    <w:rsid w:val="00FF6BF2"/>
    <w:rsid w:val="00FF6E42"/>
    <w:rsid w:val="00FF71CC"/>
    <w:rsid w:val="00FF7633"/>
    <w:rsid w:val="00FF7F92"/>
  </w:rsids>
  <m:mathPr>
    <m:mathFont m:val="Cambria Math"/>
    <m:brkBin m:val="before"/>
    <m:brkBinSub m:val="--"/>
    <m:smallFrac m:val="0"/>
    <m:dispDef/>
    <m:lMargin m:val="0"/>
    <m:rMargin m:val="0"/>
    <m:defJc m:val="centerGroup"/>
    <m:wrapIndent m:val="1440"/>
    <m:intLim m:val="subSup"/>
    <m:naryLim m:val="undOvr"/>
  </m:mathPr>
  <w:themeFontLang w:val="pl-PL"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8F7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lv-LV" w:bidi="lv-LV"/>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qFormat/>
    <w:rsid w:val="00F300FF"/>
    <w:pPr>
      <w:spacing w:before="60" w:after="140" w:line="220" w:lineRule="atLeast"/>
      <w:jc w:val="both"/>
    </w:pPr>
    <w:rPr>
      <w:rFonts w:ascii="Arial" w:hAnsi="Arial"/>
      <w:sz w:val="18"/>
      <w:szCs w:val="24"/>
    </w:rPr>
  </w:style>
  <w:style w:type="paragraph" w:styleId="Heading1">
    <w:name w:val="heading 1"/>
    <w:basedOn w:val="Normal"/>
    <w:next w:val="Normal"/>
    <w:semiHidden/>
    <w:qFormat/>
    <w:rsid w:val="00E465E1"/>
    <w:pPr>
      <w:keepNext/>
      <w:framePr w:hSpace="142" w:vSpace="142" w:wrap="notBeside" w:vAnchor="page" w:hAnchor="margin" w:y="1532"/>
      <w:numPr>
        <w:numId w:val="1"/>
      </w:numPr>
      <w:pBdr>
        <w:left w:val="single" w:sz="48" w:space="8" w:color="33CCCC"/>
      </w:pBdr>
      <w:tabs>
        <w:tab w:val="clear" w:pos="474"/>
        <w:tab w:val="left" w:pos="227"/>
      </w:tabs>
      <w:suppressAutoHyphens/>
      <w:spacing w:after="20" w:line="240" w:lineRule="auto"/>
      <w:ind w:left="227" w:hanging="227"/>
      <w:jc w:val="left"/>
      <w:outlineLvl w:val="0"/>
    </w:pPr>
    <w:rPr>
      <w:rFonts w:cs="Arial"/>
      <w:b/>
      <w:bCs/>
      <w:kern w:val="32"/>
      <w:sz w:val="24"/>
      <w:szCs w:val="32"/>
    </w:rPr>
  </w:style>
  <w:style w:type="paragraph" w:styleId="Heading2">
    <w:name w:val="heading 2"/>
    <w:aliases w:val="Titre B,no vale,Heading 2 Char1,Heading 2 Char Char"/>
    <w:basedOn w:val="Normal"/>
    <w:next w:val="Normal"/>
    <w:uiPriority w:val="9"/>
    <w:qFormat/>
    <w:rsid w:val="00E465E1"/>
    <w:pPr>
      <w:keepNext/>
      <w:numPr>
        <w:ilvl w:val="1"/>
        <w:numId w:val="1"/>
      </w:numPr>
      <w:tabs>
        <w:tab w:val="clear" w:pos="360"/>
        <w:tab w:val="left" w:pos="454"/>
      </w:tabs>
      <w:suppressAutoHyphens/>
      <w:spacing w:before="240" w:line="260" w:lineRule="exact"/>
      <w:ind w:left="454" w:hanging="454"/>
      <w:jc w:val="left"/>
      <w:outlineLvl w:val="1"/>
    </w:pPr>
    <w:rPr>
      <w:rFonts w:cs="Arial"/>
      <w:b/>
      <w:bCs/>
      <w:iCs/>
      <w:sz w:val="22"/>
      <w:szCs w:val="28"/>
    </w:rPr>
  </w:style>
  <w:style w:type="paragraph" w:styleId="Heading3">
    <w:name w:val="heading 3"/>
    <w:aliases w:val="H3,no vale1,no vale1 Car"/>
    <w:basedOn w:val="Normal"/>
    <w:next w:val="Normal"/>
    <w:qFormat/>
    <w:rsid w:val="00E465E1"/>
    <w:pPr>
      <w:keepNext/>
      <w:numPr>
        <w:ilvl w:val="2"/>
        <w:numId w:val="1"/>
      </w:numPr>
      <w:tabs>
        <w:tab w:val="clear" w:pos="720"/>
        <w:tab w:val="left" w:pos="567"/>
      </w:tabs>
      <w:suppressAutoHyphens/>
      <w:spacing w:before="240" w:line="240" w:lineRule="exact"/>
      <w:ind w:left="567" w:hanging="567"/>
      <w:jc w:val="left"/>
      <w:outlineLvl w:val="2"/>
    </w:pPr>
    <w:rPr>
      <w:rFonts w:cs="Arial"/>
      <w:b/>
      <w:bCs/>
      <w:color w:val="5F5F5F"/>
      <w:sz w:val="20"/>
      <w:szCs w:val="26"/>
    </w:rPr>
  </w:style>
  <w:style w:type="paragraph" w:styleId="Heading4">
    <w:name w:val="heading 4"/>
    <w:basedOn w:val="Normal"/>
    <w:next w:val="Normal"/>
    <w:semiHidden/>
    <w:qFormat/>
    <w:rsid w:val="00E465E1"/>
    <w:pPr>
      <w:keepNext/>
      <w:numPr>
        <w:ilvl w:val="3"/>
        <w:numId w:val="1"/>
      </w:numPr>
      <w:tabs>
        <w:tab w:val="clear" w:pos="1080"/>
        <w:tab w:val="left" w:pos="680"/>
      </w:tabs>
      <w:suppressAutoHyphens/>
      <w:spacing w:before="240"/>
      <w:ind w:left="680" w:hanging="680"/>
      <w:jc w:val="left"/>
      <w:outlineLvl w:val="3"/>
    </w:pPr>
    <w:rPr>
      <w:b/>
      <w:bCs/>
      <w:color w:val="5F5F5F"/>
      <w:szCs w:val="28"/>
    </w:rPr>
  </w:style>
  <w:style w:type="paragraph" w:styleId="Heading5">
    <w:name w:val="heading 5"/>
    <w:basedOn w:val="Normal"/>
    <w:next w:val="Normal"/>
    <w:semiHidden/>
    <w:qFormat/>
    <w:rsid w:val="00E465E1"/>
    <w:pPr>
      <w:suppressAutoHyphens/>
      <w:spacing w:before="200" w:after="100"/>
      <w:jc w:val="left"/>
      <w:outlineLvl w:val="4"/>
    </w:pPr>
    <w:rPr>
      <w:b/>
      <w:bCs/>
      <w:iCs/>
      <w:color w:val="5F5F5F"/>
      <w:szCs w:val="26"/>
    </w:rPr>
  </w:style>
  <w:style w:type="paragraph" w:styleId="Heading6">
    <w:name w:val="heading 6"/>
    <w:basedOn w:val="Normal"/>
    <w:next w:val="Normal"/>
    <w:semiHidden/>
    <w:qFormat/>
    <w:rsid w:val="00E465E1"/>
    <w:pPr>
      <w:suppressAutoHyphens/>
      <w:spacing w:before="140" w:line="200" w:lineRule="exact"/>
      <w:jc w:val="left"/>
      <w:outlineLvl w:val="5"/>
    </w:pPr>
    <w:rPr>
      <w:b/>
      <w:bCs/>
      <w:color w:val="808080"/>
      <w:sz w:val="16"/>
      <w:szCs w:val="22"/>
    </w:rPr>
  </w:style>
  <w:style w:type="paragraph" w:styleId="Heading7">
    <w:name w:val="heading 7"/>
    <w:basedOn w:val="Normal"/>
    <w:next w:val="Normal"/>
    <w:qFormat/>
    <w:rsid w:val="00E465E1"/>
    <w:pPr>
      <w:suppressAutoHyphens/>
      <w:spacing w:before="140" w:line="200" w:lineRule="exact"/>
      <w:jc w:val="left"/>
      <w:outlineLvl w:val="6"/>
    </w:pPr>
    <w:rPr>
      <w:b/>
      <w:color w:val="808080"/>
      <w:sz w:val="16"/>
    </w:rPr>
  </w:style>
  <w:style w:type="paragraph" w:styleId="Heading8">
    <w:name w:val="heading 8"/>
    <w:basedOn w:val="Normal"/>
    <w:next w:val="Normal"/>
    <w:qFormat/>
    <w:rsid w:val="00E465E1"/>
    <w:pPr>
      <w:suppressAutoHyphens/>
      <w:spacing w:before="140" w:line="200" w:lineRule="exact"/>
      <w:jc w:val="left"/>
      <w:outlineLvl w:val="7"/>
    </w:pPr>
    <w:rPr>
      <w:b/>
      <w:iCs/>
      <w:color w:val="808080"/>
      <w:sz w:val="16"/>
    </w:rPr>
  </w:style>
  <w:style w:type="paragraph" w:styleId="Heading9">
    <w:name w:val="heading 9"/>
    <w:basedOn w:val="Heading1"/>
    <w:next w:val="Normal"/>
    <w:semiHidden/>
    <w:qFormat/>
    <w:rsid w:val="00E465E1"/>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next w:val="Normal"/>
    <w:uiPriority w:val="39"/>
    <w:rsid w:val="00364BFD"/>
    <w:pPr>
      <w:tabs>
        <w:tab w:val="left" w:pos="454"/>
        <w:tab w:val="right" w:leader="dot" w:pos="9072"/>
      </w:tabs>
      <w:suppressAutoHyphens/>
      <w:spacing w:before="60" w:line="280" w:lineRule="exact"/>
      <w:ind w:left="454" w:hanging="454"/>
    </w:pPr>
    <w:rPr>
      <w:rFonts w:ascii="Arial" w:hAnsi="Arial"/>
      <w:color w:val="373737" w:themeColor="text1"/>
      <w:szCs w:val="22"/>
    </w:rPr>
  </w:style>
  <w:style w:type="paragraph" w:styleId="Header">
    <w:name w:val="header"/>
    <w:rsid w:val="00BD09F4"/>
    <w:pPr>
      <w:tabs>
        <w:tab w:val="right" w:pos="9072"/>
      </w:tabs>
      <w:spacing w:before="60"/>
    </w:pPr>
    <w:rPr>
      <w:rFonts w:ascii="Arial" w:hAnsi="Arial"/>
      <w:color w:val="F07E31" w:themeColor="accent1"/>
      <w:sz w:val="18"/>
    </w:rPr>
  </w:style>
  <w:style w:type="paragraph" w:styleId="Footer">
    <w:name w:val="footer"/>
    <w:link w:val="FooterChar"/>
    <w:uiPriority w:val="99"/>
    <w:rsid w:val="00D86941"/>
    <w:pPr>
      <w:tabs>
        <w:tab w:val="right" w:pos="8618"/>
      </w:tabs>
      <w:ind w:left="-907" w:right="-907"/>
      <w:jc w:val="center"/>
    </w:pPr>
    <w:rPr>
      <w:rFonts w:ascii="Arial" w:hAnsi="Arial"/>
      <w:color w:val="373737"/>
      <w:sz w:val="22"/>
    </w:rPr>
  </w:style>
  <w:style w:type="character" w:styleId="PageNumber">
    <w:name w:val="page number"/>
    <w:basedOn w:val="DefaultParagraphFont"/>
    <w:semiHidden/>
    <w:rsid w:val="00E465E1"/>
    <w:rPr>
      <w:rFonts w:ascii="Arial" w:hAnsi="Arial"/>
      <w:color w:val="808080"/>
      <w:sz w:val="18"/>
    </w:rPr>
  </w:style>
  <w:style w:type="paragraph" w:customStyle="1" w:styleId="HTitle2">
    <w:name w:val="H_Title2"/>
    <w:basedOn w:val="Normal"/>
    <w:qFormat/>
    <w:rsid w:val="00364BFD"/>
    <w:pPr>
      <w:autoSpaceDE w:val="0"/>
      <w:autoSpaceDN w:val="0"/>
      <w:adjustRightInd w:val="0"/>
      <w:spacing w:before="0" w:after="120" w:line="280" w:lineRule="atLeast"/>
      <w:jc w:val="left"/>
    </w:pPr>
    <w:rPr>
      <w:smallCaps/>
      <w:color w:val="373737" w:themeColor="text1"/>
      <w:sz w:val="44"/>
      <w:szCs w:val="52"/>
    </w:rPr>
  </w:style>
  <w:style w:type="paragraph" w:customStyle="1" w:styleId="Hlistbullet">
    <w:name w:val="H_list_bullet"/>
    <w:rsid w:val="00C42303"/>
    <w:pPr>
      <w:numPr>
        <w:numId w:val="2"/>
      </w:numPr>
      <w:spacing w:before="60" w:after="60" w:line="220" w:lineRule="atLeast"/>
      <w:ind w:left="567" w:hanging="567"/>
      <w:jc w:val="both"/>
    </w:pPr>
    <w:rPr>
      <w:rFonts w:ascii="Arial" w:hAnsi="Arial"/>
      <w:color w:val="373737" w:themeColor="text1"/>
    </w:rPr>
  </w:style>
  <w:style w:type="paragraph" w:customStyle="1" w:styleId="Hlistbullet2">
    <w:name w:val="H_list_bullet2"/>
    <w:basedOn w:val="Hlistbullet"/>
    <w:next w:val="HStandard"/>
    <w:rsid w:val="00735F08"/>
    <w:pPr>
      <w:numPr>
        <w:numId w:val="12"/>
      </w:numPr>
      <w:ind w:left="1134" w:hanging="567"/>
    </w:pPr>
  </w:style>
  <w:style w:type="paragraph" w:customStyle="1" w:styleId="Hlistabc">
    <w:name w:val="H_list_abc"/>
    <w:rsid w:val="00364BFD"/>
    <w:pPr>
      <w:numPr>
        <w:numId w:val="3"/>
      </w:numPr>
      <w:spacing w:before="60" w:after="60" w:line="220" w:lineRule="atLeast"/>
      <w:jc w:val="both"/>
    </w:pPr>
    <w:rPr>
      <w:rFonts w:ascii="Arial" w:hAnsi="Arial"/>
      <w:color w:val="373737" w:themeColor="text1"/>
    </w:rPr>
  </w:style>
  <w:style w:type="paragraph" w:customStyle="1" w:styleId="Hlistabc2">
    <w:name w:val="H_list_abc_2"/>
    <w:basedOn w:val="Hlistabc"/>
    <w:next w:val="HStandard"/>
    <w:rsid w:val="00801FF1"/>
    <w:pPr>
      <w:spacing w:after="140"/>
      <w:ind w:left="1134"/>
    </w:pPr>
  </w:style>
  <w:style w:type="paragraph" w:customStyle="1" w:styleId="HTitle1">
    <w:name w:val="H_Title1"/>
    <w:basedOn w:val="Normal"/>
    <w:rsid w:val="00364BFD"/>
    <w:pPr>
      <w:autoSpaceDE w:val="0"/>
      <w:autoSpaceDN w:val="0"/>
      <w:adjustRightInd w:val="0"/>
      <w:spacing w:before="0" w:after="120" w:line="280" w:lineRule="atLeast"/>
    </w:pPr>
    <w:rPr>
      <w:bCs/>
      <w:smallCaps/>
      <w:color w:val="F07E31" w:themeColor="accent1"/>
      <w:sz w:val="60"/>
      <w:szCs w:val="32"/>
    </w:rPr>
  </w:style>
  <w:style w:type="paragraph" w:customStyle="1" w:styleId="Autor">
    <w:name w:val="Autor"/>
    <w:basedOn w:val="Normal"/>
    <w:rsid w:val="00EE61BF"/>
    <w:pPr>
      <w:spacing w:before="0" w:after="0" w:line="280" w:lineRule="exact"/>
      <w:jc w:val="left"/>
    </w:pPr>
    <w:rPr>
      <w:sz w:val="20"/>
    </w:rPr>
  </w:style>
  <w:style w:type="paragraph" w:customStyle="1" w:styleId="HTitle3">
    <w:name w:val="H_Title3"/>
    <w:basedOn w:val="Autor"/>
    <w:rsid w:val="00364BFD"/>
    <w:rPr>
      <w:smallCaps/>
      <w:color w:val="373737" w:themeColor="text1"/>
      <w:sz w:val="28"/>
    </w:rPr>
  </w:style>
  <w:style w:type="paragraph" w:styleId="TOC1">
    <w:name w:val="toc 1"/>
    <w:next w:val="Normal"/>
    <w:uiPriority w:val="39"/>
    <w:rsid w:val="002807DC"/>
    <w:pPr>
      <w:tabs>
        <w:tab w:val="left" w:pos="454"/>
        <w:tab w:val="right" w:leader="dot" w:pos="9072"/>
      </w:tabs>
      <w:suppressAutoHyphens/>
      <w:spacing w:before="60" w:line="280" w:lineRule="exact"/>
      <w:ind w:left="454" w:hanging="454"/>
    </w:pPr>
    <w:rPr>
      <w:rFonts w:ascii="Arial" w:hAnsi="Arial"/>
      <w:noProof/>
      <w:color w:val="373737" w:themeColor="text1"/>
    </w:rPr>
  </w:style>
  <w:style w:type="paragraph" w:styleId="TOC3">
    <w:name w:val="toc 3"/>
    <w:next w:val="Normal"/>
    <w:uiPriority w:val="39"/>
    <w:rsid w:val="00364BFD"/>
    <w:pPr>
      <w:tabs>
        <w:tab w:val="left" w:pos="1021"/>
        <w:tab w:val="right" w:leader="dot" w:pos="9072"/>
      </w:tabs>
      <w:suppressAutoHyphens/>
      <w:spacing w:before="60" w:line="280" w:lineRule="exact"/>
      <w:ind w:left="1021" w:hanging="567"/>
    </w:pPr>
    <w:rPr>
      <w:rFonts w:ascii="Arial" w:hAnsi="Arial"/>
      <w:color w:val="373737" w:themeColor="text1"/>
      <w:sz w:val="18"/>
    </w:rPr>
  </w:style>
  <w:style w:type="paragraph" w:customStyle="1" w:styleId="Fuzeilequerformat">
    <w:name w:val="Fußzeile_querformat"/>
    <w:basedOn w:val="Footer"/>
    <w:rsid w:val="00EE61BF"/>
    <w:pPr>
      <w:tabs>
        <w:tab w:val="clear" w:pos="8618"/>
        <w:tab w:val="right" w:pos="12871"/>
      </w:tabs>
    </w:pPr>
  </w:style>
  <w:style w:type="paragraph" w:styleId="TableofFigures">
    <w:name w:val="table of figures"/>
    <w:next w:val="HStandard"/>
    <w:uiPriority w:val="99"/>
    <w:rsid w:val="000B6372"/>
    <w:pPr>
      <w:tabs>
        <w:tab w:val="left" w:pos="851"/>
        <w:tab w:val="right" w:leader="dot" w:pos="7711"/>
      </w:tabs>
      <w:suppressAutoHyphens/>
      <w:spacing w:before="60" w:line="280" w:lineRule="exact"/>
      <w:ind w:left="851" w:right="284" w:hanging="851"/>
    </w:pPr>
    <w:rPr>
      <w:rFonts w:ascii="Arial" w:hAnsi="Arial"/>
      <w:color w:val="373737" w:themeColor="text1"/>
    </w:rPr>
  </w:style>
  <w:style w:type="paragraph" w:customStyle="1" w:styleId="Hlistline3">
    <w:name w:val="H_list_line3"/>
    <w:rsid w:val="00BD09F4"/>
    <w:pPr>
      <w:numPr>
        <w:numId w:val="4"/>
      </w:numPr>
      <w:spacing w:before="60" w:after="60" w:line="220" w:lineRule="atLeast"/>
      <w:ind w:left="851" w:hanging="284"/>
    </w:pPr>
    <w:rPr>
      <w:rFonts w:ascii="Arial" w:hAnsi="Arial"/>
      <w:color w:val="373737" w:themeColor="text1"/>
    </w:rPr>
  </w:style>
  <w:style w:type="paragraph" w:customStyle="1" w:styleId="Hlistline4">
    <w:name w:val="H_list_line4"/>
    <w:basedOn w:val="Hlistline3"/>
    <w:next w:val="HStandard"/>
    <w:rsid w:val="00BD09F4"/>
    <w:pPr>
      <w:ind w:left="1135"/>
    </w:pPr>
  </w:style>
  <w:style w:type="paragraph" w:customStyle="1" w:styleId="HSource">
    <w:name w:val="H_Source"/>
    <w:next w:val="HStandard"/>
    <w:rsid w:val="008D52EA"/>
    <w:pPr>
      <w:suppressAutoHyphens/>
      <w:spacing w:before="60" w:after="60"/>
      <w:jc w:val="center"/>
    </w:pPr>
    <w:rPr>
      <w:rFonts w:ascii="Arial" w:hAnsi="Arial"/>
      <w:i/>
      <w:color w:val="373737"/>
      <w:sz w:val="16"/>
    </w:rPr>
  </w:style>
  <w:style w:type="paragraph" w:customStyle="1" w:styleId="Htableleft">
    <w:name w:val="H_table_left"/>
    <w:rsid w:val="00BD09F4"/>
    <w:pPr>
      <w:suppressAutoHyphens/>
      <w:spacing w:before="40" w:after="40"/>
    </w:pPr>
    <w:rPr>
      <w:rFonts w:ascii="Arial" w:hAnsi="Arial"/>
      <w:color w:val="373737" w:themeColor="text1"/>
      <w:sz w:val="18"/>
    </w:rPr>
  </w:style>
  <w:style w:type="paragraph" w:customStyle="1" w:styleId="Htablecentered">
    <w:name w:val="H_table_centered"/>
    <w:basedOn w:val="Htableleft"/>
    <w:rsid w:val="00EE61BF"/>
    <w:pPr>
      <w:jc w:val="center"/>
    </w:pPr>
  </w:style>
  <w:style w:type="paragraph" w:customStyle="1" w:styleId="Htableleftbolt">
    <w:name w:val="H_table_left_bolt"/>
    <w:basedOn w:val="Htableleft"/>
    <w:rsid w:val="00EE61BF"/>
    <w:rPr>
      <w:b/>
      <w:color w:val="FFFFFF" w:themeColor="background1"/>
    </w:rPr>
  </w:style>
  <w:style w:type="paragraph" w:customStyle="1" w:styleId="Htablecenteredbolt">
    <w:name w:val="H_table_centered_bolt"/>
    <w:basedOn w:val="Htablecentered"/>
    <w:rsid w:val="00BD09F4"/>
    <w:rPr>
      <w:b/>
      <w:color w:val="FFFFFF" w:themeColor="background1"/>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
    <w:uiPriority w:val="99"/>
    <w:qFormat/>
    <w:rsid w:val="000D3DB8"/>
    <w:pPr>
      <w:spacing w:line="180" w:lineRule="exact"/>
      <w:ind w:left="170" w:hanging="170"/>
      <w:jc w:val="both"/>
    </w:pPr>
    <w:rPr>
      <w:rFonts w:ascii="Arial" w:hAnsi="Arial"/>
      <w:color w:val="808080"/>
      <w:sz w:val="16"/>
    </w:rPr>
  </w:style>
  <w:style w:type="paragraph" w:customStyle="1" w:styleId="Htablebullet">
    <w:name w:val="H_table_bullet"/>
    <w:basedOn w:val="Htableleft"/>
    <w:rsid w:val="00BD09F4"/>
    <w:pPr>
      <w:numPr>
        <w:numId w:val="5"/>
      </w:numPr>
      <w:ind w:left="170" w:hanging="170"/>
    </w:p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rsid w:val="00364BFD"/>
    <w:rPr>
      <w:rFonts w:ascii="Arial" w:hAnsi="Arial"/>
      <w:i/>
      <w:dstrike w:val="0"/>
      <w:color w:val="373737" w:themeColor="text1"/>
      <w:position w:val="6"/>
      <w:sz w:val="12"/>
      <w:vertAlign w:val="baseline"/>
      <w:lang w:val="lv-LV"/>
    </w:rPr>
  </w:style>
  <w:style w:type="paragraph" w:customStyle="1" w:styleId="HContent">
    <w:name w:val="H_Content"/>
    <w:basedOn w:val="Heading1"/>
    <w:next w:val="HStandard"/>
    <w:rsid w:val="00364BFD"/>
    <w:pPr>
      <w:pageBreakBefore/>
      <w:framePr w:hSpace="0" w:vSpace="0" w:wrap="auto" w:vAnchor="margin" w:hAnchor="text" w:yAlign="inline"/>
      <w:numPr>
        <w:numId w:val="0"/>
      </w:numPr>
      <w:pBdr>
        <w:left w:val="none" w:sz="0" w:space="0" w:color="auto"/>
      </w:pBdr>
      <w:spacing w:before="360" w:after="360" w:line="280" w:lineRule="atLeast"/>
    </w:pPr>
    <w:rPr>
      <w:caps/>
      <w:color w:val="F07E31" w:themeColor="accent1"/>
      <w:sz w:val="20"/>
    </w:rPr>
  </w:style>
  <w:style w:type="paragraph" w:customStyle="1" w:styleId="HHeading1">
    <w:name w:val="H_Heading 1"/>
    <w:next w:val="HStandard"/>
    <w:rsid w:val="008D52EA"/>
    <w:pPr>
      <w:keepNext/>
      <w:keepLines/>
      <w:pageBreakBefore/>
      <w:numPr>
        <w:numId w:val="6"/>
      </w:numPr>
      <w:tabs>
        <w:tab w:val="left" w:pos="567"/>
      </w:tabs>
      <w:spacing w:before="360" w:after="360" w:line="280" w:lineRule="atLeast"/>
      <w:ind w:left="567" w:hanging="567"/>
      <w:outlineLvl w:val="0"/>
    </w:pPr>
    <w:rPr>
      <w:rFonts w:ascii="Arial" w:hAnsi="Arial"/>
      <w:b/>
      <w:caps/>
      <w:color w:val="F07E31" w:themeColor="accent1"/>
    </w:rPr>
  </w:style>
  <w:style w:type="paragraph" w:customStyle="1" w:styleId="HHeading2">
    <w:name w:val="H_Heading 2"/>
    <w:next w:val="HStandard"/>
    <w:rsid w:val="007B4B9E"/>
    <w:pPr>
      <w:keepNext/>
      <w:keepLines/>
      <w:numPr>
        <w:ilvl w:val="1"/>
        <w:numId w:val="6"/>
      </w:numPr>
      <w:tabs>
        <w:tab w:val="left" w:pos="567"/>
      </w:tabs>
      <w:spacing w:before="240" w:after="140" w:line="260" w:lineRule="exact"/>
      <w:ind w:left="567" w:hanging="567"/>
      <w:outlineLvl w:val="1"/>
    </w:pPr>
    <w:rPr>
      <w:rFonts w:ascii="Arial" w:hAnsi="Arial"/>
      <w:b/>
      <w:color w:val="373737" w:themeColor="text1"/>
    </w:rPr>
  </w:style>
  <w:style w:type="paragraph" w:customStyle="1" w:styleId="HHeading3">
    <w:name w:val="H_Heading 3"/>
    <w:next w:val="HStandard"/>
    <w:rsid w:val="00B63445"/>
    <w:pPr>
      <w:keepNext/>
      <w:keepLines/>
      <w:numPr>
        <w:ilvl w:val="2"/>
        <w:numId w:val="6"/>
      </w:numPr>
      <w:tabs>
        <w:tab w:val="clear" w:pos="1146"/>
        <w:tab w:val="num" w:pos="709"/>
      </w:tabs>
      <w:spacing w:before="240" w:after="140" w:line="240" w:lineRule="exact"/>
      <w:ind w:left="709" w:hanging="709"/>
      <w:outlineLvl w:val="2"/>
    </w:pPr>
    <w:rPr>
      <w:rFonts w:ascii="Arial" w:hAnsi="Arial"/>
      <w:color w:val="F07E31" w:themeColor="accent1"/>
    </w:rPr>
  </w:style>
  <w:style w:type="paragraph" w:customStyle="1" w:styleId="HHeading4">
    <w:name w:val="H_Heading 4"/>
    <w:next w:val="HStandard"/>
    <w:rsid w:val="00364BFD"/>
    <w:pPr>
      <w:keepNext/>
      <w:keepLines/>
      <w:tabs>
        <w:tab w:val="left" w:pos="680"/>
      </w:tabs>
      <w:spacing w:before="240" w:after="240" w:line="280" w:lineRule="atLeast"/>
      <w:outlineLvl w:val="3"/>
    </w:pPr>
    <w:rPr>
      <w:rFonts w:ascii="Arial" w:hAnsi="Arial"/>
      <w:b/>
      <w:color w:val="57825E" w:themeColor="accent4"/>
    </w:rPr>
  </w:style>
  <w:style w:type="character" w:styleId="Hyperlink">
    <w:name w:val="Hyperlink"/>
    <w:basedOn w:val="DefaultParagraphFont"/>
    <w:uiPriority w:val="99"/>
    <w:rsid w:val="00BD09F4"/>
    <w:rPr>
      <w:rFonts w:ascii="Arial" w:hAnsi="Arial"/>
      <w:color w:val="F07E31"/>
      <w:sz w:val="20"/>
      <w:u w:val="single"/>
      <w:lang w:val="lv-LV"/>
    </w:rPr>
  </w:style>
  <w:style w:type="paragraph" w:customStyle="1" w:styleId="HStandard">
    <w:name w:val="H_Standard"/>
    <w:link w:val="HStandardCar"/>
    <w:rsid w:val="00364BFD"/>
    <w:pPr>
      <w:spacing w:after="120" w:line="280" w:lineRule="atLeast"/>
      <w:jc w:val="both"/>
    </w:pPr>
    <w:rPr>
      <w:rFonts w:ascii="Arial" w:hAnsi="Arial"/>
      <w:color w:val="373737" w:themeColor="text1"/>
    </w:rPr>
  </w:style>
  <w:style w:type="paragraph" w:styleId="DocumentMap">
    <w:name w:val="Document Map"/>
    <w:basedOn w:val="Normal"/>
    <w:semiHidden/>
    <w:rsid w:val="00E465E1"/>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46410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10C"/>
    <w:rPr>
      <w:rFonts w:ascii="Tahoma" w:hAnsi="Tahoma" w:cs="Tahoma"/>
      <w:sz w:val="16"/>
      <w:szCs w:val="16"/>
      <w:lang w:val="lv-LV"/>
    </w:rPr>
  </w:style>
  <w:style w:type="table" w:styleId="TableGrid">
    <w:name w:val="Table Grid"/>
    <w:basedOn w:val="TableNormal"/>
    <w:uiPriority w:val="39"/>
    <w:rsid w:val="00756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BD09F4"/>
    <w:pPr>
      <w:numPr>
        <w:numId w:val="7"/>
      </w:numPr>
      <w:spacing w:before="200" w:after="140"/>
    </w:pPr>
    <w:rPr>
      <w:rFonts w:ascii="Arial" w:hAnsi="Arial"/>
      <w:b/>
      <w:color w:val="373737" w:themeColor="text1"/>
      <w:sz w:val="16"/>
    </w:rPr>
  </w:style>
  <w:style w:type="paragraph" w:customStyle="1" w:styleId="HHeadingfigures">
    <w:name w:val="H_Heading_figures"/>
    <w:basedOn w:val="HHeadingtables"/>
    <w:next w:val="HStandard"/>
    <w:qFormat/>
    <w:rsid w:val="00E52947"/>
    <w:pPr>
      <w:keepNext/>
      <w:keepLines/>
      <w:numPr>
        <w:numId w:val="22"/>
      </w:numPr>
      <w:spacing w:before="240"/>
    </w:pPr>
  </w:style>
  <w:style w:type="paragraph" w:customStyle="1" w:styleId="HHeadingmaps">
    <w:name w:val="H_Heading_maps"/>
    <w:basedOn w:val="HHeadingtables"/>
    <w:next w:val="HStandard"/>
    <w:qFormat/>
    <w:rsid w:val="005B4B85"/>
    <w:pPr>
      <w:keepNext/>
      <w:keepLines/>
      <w:numPr>
        <w:numId w:val="9"/>
      </w:numPr>
      <w:outlineLvl w:val="5"/>
    </w:pPr>
  </w:style>
  <w:style w:type="paragraph" w:customStyle="1" w:styleId="HHeadingboxes">
    <w:name w:val="H_Heading_boxes"/>
    <w:basedOn w:val="HHeadingtables"/>
    <w:next w:val="HStandard"/>
    <w:qFormat/>
    <w:rsid w:val="00BD09F4"/>
    <w:pPr>
      <w:numPr>
        <w:numId w:val="10"/>
      </w:numPr>
      <w:ind w:left="851" w:hanging="851"/>
    </w:pPr>
  </w:style>
  <w:style w:type="paragraph" w:customStyle="1" w:styleId="HBox">
    <w:name w:val="H_Box"/>
    <w:next w:val="HStandard"/>
    <w:qFormat/>
    <w:rsid w:val="00BD09F4"/>
    <w:pPr>
      <w:pBdr>
        <w:top w:val="single" w:sz="4" w:space="4" w:color="F07E31"/>
        <w:left w:val="single" w:sz="4" w:space="4" w:color="F07E31"/>
        <w:bottom w:val="single" w:sz="4" w:space="4" w:color="F07E31"/>
        <w:right w:val="single" w:sz="4" w:space="4" w:color="F07E31"/>
      </w:pBdr>
      <w:shd w:val="clear" w:color="auto" w:fill="FCE5D5"/>
      <w:jc w:val="both"/>
    </w:pPr>
    <w:rPr>
      <w:rFonts w:ascii="Arial" w:hAnsi="Arial"/>
      <w:color w:val="373737" w:themeColor="text1"/>
    </w:rPr>
  </w:style>
  <w:style w:type="paragraph" w:customStyle="1" w:styleId="HBoxbullet">
    <w:name w:val="H_Box_bullet"/>
    <w:next w:val="HStandard"/>
    <w:qFormat/>
    <w:rsid w:val="00BD09F4"/>
    <w:pPr>
      <w:numPr>
        <w:numId w:val="11"/>
      </w:numPr>
      <w:pBdr>
        <w:top w:val="single" w:sz="4" w:space="4" w:color="F07E31"/>
        <w:left w:val="single" w:sz="4" w:space="8" w:color="F07E31"/>
        <w:bottom w:val="single" w:sz="4" w:space="4" w:color="F07E31"/>
        <w:right w:val="single" w:sz="4" w:space="4" w:color="F07E31"/>
      </w:pBdr>
      <w:shd w:val="clear" w:color="auto" w:fill="FCE5D5" w:themeFill="accent1" w:themeFillTint="33"/>
      <w:ind w:left="363" w:hanging="284"/>
      <w:jc w:val="both"/>
    </w:pPr>
    <w:rPr>
      <w:rFonts w:ascii="Arial" w:hAnsi="Arial"/>
      <w:color w:val="373737" w:themeColor="text1"/>
    </w:rPr>
  </w:style>
  <w:style w:type="paragraph" w:customStyle="1" w:styleId="Hdisclaimer">
    <w:name w:val="H_disclaimer"/>
    <w:qFormat/>
    <w:rsid w:val="00364BFD"/>
    <w:pPr>
      <w:spacing w:after="120" w:line="280" w:lineRule="atLeast"/>
      <w:jc w:val="both"/>
    </w:pPr>
    <w:rPr>
      <w:rFonts w:ascii="Arial" w:hAnsi="Arial" w:cs="Arial"/>
      <w:color w:val="373737" w:themeColor="text1"/>
      <w:sz w:val="18"/>
      <w:szCs w:val="18"/>
    </w:rPr>
  </w:style>
  <w:style w:type="paragraph" w:styleId="EndnoteText">
    <w:name w:val="endnote text"/>
    <w:basedOn w:val="Normal"/>
    <w:link w:val="EndnoteTextChar"/>
    <w:uiPriority w:val="99"/>
    <w:semiHidden/>
    <w:unhideWhenUsed/>
    <w:rsid w:val="00F15219"/>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F15219"/>
    <w:rPr>
      <w:rFonts w:ascii="Arial" w:hAnsi="Arial"/>
      <w:lang w:val="lv-LV"/>
    </w:rPr>
  </w:style>
  <w:style w:type="character" w:styleId="EndnoteReference">
    <w:name w:val="endnote reference"/>
    <w:basedOn w:val="DefaultParagraphFont"/>
    <w:uiPriority w:val="99"/>
    <w:semiHidden/>
    <w:unhideWhenUsed/>
    <w:rsid w:val="00F15219"/>
    <w:rPr>
      <w:vertAlign w:val="superscript"/>
    </w:rPr>
  </w:style>
  <w:style w:type="character" w:styleId="CommentReference">
    <w:name w:val="annotation reference"/>
    <w:basedOn w:val="DefaultParagraphFont"/>
    <w:uiPriority w:val="99"/>
    <w:semiHidden/>
    <w:unhideWhenUsed/>
    <w:rsid w:val="006C1066"/>
    <w:rPr>
      <w:sz w:val="16"/>
      <w:szCs w:val="16"/>
    </w:rPr>
  </w:style>
  <w:style w:type="paragraph" w:styleId="CommentText">
    <w:name w:val="annotation text"/>
    <w:basedOn w:val="Normal"/>
    <w:link w:val="CommentTextChar"/>
    <w:uiPriority w:val="99"/>
    <w:unhideWhenUsed/>
    <w:rsid w:val="006C1066"/>
    <w:pPr>
      <w:spacing w:line="240" w:lineRule="auto"/>
    </w:pPr>
    <w:rPr>
      <w:sz w:val="20"/>
      <w:szCs w:val="20"/>
    </w:rPr>
  </w:style>
  <w:style w:type="character" w:customStyle="1" w:styleId="CommentTextChar">
    <w:name w:val="Comment Text Char"/>
    <w:basedOn w:val="DefaultParagraphFont"/>
    <w:link w:val="CommentText"/>
    <w:uiPriority w:val="99"/>
    <w:rsid w:val="006C1066"/>
    <w:rPr>
      <w:rFonts w:ascii="Arial" w:hAnsi="Arial"/>
      <w:lang w:val="lv-LV"/>
    </w:rPr>
  </w:style>
  <w:style w:type="paragraph" w:styleId="CommentSubject">
    <w:name w:val="annotation subject"/>
    <w:basedOn w:val="CommentText"/>
    <w:next w:val="CommentText"/>
    <w:link w:val="CommentSubjectChar"/>
    <w:uiPriority w:val="99"/>
    <w:semiHidden/>
    <w:unhideWhenUsed/>
    <w:rsid w:val="006C1066"/>
    <w:rPr>
      <w:b/>
      <w:bCs/>
    </w:rPr>
  </w:style>
  <w:style w:type="character" w:customStyle="1" w:styleId="CommentSubjectChar">
    <w:name w:val="Comment Subject Char"/>
    <w:basedOn w:val="CommentTextChar"/>
    <w:link w:val="CommentSubject"/>
    <w:uiPriority w:val="99"/>
    <w:semiHidden/>
    <w:rsid w:val="006C1066"/>
    <w:rPr>
      <w:rFonts w:ascii="Arial" w:hAnsi="Arial"/>
      <w:b/>
      <w:bCs/>
      <w:lang w:val="lv-LV"/>
    </w:rPr>
  </w:style>
  <w:style w:type="paragraph" w:styleId="ListParagraph">
    <w:name w:val="List Paragraph"/>
    <w:basedOn w:val="Normal"/>
    <w:uiPriority w:val="34"/>
    <w:qFormat/>
    <w:rsid w:val="00CD63F6"/>
    <w:pPr>
      <w:spacing w:before="0" w:after="160" w:line="259" w:lineRule="auto"/>
      <w:ind w:left="720"/>
      <w:contextualSpacing/>
      <w:jc w:val="left"/>
    </w:pPr>
    <w:rPr>
      <w:rFonts w:asciiTheme="minorHAnsi" w:eastAsiaTheme="minorHAnsi" w:hAnsiTheme="minorHAnsi" w:cstheme="minorBidi"/>
      <w:sz w:val="22"/>
      <w:szCs w:val="22"/>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ft2 Char"/>
    <w:basedOn w:val="DefaultParagraphFont"/>
    <w:link w:val="FootnoteText"/>
    <w:uiPriority w:val="99"/>
    <w:rsid w:val="000D3DB8"/>
    <w:rPr>
      <w:rFonts w:ascii="Arial" w:hAnsi="Arial"/>
      <w:color w:val="808080"/>
      <w:sz w:val="16"/>
      <w:lang w:val="lv-LV"/>
    </w:rPr>
  </w:style>
  <w:style w:type="paragraph" w:styleId="Title">
    <w:name w:val="Title"/>
    <w:basedOn w:val="Normal"/>
    <w:next w:val="Normal"/>
    <w:link w:val="TitleChar"/>
    <w:uiPriority w:val="10"/>
    <w:qFormat/>
    <w:rsid w:val="00CD63F6"/>
    <w:pPr>
      <w:spacing w:before="0" w:after="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63F6"/>
    <w:rPr>
      <w:rFonts w:asciiTheme="majorHAnsi" w:eastAsiaTheme="majorEastAsia" w:hAnsiTheme="majorHAnsi" w:cstheme="majorBidi"/>
      <w:spacing w:val="-10"/>
      <w:kern w:val="28"/>
      <w:sz w:val="56"/>
      <w:szCs w:val="56"/>
      <w:lang w:val="lv-LV" w:eastAsia="lv-LV"/>
    </w:rPr>
  </w:style>
  <w:style w:type="paragraph" w:customStyle="1" w:styleId="CM1">
    <w:name w:val="CM1"/>
    <w:basedOn w:val="Normal"/>
    <w:next w:val="Normal"/>
    <w:uiPriority w:val="99"/>
    <w:rsid w:val="001C2076"/>
    <w:pPr>
      <w:autoSpaceDE w:val="0"/>
      <w:autoSpaceDN w:val="0"/>
      <w:adjustRightInd w:val="0"/>
      <w:spacing w:before="0" w:after="0" w:line="240" w:lineRule="auto"/>
      <w:jc w:val="left"/>
    </w:pPr>
    <w:rPr>
      <w:rFonts w:ascii="EUAlbertina" w:eastAsiaTheme="minorHAnsi" w:hAnsi="EUAlbertina" w:cstheme="minorBidi"/>
      <w:sz w:val="24"/>
    </w:rPr>
  </w:style>
  <w:style w:type="paragraph" w:styleId="Caption">
    <w:name w:val="caption"/>
    <w:basedOn w:val="Normal"/>
    <w:next w:val="Normal"/>
    <w:uiPriority w:val="35"/>
    <w:unhideWhenUsed/>
    <w:qFormat/>
    <w:rsid w:val="001C2076"/>
    <w:pPr>
      <w:spacing w:before="0" w:after="200" w:line="240" w:lineRule="auto"/>
      <w:jc w:val="left"/>
    </w:pPr>
    <w:rPr>
      <w:rFonts w:asciiTheme="minorHAnsi" w:eastAsiaTheme="minorHAnsi" w:hAnsiTheme="minorHAnsi" w:cstheme="minorBidi"/>
      <w:i/>
      <w:iCs/>
      <w:color w:val="373737" w:themeColor="text2"/>
      <w:szCs w:val="18"/>
    </w:rPr>
  </w:style>
  <w:style w:type="table" w:customStyle="1" w:styleId="Tabukasmriekou5tmavzvraznenie61">
    <w:name w:val="Tabuľka s mriežkou 5 – tmavá – zvýraznenie 61"/>
    <w:basedOn w:val="TableNormal"/>
    <w:uiPriority w:val="50"/>
    <w:rsid w:val="00932C3E"/>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E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BAB8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BAB8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BAB8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BAB80" w:themeFill="accent6"/>
      </w:tcPr>
    </w:tblStylePr>
    <w:tblStylePr w:type="band1Vert">
      <w:tblPr/>
      <w:tcPr>
        <w:shd w:val="clear" w:color="auto" w:fill="D0DDCC" w:themeFill="accent6" w:themeFillTint="66"/>
      </w:tcPr>
    </w:tblStylePr>
    <w:tblStylePr w:type="band1Horz">
      <w:tblPr/>
      <w:tcPr>
        <w:shd w:val="clear" w:color="auto" w:fill="D0DDCC" w:themeFill="accent6" w:themeFillTint="66"/>
      </w:tcPr>
    </w:tblStylePr>
  </w:style>
  <w:style w:type="character" w:customStyle="1" w:styleId="FooterChar">
    <w:name w:val="Footer Char"/>
    <w:basedOn w:val="DefaultParagraphFont"/>
    <w:link w:val="Footer"/>
    <w:uiPriority w:val="99"/>
    <w:rsid w:val="00D52AFB"/>
    <w:rPr>
      <w:rFonts w:ascii="Arial" w:hAnsi="Arial"/>
      <w:color w:val="373737"/>
      <w:sz w:val="22"/>
      <w:lang w:val="lv-LV"/>
    </w:rPr>
  </w:style>
  <w:style w:type="paragraph" w:styleId="Revision">
    <w:name w:val="Revision"/>
    <w:hidden/>
    <w:uiPriority w:val="99"/>
    <w:semiHidden/>
    <w:rsid w:val="003B25C7"/>
    <w:rPr>
      <w:rFonts w:ascii="Arial" w:hAnsi="Arial"/>
      <w:sz w:val="18"/>
      <w:szCs w:val="24"/>
    </w:rPr>
  </w:style>
  <w:style w:type="paragraph" w:customStyle="1" w:styleId="Pavpage3">
    <w:name w:val="Pavé page 3"/>
    <w:basedOn w:val="Normal"/>
    <w:qFormat/>
    <w:rsid w:val="003C228A"/>
    <w:pPr>
      <w:spacing w:before="0" w:after="120" w:line="280" w:lineRule="atLeast"/>
      <w:jc w:val="left"/>
    </w:pPr>
    <w:rPr>
      <w:rFonts w:ascii="Helvetica" w:hAnsi="Helvetica" w:cs="Arial"/>
      <w:smallCaps/>
      <w:color w:val="DF6532"/>
      <w:sz w:val="44"/>
      <w:szCs w:val="44"/>
    </w:rPr>
  </w:style>
  <w:style w:type="character" w:styleId="FollowedHyperlink">
    <w:name w:val="FollowedHyperlink"/>
    <w:basedOn w:val="DefaultParagraphFont"/>
    <w:uiPriority w:val="99"/>
    <w:semiHidden/>
    <w:unhideWhenUsed/>
    <w:rsid w:val="00810ED5"/>
    <w:rPr>
      <w:color w:val="F07E31" w:themeColor="followedHyperlink"/>
      <w:u w:val="single"/>
    </w:rPr>
  </w:style>
  <w:style w:type="character" w:customStyle="1" w:styleId="shorttext">
    <w:name w:val="short_text"/>
    <w:basedOn w:val="DefaultParagraphFont"/>
    <w:rsid w:val="00190D63"/>
  </w:style>
  <w:style w:type="character" w:styleId="Emphasis">
    <w:name w:val="Emphasis"/>
    <w:basedOn w:val="DefaultParagraphFont"/>
    <w:uiPriority w:val="20"/>
    <w:qFormat/>
    <w:rsid w:val="00744BAA"/>
    <w:rPr>
      <w:i/>
      <w:iCs/>
    </w:rPr>
  </w:style>
  <w:style w:type="paragraph" w:styleId="HTMLPreformatted">
    <w:name w:val="HTML Preformatted"/>
    <w:basedOn w:val="Normal"/>
    <w:link w:val="HTMLPreformattedChar"/>
    <w:uiPriority w:val="99"/>
    <w:semiHidden/>
    <w:unhideWhenUsed/>
    <w:rsid w:val="00C36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36C67"/>
    <w:rPr>
      <w:rFonts w:ascii="Courier New" w:hAnsi="Courier New" w:cs="Courier New"/>
      <w:lang w:val="lv-LV" w:eastAsia="lv-LV"/>
    </w:rPr>
  </w:style>
  <w:style w:type="character" w:customStyle="1" w:styleId="NichtaufgelsteErwhnung1">
    <w:name w:val="Nicht aufgelöste Erwähnung1"/>
    <w:basedOn w:val="DefaultParagraphFont"/>
    <w:uiPriority w:val="99"/>
    <w:semiHidden/>
    <w:unhideWhenUsed/>
    <w:rsid w:val="005B75BD"/>
    <w:rPr>
      <w:color w:val="808080"/>
      <w:shd w:val="clear" w:color="auto" w:fill="E6E6E6"/>
    </w:rPr>
  </w:style>
  <w:style w:type="character" w:customStyle="1" w:styleId="UnresolvedMention1">
    <w:name w:val="Unresolved Mention1"/>
    <w:basedOn w:val="DefaultParagraphFont"/>
    <w:uiPriority w:val="99"/>
    <w:semiHidden/>
    <w:unhideWhenUsed/>
    <w:rsid w:val="001D32F7"/>
    <w:rPr>
      <w:color w:val="808080"/>
      <w:shd w:val="clear" w:color="auto" w:fill="E6E6E6"/>
    </w:rPr>
  </w:style>
  <w:style w:type="paragraph" w:customStyle="1" w:styleId="Normal12PTcouleurgris">
    <w:name w:val="Normal + 12PT couleur gris"/>
    <w:basedOn w:val="Normal"/>
    <w:qFormat/>
    <w:rsid w:val="00041A27"/>
    <w:pPr>
      <w:spacing w:before="0" w:after="0" w:line="259" w:lineRule="auto"/>
    </w:pPr>
    <w:rPr>
      <w:rFonts w:eastAsiaTheme="minorHAnsi" w:cs="Arial"/>
      <w:color w:val="6F6F6F"/>
      <w:sz w:val="24"/>
      <w:szCs w:val="18"/>
    </w:rPr>
  </w:style>
  <w:style w:type="table" w:customStyle="1" w:styleId="11">
    <w:name w:val="Πίνακας 1 με ανοιχτόχρωμο πλέγμα1"/>
    <w:basedOn w:val="TableNormal"/>
    <w:uiPriority w:val="46"/>
    <w:rsid w:val="00C1242D"/>
    <w:tblPr>
      <w:tblStyleRowBandSize w:val="1"/>
      <w:tblStyleColBandSize w:val="1"/>
      <w:tblBorders>
        <w:top w:val="single" w:sz="4" w:space="0" w:color="AFAFAF" w:themeColor="text1" w:themeTint="66"/>
        <w:left w:val="single" w:sz="4" w:space="0" w:color="AFAFAF" w:themeColor="text1" w:themeTint="66"/>
        <w:bottom w:val="single" w:sz="4" w:space="0" w:color="AFAFAF" w:themeColor="text1" w:themeTint="66"/>
        <w:right w:val="single" w:sz="4" w:space="0" w:color="AFAFAF" w:themeColor="text1" w:themeTint="66"/>
        <w:insideH w:val="single" w:sz="4" w:space="0" w:color="AFAFAF" w:themeColor="text1" w:themeTint="66"/>
        <w:insideV w:val="single" w:sz="4" w:space="0" w:color="AFAFAF" w:themeColor="text1" w:themeTint="66"/>
      </w:tblBorders>
    </w:tblPr>
    <w:tblStylePr w:type="firstRow">
      <w:rPr>
        <w:b/>
        <w:bCs/>
      </w:rPr>
      <w:tblPr/>
      <w:tcPr>
        <w:tcBorders>
          <w:bottom w:val="single" w:sz="12" w:space="0" w:color="878787" w:themeColor="text1" w:themeTint="99"/>
        </w:tcBorders>
      </w:tcPr>
    </w:tblStylePr>
    <w:tblStylePr w:type="lastRow">
      <w:rPr>
        <w:b/>
        <w:bCs/>
      </w:rPr>
      <w:tblPr/>
      <w:tcPr>
        <w:tcBorders>
          <w:top w:val="double" w:sz="2" w:space="0" w:color="878787" w:themeColor="text1" w:themeTint="99"/>
        </w:tcBorders>
      </w:tcPr>
    </w:tblStylePr>
    <w:tblStylePr w:type="firstCol">
      <w:rPr>
        <w:b/>
        <w:bCs/>
      </w:rPr>
    </w:tblStylePr>
    <w:tblStylePr w:type="lastCol">
      <w:rPr>
        <w:b/>
        <w:bCs/>
      </w:rPr>
    </w:tblStylePr>
  </w:style>
  <w:style w:type="numbering" w:customStyle="1" w:styleId="1">
    <w:name w:val="Στυλ1"/>
    <w:uiPriority w:val="99"/>
    <w:rsid w:val="00801FF1"/>
    <w:pPr>
      <w:numPr>
        <w:numId w:val="15"/>
      </w:numPr>
    </w:pPr>
  </w:style>
  <w:style w:type="table" w:customStyle="1" w:styleId="Tabukasmriekou1svetl1">
    <w:name w:val="Tabuľka s mriežkou 1 – svetlá1"/>
    <w:basedOn w:val="TableNormal"/>
    <w:uiPriority w:val="46"/>
    <w:rsid w:val="00B25279"/>
    <w:tblPr>
      <w:tblStyleRowBandSize w:val="1"/>
      <w:tblStyleColBandSize w:val="1"/>
      <w:tblBorders>
        <w:top w:val="single" w:sz="4" w:space="0" w:color="AFAFAF" w:themeColor="text1" w:themeTint="66"/>
        <w:left w:val="single" w:sz="4" w:space="0" w:color="AFAFAF" w:themeColor="text1" w:themeTint="66"/>
        <w:bottom w:val="single" w:sz="4" w:space="0" w:color="AFAFAF" w:themeColor="text1" w:themeTint="66"/>
        <w:right w:val="single" w:sz="4" w:space="0" w:color="AFAFAF" w:themeColor="text1" w:themeTint="66"/>
        <w:insideH w:val="single" w:sz="4" w:space="0" w:color="AFAFAF" w:themeColor="text1" w:themeTint="66"/>
        <w:insideV w:val="single" w:sz="4" w:space="0" w:color="AFAFAF" w:themeColor="text1" w:themeTint="66"/>
      </w:tblBorders>
    </w:tblPr>
    <w:tblStylePr w:type="firstRow">
      <w:rPr>
        <w:b/>
        <w:bCs/>
      </w:rPr>
      <w:tblPr/>
      <w:tcPr>
        <w:tcBorders>
          <w:bottom w:val="single" w:sz="12" w:space="0" w:color="878787" w:themeColor="text1" w:themeTint="99"/>
        </w:tcBorders>
      </w:tcPr>
    </w:tblStylePr>
    <w:tblStylePr w:type="lastRow">
      <w:rPr>
        <w:b/>
        <w:bCs/>
      </w:rPr>
      <w:tblPr/>
      <w:tcPr>
        <w:tcBorders>
          <w:top w:val="double" w:sz="2" w:space="0" w:color="878787" w:themeColor="text1" w:themeTint="99"/>
        </w:tcBorders>
      </w:tcPr>
    </w:tblStylePr>
    <w:tblStylePr w:type="firstCol">
      <w:rPr>
        <w:b/>
        <w:bCs/>
      </w:rPr>
    </w:tblStylePr>
    <w:tblStylePr w:type="lastCol">
      <w:rPr>
        <w:b/>
        <w:bCs/>
      </w:rPr>
    </w:tblStylePr>
  </w:style>
  <w:style w:type="paragraph" w:customStyle="1" w:styleId="H-Titre2">
    <w:name w:val="H-Titre 2"/>
    <w:basedOn w:val="Normal"/>
    <w:qFormat/>
    <w:rsid w:val="0004609A"/>
    <w:pPr>
      <w:spacing w:before="0" w:after="120" w:line="280" w:lineRule="atLeast"/>
      <w:jc w:val="left"/>
    </w:pPr>
    <w:rPr>
      <w:rFonts w:cs="Arial"/>
      <w:b/>
      <w:bCs/>
      <w:color w:val="FFFFFF" w:themeColor="background2"/>
      <w:szCs w:val="44"/>
    </w:rPr>
  </w:style>
  <w:style w:type="paragraph" w:customStyle="1" w:styleId="H-Titre1">
    <w:name w:val="H-Titre 1"/>
    <w:basedOn w:val="Normal"/>
    <w:qFormat/>
    <w:rsid w:val="00BC03B8"/>
    <w:pPr>
      <w:spacing w:before="0" w:after="120" w:line="280" w:lineRule="atLeast"/>
      <w:jc w:val="left"/>
    </w:pPr>
    <w:rPr>
      <w:rFonts w:cs="Arial"/>
      <w:b/>
      <w:color w:val="373737" w:themeColor="text1"/>
      <w:szCs w:val="60"/>
    </w:rPr>
  </w:style>
  <w:style w:type="paragraph" w:styleId="NormalWeb">
    <w:name w:val="Normal (Web)"/>
    <w:basedOn w:val="Normal"/>
    <w:uiPriority w:val="99"/>
    <w:unhideWhenUsed/>
    <w:rsid w:val="00BB68D4"/>
    <w:pPr>
      <w:spacing w:before="100" w:beforeAutospacing="1" w:after="100" w:afterAutospacing="1" w:line="240" w:lineRule="auto"/>
      <w:jc w:val="left"/>
    </w:pPr>
    <w:rPr>
      <w:rFonts w:ascii="Times New Roman" w:eastAsiaTheme="minorHAnsi" w:hAnsi="Times New Roman"/>
      <w:sz w:val="24"/>
    </w:rPr>
  </w:style>
  <w:style w:type="paragraph" w:styleId="Subtitle">
    <w:name w:val="Subtitle"/>
    <w:basedOn w:val="Normal"/>
    <w:link w:val="SubtitleChar"/>
    <w:uiPriority w:val="11"/>
    <w:qFormat/>
    <w:rsid w:val="00C008A4"/>
    <w:pPr>
      <w:numPr>
        <w:numId w:val="19"/>
      </w:numPr>
      <w:spacing w:before="120" w:after="120" w:line="280" w:lineRule="atLeast"/>
      <w:outlineLvl w:val="1"/>
    </w:pPr>
    <w:rPr>
      <w:b/>
      <w:sz w:val="16"/>
      <w:szCs w:val="16"/>
    </w:rPr>
  </w:style>
  <w:style w:type="character" w:customStyle="1" w:styleId="SubtitleChar">
    <w:name w:val="Subtitle Char"/>
    <w:basedOn w:val="DefaultParagraphFont"/>
    <w:link w:val="Subtitle"/>
    <w:uiPriority w:val="11"/>
    <w:rsid w:val="00C008A4"/>
    <w:rPr>
      <w:rFonts w:ascii="Arial" w:hAnsi="Arial"/>
      <w:b/>
      <w:sz w:val="16"/>
      <w:szCs w:val="16"/>
      <w:lang w:val="lv-LV"/>
    </w:rPr>
  </w:style>
  <w:style w:type="character" w:customStyle="1" w:styleId="Heading4Char2Char1">
    <w:name w:val="Heading 4 Char2 Char1"/>
    <w:basedOn w:val="DefaultParagraphFont"/>
    <w:uiPriority w:val="99"/>
    <w:rsid w:val="00123367"/>
    <w:rPr>
      <w:rFonts w:ascii="Arial" w:hAnsi="Arial"/>
      <w:i/>
      <w:dstrike w:val="0"/>
      <w:color w:val="373737"/>
      <w:position w:val="6"/>
      <w:sz w:val="12"/>
      <w:vertAlign w:val="baseline"/>
      <w:lang w:val="lv-LV"/>
    </w:rPr>
  </w:style>
  <w:style w:type="character" w:styleId="Strong">
    <w:name w:val="Strong"/>
    <w:basedOn w:val="DefaultParagraphFont"/>
    <w:uiPriority w:val="22"/>
    <w:qFormat/>
    <w:rsid w:val="00753F39"/>
    <w:rPr>
      <w:b/>
      <w:bCs/>
    </w:rPr>
  </w:style>
  <w:style w:type="table" w:customStyle="1" w:styleId="Mriekatabuky1">
    <w:name w:val="Mriežka tabuľky1"/>
    <w:basedOn w:val="TableNormal"/>
    <w:next w:val="TableGrid"/>
    <w:uiPriority w:val="39"/>
    <w:rsid w:val="00D12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TableNormal"/>
    <w:next w:val="TableGrid"/>
    <w:uiPriority w:val="39"/>
    <w:rsid w:val="009B2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TableNormal"/>
    <w:next w:val="TableGrid"/>
    <w:uiPriority w:val="39"/>
    <w:rsid w:val="00676E1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
    <w:name w:val="Mriežka tabuľky4"/>
    <w:basedOn w:val="TableNormal"/>
    <w:next w:val="TableGrid"/>
    <w:uiPriority w:val="39"/>
    <w:rsid w:val="00546E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2">
    <w:name w:val="Nicht aufgelöste Erwähnung2"/>
    <w:basedOn w:val="DefaultParagraphFont"/>
    <w:uiPriority w:val="99"/>
    <w:semiHidden/>
    <w:unhideWhenUsed/>
    <w:rsid w:val="00E828C2"/>
    <w:rPr>
      <w:color w:val="808080"/>
      <w:shd w:val="clear" w:color="auto" w:fill="E6E6E6"/>
    </w:rPr>
  </w:style>
  <w:style w:type="table" w:customStyle="1" w:styleId="Tabukasmriekou5tmavzvraznenie11">
    <w:name w:val="Tabuľka s mriežkou 5 – tmavá – zvýraznenie 11"/>
    <w:basedOn w:val="TableNormal"/>
    <w:uiPriority w:val="50"/>
    <w:rsid w:val="0036599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5D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E3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E3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E3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E31" w:themeFill="accent1"/>
      </w:tcPr>
    </w:tblStylePr>
    <w:tblStylePr w:type="band1Vert">
      <w:tblPr/>
      <w:tcPr>
        <w:shd w:val="clear" w:color="auto" w:fill="F9CBAC" w:themeFill="accent1" w:themeFillTint="66"/>
      </w:tcPr>
    </w:tblStylePr>
    <w:tblStylePr w:type="band1Horz">
      <w:tblPr/>
      <w:tcPr>
        <w:shd w:val="clear" w:color="auto" w:fill="F9CBAC" w:themeFill="accent1" w:themeFillTint="66"/>
      </w:tcPr>
    </w:tblStylePr>
  </w:style>
  <w:style w:type="character" w:styleId="PlaceholderText">
    <w:name w:val="Placeholder Text"/>
    <w:basedOn w:val="DefaultParagraphFont"/>
    <w:uiPriority w:val="99"/>
    <w:semiHidden/>
    <w:rsid w:val="00C2385E"/>
    <w:rPr>
      <w:color w:val="808080"/>
    </w:rPr>
  </w:style>
  <w:style w:type="character" w:customStyle="1" w:styleId="NichtaufgelsteErwhnung3">
    <w:name w:val="Nicht aufgelöste Erwähnung3"/>
    <w:basedOn w:val="DefaultParagraphFont"/>
    <w:uiPriority w:val="99"/>
    <w:semiHidden/>
    <w:unhideWhenUsed/>
    <w:rsid w:val="00F83CA0"/>
    <w:rPr>
      <w:color w:val="808080"/>
      <w:shd w:val="clear" w:color="auto" w:fill="E6E6E6"/>
    </w:rPr>
  </w:style>
  <w:style w:type="character" w:customStyle="1" w:styleId="NichtaufgelsteErwhnung4">
    <w:name w:val="Nicht aufgelöste Erwähnung4"/>
    <w:basedOn w:val="DefaultParagraphFont"/>
    <w:uiPriority w:val="99"/>
    <w:semiHidden/>
    <w:unhideWhenUsed/>
    <w:rsid w:val="00CD220A"/>
    <w:rPr>
      <w:color w:val="808080"/>
      <w:shd w:val="clear" w:color="auto" w:fill="E6E6E6"/>
    </w:rPr>
  </w:style>
  <w:style w:type="character" w:customStyle="1" w:styleId="HStandardCar">
    <w:name w:val="H_Standard Car"/>
    <w:basedOn w:val="DefaultParagraphFont"/>
    <w:link w:val="HStandard"/>
    <w:rsid w:val="00BB6B80"/>
    <w:rPr>
      <w:rFonts w:ascii="Arial" w:hAnsi="Arial"/>
      <w:color w:val="373737" w:themeColor="text1"/>
      <w:lang w:val="lv-LV"/>
    </w:rPr>
  </w:style>
  <w:style w:type="character" w:customStyle="1" w:styleId="UnresolvedMention2">
    <w:name w:val="Unresolved Mention2"/>
    <w:basedOn w:val="DefaultParagraphFont"/>
    <w:uiPriority w:val="99"/>
    <w:semiHidden/>
    <w:unhideWhenUsed/>
    <w:rsid w:val="00B508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125483">
      <w:bodyDiv w:val="1"/>
      <w:marLeft w:val="0"/>
      <w:marRight w:val="0"/>
      <w:marTop w:val="0"/>
      <w:marBottom w:val="0"/>
      <w:divBdr>
        <w:top w:val="none" w:sz="0" w:space="0" w:color="auto"/>
        <w:left w:val="none" w:sz="0" w:space="0" w:color="auto"/>
        <w:bottom w:val="none" w:sz="0" w:space="0" w:color="auto"/>
        <w:right w:val="none" w:sz="0" w:space="0" w:color="auto"/>
      </w:divBdr>
    </w:div>
    <w:div w:id="293565826">
      <w:bodyDiv w:val="1"/>
      <w:marLeft w:val="0"/>
      <w:marRight w:val="0"/>
      <w:marTop w:val="0"/>
      <w:marBottom w:val="0"/>
      <w:divBdr>
        <w:top w:val="none" w:sz="0" w:space="0" w:color="auto"/>
        <w:left w:val="none" w:sz="0" w:space="0" w:color="auto"/>
        <w:bottom w:val="none" w:sz="0" w:space="0" w:color="auto"/>
        <w:right w:val="none" w:sz="0" w:space="0" w:color="auto"/>
      </w:divBdr>
    </w:div>
    <w:div w:id="419108821">
      <w:bodyDiv w:val="1"/>
      <w:marLeft w:val="0"/>
      <w:marRight w:val="0"/>
      <w:marTop w:val="0"/>
      <w:marBottom w:val="0"/>
      <w:divBdr>
        <w:top w:val="none" w:sz="0" w:space="0" w:color="auto"/>
        <w:left w:val="none" w:sz="0" w:space="0" w:color="auto"/>
        <w:bottom w:val="none" w:sz="0" w:space="0" w:color="auto"/>
        <w:right w:val="none" w:sz="0" w:space="0" w:color="auto"/>
      </w:divBdr>
    </w:div>
    <w:div w:id="561716645">
      <w:bodyDiv w:val="1"/>
      <w:marLeft w:val="0"/>
      <w:marRight w:val="0"/>
      <w:marTop w:val="0"/>
      <w:marBottom w:val="0"/>
      <w:divBdr>
        <w:top w:val="none" w:sz="0" w:space="0" w:color="auto"/>
        <w:left w:val="none" w:sz="0" w:space="0" w:color="auto"/>
        <w:bottom w:val="none" w:sz="0" w:space="0" w:color="auto"/>
        <w:right w:val="none" w:sz="0" w:space="0" w:color="auto"/>
      </w:divBdr>
    </w:div>
    <w:div w:id="690491209">
      <w:bodyDiv w:val="1"/>
      <w:marLeft w:val="0"/>
      <w:marRight w:val="0"/>
      <w:marTop w:val="0"/>
      <w:marBottom w:val="0"/>
      <w:divBdr>
        <w:top w:val="none" w:sz="0" w:space="0" w:color="auto"/>
        <w:left w:val="none" w:sz="0" w:space="0" w:color="auto"/>
        <w:bottom w:val="none" w:sz="0" w:space="0" w:color="auto"/>
        <w:right w:val="none" w:sz="0" w:space="0" w:color="auto"/>
      </w:divBdr>
    </w:div>
    <w:div w:id="742029641">
      <w:bodyDiv w:val="1"/>
      <w:marLeft w:val="0"/>
      <w:marRight w:val="0"/>
      <w:marTop w:val="0"/>
      <w:marBottom w:val="0"/>
      <w:divBdr>
        <w:top w:val="none" w:sz="0" w:space="0" w:color="auto"/>
        <w:left w:val="none" w:sz="0" w:space="0" w:color="auto"/>
        <w:bottom w:val="none" w:sz="0" w:space="0" w:color="auto"/>
        <w:right w:val="none" w:sz="0" w:space="0" w:color="auto"/>
      </w:divBdr>
    </w:div>
    <w:div w:id="851915323">
      <w:bodyDiv w:val="1"/>
      <w:marLeft w:val="0"/>
      <w:marRight w:val="0"/>
      <w:marTop w:val="0"/>
      <w:marBottom w:val="0"/>
      <w:divBdr>
        <w:top w:val="none" w:sz="0" w:space="0" w:color="auto"/>
        <w:left w:val="none" w:sz="0" w:space="0" w:color="auto"/>
        <w:bottom w:val="none" w:sz="0" w:space="0" w:color="auto"/>
        <w:right w:val="none" w:sz="0" w:space="0" w:color="auto"/>
      </w:divBdr>
    </w:div>
    <w:div w:id="915817771">
      <w:bodyDiv w:val="1"/>
      <w:marLeft w:val="0"/>
      <w:marRight w:val="0"/>
      <w:marTop w:val="0"/>
      <w:marBottom w:val="0"/>
      <w:divBdr>
        <w:top w:val="none" w:sz="0" w:space="0" w:color="auto"/>
        <w:left w:val="none" w:sz="0" w:space="0" w:color="auto"/>
        <w:bottom w:val="none" w:sz="0" w:space="0" w:color="auto"/>
        <w:right w:val="none" w:sz="0" w:space="0" w:color="auto"/>
      </w:divBdr>
    </w:div>
    <w:div w:id="1475954411">
      <w:bodyDiv w:val="1"/>
      <w:marLeft w:val="0"/>
      <w:marRight w:val="0"/>
      <w:marTop w:val="0"/>
      <w:marBottom w:val="0"/>
      <w:divBdr>
        <w:top w:val="none" w:sz="0" w:space="0" w:color="auto"/>
        <w:left w:val="none" w:sz="0" w:space="0" w:color="auto"/>
        <w:bottom w:val="none" w:sz="0" w:space="0" w:color="auto"/>
        <w:right w:val="none" w:sz="0" w:space="0" w:color="auto"/>
      </w:divBdr>
    </w:div>
    <w:div w:id="1551265796">
      <w:bodyDiv w:val="1"/>
      <w:marLeft w:val="0"/>
      <w:marRight w:val="0"/>
      <w:marTop w:val="0"/>
      <w:marBottom w:val="0"/>
      <w:divBdr>
        <w:top w:val="none" w:sz="0" w:space="0" w:color="auto"/>
        <w:left w:val="none" w:sz="0" w:space="0" w:color="auto"/>
        <w:bottom w:val="none" w:sz="0" w:space="0" w:color="auto"/>
        <w:right w:val="none" w:sz="0" w:space="0" w:color="auto"/>
      </w:divBdr>
    </w:div>
    <w:div w:id="1555964403">
      <w:bodyDiv w:val="1"/>
      <w:marLeft w:val="0"/>
      <w:marRight w:val="0"/>
      <w:marTop w:val="0"/>
      <w:marBottom w:val="0"/>
      <w:divBdr>
        <w:top w:val="none" w:sz="0" w:space="0" w:color="auto"/>
        <w:left w:val="none" w:sz="0" w:space="0" w:color="auto"/>
        <w:bottom w:val="none" w:sz="0" w:space="0" w:color="auto"/>
        <w:right w:val="none" w:sz="0" w:space="0" w:color="auto"/>
      </w:divBdr>
    </w:div>
    <w:div w:id="1679383751">
      <w:bodyDiv w:val="1"/>
      <w:marLeft w:val="0"/>
      <w:marRight w:val="0"/>
      <w:marTop w:val="0"/>
      <w:marBottom w:val="0"/>
      <w:divBdr>
        <w:top w:val="none" w:sz="0" w:space="0" w:color="auto"/>
        <w:left w:val="none" w:sz="0" w:space="0" w:color="auto"/>
        <w:bottom w:val="none" w:sz="0" w:space="0" w:color="auto"/>
        <w:right w:val="none" w:sz="0" w:space="0" w:color="auto"/>
      </w:divBdr>
    </w:div>
    <w:div w:id="2005081885">
      <w:bodyDiv w:val="1"/>
      <w:marLeft w:val="0"/>
      <w:marRight w:val="0"/>
      <w:marTop w:val="0"/>
      <w:marBottom w:val="0"/>
      <w:divBdr>
        <w:top w:val="none" w:sz="0" w:space="0" w:color="auto"/>
        <w:left w:val="none" w:sz="0" w:space="0" w:color="auto"/>
        <w:bottom w:val="none" w:sz="0" w:space="0" w:color="auto"/>
        <w:right w:val="none" w:sz="0" w:space="0" w:color="auto"/>
      </w:divBdr>
    </w:div>
    <w:div w:id="2073506137">
      <w:bodyDiv w:val="1"/>
      <w:marLeft w:val="0"/>
      <w:marRight w:val="0"/>
      <w:marTop w:val="0"/>
      <w:marBottom w:val="0"/>
      <w:divBdr>
        <w:top w:val="none" w:sz="0" w:space="0" w:color="auto"/>
        <w:left w:val="none" w:sz="0" w:space="0" w:color="auto"/>
        <w:bottom w:val="none" w:sz="0" w:space="0" w:color="auto"/>
        <w:right w:val="none" w:sz="0" w:space="0" w:color="auto"/>
      </w:divBdr>
    </w:div>
    <w:div w:id="211736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s://enrd.ec.europa.eu/evaluation/publications/guidelines-assessment-rdp-results-how-prepare-reporting-evaluation-2017_en" TargetMode="External"/><Relationship Id="rId39" Type="http://schemas.openxmlformats.org/officeDocument/2006/relationships/image" Target="media/image5.png"/><Relationship Id="rId21" Type="http://schemas.openxmlformats.org/officeDocument/2006/relationships/hyperlink" Target="https://ec.europa.eu/agriculture/sites/agriculture/files/cap-indicators/impact/impact-indicators-fiches.pdf" TargetMode="External"/><Relationship Id="rId34" Type="http://schemas.openxmlformats.org/officeDocument/2006/relationships/hyperlink" Target="http://ec.europa.eu/eurostat/documents/4411192/4411431/Europe_2020_Targets.pdf" TargetMode="External"/><Relationship Id="rId42" Type="http://schemas.openxmlformats.org/officeDocument/2006/relationships/hyperlink" Target="https://www.envieval.eu/fileadmin/envieval/dissemination/deliverables/D9.5_Handbook_for_the_evaluation_of_environmental_impacts_of_RDPs.pdf" TargetMode="External"/><Relationship Id="rId47" Type="http://schemas.openxmlformats.org/officeDocument/2006/relationships/hyperlink" Target="https://ec.europa.eu/agriculture/sites/agriculture/files/evaluation/guidelines/2007-2013-ex-post_en.pdf" TargetMode="External"/><Relationship Id="rId50" Type="http://schemas.openxmlformats.org/officeDocument/2006/relationships/hyperlink" Target="https://enrd.ec.europa.eu/news-events/news/ex-post-evaluation-rdps-2007-2013_en" TargetMode="External"/><Relationship Id="rId55" Type="http://schemas.openxmlformats.org/officeDocument/2006/relationships/hyperlink" Target="https://ec.europa.eu/agriculture/sites/agriculture/files/evaluation/rural-development-reports/2014/investment-support-rdp/fulltext_en.pdf" TargetMode="External"/><Relationship Id="rId63" Type="http://schemas.openxmlformats.org/officeDocument/2006/relationships/image" Target="media/image15.png"/><Relationship Id="rId68" Type="http://schemas.openxmlformats.org/officeDocument/2006/relationships/image" Target="media/image20.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ec.europa.eu/agriculture/sites/agriculture/files/cap-indicators/impact/2016-impact-indicators-fiche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ec.europa.eu/agriculture/sites/agriculture/files/cap-indicators/result/rd-target-indicators_en.pdf" TargetMode="External"/><Relationship Id="rId32" Type="http://schemas.openxmlformats.org/officeDocument/2006/relationships/hyperlink" Target="http://ec.europa.eu/eurostat/web/europe-2020-indicators/europe-2020-strategy/targets" TargetMode="External"/><Relationship Id="rId37" Type="http://schemas.openxmlformats.org/officeDocument/2006/relationships/footer" Target="footer5.xml"/><Relationship Id="rId40" Type="http://schemas.openxmlformats.org/officeDocument/2006/relationships/image" Target="media/image6.png"/><Relationship Id="rId45" Type="http://schemas.openxmlformats.org/officeDocument/2006/relationships/hyperlink" Target="https://www.envieval.eu/" TargetMode="External"/><Relationship Id="rId53" Type="http://schemas.openxmlformats.org/officeDocument/2006/relationships/hyperlink" Target="https://ec.europa.eu/agriculture/sites/agriculture/files/evaluation/guidelines/2007-2013-ex-post_en.pdf" TargetMode="External"/><Relationship Id="rId58" Type="http://schemas.openxmlformats.org/officeDocument/2006/relationships/image" Target="media/image10.png"/><Relationship Id="rId66"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ec.europa.eu/sfc/en/system/files/ged/RDP_Annex%2011.pdf" TargetMode="External"/><Relationship Id="rId28" Type="http://schemas.openxmlformats.org/officeDocument/2006/relationships/hyperlink" Target="https://enrd.ec.europa.eu/evaluation/publications/evaluation-innovation-rural-development-programmes-2014-2020_en" TargetMode="External"/><Relationship Id="rId36" Type="http://schemas.openxmlformats.org/officeDocument/2006/relationships/hyperlink" Target="https://enrd.ec.europa.eu/sites/enrd/files/uploaded-files/wp_evaluation_questions_2015.pdf" TargetMode="External"/><Relationship Id="rId49" Type="http://schemas.openxmlformats.org/officeDocument/2006/relationships/hyperlink" Target="https://enrd.ec.europa.eu/news-events/news/ex-post-evaluation-rdps-2007-2013_en" TargetMode="External"/><Relationship Id="rId57" Type="http://schemas.openxmlformats.org/officeDocument/2006/relationships/image" Target="media/image9.png"/><Relationship Id="rId61"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hyperlink" Target="https://enrd.ec.europa.eu/evaluation/publications/guidelines-assessment-rdp-results-how-prepare-reporting-evaluation-2017_en" TargetMode="External"/><Relationship Id="rId31" Type="http://schemas.openxmlformats.org/officeDocument/2006/relationships/hyperlink" Target="https://enrd.ec.europa.eu/evaluation/publications/evaluation-innovation-rural-development-programmes-2014-2020_en" TargetMode="External"/><Relationship Id="rId44" Type="http://schemas.openxmlformats.org/officeDocument/2006/relationships/image" Target="media/image8.emf"/><Relationship Id="rId52" Type="http://schemas.openxmlformats.org/officeDocument/2006/relationships/hyperlink" Target="http://enrd.ec.europa.eu/enrd-static/app_templates/enrd_assets/pdf/evaluation/epe_master.pdf" TargetMode="External"/><Relationship Id="rId60" Type="http://schemas.openxmlformats.org/officeDocument/2006/relationships/image" Target="media/image12.png"/><Relationship Id="rId65"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enrd.ec.europa.eu/sites/enrd/files/twg-01_rdp_results.pdf" TargetMode="External"/><Relationship Id="rId27" Type="http://schemas.openxmlformats.org/officeDocument/2006/relationships/hyperlink" Target="https://enrd.ec.europa.eu/evaluation/publications/evaluation-leaderclld_en" TargetMode="External"/><Relationship Id="rId30" Type="http://schemas.openxmlformats.org/officeDocument/2006/relationships/hyperlink" Target="https://ec.europa.eu/agriculture/cap-indicators/context_en" TargetMode="External"/><Relationship Id="rId35" Type="http://schemas.openxmlformats.org/officeDocument/2006/relationships/hyperlink" Target="https://ec.europa.eu/agriculture/cap-indicators/context/2016/2016-context-indicators-fiches.pdf" TargetMode="External"/><Relationship Id="rId43" Type="http://schemas.openxmlformats.org/officeDocument/2006/relationships/image" Target="media/image7.emf"/><Relationship Id="rId48" Type="http://schemas.openxmlformats.org/officeDocument/2006/relationships/hyperlink" Target="https://ec.europa.eu/agriculture/sites/agriculture/files/evaluation/guidelines/2007-2013-ex-post_en.pdf" TargetMode="External"/><Relationship Id="rId56" Type="http://schemas.openxmlformats.org/officeDocument/2006/relationships/hyperlink" Target="https://books.google.be/books?id=t-uPdSpvPBkC&amp;pg=PP1&amp;lpg=PP1&amp;dq=distinguishing+between+types+of+data+and+methods+of+collecting+them,&amp;source=bl&amp;ots=G26OEW8m2A&amp;sig=h528kvgUEhmDcInCs1LmMIXs8vI&amp;hl=de&amp;sa=X&amp;ved=2ahUKEwjMvZynlc7cAhUSbFAKHaHWCLEQ6AEwBHoECAUQAQ" TargetMode="External"/><Relationship Id="rId64" Type="http://schemas.openxmlformats.org/officeDocument/2006/relationships/image" Target="media/image16.png"/><Relationship Id="rId69" Type="http://schemas.openxmlformats.org/officeDocument/2006/relationships/image" Target="media/image21.jpeg"/><Relationship Id="rId8" Type="http://schemas.openxmlformats.org/officeDocument/2006/relationships/image" Target="media/image1.jpeg"/><Relationship Id="rId51" Type="http://schemas.openxmlformats.org/officeDocument/2006/relationships/hyperlink" Target="http://enrd.ec.europa.eu/enrd-static/app_templates/enrd_assets/pdf/evaluation/epe_master.pdf"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ec.europa.eu/agriculture/sites/agriculture/files/cap-indicators/result/complementary-result-indicator-fiches-pillar-ii_en.pdf" TargetMode="External"/><Relationship Id="rId33" Type="http://schemas.openxmlformats.org/officeDocument/2006/relationships/hyperlink" Target="http://ec.europa.eu/eurostat/web/products-statistical-books/-/KS-EZ-17-001" TargetMode="External"/><Relationship Id="rId38" Type="http://schemas.openxmlformats.org/officeDocument/2006/relationships/footer" Target="footer6.xml"/><Relationship Id="rId46" Type="http://schemas.openxmlformats.org/officeDocument/2006/relationships/hyperlink" Target="https://www.envieval.eu/fileadmin/envieval/dissemination/deliverables/D9.5_Handbook_for_the_evaluation_of_environmental_impacts_of_RDPs.pdf" TargetMode="External"/><Relationship Id="rId59" Type="http://schemas.openxmlformats.org/officeDocument/2006/relationships/image" Target="media/image11.png"/><Relationship Id="rId67" Type="http://schemas.openxmlformats.org/officeDocument/2006/relationships/image" Target="media/image19.png"/><Relationship Id="rId20" Type="http://schemas.openxmlformats.org/officeDocument/2006/relationships/image" Target="media/image4.emf"/><Relationship Id="rId41" Type="http://schemas.openxmlformats.org/officeDocument/2006/relationships/hyperlink" Target="https://www.envieval.eu/" TargetMode="External"/><Relationship Id="rId54" Type="http://schemas.openxmlformats.org/officeDocument/2006/relationships/hyperlink" Target="https://ec.europa.eu/agriculture/sites/agriculture/files/evaluation/guidelines/2007-2013-ex-post_en.pdf" TargetMode="External"/><Relationship Id="rId62" Type="http://schemas.openxmlformats.org/officeDocument/2006/relationships/image" Target="media/image14.png"/><Relationship Id="rId70" Type="http://schemas.openxmlformats.org/officeDocument/2006/relationships/header" Target="header5.xml"/></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gal-content/en/ALL/?uri=CELEX:32014R0808" TargetMode="External"/><Relationship Id="rId3" Type="http://schemas.openxmlformats.org/officeDocument/2006/relationships/hyperlink" Target="http://eur-lex.europa.eu/legal-content/en/ALL/?uri=CELEX:32014R0808" TargetMode="External"/><Relationship Id="rId7" Type="http://schemas.openxmlformats.org/officeDocument/2006/relationships/hyperlink" Target="http://eur-lex.europa.eu/legal-content/EN/TXT/?uri=CELEX:32014R0834" TargetMode="External"/><Relationship Id="rId12" Type="http://schemas.openxmlformats.org/officeDocument/2006/relationships/hyperlink" Target="http://enrd.ec.europa.eu/enrd-static/app_templates/enrd_assets/pdf/evaluation/epe_master.pdf" TargetMode="External"/><Relationship Id="rId2" Type="http://schemas.openxmlformats.org/officeDocument/2006/relationships/hyperlink" Target="https://enrd.ec.europa.eu/sites/enrd/files/uploaded-files/twg-05-ep-june2015_0.pdf" TargetMode="External"/><Relationship Id="rId1" Type="http://schemas.openxmlformats.org/officeDocument/2006/relationships/hyperlink" Target="http://eur-lex.europa.eu/legal-content/en/ALL/?uri=CELEX:32013R1305" TargetMode="External"/><Relationship Id="rId6" Type="http://schemas.openxmlformats.org/officeDocument/2006/relationships/hyperlink" Target="http://eur-lex.europa.eu/legal-content/EN/TXT/?uri=celex:32013R1306" TargetMode="External"/><Relationship Id="rId11" Type="http://schemas.openxmlformats.org/officeDocument/2006/relationships/hyperlink" Target="https://enrd.ec.europa.eu/evaluation/publications/guidelines-assessment-rdp-results-how-prepare-reporting-evaluation-2017_en" TargetMode="External"/><Relationship Id="rId5" Type="http://schemas.openxmlformats.org/officeDocument/2006/relationships/hyperlink" Target="file:///C:\Users\wimmer\AppData\Local\Microsoft\Windows\INetCache\Content.Outlook\3TA5XJ7V\ur-lex.europa.eu\legal-content\EN\TXT\" TargetMode="External"/><Relationship Id="rId10" Type="http://schemas.openxmlformats.org/officeDocument/2006/relationships/hyperlink" Target="https://ec.europa.eu/agriculture/sites/agriculture/files/evaluation/guidelines/2017-update-technical-handbook-monitoring-evaluation-framework_en.pdf" TargetMode="External"/><Relationship Id="rId4" Type="http://schemas.openxmlformats.org/officeDocument/2006/relationships/hyperlink" Target="https://enrd.ec.europa.eu/evaluation/publications/summary-report-synthesis-evaluation-components-2017-enhanced-air-chapter-7_en" TargetMode="External"/><Relationship Id="rId9" Type="http://schemas.openxmlformats.org/officeDocument/2006/relationships/hyperlink" Target="https://ec.europa.eu/agriculture/sites/agriculture/files/evaluation/guidelines/2017-update-technical-handbook-monitoring-evaluation-framework_en.pdf" TargetMode="External"/></Relationships>
</file>

<file path=word/theme/theme1.xml><?xml version="1.0" encoding="utf-8"?>
<a:theme xmlns:a="http://schemas.openxmlformats.org/drawingml/2006/main" name="Larissa-Design">
  <a:themeElements>
    <a:clrScheme name="Helpdesk">
      <a:dk1>
        <a:srgbClr val="373737"/>
      </a:dk1>
      <a:lt1>
        <a:srgbClr val="FFFFFF"/>
      </a:lt1>
      <a:dk2>
        <a:srgbClr val="373737"/>
      </a:dk2>
      <a:lt2>
        <a:srgbClr val="FFFFFF"/>
      </a:lt2>
      <a:accent1>
        <a:srgbClr val="F07E31"/>
      </a:accent1>
      <a:accent2>
        <a:srgbClr val="BE4A35"/>
      </a:accent2>
      <a:accent3>
        <a:srgbClr val="59638E"/>
      </a:accent3>
      <a:accent4>
        <a:srgbClr val="57825E"/>
      </a:accent4>
      <a:accent5>
        <a:srgbClr val="F7A833"/>
      </a:accent5>
      <a:accent6>
        <a:srgbClr val="8BAB80"/>
      </a:accent6>
      <a:hlink>
        <a:srgbClr val="F07E31"/>
      </a:hlink>
      <a:folHlink>
        <a:srgbClr val="F07E31"/>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0C158-8C7F-450D-A867-061DDB662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7026</Words>
  <Characters>40052</Characters>
  <Application>Microsoft Office Word</Application>
  <DocSecurity>0</DocSecurity>
  <Lines>333</Lines>
  <Paragraphs>93</Paragraphs>
  <ScaleCrop>false</ScaleCrop>
  <HeadingPairs>
    <vt:vector size="6" baseType="variant">
      <vt:variant>
        <vt:lpstr>Title</vt:lpstr>
      </vt:variant>
      <vt:variant>
        <vt:i4>1</vt:i4>
      </vt:variant>
      <vt:variant>
        <vt:lpstr>Titel</vt:lpstr>
      </vt:variant>
      <vt:variant>
        <vt:i4>1</vt:i4>
      </vt:variant>
      <vt:variant>
        <vt:lpstr>Názov</vt:lpstr>
      </vt:variant>
      <vt:variant>
        <vt:i4>1</vt:i4>
      </vt:variant>
    </vt:vector>
  </HeadingPairs>
  <TitlesOfParts>
    <vt:vector size="3" baseType="lpstr">
      <vt:lpstr/>
      <vt:lpstr/>
      <vt:lpstr/>
    </vt:vector>
  </TitlesOfParts>
  <LinksUpToDate>false</LinksUpToDate>
  <CharactersWithSpaces>46985</CharactersWithSpaces>
  <SharedDoc>false</SharedDoc>
  <HLinks>
    <vt:vector size="6" baseType="variant">
      <vt:variant>
        <vt:i4>1048625</vt:i4>
      </vt:variant>
      <vt:variant>
        <vt:i4>2</vt:i4>
      </vt:variant>
      <vt:variant>
        <vt:i4>0</vt:i4>
      </vt:variant>
      <vt:variant>
        <vt:i4>5</vt:i4>
      </vt:variant>
      <vt:variant>
        <vt:lpwstr/>
      </vt:variant>
      <vt:variant>
        <vt:lpwstr>_Toc222036237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2018-11-19T10:48:00Z</dcterms:created>
  <dcterms:modified xsi:type="dcterms:W3CDTF">2018-11-19T10:48:00Z</dcterms:modified>
</cp:coreProperties>
</file>