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B24543">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34" w:rsidRPr="00E76949" w:rsidRDefault="007E1C34" w:rsidP="00E76949">
                            <w:pPr>
                              <w:pStyle w:val="HTitle1"/>
                            </w:pPr>
                            <w:r>
                              <w:t>IRÁNYMUTATÁS</w:t>
                            </w:r>
                          </w:p>
                          <w:p w:rsidR="007E1C34" w:rsidRPr="00196DF6" w:rsidRDefault="007E1C34" w:rsidP="00196DF6">
                            <w:pPr>
                              <w:pStyle w:val="HTitle2"/>
                            </w:pPr>
                            <w:r>
                              <w:t>A vidékfejlesztési programok eredményeinek és hatásainak értékelése 2019-ben</w:t>
                            </w:r>
                          </w:p>
                          <w:p w:rsidR="007E1C34" w:rsidRPr="00F15219" w:rsidRDefault="007E1C34" w:rsidP="00196DF6">
                            <w:pPr>
                              <w:pStyle w:val="HTitle2"/>
                            </w:pPr>
                          </w:p>
                          <w:p w:rsidR="007E1C34" w:rsidRPr="00435F02" w:rsidRDefault="007E1C34" w:rsidP="00196DF6">
                            <w:pPr>
                              <w:pStyle w:val="HTitle3"/>
                              <w:rPr>
                                <w:color w:val="auto"/>
                              </w:rPr>
                            </w:pPr>
                            <w:r>
                              <w:rPr>
                                <w:color w:val="auto"/>
                              </w:rPr>
                              <w:t>2018. augusztus</w:t>
                            </w:r>
                          </w:p>
                          <w:p w:rsidR="007E1C34" w:rsidRDefault="007E1C34"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7E1C34" w:rsidRPr="00E76949" w:rsidRDefault="007E1C34" w:rsidP="00E76949">
                      <w:pPr>
                        <w:pStyle w:val="HTitle1"/>
                      </w:pPr>
                      <w:r>
                        <w:t>IRÁNYMUTATÁS</w:t>
                      </w:r>
                    </w:p>
                    <w:p w:rsidR="007E1C34" w:rsidRPr="00196DF6" w:rsidRDefault="007E1C34" w:rsidP="00196DF6">
                      <w:pPr>
                        <w:pStyle w:val="HTitle2"/>
                      </w:pPr>
                      <w:r>
                        <w:t>A vidékfejlesztési programok eredményeinek és hatásainak értékelése 2019-ben</w:t>
                      </w:r>
                    </w:p>
                    <w:p w:rsidR="007E1C34" w:rsidRPr="00F15219" w:rsidRDefault="007E1C34" w:rsidP="00196DF6">
                      <w:pPr>
                        <w:pStyle w:val="HTitle2"/>
                      </w:pPr>
                    </w:p>
                    <w:p w:rsidR="007E1C34" w:rsidRPr="00435F02" w:rsidRDefault="007E1C34" w:rsidP="00196DF6">
                      <w:pPr>
                        <w:pStyle w:val="HTitle3"/>
                        <w:rPr>
                          <w:color w:val="auto"/>
                        </w:rPr>
                      </w:pPr>
                      <w:r>
                        <w:rPr>
                          <w:color w:val="auto"/>
                        </w:rPr>
                        <w:t>2018. augusztus</w:t>
                      </w:r>
                    </w:p>
                    <w:p w:rsidR="007E1C34" w:rsidRDefault="007E1C34"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-427512</wp:posOffset>
                </wp:positionH>
                <wp:positionV relativeFrom="paragraph">
                  <wp:posOffset>3550722</wp:posOffset>
                </wp:positionV>
                <wp:extent cx="6583680" cy="5688281"/>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688281"/>
                        </a:xfrm>
                        <a:prstGeom prst="rect">
                          <a:avLst/>
                        </a:prstGeom>
                        <a:solidFill>
                          <a:srgbClr val="FFFFFF">
                            <a:alpha val="0"/>
                          </a:srgbClr>
                        </a:solidFill>
                        <a:ln>
                          <a:noFill/>
                        </a:ln>
                        <a:extLst/>
                      </wps:spPr>
                      <wps:txbx>
                        <w:txbxContent>
                          <w:p w:rsidR="007E1C34" w:rsidRPr="00811EF1" w:rsidRDefault="007E1C34" w:rsidP="00811EF1">
                            <w:pPr>
                              <w:pStyle w:val="Hdisclaimer"/>
                            </w:pPr>
                            <w:r>
                              <w:t>Szerzői jogi nyilatkozat</w:t>
                            </w:r>
                          </w:p>
                          <w:p w:rsidR="007E1C34" w:rsidRPr="00811EF1" w:rsidRDefault="007E1C34" w:rsidP="00811EF1">
                            <w:pPr>
                              <w:pStyle w:val="Hdisclaimer"/>
                            </w:pPr>
                            <w:r>
                              <w:t>© Európai Unió, 2018</w:t>
                            </w:r>
                          </w:p>
                          <w:p w:rsidR="007E1C34" w:rsidRPr="00811EF1" w:rsidRDefault="007E1C34" w:rsidP="00811EF1">
                            <w:pPr>
                              <w:pStyle w:val="Hdisclaimer"/>
                            </w:pPr>
                            <w:r>
                              <w:t>A sokszorosítás a forrás megnevezésével engedélyezett.</w:t>
                            </w:r>
                          </w:p>
                          <w:p w:rsidR="007E1C34" w:rsidRPr="00811EF1" w:rsidRDefault="007E1C34" w:rsidP="00811EF1">
                            <w:pPr>
                              <w:pStyle w:val="Hdisclaimer"/>
                            </w:pPr>
                            <w:r>
                              <w:t xml:space="preserve">Ajánlott hivatkozás: </w:t>
                            </w:r>
                          </w:p>
                          <w:p w:rsidR="007E1C34" w:rsidRDefault="007E1C34" w:rsidP="00435F02">
                            <w:pPr>
                              <w:pStyle w:val="Hdisclaimer"/>
                            </w:pPr>
                            <w:r>
                              <w:t xml:space="preserve">EURÓPAI BIZOTTSÁG, Mezőgazdasági és Vidékfejlesztési Főigazgatóság, C.4. egység (2018): Iránymutatás. A vidékfejlesztési program eredményeinek és hatásainak értékelése 2019-ben Brüsszel, 2018. augusztus </w:t>
                            </w:r>
                          </w:p>
                          <w:p w:rsidR="007E1C34" w:rsidRPr="00811EF1" w:rsidRDefault="007E1C34" w:rsidP="00811EF1">
                            <w:pPr>
                              <w:pStyle w:val="Hdisclaimer"/>
                            </w:pPr>
                            <w:r>
                              <w:t>Felelősségkizáró nyilatkozat:</w:t>
                            </w:r>
                          </w:p>
                          <w:p w:rsidR="007E1C34" w:rsidRPr="00811EF1" w:rsidRDefault="007E1C34" w:rsidP="00811EF1">
                            <w:pPr>
                              <w:pStyle w:val="Hdisclaimer"/>
                            </w:pPr>
                            <w:r>
                              <w:t>Az ezen iránymutatásban közzétett információk és nézetek a szerző(k) véleményét tükrözik, és nem feltétlenül egyeznek meg a Bizottság hivatalos álláspontjával. A Bizottság nem vállal garanciát az iránymutatásban szereplő információk pontosságáért. Sem a Bizottság, sem pedig a Bizottság nevében eljáró személyek nem vonhatók felelősségre az itt közreadott információk bármilyen jellegű felhasználásáért.</w:t>
                            </w:r>
                          </w:p>
                          <w:p w:rsidR="007E1C34" w:rsidRPr="00811EF1" w:rsidRDefault="007E1C34"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7E1C34" w:rsidRPr="00811EF1" w:rsidRDefault="007E1C34" w:rsidP="00811EF1">
                            <w:pPr>
                              <w:pStyle w:val="Hdisclaimer"/>
                            </w:pPr>
                            <w:r>
                              <w:t>Az Európai Vidékfejlesztési Hálózaton (EVH) belül az értékelési támogató szolgálat felel az értékelési feladatokért azáltal, hogy az Európai Bizottság Mezőgazdasági és Vidékfejlesztési Főigazgatósága „Monitoring és értékelés” elnevezésű C.4. egységének hatáskörébe és irányítása alá eső VFP-k és szakpolitikák értékeléséhez iránymutatást nyújt. Az uniós vidékfejlesztési politika értékelésének javítása érdekében az értékelési támogató szolgálat megfelelő módszertanok, valamint eszközök kidolgozásával és közzétételével, helyes gyakorlatok összegyűjtésével és továbbadásával, kapacitásépítéssel, továbbá az értékeléshez kapcsolódó témákban a hálózat tagjaival folytatott párbeszéddel támogatja az értékelésben érdekelt feleket, különösen a Mezőgazdasági és Vidékfejlesztési Főigazgatóságot, a nemzeti hatóságokat, a VFP-k irányító hatóságait és értékelőit.</w:t>
                            </w:r>
                          </w:p>
                          <w:p w:rsidR="007E1C34" w:rsidRPr="00811EF1" w:rsidRDefault="007E1C34" w:rsidP="00811EF1">
                            <w:pPr>
                              <w:pStyle w:val="Hdisclaimer"/>
                            </w:pPr>
                            <w:r>
                              <w:t>Az európai vidékfejlesztési értékelési támogató szolgálat tevékenységeire vonatkozó további információk az interneten, az Europa szerveren (http://enrd.ec.europa.eu) találhatók.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65pt;margin-top:279.6pt;width:518.4pt;height:447.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" stroked="f">
                <v:fill opacity="0"/>
                <v:textbox>
                  <w:txbxContent>
                    <w:p w:rsidR="007E1C34" w:rsidRPr="00811EF1" w:rsidRDefault="007E1C34" w:rsidP="00811EF1">
                      <w:pPr>
                        <w:pStyle w:val="Hdisclaimer"/>
                      </w:pPr>
                      <w:r>
                        <w:t>Szerzői jogi nyilatkozat</w:t>
                      </w:r>
                    </w:p>
                    <w:p w:rsidR="007E1C34" w:rsidRPr="00811EF1" w:rsidRDefault="007E1C34" w:rsidP="00811EF1">
                      <w:pPr>
                        <w:pStyle w:val="Hdisclaimer"/>
                      </w:pPr>
                      <w:r>
                        <w:t>© Európai Unió, 2018</w:t>
                      </w:r>
                    </w:p>
                    <w:p w:rsidR="007E1C34" w:rsidRPr="00811EF1" w:rsidRDefault="007E1C34" w:rsidP="00811EF1">
                      <w:pPr>
                        <w:pStyle w:val="Hdisclaimer"/>
                      </w:pPr>
                      <w:r>
                        <w:t>A sokszorosítás a forrás megnevezésével engedélyezett.</w:t>
                      </w:r>
                    </w:p>
                    <w:p w:rsidR="007E1C34" w:rsidRPr="00811EF1" w:rsidRDefault="007E1C34" w:rsidP="00811EF1">
                      <w:pPr>
                        <w:pStyle w:val="Hdisclaimer"/>
                      </w:pPr>
                      <w:r>
                        <w:t xml:space="preserve">Ajánlott hivatkozás: </w:t>
                      </w:r>
                    </w:p>
                    <w:p w:rsidR="007E1C34" w:rsidRDefault="007E1C34" w:rsidP="00435F02">
                      <w:pPr>
                        <w:pStyle w:val="Hdisclaimer"/>
                      </w:pPr>
                      <w:r>
                        <w:t xml:space="preserve">EURÓPAI BIZOTTSÁG, Mezőgazdasági és Vidékfejlesztési Főigazgatóság, C.4. egység (2018): Iránymutatás. A vidékfejlesztési program eredményeinek és hatásainak értékelése 2019-ben Brüsszel, 2018. augusztus </w:t>
                      </w:r>
                    </w:p>
                    <w:p w:rsidR="007E1C34" w:rsidRPr="00811EF1" w:rsidRDefault="007E1C34" w:rsidP="00811EF1">
                      <w:pPr>
                        <w:pStyle w:val="Hdisclaimer"/>
                      </w:pPr>
                      <w:r>
                        <w:t>Felelősségkizáró nyilatkozat:</w:t>
                      </w:r>
                    </w:p>
                    <w:p w:rsidR="007E1C34" w:rsidRPr="00811EF1" w:rsidRDefault="007E1C34" w:rsidP="00811EF1">
                      <w:pPr>
                        <w:pStyle w:val="Hdisclaimer"/>
                      </w:pPr>
                      <w:r>
                        <w:t>Az ezen iránymutatásban közzétett információk és nézetek a szerző(k) véleményét tükrözik, és nem feltétlenül egyeznek meg a Bizottság hivatalos álláspontjával. A Bizottság nem vállal garanciát az iránymutatásban szereplő információk pontosságáért. Sem a Bizottság, sem pedig a Bizottság nevében eljáró személyek nem vonhatók felelősségre az itt közreadott információk bármilyen jellegű felhasználásáért.</w:t>
                      </w:r>
                    </w:p>
                    <w:p w:rsidR="007E1C34" w:rsidRPr="00811EF1" w:rsidRDefault="007E1C34"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7E1C34" w:rsidRPr="00811EF1" w:rsidRDefault="007E1C34" w:rsidP="00811EF1">
                      <w:pPr>
                        <w:pStyle w:val="Hdisclaimer"/>
                      </w:pPr>
                      <w:r>
                        <w:t>Az Európai Vidékfejlesztési Hálózaton (EVH) belül az értékelési támogató szolgálat felel az értékelési feladatokért azáltal, hogy az Európai Bizottság Mezőgazdasági és Vidékfejlesztési Főigazgatósága „Monitoring és értékelés” elnevezésű C.4. egységének hatáskörébe és irányítása alá eső VFP-k és szakpolitikák értékeléséhez iránymutatást nyújt. Az uniós vidékfejlesztési politika értékelésének javítása érdekében az értékelési támogató szolgálat megfelelő módszertanok, valamint eszközök kidolgozásával és közzétételével, helyes gyakorlatok összegyűjtésével és továbbadásával, kapacitásépítéssel, továbbá az értékeléshez kapcsolódó témákban a hálózat tagjaival folytatott párbeszéddel támogatja az értékelésben érdekelt feleket, különösen a Mezőgazdasági és Vidékfejlesztési Főigazgatóságot, a nemzeti hatóságokat, a VFP-k irányító hatóságait és értékelőit.</w:t>
                      </w:r>
                    </w:p>
                    <w:p w:rsidR="007E1C34" w:rsidRPr="00811EF1" w:rsidRDefault="007E1C34" w:rsidP="00811EF1">
                      <w:pPr>
                        <w:pStyle w:val="Hdisclaimer"/>
                      </w:pPr>
                      <w:r>
                        <w:t>Az európai vidékfejlesztési értékelési támogató szolgálat tevékenységeire vonatkozó további információk az interneten, az Europa szerveren (http://enrd.ec.europa.eu) találhatók.</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34" w:rsidRPr="00F15219" w:rsidRDefault="007E1C34" w:rsidP="00E76949">
                            <w:pPr>
                              <w:pStyle w:val="HTitle1"/>
                            </w:pPr>
                            <w:r>
                              <w:t>Iránymutatás</w:t>
                            </w:r>
                          </w:p>
                          <w:p w:rsidR="007E1C34" w:rsidRPr="00F15219" w:rsidRDefault="007E1C34" w:rsidP="00BE49CF">
                            <w:pPr>
                              <w:pStyle w:val="HTitle2"/>
                            </w:pPr>
                            <w:r>
                              <w:t>A VIDÉKFEJLESZTÉSI PROGRAM EREDMÉNYEINEK ÉS HATÁSAINAK ÉRTÉKELÉSE 2019-BEN</w:t>
                            </w:r>
                          </w:p>
                          <w:p w:rsidR="007E1C34" w:rsidRPr="00F15219" w:rsidRDefault="007E1C34" w:rsidP="00196DF6">
                            <w:pPr>
                              <w:pStyle w:val="HTitle2"/>
                            </w:pPr>
                          </w:p>
                          <w:p w:rsidR="007E1C34" w:rsidRPr="00D46054" w:rsidRDefault="007E1C34" w:rsidP="00BE49CF">
                            <w:pPr>
                              <w:pStyle w:val="HTitle3"/>
                              <w:rPr>
                                <w:color w:val="auto"/>
                              </w:rPr>
                            </w:pPr>
                            <w:r>
                              <w:rPr>
                                <w:color w:val="auto"/>
                              </w:rPr>
                              <w:t>2018. augusztus</w:t>
                            </w:r>
                          </w:p>
                          <w:p w:rsidR="007E1C34" w:rsidRPr="00D46054" w:rsidRDefault="007E1C34"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7E1C34" w:rsidRPr="00F15219" w:rsidRDefault="007E1C34" w:rsidP="00E76949">
                      <w:pPr>
                        <w:pStyle w:val="HTitle1"/>
                      </w:pPr>
                      <w:r>
                        <w:t>Iránymutatás</w:t>
                      </w:r>
                    </w:p>
                    <w:p w:rsidR="007E1C34" w:rsidRPr="00F15219" w:rsidRDefault="007E1C34" w:rsidP="00BE49CF">
                      <w:pPr>
                        <w:pStyle w:val="HTitle2"/>
                      </w:pPr>
                      <w:r>
                        <w:t>A VIDÉKFEJLESZTÉSI PROGRAM EREDMÉNYEINEK ÉS HATÁSAINAK ÉRTÉKELÉSE 2019-BEN</w:t>
                      </w:r>
                    </w:p>
                    <w:p w:rsidR="007E1C34" w:rsidRPr="00F15219" w:rsidRDefault="007E1C34" w:rsidP="00196DF6">
                      <w:pPr>
                        <w:pStyle w:val="HTitle2"/>
                      </w:pPr>
                    </w:p>
                    <w:p w:rsidR="007E1C34" w:rsidRPr="00D46054" w:rsidRDefault="007E1C34" w:rsidP="00BE49CF">
                      <w:pPr>
                        <w:pStyle w:val="HTitle3"/>
                        <w:rPr>
                          <w:color w:val="auto"/>
                        </w:rPr>
                      </w:pPr>
                      <w:r>
                        <w:rPr>
                          <w:color w:val="auto"/>
                        </w:rPr>
                        <w:t>2018. augusztus</w:t>
                      </w:r>
                    </w:p>
                    <w:p w:rsidR="007E1C34" w:rsidRPr="00D46054" w:rsidRDefault="007E1C34"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Tartalom</w:t>
      </w:r>
    </w:p>
    <w:p w:rsidR="00FB5A40" w:rsidRDefault="00FB5A40" w:rsidP="00FB5A40">
      <w:r>
        <w:t>Köszönetnyilvánítás</w:t>
      </w:r>
      <w:r>
        <w:tab/>
        <w:t>1</w:t>
      </w:r>
    </w:p>
    <w:p w:rsidR="00FB5A40" w:rsidRDefault="00FB5A40" w:rsidP="00FB5A40">
      <w:r>
        <w:t>BEVEZETÉS</w:t>
      </w:r>
      <w:r>
        <w:tab/>
        <w:t>2</w:t>
      </w:r>
    </w:p>
    <w:p w:rsidR="00FB5A40" w:rsidRDefault="00FB5A40" w:rsidP="00FB5A40">
      <w:r>
        <w:t>1.</w:t>
      </w:r>
      <w:r>
        <w:tab/>
        <w:t>Mit kell jelenteni a 2019-ben benyújtandó éves végrehajtási jelentés értékelésében? (I. rész)</w:t>
      </w:r>
      <w:r>
        <w:tab/>
      </w:r>
      <w:r w:rsidR="005B09CC">
        <w:t>4</w:t>
      </w:r>
    </w:p>
    <w:p w:rsidR="00FB5A40" w:rsidRDefault="00FB5A40" w:rsidP="00FB5A40">
      <w:r>
        <w:t>1.1.</w:t>
      </w:r>
      <w:r>
        <w:tab/>
        <w:t>A 2019. évi értékelés jogi kerete és fő hangsúlya</w:t>
      </w:r>
      <w:r>
        <w:tab/>
      </w:r>
      <w:r w:rsidR="005B09CC">
        <w:t>4</w:t>
      </w:r>
    </w:p>
    <w:p w:rsidR="00FB5A40" w:rsidRDefault="00FB5A40" w:rsidP="00FB5A40">
      <w:r>
        <w:t>1.2.</w:t>
      </w:r>
      <w:r>
        <w:tab/>
        <w:t>Hogyan kell jelentést készíteni a 2019. évi közös értékelési kérdésekről?</w:t>
      </w:r>
      <w:r>
        <w:tab/>
      </w:r>
      <w:r w:rsidR="005B09CC">
        <w:t>7</w:t>
      </w:r>
    </w:p>
    <w:p w:rsidR="00FB5A40" w:rsidRDefault="00FB5A40" w:rsidP="00FB5A40">
      <w:r>
        <w:t>1.3.</w:t>
      </w:r>
      <w:r>
        <w:tab/>
        <w:t>Felkészülés a 2019-ben benyújtand</w:t>
      </w:r>
      <w:r w:rsidR="005B09CC">
        <w:t>ó éves végrehajtási jelentésre</w:t>
      </w:r>
      <w:r w:rsidR="005B09CC">
        <w:tab/>
        <w:t>11</w:t>
      </w:r>
    </w:p>
    <w:p w:rsidR="00FB5A40" w:rsidRDefault="00FB5A40" w:rsidP="00FB5A40">
      <w:r>
        <w:t>2.</w:t>
      </w:r>
      <w:r>
        <w:tab/>
        <w:t>A VFP hatásainak 2019. évi értékelésére irányuló megközelítések (II. RÉSZ)</w:t>
      </w:r>
      <w:r>
        <w:tab/>
        <w:t>1</w:t>
      </w:r>
      <w:r w:rsidR="00305D15">
        <w:t>5</w:t>
      </w:r>
    </w:p>
    <w:p w:rsidR="00FB5A40" w:rsidRDefault="00FB5A40" w:rsidP="00FB5A40">
      <w:r>
        <w:t>2.1.</w:t>
      </w:r>
      <w:r>
        <w:tab/>
        <w:t>A VFP hatásainak értékelésére irányuló megfelelő értékelés</w:t>
      </w:r>
      <w:r w:rsidR="00305D15">
        <w:t>i megközelítések kiválasztása</w:t>
      </w:r>
      <w:r w:rsidR="00305D15">
        <w:tab/>
        <w:t>15</w:t>
      </w:r>
    </w:p>
    <w:p w:rsidR="00FB5A40" w:rsidRDefault="00FB5A40" w:rsidP="00123A56">
      <w:pPr>
        <w:ind w:left="720" w:hanging="720"/>
      </w:pPr>
      <w:r>
        <w:t>2.1.1.</w:t>
      </w:r>
      <w:r>
        <w:tab/>
        <w:t>Hogyan lehet logikai modelleket alkalmazni a megfelelő értékelési megközelítések kiválasztás</w:t>
      </w:r>
      <w:r w:rsidR="00305D15">
        <w:t>a érdekében?</w:t>
      </w:r>
      <w:r w:rsidR="00305D15">
        <w:tab/>
        <w:t>15</w:t>
      </w:r>
    </w:p>
    <w:p w:rsidR="00FB5A40" w:rsidRDefault="00FB5A40" w:rsidP="00FB5A40">
      <w:r>
        <w:t>2.1.2.</w:t>
      </w:r>
      <w:r>
        <w:tab/>
        <w:t>A KAP hatásmutatóinak értékelése tekintetében javasolt értékelési megközelítések áttekintése</w:t>
      </w:r>
      <w:r>
        <w:tab/>
        <w:t>2</w:t>
      </w:r>
      <w:r w:rsidR="00F5313B">
        <w:t>6</w:t>
      </w:r>
    </w:p>
    <w:p w:rsidR="00016061" w:rsidRPr="001C6ACF" w:rsidRDefault="00542440" w:rsidP="000B62C2">
      <w:pPr>
        <w:pStyle w:val="HContent"/>
      </w:pPr>
      <w:r>
        <w:lastRenderedPageBreak/>
        <w:t xml:space="preserve">Táblázatok és ábrák </w:t>
      </w:r>
    </w:p>
    <w:p w:rsidR="00FB5A40" w:rsidRDefault="00FB5A40" w:rsidP="001F7F20">
      <w:pPr>
        <w:tabs>
          <w:tab w:val="left" w:pos="9000"/>
        </w:tabs>
        <w:ind w:left="1440" w:hanging="1440"/>
        <w:jc w:val="left"/>
      </w:pPr>
      <w:r>
        <w:t>1. táblázat:</w:t>
      </w:r>
      <w:r>
        <w:tab/>
        <w:t>A 2019-ben benyújtandó éves végrehajtási jelentéshez kapcsolódó közös értékelési kérdések megválaszolására vonatkozó iránymutatás</w:t>
      </w:r>
      <w:r>
        <w:tab/>
      </w:r>
      <w:r w:rsidR="00501196">
        <w:t>9</w:t>
      </w:r>
    </w:p>
    <w:p w:rsidR="00FB5A40" w:rsidRDefault="00FB5A40" w:rsidP="001F7F20">
      <w:pPr>
        <w:tabs>
          <w:tab w:val="left" w:pos="1440"/>
          <w:tab w:val="left" w:pos="9000"/>
        </w:tabs>
        <w:jc w:val="left"/>
      </w:pPr>
      <w:r>
        <w:t>2. táblázat:</w:t>
      </w:r>
      <w:r w:rsidR="001F7F20">
        <w:tab/>
      </w:r>
      <w:r>
        <w:t>A 2019. évi értékelés ajánlott lépéseinek ellenőrzőlistája</w:t>
      </w:r>
      <w:r w:rsidR="001F7F20">
        <w:tab/>
      </w:r>
      <w:r w:rsidR="00501196">
        <w:t>12</w:t>
      </w:r>
    </w:p>
    <w:p w:rsidR="00FB5A40" w:rsidRDefault="00FB5A40" w:rsidP="001F7F20">
      <w:pPr>
        <w:tabs>
          <w:tab w:val="left" w:pos="9000"/>
        </w:tabs>
        <w:ind w:left="1440" w:hanging="1440"/>
      </w:pPr>
      <w:r>
        <w:t>3. táblázat:</w:t>
      </w:r>
      <w:r>
        <w:tab/>
        <w:t>Példák a KAP hatásmutatóinak értékelése tekintetében javasolt értékelési megközelítésekre</w:t>
      </w:r>
      <w:r>
        <w:tab/>
        <w:t>2</w:t>
      </w:r>
      <w:r w:rsidR="003D135E">
        <w:t>8</w:t>
      </w:r>
    </w:p>
    <w:p w:rsidR="00FE491B" w:rsidRPr="00571D58" w:rsidRDefault="00FE491B" w:rsidP="00FE491B">
      <w:pPr>
        <w:pStyle w:val="HContent"/>
      </w:pPr>
      <w:r>
        <w:lastRenderedPageBreak/>
        <w:t>Rövidítések jegyzéke</w:t>
      </w:r>
    </w:p>
    <w:p w:rsidR="00FE491B" w:rsidRDefault="00FE491B" w:rsidP="00FE491B">
      <w:pPr>
        <w:pStyle w:val="HStandard"/>
        <w:ind w:left="993" w:hanging="993"/>
      </w:pPr>
      <w:r>
        <w:t>AIR</w:t>
      </w:r>
      <w:r>
        <w:tab/>
      </w:r>
      <w:r>
        <w:tab/>
      </w:r>
      <w:r w:rsidR="00A04992">
        <w:t>Annual Implementation Report (</w:t>
      </w:r>
      <w:r w:rsidR="00A04992" w:rsidRPr="00A04992">
        <w:t>Éves végrehajtási jelentés</w:t>
      </w:r>
      <w:r w:rsidR="00A04992">
        <w:t>)</w:t>
      </w:r>
    </w:p>
    <w:p w:rsidR="000E7442" w:rsidRPr="000E7442" w:rsidRDefault="000E7442" w:rsidP="000E7442">
      <w:pPr>
        <w:pStyle w:val="HStandard"/>
      </w:pPr>
      <w:r w:rsidRPr="000E7442">
        <w:t>ASZ</w:t>
      </w:r>
      <w:r w:rsidRPr="000E7442">
        <w:tab/>
      </w:r>
      <w:r w:rsidRPr="000E7442">
        <w:tab/>
        <w:t>Adatszolgáltató</w:t>
      </w:r>
    </w:p>
    <w:p w:rsidR="00FE491B" w:rsidRPr="001C6ACF" w:rsidRDefault="00FE491B" w:rsidP="00FE491B">
      <w:pPr>
        <w:pStyle w:val="HStandard"/>
        <w:ind w:left="993" w:hanging="993"/>
      </w:pPr>
      <w:r>
        <w:t>ATT</w:t>
      </w:r>
      <w:r>
        <w:tab/>
      </w:r>
      <w:r>
        <w:tab/>
      </w:r>
      <w:r w:rsidR="00A04992" w:rsidRPr="00A04992">
        <w:t>Average Treatment Effects on Treated</w:t>
      </w:r>
      <w:r w:rsidR="00A04992">
        <w:t xml:space="preserve"> (</w:t>
      </w:r>
      <w:r w:rsidR="00A04992" w:rsidRPr="00A04992">
        <w:t>A kezeltekre gyakorolt átlagos kezelési hatás</w:t>
      </w:r>
      <w:r w:rsidR="00A04992">
        <w:t>)</w:t>
      </w:r>
    </w:p>
    <w:p w:rsidR="00FE491B" w:rsidRPr="001C6ACF" w:rsidRDefault="00FE491B" w:rsidP="00FE491B">
      <w:pPr>
        <w:pStyle w:val="HStandard"/>
        <w:ind w:left="993" w:hanging="993"/>
      </w:pPr>
      <w:r>
        <w:t xml:space="preserve">CGE </w:t>
      </w:r>
      <w:r>
        <w:tab/>
      </w:r>
      <w:r>
        <w:tab/>
      </w:r>
      <w:r w:rsidR="00DA56A4" w:rsidRPr="00DA56A4">
        <w:t>Computable General Equilibrium</w:t>
      </w:r>
      <w:r w:rsidR="00DA56A4">
        <w:t xml:space="preserve"> (</w:t>
      </w:r>
      <w:r>
        <w:t>Számszerűsített általános egyensúly</w:t>
      </w:r>
      <w:r w:rsidR="00DA56A4">
        <w:t>)</w:t>
      </w:r>
    </w:p>
    <w:p w:rsidR="00A04992" w:rsidRPr="00A04992" w:rsidRDefault="00A04992" w:rsidP="00A04992">
      <w:pPr>
        <w:pStyle w:val="HStandard"/>
      </w:pPr>
      <w:r w:rsidRPr="00A04992">
        <w:t>CLLD</w:t>
      </w:r>
      <w:r w:rsidRPr="00A04992">
        <w:tab/>
      </w:r>
      <w:r w:rsidRPr="00A04992">
        <w:tab/>
      </w:r>
      <w:r w:rsidR="00DA56A4" w:rsidRPr="00DA56A4">
        <w:t>Community-Led Local Development</w:t>
      </w:r>
      <w:r w:rsidR="00DA56A4">
        <w:t xml:space="preserve"> (</w:t>
      </w:r>
      <w:r w:rsidRPr="00A04992">
        <w:t>Közösségvezérelt helyi fejlesztés</w:t>
      </w:r>
      <w:r w:rsidR="00DA56A4">
        <w:t>)</w:t>
      </w:r>
    </w:p>
    <w:p w:rsidR="00FE491B" w:rsidRPr="001C6ACF" w:rsidRDefault="00FE491B" w:rsidP="00FE491B">
      <w:pPr>
        <w:pStyle w:val="HStandard"/>
        <w:ind w:left="993" w:hanging="993"/>
      </w:pPr>
      <w:r>
        <w:t xml:space="preserve">CMES </w:t>
      </w:r>
      <w:r>
        <w:tab/>
      </w:r>
      <w:r>
        <w:tab/>
      </w:r>
      <w:r w:rsidR="00DA56A4" w:rsidRPr="00DA56A4">
        <w:t>Common Monitoring and Evaluation System</w:t>
      </w:r>
      <w:r w:rsidR="00DA56A4">
        <w:t xml:space="preserve"> (</w:t>
      </w:r>
      <w:r>
        <w:t>Közös monitoring- és értékelési rendszer</w:t>
      </w:r>
      <w:r w:rsidR="00DA56A4">
        <w:t>)</w:t>
      </w:r>
    </w:p>
    <w:p w:rsidR="00FE491B" w:rsidRPr="001C6ACF" w:rsidRDefault="007008C0" w:rsidP="00FE491B">
      <w:pPr>
        <w:pStyle w:val="HStandard"/>
        <w:ind w:left="993" w:hanging="993"/>
      </w:pPr>
      <w:r>
        <w:t>DiD</w:t>
      </w:r>
      <w:r>
        <w:tab/>
      </w:r>
      <w:r>
        <w:tab/>
      </w:r>
      <w:r w:rsidR="00DA56A4" w:rsidRPr="00DA56A4">
        <w:t>Difference in Differences</w:t>
      </w:r>
      <w:r w:rsidR="00DA56A4">
        <w:t xml:space="preserve"> (</w:t>
      </w:r>
      <w:r>
        <w:t>Különbségek különbsége</w:t>
      </w:r>
      <w:r w:rsidR="00DA56A4">
        <w:t>)</w:t>
      </w:r>
    </w:p>
    <w:p w:rsidR="000E7442" w:rsidRPr="000E7442" w:rsidRDefault="000E7442" w:rsidP="000E7442">
      <w:pPr>
        <w:pStyle w:val="HStandard"/>
      </w:pPr>
      <w:r w:rsidRPr="000E7442">
        <w:t>ÉICS</w:t>
      </w:r>
      <w:r w:rsidRPr="000E7442">
        <w:tab/>
      </w:r>
      <w:r w:rsidRPr="000E7442">
        <w:tab/>
        <w:t>Értékelési irányítócsoport</w:t>
      </w:r>
    </w:p>
    <w:p w:rsidR="00FE491B" w:rsidRPr="001C6ACF" w:rsidRDefault="00FE491B" w:rsidP="00FE491B">
      <w:pPr>
        <w:pStyle w:val="HStandard"/>
        <w:ind w:left="993" w:hanging="993"/>
      </w:pPr>
      <w:r>
        <w:t>EIP</w:t>
      </w:r>
      <w:r>
        <w:tab/>
      </w:r>
      <w:r>
        <w:tab/>
        <w:t>Európai innovációs partnerség</w:t>
      </w:r>
    </w:p>
    <w:p w:rsidR="00010467" w:rsidRPr="00010467" w:rsidRDefault="00010467" w:rsidP="00010467">
      <w:pPr>
        <w:pStyle w:val="HStandard"/>
      </w:pPr>
      <w:r w:rsidRPr="00010467">
        <w:t>ÉO</w:t>
      </w:r>
      <w:r w:rsidRPr="00010467">
        <w:tab/>
      </w:r>
      <w:r w:rsidRPr="00010467">
        <w:tab/>
        <w:t>Értékelési osztály</w:t>
      </w:r>
    </w:p>
    <w:p w:rsidR="00010467" w:rsidRPr="00010467" w:rsidRDefault="00010467" w:rsidP="00010467">
      <w:pPr>
        <w:pStyle w:val="HStandard"/>
      </w:pPr>
      <w:r w:rsidRPr="00010467">
        <w:t>Ér</w:t>
      </w:r>
      <w:r w:rsidRPr="00010467">
        <w:tab/>
      </w:r>
      <w:r w:rsidRPr="00010467">
        <w:tab/>
        <w:t>Értékelő</w:t>
      </w:r>
    </w:p>
    <w:p w:rsidR="00FE491B" w:rsidRPr="001C6ACF" w:rsidRDefault="00FE491B" w:rsidP="00FE491B">
      <w:pPr>
        <w:pStyle w:val="HStandard"/>
        <w:ind w:left="993" w:hanging="993"/>
      </w:pPr>
      <w:r>
        <w:t>esb-alapok</w:t>
      </w:r>
      <w:r>
        <w:tab/>
      </w:r>
      <w:r>
        <w:tab/>
        <w:t>Európai strukturális és beruházási alapok</w:t>
      </w:r>
    </w:p>
    <w:p w:rsidR="00FE491B" w:rsidRPr="001C6ACF" w:rsidRDefault="00FE491B" w:rsidP="00FE491B">
      <w:pPr>
        <w:pStyle w:val="HStandard"/>
        <w:ind w:left="993" w:hanging="993"/>
      </w:pPr>
      <w:r>
        <w:t>EU</w:t>
      </w:r>
      <w:r>
        <w:tab/>
      </w:r>
      <w:r>
        <w:tab/>
        <w:t>Európai Unió</w:t>
      </w:r>
    </w:p>
    <w:p w:rsidR="00FE491B" w:rsidRPr="001C6ACF" w:rsidRDefault="00FE491B" w:rsidP="00FE491B">
      <w:pPr>
        <w:pStyle w:val="HStandard"/>
        <w:ind w:left="993" w:hanging="993"/>
      </w:pPr>
      <w:r>
        <w:t>FADN</w:t>
      </w:r>
      <w:r>
        <w:tab/>
      </w:r>
      <w:r>
        <w:tab/>
      </w:r>
      <w:r w:rsidR="003D2A72" w:rsidRPr="003D2A72">
        <w:t>Farm Accountancy Data Network</w:t>
      </w:r>
      <w:r w:rsidR="003D2A72">
        <w:t xml:space="preserve"> (</w:t>
      </w:r>
      <w:r>
        <w:t>Mezőgazdasági számviteli információs hálózat</w:t>
      </w:r>
      <w:r w:rsidR="003D2A72">
        <w:t>)</w:t>
      </w:r>
    </w:p>
    <w:p w:rsidR="00FE491B" w:rsidRPr="001C6ACF" w:rsidRDefault="00FE491B" w:rsidP="00FE491B">
      <w:pPr>
        <w:pStyle w:val="HStandard"/>
        <w:ind w:left="993" w:hanging="993"/>
      </w:pPr>
      <w:r>
        <w:t>GDP</w:t>
      </w:r>
      <w:r>
        <w:tab/>
      </w:r>
      <w:r>
        <w:tab/>
      </w:r>
      <w:r w:rsidR="005425E3">
        <w:t>Gross Domestic Product (</w:t>
      </w:r>
      <w:r>
        <w:t>Bruttó hazai termék</w:t>
      </w:r>
      <w:r w:rsidR="005425E3">
        <w:t>)</w:t>
      </w:r>
    </w:p>
    <w:p w:rsidR="00FE491B" w:rsidRPr="001C6ACF" w:rsidRDefault="00FE491B" w:rsidP="00FE491B">
      <w:pPr>
        <w:pStyle w:val="HStandard"/>
        <w:ind w:left="993" w:hanging="993"/>
      </w:pPr>
      <w:r>
        <w:t>GIS</w:t>
      </w:r>
      <w:r>
        <w:tab/>
      </w:r>
      <w:r>
        <w:tab/>
      </w:r>
      <w:r w:rsidR="00C416B1" w:rsidRPr="00C416B1">
        <w:t>Geographic Information System</w:t>
      </w:r>
      <w:r w:rsidR="00C416B1">
        <w:t xml:space="preserve"> (</w:t>
      </w:r>
      <w:r>
        <w:t>Földrajzi információs rendszer</w:t>
      </w:r>
      <w:r w:rsidR="00C416B1">
        <w:t>)</w:t>
      </w:r>
    </w:p>
    <w:p w:rsidR="00FE491B" w:rsidRPr="001C6ACF" w:rsidRDefault="000D1D6C" w:rsidP="000D1D6C">
      <w:pPr>
        <w:pStyle w:val="HStandard"/>
        <w:ind w:left="1418" w:hanging="1418"/>
      </w:pPr>
      <w:r>
        <w:t>GPSM</w:t>
      </w:r>
      <w:r>
        <w:tab/>
      </w:r>
      <w:r w:rsidR="00C416B1" w:rsidRPr="00C416B1">
        <w:t>Generalised Propensity Score Matching</w:t>
      </w:r>
      <w:r w:rsidR="00C416B1">
        <w:t xml:space="preserve"> (</w:t>
      </w:r>
      <w:r w:rsidR="00FE491B">
        <w:t>Generalizált hajlandósági mutató alapján végzett párosítás</w:t>
      </w:r>
      <w:r w:rsidR="00C416B1">
        <w:t>)</w:t>
      </w:r>
    </w:p>
    <w:p w:rsidR="00FE491B" w:rsidRPr="001C6ACF" w:rsidRDefault="00FE491B" w:rsidP="00FE491B">
      <w:pPr>
        <w:pStyle w:val="HStandard"/>
        <w:ind w:left="993" w:hanging="993"/>
      </w:pPr>
      <w:r>
        <w:t>IH</w:t>
      </w:r>
      <w:r>
        <w:tab/>
      </w:r>
      <w:r>
        <w:tab/>
        <w:t>Irányító hatóság</w:t>
      </w:r>
    </w:p>
    <w:p w:rsidR="00A04992" w:rsidRPr="00A04992" w:rsidRDefault="00A04992" w:rsidP="00A04992">
      <w:pPr>
        <w:pStyle w:val="HStandard"/>
      </w:pPr>
      <w:r>
        <w:t>KAP</w:t>
      </w:r>
      <w:r>
        <w:tab/>
      </w:r>
      <w:r>
        <w:tab/>
        <w:t>Közös agrárpolitika</w:t>
      </w:r>
    </w:p>
    <w:p w:rsidR="0089702F" w:rsidRPr="0089702F" w:rsidRDefault="0089702F" w:rsidP="0089702F">
      <w:pPr>
        <w:pStyle w:val="HStandard"/>
        <w:ind w:left="1320" w:hanging="1320"/>
      </w:pPr>
      <w:r w:rsidRPr="0089702F">
        <w:t>KÜ</w:t>
      </w:r>
      <w:r w:rsidRPr="0089702F">
        <w:tab/>
      </w:r>
      <w:r w:rsidRPr="0089702F">
        <w:tab/>
        <w:t>Kifizető ügynökség</w:t>
      </w:r>
    </w:p>
    <w:p w:rsidR="005124EA" w:rsidRPr="005124EA" w:rsidRDefault="005124EA" w:rsidP="000D1D6C">
      <w:pPr>
        <w:pStyle w:val="HStandard"/>
        <w:ind w:left="1418" w:hanging="1418"/>
      </w:pPr>
      <w:r w:rsidRPr="005124EA">
        <w:t>LUCAS</w:t>
      </w:r>
      <w:r w:rsidRPr="005124EA">
        <w:tab/>
        <w:t>Land Use and Coverage Area Frame Survey (Földhasználati és földfelszín-borítottsági összeírás)</w:t>
      </w:r>
    </w:p>
    <w:p w:rsidR="00FE491B" w:rsidRPr="001C6ACF" w:rsidRDefault="00FE491B" w:rsidP="00FE491B">
      <w:pPr>
        <w:pStyle w:val="HStandard"/>
        <w:ind w:left="993" w:hanging="993"/>
      </w:pPr>
      <w:r>
        <w:t>MB</w:t>
      </w:r>
      <w:r>
        <w:tab/>
      </w:r>
      <w:r>
        <w:tab/>
        <w:t>Monitoringbizottság</w:t>
      </w:r>
    </w:p>
    <w:p w:rsidR="00FE491B" w:rsidRPr="001C6ACF" w:rsidRDefault="00FE491B" w:rsidP="000D1D6C">
      <w:pPr>
        <w:pStyle w:val="HStandard"/>
        <w:ind w:left="1418" w:hanging="1418"/>
      </w:pPr>
      <w:r>
        <w:t>NUTS</w:t>
      </w:r>
      <w:r>
        <w:tab/>
      </w:r>
      <w:r w:rsidR="0089702F" w:rsidRPr="0089702F">
        <w:t>Nomenclature of Units for Territorial Statistics</w:t>
      </w:r>
      <w:r w:rsidR="0089702F">
        <w:t xml:space="preserve"> (</w:t>
      </w:r>
      <w:r>
        <w:t>A statisztikai célú területi egységek nómenklatúrája</w:t>
      </w:r>
      <w:r w:rsidR="0089702F">
        <w:t>)</w:t>
      </w:r>
    </w:p>
    <w:p w:rsidR="00FE491B" w:rsidRPr="001C6ACF" w:rsidRDefault="00FE491B" w:rsidP="00FE491B">
      <w:pPr>
        <w:pStyle w:val="HStandard"/>
        <w:ind w:left="993" w:hanging="993"/>
      </w:pPr>
      <w:r>
        <w:t>PSM</w:t>
      </w:r>
      <w:r>
        <w:tab/>
      </w:r>
      <w:r>
        <w:tab/>
      </w:r>
      <w:r w:rsidR="0089702F" w:rsidRPr="0089702F">
        <w:t>Propensity Score Matching</w:t>
      </w:r>
      <w:r w:rsidR="0089702F">
        <w:t xml:space="preserve"> (</w:t>
      </w:r>
      <w:r>
        <w:t>Hajlandósági mutató alapján végzett párosítás</w:t>
      </w:r>
      <w:r w:rsidR="0089702F">
        <w:t>)</w:t>
      </w:r>
    </w:p>
    <w:p w:rsidR="00FE491B" w:rsidRPr="001C6ACF" w:rsidRDefault="00FE491B" w:rsidP="00FE491B">
      <w:pPr>
        <w:pStyle w:val="HStandard"/>
        <w:ind w:left="993" w:hanging="993"/>
      </w:pPr>
      <w:r>
        <w:t>RDD</w:t>
      </w:r>
      <w:r>
        <w:tab/>
      </w:r>
      <w:r>
        <w:tab/>
      </w:r>
      <w:r w:rsidR="0089702F" w:rsidRPr="0089702F">
        <w:t>Regression Discontinuity Design</w:t>
      </w:r>
      <w:r w:rsidR="0089702F">
        <w:t xml:space="preserve"> (</w:t>
      </w:r>
      <w:r>
        <w:t>Szakadásos regresszió módszere</w:t>
      </w:r>
      <w:r w:rsidR="0089702F">
        <w:t>)</w:t>
      </w:r>
    </w:p>
    <w:p w:rsidR="0089702F" w:rsidRPr="0089702F" w:rsidRDefault="0089702F" w:rsidP="0089702F">
      <w:pPr>
        <w:pStyle w:val="HStandard"/>
      </w:pPr>
      <w:r w:rsidRPr="0089702F">
        <w:t>SFC</w:t>
      </w:r>
      <w:r w:rsidRPr="0089702F">
        <w:tab/>
      </w:r>
      <w:r w:rsidRPr="0089702F">
        <w:tab/>
        <w:t>Shared Fund Management Common System (Közös alapkezelő rendszer)</w:t>
      </w:r>
    </w:p>
    <w:p w:rsidR="0089702F" w:rsidRPr="0089702F" w:rsidRDefault="0089702F" w:rsidP="0089702F">
      <w:pPr>
        <w:pStyle w:val="HStandard"/>
      </w:pPr>
      <w:r w:rsidRPr="0089702F">
        <w:t>TBE</w:t>
      </w:r>
      <w:r w:rsidRPr="0089702F">
        <w:tab/>
      </w:r>
      <w:r w:rsidRPr="0089702F">
        <w:tab/>
        <w:t>Theory-Based Evaluation (Elméletalapú értékelés)</w:t>
      </w:r>
    </w:p>
    <w:p w:rsidR="00FE491B" w:rsidRPr="001C6ACF" w:rsidRDefault="00FE491B" w:rsidP="00FE491B">
      <w:pPr>
        <w:pStyle w:val="HStandard"/>
        <w:ind w:left="993" w:hanging="993"/>
      </w:pPr>
      <w:r>
        <w:t>VFP</w:t>
      </w:r>
      <w:r>
        <w:tab/>
      </w:r>
      <w:r>
        <w:tab/>
        <w:t>Vidékfejlesztési program</w:t>
      </w:r>
    </w:p>
    <w:p w:rsidR="00D32538" w:rsidRPr="001C6ACF" w:rsidRDefault="00D32538" w:rsidP="0095356C">
      <w:pPr>
        <w:pStyle w:val="HStandard"/>
        <w:ind w:left="993" w:hanging="993"/>
        <w:sectPr w:rsidR="00D32538" w:rsidRPr="001C6ACF" w:rsidSect="00123A56">
          <w:headerReference w:type="default" r:id="rId12"/>
          <w:footerReference w:type="first" r:id="rId13"/>
          <w:pgSz w:w="11906" w:h="16838" w:code="9"/>
          <w:pgMar w:top="1440" w:right="1226"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Köszönetnyilvánítás</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Ezt az iránymutatást egy vidékfejlesztés-értékeléssel foglalkozó szakértőkből álló nemzetközi csapat dolgozta ki, amelynek tagjai között volt Jerzy Michalek (ágazati hatások), Demetrios Psaltopoulos (társadalmi-gazdasági hatások), Marili Parisaki (kvalitatív módszerek), Tomáš Ratinger (ágazati hatások), Gerald Schwarz (környezeti hatások), Dimitris Skuras (környezeti hatások), Darko Znaor (környezeti hatások). A kapcsolódó tematikus munkacsoportot az értékelési támogató szolgálat koordinálta Jela Tvrodonova és Hannes Wimmer felügyelete mellett. Valérie Dumont, Myles Stiffler, Matteo Metta, Valdis Kudins és Harriet Mackaill-Hill támogatta a fejlesztési munkát, és biztosította a végleges iránymutatás minőségét és vizuális megjelenését. </w:t>
      </w:r>
    </w:p>
    <w:p w:rsidR="00EB120C" w:rsidRPr="001C6ACF" w:rsidRDefault="00EB120C" w:rsidP="00EB120C">
      <w:pPr>
        <w:spacing w:after="120" w:line="280" w:lineRule="atLeast"/>
        <w:rPr>
          <w:i/>
          <w:iCs/>
          <w:color w:val="373737" w:themeColor="text1"/>
          <w:sz w:val="20"/>
          <w:szCs w:val="20"/>
        </w:rPr>
      </w:pPr>
      <w:r>
        <w:rPr>
          <w:i/>
          <w:color w:val="373737" w:themeColor="text1"/>
          <w:sz w:val="20"/>
        </w:rPr>
        <w:t>Számos szakértő végzett szakmai felülvizsgálatot (Rolf Bergs, Kit Macleod, Žymantas Morkvėnas). A Mezőgazdasági és Vidékfejlesztési Főigazgatóság képviselői gondoskodtak arról, hogy az iránymutatás összhangban legyen az uniós szakpolitikai kerettel.</w:t>
      </w:r>
    </w:p>
    <w:p w:rsidR="006F7D30" w:rsidRPr="001C6ACF" w:rsidRDefault="00EB120C" w:rsidP="00EB120C">
      <w:pPr>
        <w:pStyle w:val="HStandard"/>
      </w:pPr>
      <w:r>
        <w:rPr>
          <w:i/>
        </w:rPr>
        <w:t>A tagállamok képviselői a 2018. januári és áprilisi véleményező testületi konzultáció során megjegyzéseket fűztek az iránymutatás tervezeteihez. A KAP monitoringját és értékelését végző szakértői csoport tagjai 2018 júniusában megjegyzésekkel látták el a végleges tervezetet.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BEVEZETÉS</w:t>
      </w:r>
    </w:p>
    <w:p w:rsidR="00CD63F6" w:rsidRPr="001C6ACF" w:rsidRDefault="00CD63F6" w:rsidP="00CD63F6">
      <w:pPr>
        <w:pStyle w:val="HHeading4"/>
      </w:pPr>
      <w:r>
        <w:t>Az értékelés jelentősége</w:t>
      </w:r>
    </w:p>
    <w:p w:rsidR="00CD63F6" w:rsidRPr="001C6ACF" w:rsidRDefault="00CD63F6" w:rsidP="00CD63F6">
      <w:pPr>
        <w:pStyle w:val="HStandard"/>
      </w:pPr>
      <w:r>
        <w:t xml:space="preserve">Az európai strukturális és beruházási alapok (esb-alapok) a fő uniós prioritásokkal kapcsolatos fellépések támogatása szempontjából jelentős </w:t>
      </w:r>
      <w:r>
        <w:rPr>
          <w:b/>
        </w:rPr>
        <w:t>közfinanszírozási eszközök</w:t>
      </w:r>
      <w:r>
        <w:t xml:space="preserve">, amelyek biztosítására a tagállamok és régiók többéves programjain keresztül kerül sor. Ezért a politikai döntéshozók és a nyilvánosság érdeke annak ismerete, hogy a pénzt felelősen költik-e el, a várt eredmények megvalósulnak-e, és a beavatkozások a megfelelő kedvezményezetteket célozzák-e az uniós szakpolitikai célok elérése tekintetében. </w:t>
      </w:r>
    </w:p>
    <w:p w:rsidR="00CD63F6" w:rsidRPr="001C6ACF" w:rsidRDefault="00CD63F6" w:rsidP="00CC00DA">
      <w:pPr>
        <w:pStyle w:val="HStandard"/>
      </w:pPr>
      <w:r>
        <w:t xml:space="preserve">Az </w:t>
      </w:r>
      <w:r>
        <w:rPr>
          <w:b/>
        </w:rPr>
        <w:t>értékelés</w:t>
      </w:r>
      <w:r>
        <w:t xml:space="preserve"> olyan eszköz, amely a szakpolitika hatékonyságát, eredményességét, eredményeit, hatásait</w:t>
      </w:r>
      <w:r>
        <w:rPr>
          <w:rStyle w:val="FootnoteReference"/>
        </w:rPr>
        <w:footnoteReference w:id="1"/>
      </w:r>
      <w:r>
        <w:t xml:space="preserve">, relevanciáját és koherenciáját, valamint az EU hozzáadott értékét méri az elszámoltathatóság és az átláthatóság biztosítása és végeredményben a szakpolitika tervezésének javítása érdekében. A vidékfejlesztés tekintetében a </w:t>
      </w:r>
      <w:r>
        <w:rPr>
          <w:b/>
        </w:rPr>
        <w:t>2014–2020 közötti programozási időszak során</w:t>
      </w:r>
      <w:r>
        <w:t xml:space="preserve"> két értékelési mérföldkőről beszélhetünk. Az egyik a 2017. évhez kapcsolódott, amikor a döntéshozók a szakpolitika eredményeit mérték fel, a másikat pedig a szakpolitika eredményeinek és hatásainak 2019. évi vizsgálata képezi. Ezenkívül </w:t>
      </w:r>
      <w:r>
        <w:rPr>
          <w:b/>
        </w:rPr>
        <w:t>a programozási időszakot követően</w:t>
      </w:r>
      <w:r>
        <w:t xml:space="preserve"> utólagos értékelést is végeznek.</w:t>
      </w:r>
      <w:r>
        <w:rPr>
          <w:b/>
        </w:rPr>
        <w:t xml:space="preserve"> </w:t>
      </w:r>
    </w:p>
    <w:p w:rsidR="00CD63F6" w:rsidRPr="001C6ACF" w:rsidRDefault="00CD63F6" w:rsidP="005C0884">
      <w:pPr>
        <w:pStyle w:val="HHeading4"/>
      </w:pPr>
      <w:r>
        <w:t xml:space="preserve">Az iránymutatások célja </w:t>
      </w:r>
    </w:p>
    <w:p w:rsidR="00CD63F6" w:rsidRPr="00571D58" w:rsidRDefault="00BD7C99" w:rsidP="00CD63F6">
      <w:pPr>
        <w:pStyle w:val="HStandard"/>
      </w:pPr>
      <w:r>
        <w:t>A jogi keret arra kötelezi a tagállamokat 2019-ben, hogy készítsenek jelentést a VFP-nek a program célkitűzései tekintetében elért eredményeiről, valamint az intelligens, fenntartható és inkluzív növekedést célzó európai stratégiához való hozzájárulásáról. Ezt a 2019. évi éves végrehajtási jelentéseken keresztül lehet megvalósítani. Az értékelésnek meg kell vizsgálnia a programnak a KAP hatásmutató-értékeiben mutatkozó változáshoz való nettó hozzájárulását, és meg kell válaszolnia az értékelési kérdéseket</w:t>
      </w:r>
      <w:r>
        <w:rPr>
          <w:rStyle w:val="FootnoteReference"/>
        </w:rPr>
        <w:footnoteReference w:id="2"/>
      </w:r>
      <w:r>
        <w:t xml:space="preserve">. </w:t>
      </w:r>
    </w:p>
    <w:p w:rsidR="00CD63F6" w:rsidRPr="001C6ACF" w:rsidRDefault="009642AA" w:rsidP="009F77FD">
      <w:pPr>
        <w:pStyle w:val="HStandard"/>
      </w:pPr>
      <w:r>
        <w:t xml:space="preserve">Ez az iránymutatás a 2019. évi éves végrehajtási jelentésre vonatkozó értékelési tevékenységekkel kapcsolatos </w:t>
      </w:r>
      <w:r>
        <w:rPr>
          <w:b/>
        </w:rPr>
        <w:t>kihívások vizsgálatát</w:t>
      </w:r>
      <w:r>
        <w:t xml:space="preserve">; a VFP-nek a KAP közös hatásmutatóihoz való nettó hozzájárulásának megbecsülését célzó </w:t>
      </w:r>
      <w:r>
        <w:rPr>
          <w:b/>
        </w:rPr>
        <w:t>gyakorlati megközelítések bemutatását</w:t>
      </w:r>
      <w:r>
        <w:t xml:space="preserve"> és az uniós szintű célok elérésében mutatott fejlődés felmérését; valamint a 22–30. sz. közös értékelési kérdések </w:t>
      </w:r>
      <w:r>
        <w:rPr>
          <w:b/>
        </w:rPr>
        <w:t>megválaszolásának</w:t>
      </w:r>
      <w:r>
        <w:t xml:space="preserve"> és a 2019-ben benyújtandó éves értékelési jelentésekben szereplő értékelési megállapításokra vonatkozó, az Európai Bizottság felé teljesítendő jelentéstételnek a </w:t>
      </w:r>
      <w:r>
        <w:rPr>
          <w:b/>
        </w:rPr>
        <w:t>támogatását</w:t>
      </w:r>
      <w:r>
        <w:t xml:space="preserve"> célozza.</w:t>
      </w:r>
    </w:p>
    <w:p w:rsidR="00CD63F6" w:rsidRPr="001C6ACF" w:rsidRDefault="00CD63F6" w:rsidP="005C0884">
      <w:pPr>
        <w:pStyle w:val="HHeading4"/>
      </w:pPr>
      <w:r>
        <w:t xml:space="preserve">Az iránymutatás szerkezete és tartalma </w:t>
      </w:r>
    </w:p>
    <w:p w:rsidR="00CD63F6" w:rsidRPr="001C6ACF" w:rsidRDefault="00BD7C99" w:rsidP="005C0884">
      <w:pPr>
        <w:pStyle w:val="HStandard"/>
      </w:pPr>
      <w:r>
        <w:t xml:space="preserve">Az </w:t>
      </w:r>
      <w:r>
        <w:rPr>
          <w:i/>
        </w:rPr>
        <w:t>Assessing RDP achievements and impacts in 2019 (A VFP eredményeinek és hatásainak 2019. évi értékelése)</w:t>
      </w:r>
      <w:r>
        <w:t xml:space="preserve"> című, </w:t>
      </w:r>
      <w:r>
        <w:rPr>
          <w:b/>
        </w:rPr>
        <w:t>NEM KÖTELEZŐ EREJŰ iránymutatás</w:t>
      </w:r>
      <w:r>
        <w:t xml:space="preserve"> az alábbiakra terjed ki: </w:t>
      </w:r>
    </w:p>
    <w:p w:rsidR="00CD63F6" w:rsidRPr="001C6ACF" w:rsidRDefault="008358D0" w:rsidP="00AD4DC6">
      <w:pPr>
        <w:pStyle w:val="Hlistbullet"/>
        <w:spacing w:line="276" w:lineRule="auto"/>
      </w:pPr>
      <w:r>
        <w:rPr>
          <w:b/>
          <w:color w:val="F07E31" w:themeColor="accent1"/>
        </w:rPr>
        <w:t>I. RÉSZ</w:t>
      </w:r>
      <w:r>
        <w:t xml:space="preserve"> </w:t>
      </w:r>
      <w:r>
        <w:rPr>
          <w:b/>
          <w:color w:val="F07E31" w:themeColor="accent1"/>
        </w:rPr>
        <w:t xml:space="preserve">(elsősorban az irányító hatóságok számára): </w:t>
      </w:r>
      <w:r>
        <w:t xml:space="preserve">ismerteti a jogi követelményeket és a 22–30. sz. közös értékelési kérdésekre vonatkozó, 2019. évi jelentéstétel módját. Az I. rész más meglévő iránymutatásokra hivatkozik. </w:t>
      </w:r>
    </w:p>
    <w:p w:rsidR="00CD63F6" w:rsidRPr="001C6ACF" w:rsidRDefault="008358D0" w:rsidP="00AD4DC6">
      <w:pPr>
        <w:pStyle w:val="Hlistbullet"/>
        <w:spacing w:line="276" w:lineRule="auto"/>
      </w:pPr>
      <w:r>
        <w:rPr>
          <w:b/>
          <w:color w:val="F07E31" w:themeColor="accent1"/>
        </w:rPr>
        <w:t>II. RÉSZ</w:t>
      </w:r>
      <w:r>
        <w:t xml:space="preserve"> </w:t>
      </w:r>
      <w:r>
        <w:rPr>
          <w:b/>
          <w:color w:val="F07E31" w:themeColor="accent1"/>
        </w:rPr>
        <w:t>(elsősorban értékelők számára):</w:t>
      </w:r>
      <w:r>
        <w:t xml:space="preserve"> módszertani támogatást kínál a II. pillér közös hatásmutatóinak értékelésére (ágazati, környezeti és társadalmi-gazdasági hatások). Ez a rész a beavatkozási logikát, a további értékelési tényezők használatát, az adatszolgáltatási követelményeket és az értékelési egységeket ismerteti, valamint iránymutatást nyújt az </w:t>
      </w:r>
      <w:r>
        <w:lastRenderedPageBreak/>
        <w:t xml:space="preserve">olvasónak a VFP-nek a KAP hatásmutató-értékeihez való nettó hozzájárulását kiszűrő, legmegfelelőbb értékelési megközelítés kiválasztásában. A II. rész továbbá megközelítéseket javasol a VFP által az Európa 2020 stratégia és az innováció megvalósításához biztosított hozzájárulás értékeléséhez. </w:t>
      </w:r>
    </w:p>
    <w:p w:rsidR="00800238" w:rsidRPr="001C6ACF" w:rsidRDefault="00800238" w:rsidP="00AD4DC6">
      <w:pPr>
        <w:pStyle w:val="Hlistbullet"/>
        <w:spacing w:line="276" w:lineRule="auto"/>
      </w:pPr>
      <w:r>
        <w:rPr>
          <w:b/>
          <w:color w:val="F07E31" w:themeColor="accent1"/>
        </w:rPr>
        <w:t>III. RÉSZ:</w:t>
      </w:r>
      <w:r>
        <w:rPr>
          <w:color w:val="F07E31" w:themeColor="accent1"/>
        </w:rPr>
        <w:t xml:space="preserve"> </w:t>
      </w:r>
      <w:r>
        <w:t>a 22–30. sz. közös értékelési kérdések megválaszolására szolgáló adatlapokat tartalmazza.</w:t>
      </w:r>
    </w:p>
    <w:p w:rsidR="00CD63F6" w:rsidRPr="001C6ACF" w:rsidRDefault="00FE491B" w:rsidP="00AD4DC6">
      <w:pPr>
        <w:pStyle w:val="Hlistbullet"/>
        <w:spacing w:line="276" w:lineRule="auto"/>
      </w:pPr>
      <w:r>
        <w:rPr>
          <w:b/>
          <w:color w:val="F07E31" w:themeColor="accent1"/>
        </w:rPr>
        <w:t xml:space="preserve">IV. RÉSZ: </w:t>
      </w:r>
      <w:r>
        <w:t xml:space="preserve">a műszaki mellékletet tartalmazza, amely a KAP hatásmutatóinak értékelésére irányuló megközelítésekre vonatkozó részletes információkat és a kifejezések jegyzékét foglalja magában. </w:t>
      </w:r>
    </w:p>
    <w:p w:rsidR="001C2076" w:rsidRPr="00BA61D6" w:rsidRDefault="001C2076" w:rsidP="004A654B">
      <w:pPr>
        <w:pStyle w:val="HHeading1"/>
        <w:ind w:left="454" w:hanging="454"/>
        <w:rPr>
          <w:sz w:val="28"/>
        </w:rPr>
      </w:pPr>
      <w:r w:rsidRPr="00BA61D6">
        <w:rPr>
          <w:sz w:val="28"/>
        </w:rPr>
        <w:lastRenderedPageBreak/>
        <w:t>Mit kell jelenteni a 2019-ben benyújtandó éves végrehajtási jelentés értékelésében? (I. rész)</w:t>
      </w:r>
    </w:p>
    <w:p w:rsidR="001C2076" w:rsidRPr="001C6ACF" w:rsidRDefault="004A654B" w:rsidP="00497FC8">
      <w:pPr>
        <w:pStyle w:val="HHeading2"/>
        <w:ind w:left="454" w:hanging="454"/>
      </w:pPr>
      <w:r>
        <w:t xml:space="preserve"> </w:t>
      </w:r>
      <w:r w:rsidR="000C5796">
        <w:t xml:space="preserve">A 2019. évi értékelés jogi kerete és fő hangsúlya </w:t>
      </w:r>
    </w:p>
    <w:p w:rsidR="00B013D7" w:rsidRPr="00571D58" w:rsidRDefault="006A3698" w:rsidP="001C2076">
      <w:pPr>
        <w:pStyle w:val="HStandard"/>
      </w:pPr>
      <w:r>
        <w:t>A tagállamok 2016 júniusától kezdve 2024-ig minden évben</w:t>
      </w:r>
      <w:r>
        <w:rPr>
          <w:rStyle w:val="FootnoteReference"/>
        </w:rPr>
        <w:footnoteReference w:id="3"/>
      </w:r>
      <w:r>
        <w:t xml:space="preserve"> éves végrehajtási jelentést nyújtanak be az Európai Bizottsághoz. Az éves végrehajtási jelentés a VFP-k végrehajtásáról, valamint az értékelési terv megvalósításának aktuális állásáról</w:t>
      </w:r>
      <w:r>
        <w:rPr>
          <w:rStyle w:val="FootnoteReference"/>
        </w:rPr>
        <w:footnoteReference w:id="4"/>
      </w:r>
      <w:r>
        <w:t xml:space="preserve"> nyújt tájékoztatást. </w:t>
      </w:r>
    </w:p>
    <w:p w:rsidR="001C2076" w:rsidRPr="0036731C" w:rsidRDefault="001C2076" w:rsidP="001C2076">
      <w:pPr>
        <w:pStyle w:val="HStandard"/>
      </w:pPr>
      <w:r>
        <w:t xml:space="preserve">A </w:t>
      </w:r>
      <w:r>
        <w:rPr>
          <w:b/>
        </w:rPr>
        <w:t>2017. évi éves végrehajtási jelentés</w:t>
      </w:r>
      <w:r>
        <w:t xml:space="preserve"> magában foglalta a program eredményeinek számszerűsítését (az eredménymutatók vizsgálatán keresztül, beleértve a kiegészítő eredménymutatókat is). Az eredménymutatók értelmezése és az 1–21. sz. közös értékelési kérdések</w:t>
      </w:r>
      <w:r>
        <w:rPr>
          <w:rStyle w:val="FootnoteReference"/>
        </w:rPr>
        <w:footnoteReference w:id="5"/>
      </w:r>
      <w:r>
        <w:t xml:space="preserve"> megválaszolása érdekében elbírálási kritériumok alkalmazására került sor. Az</w:t>
      </w:r>
      <w:r>
        <w:rPr>
          <w:i/>
        </w:rPr>
        <w:t xml:space="preserve"> </w:t>
      </w:r>
      <w:hyperlink r:id="rId14">
        <w:r>
          <w:rPr>
            <w:rStyle w:val="Hyperlink"/>
            <w:i/>
          </w:rPr>
          <w:t>„Assessment of RDP Results: how to prepare for reporting on evaluation in 2017”</w:t>
        </w:r>
      </w:hyperlink>
      <w:r>
        <w:t xml:space="preserve"> (A VFP eredményeinek értékelése: felkészülés a 2017. évi értékelésre vonatkozó jelentéstételre) című iránymutatás szintén alátámaszthatja ezeket a tevékenységeket azzal, hogy a 2019. évi gyakorlat szempontjából is relevánssá teszi őket</w:t>
      </w:r>
      <w:r>
        <w:rPr>
          <w:rStyle w:val="FootnoteReference"/>
        </w:rPr>
        <w:footnoteReference w:id="6"/>
      </w:r>
      <w:r>
        <w:t xml:space="preserve">. </w:t>
      </w:r>
    </w:p>
    <w:p w:rsidR="00BA41C1" w:rsidRPr="001C6ACF" w:rsidRDefault="001C2076" w:rsidP="001C2076">
      <w:pPr>
        <w:pStyle w:val="HStandard"/>
      </w:pPr>
      <w:r>
        <w:t xml:space="preserve">A </w:t>
      </w:r>
      <w:r>
        <w:rPr>
          <w:b/>
        </w:rPr>
        <w:t xml:space="preserve">2019-ben benyújtandó éves végrehajtási jelentés elkészítéséhez </w:t>
      </w:r>
      <w:r>
        <w:t xml:space="preserve">elengedhetetlen a 2017-ben jelentett értékelési megállapítások frissítése, és a jelentés </w:t>
      </w:r>
      <w:r>
        <w:rPr>
          <w:u w:val="single"/>
        </w:rPr>
        <w:t>ezenkívül</w:t>
      </w:r>
      <w:r>
        <w:t xml:space="preserve"> az alábbiakat is magában fogja foglalni:</w:t>
      </w:r>
    </w:p>
    <w:p w:rsidR="00BA41C1" w:rsidRPr="001C6ACF" w:rsidRDefault="001C2076" w:rsidP="00BA41C1">
      <w:pPr>
        <w:pStyle w:val="Hlistbullet"/>
      </w:pPr>
      <w:r>
        <w:t xml:space="preserve">a VFP hatásainak vizsgálatából származó megállapítások, amelyek megtételére a KAP hatásmutatói nettó értékének kiszámításán és értelmezésén keresztül került sor; </w:t>
      </w:r>
    </w:p>
    <w:p w:rsidR="00BA41C1" w:rsidRPr="001C6ACF" w:rsidRDefault="00BA41C1" w:rsidP="00BA41C1">
      <w:pPr>
        <w:pStyle w:val="Hlistbullet"/>
      </w:pPr>
      <w:r>
        <w:t xml:space="preserve">a VFP-nek az intelligens, fenntartható és inkluzív növekedést célzó európai stratégiához, valamint a biológiai sokféleséggel kapcsolatos stratégiához való hozzájárulása; valamint </w:t>
      </w:r>
    </w:p>
    <w:p w:rsidR="001C2076" w:rsidRPr="001C6ACF" w:rsidRDefault="00BA41C1" w:rsidP="00BA41C1">
      <w:pPr>
        <w:pStyle w:val="Hlistbullet"/>
      </w:pPr>
      <w:r>
        <w:t>a 2014–2020 közötti VFP-kre vonatkozó közös értékelési kérdésekre adott válaszok az uniós szintű célkitűzések tekintetében (azaz a 22–30. sz. közös értékelési kérdések).</w:t>
      </w:r>
    </w:p>
    <w:p w:rsidR="001C2076" w:rsidRPr="0036731C" w:rsidRDefault="00CA1C02" w:rsidP="001C2076">
      <w:pPr>
        <w:pStyle w:val="HStandard"/>
      </w:pPr>
      <w:r>
        <w:t>Az alábbi ábra áttekintést ad a jogi keretben</w:t>
      </w:r>
      <w:r>
        <w:rPr>
          <w:rStyle w:val="FootnoteReference"/>
        </w:rPr>
        <w:footnoteReference w:id="7"/>
      </w:r>
      <w:r>
        <w:t xml:space="preserve">, valamint a kapcsolódó iránymutatásban meghatározott, a programozási időszak során benyújtandó éves végrehajtási jelentésekben szereplő értékelés fő jelentéstételi követelményeiről. </w:t>
      </w:r>
    </w:p>
    <w:p w:rsidR="001C2076" w:rsidRPr="00FB6C06" w:rsidRDefault="00CA1C02" w:rsidP="003A205A">
      <w:pPr>
        <w:pStyle w:val="HHeadingfigures"/>
        <w:ind w:left="851" w:hanging="851"/>
      </w:pPr>
      <w:r>
        <w:lastRenderedPageBreak/>
        <w:t xml:space="preserve">Az értékelésről szóló jelentéstétel (a 808/2014/EU rendelet VII. mellékletével összhangban) </w:t>
      </w:r>
    </w:p>
    <w:p w:rsidR="001C2076" w:rsidRPr="00571D58" w:rsidRDefault="00921D16" w:rsidP="00744BAA">
      <w:pPr>
        <w:pStyle w:val="HStandard"/>
        <w:jc w:val="center"/>
      </w:pPr>
      <w:r w:rsidRPr="00921D16">
        <w:rPr>
          <w:noProof/>
          <w:lang w:val="en-GB" w:eastAsia="en-GB" w:bidi="ar-SA"/>
        </w:rPr>
        <w:drawing>
          <wp:inline distT="0" distB="0" distL="0" distR="0" wp14:anchorId="35C8BFFB" wp14:editId="7179E2DD">
            <wp:extent cx="6005779" cy="34381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727" cy="3439259"/>
                    </a:xfrm>
                    <a:prstGeom prst="rect">
                      <a:avLst/>
                    </a:prstGeom>
                    <a:noFill/>
                    <a:ln>
                      <a:noFill/>
                    </a:ln>
                  </pic:spPr>
                </pic:pic>
              </a:graphicData>
            </a:graphic>
          </wp:inline>
        </w:drawing>
      </w:r>
    </w:p>
    <w:p w:rsidR="001C2076" w:rsidRPr="007645B4" w:rsidRDefault="001C2076" w:rsidP="008D52EA">
      <w:pPr>
        <w:pStyle w:val="HSource"/>
        <w:rPr>
          <w:i w:val="0"/>
        </w:rPr>
      </w:pPr>
      <w:r>
        <w:t>Forrás: Európai vidékfejlesztési értékelési támogató szolgálat, 2018</w:t>
      </w:r>
    </w:p>
    <w:p w:rsidR="00E52E73" w:rsidRPr="007645B4" w:rsidRDefault="00E52E73" w:rsidP="00E52E73">
      <w:pPr>
        <w:pStyle w:val="HHeading4"/>
      </w:pPr>
      <w:r>
        <w:t xml:space="preserve">A jogi keret </w:t>
      </w:r>
    </w:p>
    <w:p w:rsidR="00DE65AB" w:rsidRPr="001C6ACF" w:rsidRDefault="00BA41C1" w:rsidP="001C2076">
      <w:pPr>
        <w:pStyle w:val="HStandard"/>
      </w:pPr>
      <w:r>
        <w:t xml:space="preserve">A jogi keret és a közös monitoring- és értékelési rendszer (CMES) határozza meg a VFP-k értékelésének alapjait. </w:t>
      </w:r>
    </w:p>
    <w:p w:rsidR="001A2395" w:rsidRPr="00863E73" w:rsidRDefault="00BA41C1" w:rsidP="001C2076">
      <w:pPr>
        <w:pStyle w:val="HStandard"/>
      </w:pPr>
      <w:r>
        <w:t xml:space="preserve">A </w:t>
      </w:r>
      <w:r>
        <w:rPr>
          <w:b/>
        </w:rPr>
        <w:t>jogi keret</w:t>
      </w:r>
      <w:r>
        <w:rPr>
          <w:rStyle w:val="FootnoteReference"/>
        </w:rPr>
        <w:footnoteReference w:id="8"/>
      </w:r>
      <w:r>
        <w:t xml:space="preserve"> a VFP-k eredményeinek és magasabb szintű uniós szakpolitikai célkitűzésekhez való hozzájárulásának értékelésére szolgáló alap. </w:t>
      </w:r>
    </w:p>
    <w:p w:rsidR="001C2076" w:rsidRPr="001C6ACF" w:rsidRDefault="00CA1C02" w:rsidP="001C2076">
      <w:pPr>
        <w:pStyle w:val="HStandard"/>
      </w:pPr>
      <w:r>
        <w:t xml:space="preserve">Az értékelésre vonatkozó </w:t>
      </w:r>
      <w:r>
        <w:rPr>
          <w:b/>
        </w:rPr>
        <w:t>általános rendelkezések</w:t>
      </w:r>
      <w:r>
        <w:t xml:space="preserve"> az </w:t>
      </w:r>
      <w:r>
        <w:rPr>
          <w:b/>
        </w:rPr>
        <w:t>1303/2013/EU rendeletben</w:t>
      </w:r>
      <w:r>
        <w:t xml:space="preserve"> szerepelnek, és az értékelés alábbiakban játszott szerepét határozzák meg:</w:t>
      </w:r>
    </w:p>
    <w:p w:rsidR="001C2076" w:rsidRPr="001C6ACF" w:rsidRDefault="001C2076" w:rsidP="008D52EA">
      <w:pPr>
        <w:pStyle w:val="Hlistbullet"/>
      </w:pPr>
      <w:r>
        <w:t xml:space="preserve">a programkidolgozás és -végrehajtás minőségének javítása; valamint </w:t>
      </w:r>
    </w:p>
    <w:p w:rsidR="001C2076" w:rsidRPr="00571D58" w:rsidRDefault="001C2076" w:rsidP="008D52EA">
      <w:pPr>
        <w:pStyle w:val="Hlistbullet"/>
      </w:pPr>
      <w:r>
        <w:t>a program hatékonyságának, eredményességének és hatásainak vizsgálata</w:t>
      </w:r>
      <w:r>
        <w:rPr>
          <w:rStyle w:val="FootnoteReference"/>
        </w:rPr>
        <w:footnoteReference w:id="9"/>
      </w:r>
      <w:r>
        <w:t xml:space="preserve">. </w:t>
      </w:r>
    </w:p>
    <w:p w:rsidR="00087412" w:rsidRPr="001C6ACF" w:rsidRDefault="00D42EC7" w:rsidP="001C2076">
      <w:pPr>
        <w:pStyle w:val="HStandard"/>
      </w:pPr>
      <w:r>
        <w:t xml:space="preserve">A tagállamok ennek érdekében biztosítják </w:t>
      </w:r>
      <w:r>
        <w:rPr>
          <w:b/>
        </w:rPr>
        <w:t>az értékelések elvégzéséhez szükséges forrásokat</w:t>
      </w:r>
      <w:r>
        <w:t xml:space="preserve">, továbbá az </w:t>
      </w:r>
      <w:r>
        <w:rPr>
          <w:b/>
        </w:rPr>
        <w:t>értékelésekhez szükséges adatok</w:t>
      </w:r>
      <w:r>
        <w:t xml:space="preserve"> – beleértve a közös és adott esetben a programspecifikus mutatókra vonatkozó adatokat – </w:t>
      </w:r>
      <w:r>
        <w:rPr>
          <w:b/>
        </w:rPr>
        <w:t>előállításához és gyűjtéséhez</w:t>
      </w:r>
      <w:r>
        <w:t xml:space="preserve"> szükséges eljárások rendelkezésre állását. </w:t>
      </w:r>
    </w:p>
    <w:p w:rsidR="001C2076" w:rsidRPr="00571D58" w:rsidRDefault="001C2076" w:rsidP="001C2076">
      <w:pPr>
        <w:pStyle w:val="HStandard"/>
      </w:pPr>
      <w:r>
        <w:t xml:space="preserve">Az értékelésre az </w:t>
      </w:r>
      <w:r>
        <w:rPr>
          <w:b/>
        </w:rPr>
        <w:t>értékelési tervvel</w:t>
      </w:r>
      <w:r>
        <w:t xml:space="preserve"> összhangban kerül sor, és az értékelés megállapításainak nyomon követése az alapspecifikus szabályokkal összhangban történik. A programozási időszak során legalább egyszer értékelni kell, hogy az esb-alapokból származó támogatás miként járult hozzá az egyes prioritások célkitűzéseihez</w:t>
      </w:r>
      <w:r>
        <w:rPr>
          <w:rStyle w:val="FootnoteReference"/>
        </w:rPr>
        <w:footnoteReference w:id="10"/>
      </w:r>
      <w:r>
        <w:t>.</w:t>
      </w:r>
    </w:p>
    <w:p w:rsidR="001C2076" w:rsidRPr="00571D58" w:rsidRDefault="001C2076" w:rsidP="001C2076">
      <w:pPr>
        <w:pStyle w:val="HStandard"/>
      </w:pPr>
      <w:r>
        <w:t xml:space="preserve">Az </w:t>
      </w:r>
      <w:r>
        <w:rPr>
          <w:b/>
        </w:rPr>
        <w:t>1306/2013/EU rendelet</w:t>
      </w:r>
      <w:r>
        <w:t xml:space="preserve"> a közös agrárpolitikára (KAP) vonatkozó monitoring- és értékelési követelményeket határozza meg</w:t>
      </w:r>
      <w:r>
        <w:rPr>
          <w:rStyle w:val="FootnoteReference"/>
        </w:rPr>
        <w:footnoteReference w:id="11"/>
      </w:r>
      <w:r>
        <w:t xml:space="preserve">. A rendelet előírja, hogy az Európai Bizottságnak biztosítania kell a KAP eredményességét a </w:t>
      </w:r>
      <w:r>
        <w:rPr>
          <w:b/>
        </w:rPr>
        <w:t>közös célok</w:t>
      </w:r>
      <w:r>
        <w:t xml:space="preserve"> elérése terén. A KAP eszközei együttes hatásának mérésére </w:t>
      </w:r>
      <w:r>
        <w:lastRenderedPageBreak/>
        <w:t>és értékelésére a tagállamok által végzett monitoring- és értékelési tevékenységekből származó információk alapján kerül sor.</w:t>
      </w:r>
      <w:r>
        <w:rPr>
          <w:b/>
        </w:rPr>
        <w:t xml:space="preserve"> </w:t>
      </w:r>
      <w:r>
        <w:t xml:space="preserve">A közös célokat a </w:t>
      </w:r>
      <w:r>
        <w:rPr>
          <w:b/>
        </w:rPr>
        <w:t>közös hatásmutatókon</w:t>
      </w:r>
      <w:r>
        <w:t xml:space="preserve"> keresztül, míg az egyedi célokat a </w:t>
      </w:r>
      <w:r>
        <w:rPr>
          <w:b/>
        </w:rPr>
        <w:t>közös eredménymutatók</w:t>
      </w:r>
      <w:r>
        <w:t xml:space="preserve"> alapján kell értékelni. A gyűjtött információknak olyan megbízható adatforrásokra kell épülniük, mint például a mezőgazdasági számviteli információs hálózat </w:t>
      </w:r>
      <w:r w:rsidR="001F18D1">
        <w:t xml:space="preserve">(FADN) </w:t>
      </w:r>
      <w:r>
        <w:t>és az Eurostat. Az Európai Bizottságnak figyelembe kell vennie az adatigényeket és a lehetséges adatforrások közötti szinergiákat, különösen – adott esetben – statisztikai célú felhasználhatóságukat</w:t>
      </w:r>
      <w:r>
        <w:rPr>
          <w:rStyle w:val="FootnoteReference"/>
        </w:rPr>
        <w:footnoteReference w:id="12"/>
      </w:r>
      <w:r>
        <w:t>.</w:t>
      </w:r>
    </w:p>
    <w:p w:rsidR="001C2076" w:rsidRPr="001C6ACF" w:rsidRDefault="001C2076" w:rsidP="001C2076">
      <w:pPr>
        <w:pStyle w:val="HStandard"/>
      </w:pPr>
      <w:r>
        <w:t xml:space="preserve">Az </w:t>
      </w:r>
      <w:r>
        <w:rPr>
          <w:b/>
        </w:rPr>
        <w:t>1305/2013/EU rendelet a közös monitoring- és értékelési rendszert</w:t>
      </w:r>
      <w:r>
        <w:t>, valamint annak céljait</w:t>
      </w:r>
      <w:r>
        <w:rPr>
          <w:rStyle w:val="FootnoteReference"/>
        </w:rPr>
        <w:footnoteReference w:id="13"/>
      </w:r>
      <w:r>
        <w:t xml:space="preserve"> és a közös mutatókat</w:t>
      </w:r>
      <w:r>
        <w:rPr>
          <w:rStyle w:val="FootnoteReference"/>
        </w:rPr>
        <w:footnoteReference w:id="14"/>
      </w:r>
      <w:r>
        <w:t xml:space="preserve"> határozza meg. Ezek a mutatók a program kiinduló helyzetére (kontextusmutatók), valamint pénzügyi végrehajtására, teljesítményére, eredményeire és hatásaira vonatkoznak. A közös mutatóknak hozzáférhető adatokon kell alapulniuk, és kapcsolódniuk kell a vidékfejlesztési politikai keret struktúrájához és célkitűzéseihez, valamint lehetővé kell tenniük a szakpolitikai célok és célkitűzések végrehajtása terén tapasztalható előrelépés, eredményesség és hatékonyság uniós, nemzeti és programszintű értékelését.</w:t>
      </w:r>
    </w:p>
    <w:p w:rsidR="001C2076" w:rsidRPr="001C6ACF" w:rsidRDefault="001C2076" w:rsidP="001C2076">
      <w:pPr>
        <w:pStyle w:val="HStandard"/>
        <w:rPr>
          <w:b/>
        </w:rPr>
      </w:pPr>
      <w:r>
        <w:t xml:space="preserve">A vidékfejlesztési programok hatásainak értékelésére a közös (és a kiegészítő és programspecifikus) hatásmutatók segítségével kerül sor. </w:t>
      </w:r>
      <w:r>
        <w:rPr>
          <w:b/>
        </w:rPr>
        <w:t>A</w:t>
      </w:r>
      <w:r>
        <w:t xml:space="preserve"> </w:t>
      </w:r>
      <w:r>
        <w:rPr>
          <w:b/>
        </w:rPr>
        <w:t xml:space="preserve">program hatásainak értékelése a tagállamok feladata. </w:t>
      </w:r>
    </w:p>
    <w:p w:rsidR="00E52E73" w:rsidRPr="001C6ACF" w:rsidRDefault="00E52E73" w:rsidP="00E52E73">
      <w:pPr>
        <w:pStyle w:val="HHeading4"/>
      </w:pPr>
      <w:r>
        <w:t>A közös értékelés elemei</w:t>
      </w:r>
    </w:p>
    <w:p w:rsidR="00D42EC7" w:rsidRPr="00CB20AA" w:rsidRDefault="00D42EC7" w:rsidP="00D42EC7">
      <w:pPr>
        <w:pStyle w:val="HStandard"/>
      </w:pPr>
      <w:r>
        <w:t>A közös monitoring- és értékelési rendszer a KAP közös monitoring- és értékelési keretének</w:t>
      </w:r>
      <w:r>
        <w:rPr>
          <w:rStyle w:val="FootnoteReference"/>
        </w:rPr>
        <w:footnoteReference w:id="15"/>
      </w:r>
      <w:r>
        <w:t xml:space="preserve"> része, és számos iránymutatást magában foglal a közös értékelési kérdések és indikátorok alkalmazásáról a vidékfejlesztési politika monitoringja és értékelése során. A </w:t>
      </w:r>
      <w:r>
        <w:rPr>
          <w:b/>
        </w:rPr>
        <w:t>808/2014/EU bizottsági végrehajtási rendelet</w:t>
      </w:r>
      <w:r>
        <w:rPr>
          <w:rStyle w:val="FootnoteReference"/>
          <w:b/>
        </w:rPr>
        <w:footnoteReference w:id="16"/>
      </w:r>
      <w:r>
        <w:rPr>
          <w:b/>
        </w:rPr>
        <w:t xml:space="preserve"> </w:t>
      </w:r>
      <w:r>
        <w:t xml:space="preserve">részletesebben ismerteti a közös monitoring- és értékelési rendszert, és meghatározza annak elemeit: </w:t>
      </w:r>
    </w:p>
    <w:p w:rsidR="001C2076" w:rsidRPr="00FB6C06" w:rsidRDefault="001C2076" w:rsidP="008D52EA">
      <w:pPr>
        <w:pStyle w:val="Hlistbullet"/>
      </w:pPr>
      <w:r>
        <w:t xml:space="preserve">a prioritások, a kiemelt területek és az intézkedések közötti kölcsönhatásokat megjelenítő beavatkozási logika; </w:t>
      </w:r>
    </w:p>
    <w:p w:rsidR="001C2076" w:rsidRPr="00571D58" w:rsidRDefault="001C2076" w:rsidP="008D52EA">
      <w:pPr>
        <w:pStyle w:val="Hlistbullet"/>
      </w:pPr>
      <w:r>
        <w:t>közös kontextus-, eredmény- és kimeneti mutatók, ideértve a számszerűsített célokra vonatkozó, kiemelt jelentőségű vidékfejlesztési területekkel kapcsolatos mutatókat is</w:t>
      </w:r>
      <w:r>
        <w:rPr>
          <w:rStyle w:val="FootnoteReference"/>
        </w:rPr>
        <w:footnoteReference w:id="17"/>
      </w:r>
      <w:r>
        <w:t xml:space="preserve">; </w:t>
      </w:r>
    </w:p>
    <w:p w:rsidR="001C2076" w:rsidRPr="00571D58" w:rsidRDefault="001C2076" w:rsidP="008D52EA">
      <w:pPr>
        <w:pStyle w:val="Hlistbullet"/>
      </w:pPr>
      <w:r>
        <w:t>közös értékelési kérdések</w:t>
      </w:r>
      <w:r>
        <w:rPr>
          <w:rStyle w:val="FootnoteReference"/>
        </w:rPr>
        <w:footnoteReference w:id="18"/>
      </w:r>
      <w:r>
        <w:t>;</w:t>
      </w:r>
    </w:p>
    <w:p w:rsidR="001C2076" w:rsidRPr="00FB6C06" w:rsidRDefault="001C2076" w:rsidP="008D52EA">
      <w:pPr>
        <w:pStyle w:val="Hlistbullet"/>
      </w:pPr>
      <w:r>
        <w:t xml:space="preserve">adatgyűjtés, -tárolás és -továbbítás; </w:t>
      </w:r>
    </w:p>
    <w:p w:rsidR="001C2076" w:rsidRPr="00571D58" w:rsidRDefault="001C2076" w:rsidP="008D52EA">
      <w:pPr>
        <w:pStyle w:val="Hlistbullet"/>
      </w:pPr>
      <w:r>
        <w:t>a monitoring- és értékelési tevékenységek rendszeres jelentése</w:t>
      </w:r>
      <w:r>
        <w:rPr>
          <w:rStyle w:val="FootnoteReference"/>
        </w:rPr>
        <w:footnoteReference w:id="19"/>
      </w:r>
      <w:r>
        <w:t xml:space="preserve">; </w:t>
      </w:r>
    </w:p>
    <w:p w:rsidR="001C2076" w:rsidRPr="00571D58" w:rsidRDefault="001C2076" w:rsidP="008D52EA">
      <w:pPr>
        <w:pStyle w:val="Hlistbullet"/>
      </w:pPr>
      <w:r>
        <w:t>értékelési terv</w:t>
      </w:r>
      <w:r>
        <w:rPr>
          <w:rStyle w:val="FootnoteReference"/>
        </w:rPr>
        <w:footnoteReference w:id="20"/>
      </w:r>
      <w:r>
        <w:t xml:space="preserve">; </w:t>
      </w:r>
    </w:p>
    <w:p w:rsidR="001C2076" w:rsidRPr="00571D58" w:rsidRDefault="001C2076" w:rsidP="008D52EA">
      <w:pPr>
        <w:pStyle w:val="Hlistbullet"/>
      </w:pPr>
      <w:r>
        <w:t>előzetes és utólagos értékelések, valamint a vidékfejlesztési programhoz kapcsolódó valamennyi értékelési tevékenység, beleértve azokat, amelyek a 2017-ben és 2019-ben benyújtandó éves végrehajtási jelentésre vonatkozó szigorúbb követelmények teljesítéséhez szükségesek</w:t>
      </w:r>
      <w:r>
        <w:rPr>
          <w:rStyle w:val="FootnoteReference"/>
        </w:rPr>
        <w:footnoteReference w:id="21"/>
      </w:r>
      <w:r>
        <w:t>;</w:t>
      </w:r>
    </w:p>
    <w:p w:rsidR="001C2076" w:rsidRPr="00571D58" w:rsidRDefault="001C2076" w:rsidP="008D52EA">
      <w:pPr>
        <w:pStyle w:val="Hlistbullet"/>
      </w:pPr>
      <w:r>
        <w:t>a monitoringért és értékelésért felelős szereplők segítése feladataik ellátásában</w:t>
      </w:r>
      <w:r>
        <w:rPr>
          <w:rStyle w:val="FootnoteReference"/>
        </w:rPr>
        <w:footnoteReference w:id="22"/>
      </w:r>
      <w:r>
        <w:t xml:space="preserve">. </w:t>
      </w:r>
    </w:p>
    <w:p w:rsidR="00F40273" w:rsidRPr="00CB20AA" w:rsidRDefault="00D42EC7" w:rsidP="001C2076">
      <w:pPr>
        <w:pStyle w:val="HStandard"/>
      </w:pPr>
      <w:r>
        <w:t xml:space="preserve">Az Európai Bizottság továbbá részletes </w:t>
      </w:r>
      <w:r>
        <w:rPr>
          <w:b/>
        </w:rPr>
        <w:t>adatlapot</w:t>
      </w:r>
      <w:r>
        <w:t xml:space="preserve"> biztosít minden egyes közös mutatóhoz, amelyet jelenteni kell a 2017-ben és 2019-ben benyújtandó éves végrehajtási jelentésben, és amelyek között szerepel a </w:t>
      </w:r>
      <w:hyperlink r:id="rId16">
        <w:r>
          <w:rPr>
            <w:rStyle w:val="Hyperlink"/>
          </w:rPr>
          <w:t>KAP 16 közös hatásmutatója</w:t>
        </w:r>
      </w:hyperlink>
      <w:r>
        <w:t xml:space="preserve">. </w:t>
      </w:r>
      <w:r>
        <w:rPr>
          <w:b/>
        </w:rPr>
        <w:t>Valamennyi hatásmutató-adatlap</w:t>
      </w:r>
      <w:r>
        <w:t xml:space="preserve"> hivatkozik az alábbiakra:</w:t>
      </w:r>
    </w:p>
    <w:p w:rsidR="00F40273" w:rsidRPr="001C6ACF" w:rsidRDefault="00A3244E" w:rsidP="00DA263D">
      <w:pPr>
        <w:pStyle w:val="Hlistbullet"/>
      </w:pPr>
      <w:r>
        <w:t xml:space="preserve">a vonatkozó szakpolitikai célja; </w:t>
      </w:r>
    </w:p>
    <w:p w:rsidR="00F40273" w:rsidRPr="001C6ACF" w:rsidRDefault="001C2076" w:rsidP="00DA263D">
      <w:pPr>
        <w:pStyle w:val="Hlistbullet"/>
      </w:pPr>
      <w:r>
        <w:lastRenderedPageBreak/>
        <w:t xml:space="preserve">a mutató definíciója; </w:t>
      </w:r>
    </w:p>
    <w:p w:rsidR="00F40273" w:rsidRPr="001C6ACF" w:rsidRDefault="001C2076" w:rsidP="00DA263D">
      <w:pPr>
        <w:pStyle w:val="Hlistbullet"/>
      </w:pPr>
      <w:r>
        <w:t xml:space="preserve">a mértékegység; </w:t>
      </w:r>
    </w:p>
    <w:p w:rsidR="00F40273" w:rsidRPr="001C6ACF" w:rsidRDefault="001C2076" w:rsidP="00DA263D">
      <w:pPr>
        <w:pStyle w:val="Hlistbullet"/>
      </w:pPr>
      <w:r>
        <w:t xml:space="preserve">a kiszámításra használt módszer/képlet; </w:t>
      </w:r>
    </w:p>
    <w:p w:rsidR="00F40273" w:rsidRPr="001C6ACF" w:rsidRDefault="001C2076" w:rsidP="00DA263D">
      <w:pPr>
        <w:pStyle w:val="Hlistbullet"/>
      </w:pPr>
      <w:r>
        <w:t xml:space="preserve">az adatszolgáltatási követelmények és források; </w:t>
      </w:r>
    </w:p>
    <w:p w:rsidR="00F40273" w:rsidRPr="001C6ACF" w:rsidRDefault="003304E5" w:rsidP="00DA263D">
      <w:pPr>
        <w:pStyle w:val="Hlistbullet"/>
      </w:pPr>
      <w:r>
        <w:t xml:space="preserve">az adatgyűjtés szintje és gyakorisága; </w:t>
      </w:r>
    </w:p>
    <w:p w:rsidR="001C2076" w:rsidRPr="001C6ACF" w:rsidRDefault="001C2076" w:rsidP="00DA263D">
      <w:pPr>
        <w:pStyle w:val="Hlistbullet"/>
      </w:pPr>
      <w:r>
        <w:t xml:space="preserve">az adatgyűjtés késedelmével kapcsolatos tájékoztatás. </w:t>
      </w:r>
    </w:p>
    <w:p w:rsidR="001C2076" w:rsidRPr="001C6ACF" w:rsidRDefault="001C2076" w:rsidP="001C2076">
      <w:pPr>
        <w:pStyle w:val="HStandard"/>
      </w:pPr>
      <w:r>
        <w:t xml:space="preserve">A </w:t>
      </w:r>
      <w:r>
        <w:rPr>
          <w:b/>
        </w:rPr>
        <w:t>KAP 16 közös hatásmutatója közül 13-at</w:t>
      </w:r>
      <w:r>
        <w:t xml:space="preserve"> kell alkalmazni a VFP hatásainak értékelése során:</w:t>
      </w:r>
    </w:p>
    <w:p w:rsidR="001C2076" w:rsidRPr="001C6ACF" w:rsidRDefault="001C2076" w:rsidP="008D52EA">
      <w:pPr>
        <w:pStyle w:val="Hlistbullet"/>
      </w:pPr>
      <w:r>
        <w:t>I.01. Mezőgazdasági vállalkozói jövedelem</w:t>
      </w:r>
    </w:p>
    <w:p w:rsidR="001C2076" w:rsidRPr="001C6ACF" w:rsidRDefault="001C2076" w:rsidP="008D52EA">
      <w:pPr>
        <w:pStyle w:val="Hlistbullet"/>
      </w:pPr>
      <w:r>
        <w:t>I.02. Mezőgazdasági tényezőjövedelem</w:t>
      </w:r>
    </w:p>
    <w:p w:rsidR="001C2076" w:rsidRPr="001C6ACF" w:rsidRDefault="001C2076" w:rsidP="008D52EA">
      <w:pPr>
        <w:pStyle w:val="Hlistbullet"/>
      </w:pPr>
      <w:r>
        <w:t>I.03. Teljes mezőgazdasági tényezőtermelékenység</w:t>
      </w:r>
    </w:p>
    <w:p w:rsidR="001C2076" w:rsidRPr="001C6ACF" w:rsidRDefault="001C2076" w:rsidP="008D52EA">
      <w:pPr>
        <w:pStyle w:val="Hlistbullet"/>
      </w:pPr>
      <w:r>
        <w:t>I.07. A mezőgazdaságból származó kibocsátások</w:t>
      </w:r>
    </w:p>
    <w:p w:rsidR="001C2076" w:rsidRPr="001C6ACF" w:rsidRDefault="001C2076" w:rsidP="008D52EA">
      <w:pPr>
        <w:pStyle w:val="Hlistbullet"/>
      </w:pPr>
      <w:r>
        <w:t>I.08. A mezőgazdasági területek madárpopulációira vonatkozó mutató</w:t>
      </w:r>
    </w:p>
    <w:p w:rsidR="001C2076" w:rsidRPr="001C6ACF" w:rsidRDefault="001C2076" w:rsidP="008D52EA">
      <w:pPr>
        <w:pStyle w:val="Hlistbullet"/>
      </w:pPr>
      <w:r>
        <w:t>I.09. Jelentős természeti értéket képviselő gazdálkodás</w:t>
      </w:r>
    </w:p>
    <w:p w:rsidR="001C2076" w:rsidRPr="001C6ACF" w:rsidRDefault="001C2076" w:rsidP="008D52EA">
      <w:pPr>
        <w:pStyle w:val="Hlistbullet"/>
      </w:pPr>
      <w:r>
        <w:t>I.10. Mezőgazdasági célú vízkivétel</w:t>
      </w:r>
    </w:p>
    <w:p w:rsidR="001C2076" w:rsidRPr="001C6ACF" w:rsidRDefault="001C2076" w:rsidP="008D52EA">
      <w:pPr>
        <w:pStyle w:val="Hlistbullet"/>
      </w:pPr>
      <w:r>
        <w:t>I.11. Vízminőség</w:t>
      </w:r>
    </w:p>
    <w:p w:rsidR="001C2076" w:rsidRPr="001C6ACF" w:rsidRDefault="001C2076" w:rsidP="008D52EA">
      <w:pPr>
        <w:pStyle w:val="Hlistbullet"/>
      </w:pPr>
      <w:r>
        <w:t>I.12. A szántóföldek talajának szervesanyag-tartalma</w:t>
      </w:r>
    </w:p>
    <w:p w:rsidR="001C2076" w:rsidRPr="001C6ACF" w:rsidRDefault="001C2076" w:rsidP="008D52EA">
      <w:pPr>
        <w:pStyle w:val="Hlistbullet"/>
      </w:pPr>
      <w:r>
        <w:t>I.13. Víz által előidézett talajerózió</w:t>
      </w:r>
    </w:p>
    <w:p w:rsidR="001C2076" w:rsidRPr="001C6ACF" w:rsidRDefault="001C2076" w:rsidP="008D52EA">
      <w:pPr>
        <w:pStyle w:val="Hlistbullet"/>
      </w:pPr>
      <w:r>
        <w:t>I.14. Foglalkoztatási ráta a vidéki térségekben</w:t>
      </w:r>
    </w:p>
    <w:p w:rsidR="001C2076" w:rsidRPr="001C6ACF" w:rsidRDefault="001C2076" w:rsidP="008D52EA">
      <w:pPr>
        <w:pStyle w:val="Hlistbullet"/>
      </w:pPr>
      <w:r>
        <w:t>I.15. Szegénységi arány a vidéki térségekben</w:t>
      </w:r>
    </w:p>
    <w:p w:rsidR="001C2076" w:rsidRPr="001C6ACF" w:rsidRDefault="001C2076" w:rsidP="008D52EA">
      <w:pPr>
        <w:pStyle w:val="Hlistbullet"/>
      </w:pPr>
      <w:r>
        <w:t>I.16. Egy főre jutó GDP a vidéki térségekben</w:t>
      </w:r>
    </w:p>
    <w:p w:rsidR="001C2076" w:rsidRPr="001C6ACF" w:rsidRDefault="00B21618" w:rsidP="00E35440">
      <w:pPr>
        <w:pStyle w:val="HHeading2"/>
      </w:pPr>
      <w:r>
        <w:t xml:space="preserve"> Hogyan kell jelentést készíteni a 2019. évi közös értékelési kérdésekről?</w:t>
      </w:r>
    </w:p>
    <w:p w:rsidR="001C2076" w:rsidRPr="001C6ACF" w:rsidRDefault="003304E5" w:rsidP="003304E5">
      <w:pPr>
        <w:pStyle w:val="HStandard"/>
      </w:pPr>
      <w:r>
        <w:t xml:space="preserve">2019-ben a tagállamok az éves végrehajtási jelentés vonatkozó szakaszaiban szereplő, releváns közös és programspecifikus értékelési kérdések megválaszolásával jelentést tesznek az értékelési megállapításaikról. </w:t>
      </w:r>
    </w:p>
    <w:p w:rsidR="001C2076" w:rsidRPr="001C6ACF" w:rsidRDefault="00906DAF" w:rsidP="003304E5">
      <w:pPr>
        <w:pStyle w:val="HStandard"/>
      </w:pPr>
      <w:r>
        <w:t>Az 1–21. sz. közös értékelési kérdésekhez hasonlóan az uniós szintű célkitűzésekkel kapcsolatos közös értékelési kérdésekre (22–30. sz. közös értékelési kérdések) adott válaszoknak az értékelési megállapításokból származó bizonyítékokon kell alapulniuk. A beavatkozások sikerének megítélése az elbírálási kritériumok segítségével történik, és e siker a közös és kiegészítő hatásmutatók, valamint az intelligens, fenntartható és inkluzív növekedés európai stratégiájával kapcsolatos mutatók alapján mérhető. Ezenkívül az adatok hiánya esetén az értékelési kérdések megválaszolása érdekében kvalitatív információk gyűjtésére is sor kerülhet.</w:t>
      </w:r>
    </w:p>
    <w:p w:rsidR="00970A15" w:rsidRPr="001C6ACF" w:rsidRDefault="00C16EB2" w:rsidP="00970A15">
      <w:pPr>
        <w:pStyle w:val="HHeading4"/>
      </w:pPr>
      <w:r>
        <w:t>Melyek az értékelési kérdések megválaszolásának általános lépései?</w:t>
      </w:r>
    </w:p>
    <w:p w:rsidR="001C2076" w:rsidRPr="001C6ACF" w:rsidRDefault="001C2076" w:rsidP="007D2D54">
      <w:pPr>
        <w:pStyle w:val="HStandard"/>
        <w:rPr>
          <w:rFonts w:cs="Arial"/>
        </w:rPr>
      </w:pPr>
      <w:r>
        <w:t>A 22–30. sz. közös értékelési kérdésekre adott válaszok kidolgozásához az alábbi általános lépések ajánlottak:</w:t>
      </w:r>
    </w:p>
    <w:p w:rsidR="001C2076" w:rsidRPr="001C6ACF" w:rsidRDefault="007B324B" w:rsidP="00E35440">
      <w:pPr>
        <w:pStyle w:val="Hlistbullet"/>
      </w:pPr>
      <w:r>
        <w:t>vizsgálja felül a program beavatkozási logikáját az egyes, a KAP céljaihoz/az EU 2020 stratégia céljaihoz, vidékfejlesztési prioritáshoz/prioritásokhoz, kiemelt területhez/területekhez és intézkedésekhez kapcsolódó közös értékelési kérdésekkel összefüggésben;</w:t>
      </w:r>
    </w:p>
    <w:p w:rsidR="001C2076" w:rsidRPr="001C6ACF" w:rsidRDefault="00DA263D" w:rsidP="00E35440">
      <w:pPr>
        <w:pStyle w:val="Hlistbullet"/>
      </w:pPr>
      <w:r>
        <w:t xml:space="preserve">határozza meg az elbírálási kritériumokat, és kapcsolja össze őket az értékelési kérdések megválaszolására alkalmazott közös (és kiegészítő) hatásmutatókkal; </w:t>
      </w:r>
    </w:p>
    <w:p w:rsidR="001C2076" w:rsidRPr="00863E73" w:rsidRDefault="007B324B" w:rsidP="00E35440">
      <w:pPr>
        <w:pStyle w:val="Hlistbullet"/>
      </w:pPr>
      <w:r>
        <w:t>válassza ki a hatásmutatók nettó értékének</w:t>
      </w:r>
      <w:r>
        <w:rPr>
          <w:rStyle w:val="FootnoteReference"/>
          <w:i w:val="0"/>
          <w:position w:val="0"/>
          <w:sz w:val="20"/>
          <w:vertAlign w:val="superscript"/>
        </w:rPr>
        <w:footnoteReference w:id="23"/>
      </w:r>
      <w:r>
        <w:t xml:space="preserve"> értékelésére alkalmas kvantitatív és kvalitatív módszereket;</w:t>
      </w:r>
    </w:p>
    <w:p w:rsidR="001C2076" w:rsidRPr="001C6ACF" w:rsidRDefault="007B324B" w:rsidP="00E35440">
      <w:pPr>
        <w:pStyle w:val="Hlistbullet"/>
      </w:pPr>
      <w:r>
        <w:t xml:space="preserve">adja meg az eredmény- és hatásmutatókra vonatkozó kvantitatív értékeket, valamint az értékelési kérdések megválaszolására vonatkozó releváns kvalitatív megállapításokat; </w:t>
      </w:r>
    </w:p>
    <w:p w:rsidR="001C2076" w:rsidRPr="001C6ACF" w:rsidRDefault="007B324B" w:rsidP="00E35440">
      <w:pPr>
        <w:pStyle w:val="Hlistbullet"/>
      </w:pPr>
      <w:r>
        <w:t>válaszolja meg az értékelési kérdéseket.</w:t>
      </w:r>
    </w:p>
    <w:p w:rsidR="001C2076" w:rsidRPr="001C6ACF" w:rsidRDefault="00217482" w:rsidP="007D2D54">
      <w:pPr>
        <w:pStyle w:val="HStandard"/>
      </w:pPr>
      <w:r>
        <w:lastRenderedPageBreak/>
        <w:t xml:space="preserve">A fent említett lépések hasonlítanak a 2017. évi értékelési gyakorlattal kapcsolatban javasoltakhoz. 2019-ben azonban megjelenhet néhány új kihívás, amelyeket ezen iránymutatás </w:t>
      </w:r>
      <w:r>
        <w:rPr>
          <w:color w:val="F07E31" w:themeColor="accent1"/>
        </w:rPr>
        <w:t>II. része</w:t>
      </w:r>
      <w:r>
        <w:t xml:space="preserve"> részletez. </w:t>
      </w:r>
    </w:p>
    <w:p w:rsidR="001C2076" w:rsidRPr="001C6ACF" w:rsidRDefault="001C2076" w:rsidP="00812032">
      <w:pPr>
        <w:pStyle w:val="HHeading4"/>
      </w:pPr>
      <w:r>
        <w:t xml:space="preserve">Hol lehet iránymutatást találni a 2019-ben megválaszolandó közös értékelési kérdésekhez? </w:t>
      </w:r>
    </w:p>
    <w:p w:rsidR="00217482" w:rsidRPr="001C6ACF" w:rsidRDefault="00217482" w:rsidP="00217482">
      <w:pPr>
        <w:pStyle w:val="HStandard"/>
      </w:pPr>
      <w:r>
        <w:t xml:space="preserve">Ez az iránymutatás részletes tájékoztatást ad arról, hogy hogyan lehet megválaszolni az uniós szintű célkitűzésekhez kapcsolódó, közös értékelési kérdéseket (22–30. sz. közös értékelési kérdés). Szükség esetén az iránymutatás más releváns iránymutatásokra hivatkozik az 1. táblázatban foglaltaknak megfelelően.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A kiemelt jelentőségű vidékfejlesztési területekkel, a program szinergiáival, a technikai segítségnyújtással és a nemzeti vidékfejlesztési hálózatokkal kapcsolatos közös értékelési kérdések (1–21. sz. közös értékelési kérdés) megválaszolására vonatkozó iránymutatás az alábbi dokumentumban található:</w:t>
      </w:r>
    </w:p>
    <w:p w:rsidR="008E3ACB" w:rsidRPr="001C6ACF" w:rsidRDefault="00217482" w:rsidP="00E35440">
      <w:pPr>
        <w:pStyle w:val="Hlistbullet"/>
      </w:pPr>
      <w:r>
        <w:t>Az</w:t>
      </w:r>
      <w:r>
        <w:rPr>
          <w:i/>
        </w:rPr>
        <w:t xml:space="preserve"> „</w:t>
      </w:r>
      <w:hyperlink r:id="rId17">
        <w:r>
          <w:rPr>
            <w:rStyle w:val="Hyperlink"/>
            <w:i/>
            <w:color w:val="373737" w:themeColor="text1"/>
            <w:u w:val="none"/>
          </w:rPr>
          <w:t xml:space="preserve">Assessment of RDP Results: How to Prepare for reporting on evaluation in 2017” (A VFP eredményeinek értékelése: felkészülés a 2017. évi értékelésre vonatkozó jelentéstételre) </w:t>
        </w:r>
      </w:hyperlink>
      <w:r>
        <w:t xml:space="preserve">című iránymutatás: ez a dokumentum ismerteti a 2017-ben és később benyújtandó éves végrehajtási jelentésekben szereplő értékelésekre vonatkozó jelentéstétel módját. Az iránymutatás a VFP eredményeinek 2017. évi értékelésére vonatkozó lehetséges értékelési módszereket javasol, amelyek az 1–21. sz. közös értékelési kérdések tekintetében 2019-ben is érvényesek maradnak. </w:t>
      </w:r>
    </w:p>
    <w:p w:rsidR="001C2076" w:rsidRPr="001C6ACF" w:rsidRDefault="006F62E2" w:rsidP="00E35440">
      <w:pPr>
        <w:pStyle w:val="Hlistbullet"/>
      </w:pPr>
      <w:r>
        <w:rPr>
          <w:i/>
        </w:rPr>
        <w:t>11. melléklet –</w:t>
      </w:r>
      <w:r>
        <w:t xml:space="preserve"> „</w:t>
      </w:r>
      <w:hyperlink r:id="rId18">
        <w:r>
          <w:rPr>
            <w:rStyle w:val="Hyperlink"/>
            <w:i/>
            <w:color w:val="373737" w:themeColor="text1"/>
            <w:u w:val="none"/>
          </w:rPr>
          <w:t>Fiches for answering Common Evaluation Questions for Rural Development Programmes 2014-2020</w:t>
        </w:r>
      </w:hyperlink>
      <w:r>
        <w:t>” (A 2014–2020 közötti vidékfejlesztési programokkal kapcsolatos közös értékelési kérdések megválaszolására vonatkozó adatlapok)</w:t>
      </w:r>
      <w:r>
        <w:rPr>
          <w:rStyle w:val="Hyperlink"/>
          <w:i/>
          <w:color w:val="373737" w:themeColor="text1"/>
          <w:u w:val="none"/>
        </w:rPr>
        <w:t>:</w:t>
      </w:r>
      <w:r>
        <w:t xml:space="preserve"> technikai segítséget nyújt az 1–21. sz. közös értékelési kérdések megválaszolásával kapcsolatban. Ismerteti az egyes közös értékelési kérdésekhez kapcsolódó beavatkozási logikát, leírja a hasznos értékelési elemeket, és vizsgálati módszereket javasol.</w:t>
      </w:r>
    </w:p>
    <w:p w:rsidR="0020488A" w:rsidRPr="001C6ACF" w:rsidRDefault="0020488A" w:rsidP="005A56B7">
      <w:pPr>
        <w:pStyle w:val="HStandard"/>
      </w:pPr>
      <w:r>
        <w:t xml:space="preserve">A 2019. évi éves értékelési jelentésben szereplő közös értékelési kérdések megválaszolására vonatkozó, leginkább releváns dokumentumok áttekintése megtalálható az 1. táblázatban: </w:t>
      </w:r>
    </w:p>
    <w:p w:rsidR="00AB3BA1" w:rsidRPr="001C6ACF" w:rsidRDefault="009F77FD" w:rsidP="003A205A">
      <w:pPr>
        <w:pStyle w:val="HHeadingtables"/>
        <w:ind w:left="1021" w:hanging="1021"/>
      </w:pPr>
      <w:r>
        <w:br w:type="column"/>
      </w:r>
      <w:r>
        <w:lastRenderedPageBreak/>
        <w:t>A 2019-ben benyújtandó éves végrehajtási jelentéshez kapcsolódó közös értékelési kérdések megválaszolására vonatkozó iránymutatás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Közös értékelési kérdés</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Dokumentum</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Relevancia a 2019. évi éves végrehajtási jelentés tekintetében</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6B0133" w:rsidP="00DF22D0">
            <w:pPr>
              <w:pStyle w:val="HStandard"/>
              <w:jc w:val="left"/>
            </w:pPr>
            <w:hyperlink r:id="rId19">
              <w:r w:rsidR="006F62E2">
                <w:rPr>
                  <w:rStyle w:val="Hyperlink"/>
                </w:rPr>
                <w:t>Target indicator fiches for Pillar II (Célmutatók adatlapjai a II. pillérhez) (I. és II. prioritás)</w:t>
              </w:r>
            </w:hyperlink>
          </w:p>
        </w:tc>
        <w:tc>
          <w:tcPr>
            <w:tcW w:w="5477" w:type="dxa"/>
          </w:tcPr>
          <w:p w:rsidR="009F7952" w:rsidRPr="00FB6C06" w:rsidRDefault="009F7952" w:rsidP="005A56B7">
            <w:pPr>
              <w:pStyle w:val="HStandard"/>
            </w:pPr>
            <w:r>
              <w:t>Minden egyes mutató esetében jelzi a vonatkozó prioritáshoz és kiemelt területhez vezető kapcsolatot, a definíciót és a mértékegységet, a kiszámítás módszerét, az adatigényeket és -forrásokat, a gyűjtés gyakoriságát, valamint az Európai Bizottság részére történő továbbítás módját.</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6B0133" w:rsidP="00DF22D0">
            <w:pPr>
              <w:pStyle w:val="HStandard"/>
              <w:jc w:val="left"/>
            </w:pPr>
            <w:hyperlink r:id="rId20">
              <w:r w:rsidR="006F62E2">
                <w:rPr>
                  <w:rStyle w:val="Hyperlink"/>
                </w:rPr>
                <w:t>Complementary result indicators fiches for Pillar II (Kiegészítő eredménymutatók adatlapjai a II. pillérhez)</w:t>
              </w:r>
            </w:hyperlink>
          </w:p>
        </w:tc>
        <w:tc>
          <w:tcPr>
            <w:tcW w:w="5477" w:type="dxa"/>
          </w:tcPr>
          <w:p w:rsidR="009F7952" w:rsidRPr="00336531" w:rsidRDefault="009F7952" w:rsidP="005A56B7">
            <w:pPr>
              <w:pStyle w:val="HStandard"/>
            </w:pPr>
            <w:r>
              <w:t>Hasonló iránymutatást tartalmaz az egyes kiegészítő eredménymutatókra vonatkozóan.</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6B0133" w:rsidP="00DF22D0">
            <w:pPr>
              <w:pStyle w:val="HStandard"/>
              <w:jc w:val="left"/>
            </w:pPr>
            <w:hyperlink r:id="rId21">
              <w:r w:rsidR="006F62E2">
                <w:rPr>
                  <w:rStyle w:val="Hyperlink"/>
                </w:rPr>
                <w:t>Az „Assessment of RDP Results: How to Prepare for reporting on evaluation in 2017” (A VFP eredményeinek értékelése: felkészülés a 2017. évi értékelésre vonatkozó jelentéstételre) című iránymutatás</w:t>
              </w:r>
            </w:hyperlink>
            <w:r w:rsidR="006F62E2">
              <w:rPr>
                <w:rStyle w:val="Hyperlink"/>
              </w:rPr>
              <w:t xml:space="preserve"> (külön 11. melléklet)</w:t>
            </w:r>
          </w:p>
        </w:tc>
        <w:tc>
          <w:tcPr>
            <w:tcW w:w="5477" w:type="dxa"/>
          </w:tcPr>
          <w:p w:rsidR="009F7952" w:rsidRPr="001C6ACF" w:rsidRDefault="00116A79" w:rsidP="00593F3E">
            <w:pPr>
              <w:pStyle w:val="HStandard"/>
            </w:pPr>
            <w:r>
              <w:t>Javaslatot tesz a 2017-ben benyújtandó éves végrehajtási jelentésben szereplő értékelésre vonatkozó jelentéstételnek és az értékelési tevékenységek végzésének módjára, valamint az 1–21. sz. közös értékelési kérdések megválaszolását célzó módszerekre.</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6B0133" w:rsidP="00DF22D0">
            <w:pPr>
              <w:pStyle w:val="HStandard"/>
              <w:jc w:val="left"/>
            </w:pPr>
            <w:hyperlink r:id="rId22">
              <w:r w:rsidR="006F62E2">
                <w:rPr>
                  <w:rStyle w:val="Hyperlink"/>
                </w:rPr>
                <w:t>Az „Evaluation of LEADER/CLLD” (A LEADER/CLLD értékelése) című iránymutatás</w:t>
              </w:r>
            </w:hyperlink>
          </w:p>
        </w:tc>
        <w:tc>
          <w:tcPr>
            <w:tcW w:w="5477" w:type="dxa"/>
          </w:tcPr>
          <w:p w:rsidR="009F7952" w:rsidRPr="007645B4" w:rsidRDefault="00116A79" w:rsidP="005A56B7">
            <w:pPr>
              <w:pStyle w:val="HStandard"/>
            </w:pPr>
            <w:r>
              <w:t xml:space="preserve">Ismerteti, hogyan lehet felmérni a LEADER/CLLD projekteknek a vidékfejlesztés kiemelt területeihez való elsődleges és másodlagos hozzájárulását.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6B0133" w:rsidP="00DF22D0">
            <w:pPr>
              <w:pStyle w:val="HStandard"/>
              <w:jc w:val="left"/>
            </w:pPr>
            <w:hyperlink r:id="rId23">
              <w:r w:rsidR="006F62E2">
                <w:rPr>
                  <w:rStyle w:val="Hyperlink"/>
                </w:rPr>
                <w:t>Az „Evaluation of innovation in RDPs 2014-2020” (A 2014–2020-as időszakra vonatkozó vidékfejlesztési programok keretében végrehajtott innovációk értékelése) című iránymutatás</w:t>
              </w:r>
            </w:hyperlink>
          </w:p>
        </w:tc>
        <w:tc>
          <w:tcPr>
            <w:tcW w:w="5477" w:type="dxa"/>
          </w:tcPr>
          <w:p w:rsidR="009F7952" w:rsidRPr="00863E73" w:rsidRDefault="009F7952" w:rsidP="005A56B7">
            <w:pPr>
              <w:pStyle w:val="HStandard"/>
            </w:pPr>
            <w:r>
              <w:t xml:space="preserve">Tájékoztatást nyújt az 1A. és 1B. kiemelt területekkel kapcsolatos innováció értékelése, valamint az innovációnak a nemzeti vidékfejlesztési hálózatok tevékenységein keresztüli támogatása tekintetében. Segítséget nyújt továbbá az 1., 2. és 21. sz. közös értékelési kérdés innovációs szempontú megválaszolása terén. </w:t>
            </w:r>
          </w:p>
        </w:tc>
      </w:tr>
      <w:tr w:rsidR="002C57D4" w:rsidRPr="001C6ACF" w:rsidTr="00A746BC">
        <w:tc>
          <w:tcPr>
            <w:tcW w:w="1129" w:type="dxa"/>
            <w:vMerge w:val="restart"/>
          </w:tcPr>
          <w:p w:rsidR="002C57D4" w:rsidRPr="001C6ACF" w:rsidRDefault="002C57D4" w:rsidP="00A746BC">
            <w:pPr>
              <w:pStyle w:val="HStandard"/>
              <w:jc w:val="center"/>
            </w:pPr>
            <w:r>
              <w:t>22–30.</w:t>
            </w:r>
          </w:p>
        </w:tc>
        <w:tc>
          <w:tcPr>
            <w:tcW w:w="2410" w:type="dxa"/>
          </w:tcPr>
          <w:p w:rsidR="002C57D4" w:rsidRPr="00571D58" w:rsidRDefault="006B0133" w:rsidP="00DF22D0">
            <w:pPr>
              <w:pStyle w:val="HStandard"/>
              <w:jc w:val="left"/>
            </w:pPr>
            <w:hyperlink r:id="rId24">
              <w:r w:rsidR="006F62E2">
                <w:rPr>
                  <w:rStyle w:val="Hyperlink"/>
                </w:rPr>
                <w:t>Impact indicators fiches (A hatásmutatók adatlapjai)</w:t>
              </w:r>
            </w:hyperlink>
            <w:r w:rsidR="006F62E2">
              <w:t xml:space="preserve"> </w:t>
            </w:r>
          </w:p>
        </w:tc>
        <w:tc>
          <w:tcPr>
            <w:tcW w:w="5477" w:type="dxa"/>
          </w:tcPr>
          <w:p w:rsidR="002C57D4" w:rsidRPr="001C6ACF" w:rsidRDefault="002C57D4" w:rsidP="005A56B7">
            <w:pPr>
              <w:pStyle w:val="HStandard"/>
            </w:pPr>
            <w:r>
              <w:t xml:space="preserve">Tájékoztatást nyújt a mutatóknak a KAP általános céljaival kapcsolatos összefüggéseiről, a mutatók definícióiról, a mértékegységről, a kiszámítás módszeréről/képletéről, az adatszolgáltatási követelményekről, a forrásokról, az adatgyűjtés gyakoriságáról/késedelméről és az adatok </w:t>
            </w:r>
            <w:r>
              <w:lastRenderedPageBreak/>
              <w:t>helyéről.</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6B0133">
            <w:pPr>
              <w:pStyle w:val="HStandard"/>
              <w:jc w:val="left"/>
            </w:pPr>
            <w:hyperlink r:id="rId25">
              <w:r w:rsidR="006F62E2">
                <w:rPr>
                  <w:rStyle w:val="Hyperlink"/>
                </w:rPr>
                <w:t>A legfrissebb kontextusmutató-adatok a tagállamoktól</w:t>
              </w:r>
            </w:hyperlink>
          </w:p>
        </w:tc>
        <w:tc>
          <w:tcPr>
            <w:tcW w:w="5477" w:type="dxa"/>
          </w:tcPr>
          <w:p w:rsidR="00A75E50" w:rsidRPr="00336531" w:rsidRDefault="00A75E50" w:rsidP="00FF4127">
            <w:pPr>
              <w:pStyle w:val="HStandard"/>
            </w:pPr>
            <w:r>
              <w:t>Az Európai Bizottság a tagállamok által benyújtott adatok alapján évente frissíti a közös kontextusmutatókra vonatkozó adatokat (az elérhetőségüktől függően).</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6B0133" w:rsidP="00DF22D0">
            <w:pPr>
              <w:pStyle w:val="HStandard"/>
              <w:jc w:val="left"/>
              <w:rPr>
                <w:color w:val="F07E31" w:themeColor="accent1"/>
              </w:rPr>
            </w:pPr>
            <w:hyperlink r:id="rId26">
              <w:r w:rsidR="006F62E2">
                <w:rPr>
                  <w:rStyle w:val="Hyperlink"/>
                </w:rPr>
                <w:t>Az „Evaluation of innovation in RDPs 2014-2020” (A 2014–2020-as időszakra vonatkozó vidékfejlesztési programok keretében végrehajtott innovációk értékelése) című iránymutatás</w:t>
              </w:r>
            </w:hyperlink>
          </w:p>
          <w:p w:rsidR="00A75E50" w:rsidRPr="00336531" w:rsidRDefault="00A75E50">
            <w:pPr>
              <w:pStyle w:val="HStandard"/>
              <w:jc w:val="left"/>
            </w:pPr>
          </w:p>
        </w:tc>
        <w:tc>
          <w:tcPr>
            <w:tcW w:w="5477" w:type="dxa"/>
          </w:tcPr>
          <w:p w:rsidR="00A75E50" w:rsidRPr="001C6ACF" w:rsidRDefault="00A75E50" w:rsidP="00FF4127">
            <w:pPr>
              <w:pStyle w:val="HStandard"/>
            </w:pPr>
            <w:r>
              <w:t>Tájékoztatást nyújt arról, hogy hogyan lehet értékelni a VFP hozzájárulását az innovációhoz és az EU 2020 stratégia azon kiemelt célkitűzéséhez, miszerint az EU GDP-jének 3%-át a kutatás-fejlesztésbe és az innovációba kell fektetni, valamint arról, hogyan lehet megválaszolni a 23. és a 30. sz. közös értékelési kérdést.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6B0133" w:rsidP="00DF22D0">
            <w:pPr>
              <w:pStyle w:val="HStandard"/>
              <w:jc w:val="left"/>
            </w:pPr>
            <w:hyperlink r:id="rId27">
              <w:r w:rsidR="006F62E2">
                <w:rPr>
                  <w:rStyle w:val="Hyperlink"/>
                </w:rPr>
                <w:t>Tájékoztatás az Európa 2020 stratégiáról</w:t>
              </w:r>
            </w:hyperlink>
          </w:p>
        </w:tc>
        <w:tc>
          <w:tcPr>
            <w:tcW w:w="5477" w:type="dxa"/>
          </w:tcPr>
          <w:p w:rsidR="00A75E50" w:rsidRPr="001C6ACF" w:rsidRDefault="00A75E50" w:rsidP="00EE407C">
            <w:pPr>
              <w:pStyle w:val="HStandard"/>
            </w:pPr>
            <w:r>
              <w:t>Az Európa 2020 stratégia az uniós, a nemzeti és a regionális szintű tevékenységek referenciakereteként szolgál. Az uniós kormányok nemzeti célkitűzéseket határoztak meg annak érdekében, hogy segítsenek az uniós kiemelt célok megvalósításában, és éves nemzeti reformprogramjuk részeként jelentést tesznek róluk. Az EU statisztikai hivatala, az Eurostat rendszeresen tesz közzé átfogó eredményjelentéseket a célkitűzésekkel kapcsolatban (</w:t>
            </w:r>
            <w:hyperlink r:id="rId28">
              <w:r>
                <w:rPr>
                  <w:rStyle w:val="Hyperlink"/>
                </w:rPr>
                <w:t>„Smarter, greener, more inclusive? Indicators to support the Europe 2020 strategy”</w:t>
              </w:r>
            </w:hyperlink>
            <w:r>
              <w:rPr>
                <w:color w:val="333333"/>
              </w:rPr>
              <w:t>– Intelligensebb, zöldebb, inkluzívabb? – Az Európa 2020 stratégia támogatását célzó mutatók), amelyek nyomon követik a három egymást erősítő prioritás, az intelligens, fenntartható és inkluzív növekedés alapján meghatározott uniós célkitűzések és célok megvalósítása terén elért eredményeket, valamint ismertetik a tagállamok helyzetét.</w:t>
            </w:r>
          </w:p>
        </w:tc>
      </w:tr>
      <w:tr w:rsidR="00A75E50" w:rsidRPr="001C6ACF" w:rsidTr="00A746BC">
        <w:tc>
          <w:tcPr>
            <w:tcW w:w="1129" w:type="dxa"/>
            <w:vMerge w:val="restart"/>
          </w:tcPr>
          <w:p w:rsidR="00A75E50" w:rsidRPr="001C6ACF" w:rsidRDefault="00A75E50" w:rsidP="00A746BC">
            <w:pPr>
              <w:pStyle w:val="HStandard"/>
              <w:jc w:val="center"/>
            </w:pPr>
            <w:r>
              <w:t>22., 23., 24., 25., 30.</w:t>
            </w:r>
          </w:p>
        </w:tc>
        <w:tc>
          <w:tcPr>
            <w:tcW w:w="2410" w:type="dxa"/>
          </w:tcPr>
          <w:p w:rsidR="00A75E50" w:rsidRPr="00571D58" w:rsidRDefault="006B0133">
            <w:pPr>
              <w:pStyle w:val="HStandard"/>
              <w:jc w:val="left"/>
              <w:rPr>
                <w:rFonts w:cs="Arial"/>
                <w:color w:val="F07E31" w:themeColor="accent1"/>
              </w:rPr>
            </w:pPr>
            <w:hyperlink r:id="rId29">
              <w:r w:rsidR="006F62E2">
                <w:rPr>
                  <w:rStyle w:val="Hyperlink"/>
                </w:rPr>
                <w:t>Az Európa 2020 stratégia célkitűzéseire vonatkozó információk a tagállamoktól</w:t>
              </w:r>
            </w:hyperlink>
          </w:p>
        </w:tc>
        <w:tc>
          <w:tcPr>
            <w:tcW w:w="5477" w:type="dxa"/>
          </w:tcPr>
          <w:p w:rsidR="00A75E50" w:rsidRPr="001C6ACF" w:rsidRDefault="00A75E50" w:rsidP="00823352">
            <w:pPr>
              <w:pStyle w:val="HStandard"/>
            </w:pPr>
            <w:r>
              <w:t>Az Eurostat rendszeresen frissíti az Európa 2020 stratégiai kiemelt céljainak való megfelelés érdekében tagállamonként vállalt nemzeti célkitűzésekre vonatkozó információkat.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6B0133">
            <w:pPr>
              <w:pStyle w:val="HStandard"/>
              <w:jc w:val="left"/>
              <w:rPr>
                <w:rFonts w:cs="Arial"/>
              </w:rPr>
            </w:pPr>
            <w:hyperlink r:id="rId30">
              <w:r w:rsidR="006F62E2">
                <w:rPr>
                  <w:rStyle w:val="Hyperlink"/>
                </w:rPr>
                <w:t>Context indicators fiches (A kontextusmutatók adatlapjai)</w:t>
              </w:r>
            </w:hyperlink>
            <w:r w:rsidR="006F62E2">
              <w:t xml:space="preserve"> </w:t>
            </w:r>
          </w:p>
        </w:tc>
        <w:tc>
          <w:tcPr>
            <w:tcW w:w="5477" w:type="dxa"/>
          </w:tcPr>
          <w:p w:rsidR="00A75E50" w:rsidRPr="007645B4" w:rsidRDefault="00A75E50" w:rsidP="00FF4127">
            <w:pPr>
              <w:pStyle w:val="HStandard"/>
            </w:pPr>
            <w:r>
              <w:t>A KAP 45 közös kontextusmutatója (amelyek három csoportra oszthatók – társadalmi-gazdasági, ágazati és környezeti) az általános gazdasági, környezeti és társadalmi háttértendenciák releváns szempontjait tükrözi. Ezek valószínűleg hatással lesznek a KAP végrehajtására, eredményeire és teljesítményére. A mutatók adatlapjai a definíciók, a módszertan és az adatforrások leírását tartalmazzák.</w:t>
            </w:r>
          </w:p>
        </w:tc>
      </w:tr>
      <w:tr w:rsidR="00A75E50" w:rsidRPr="001C6ACF" w:rsidTr="00A746BC">
        <w:trPr>
          <w:trHeight w:val="1800"/>
        </w:trPr>
        <w:tc>
          <w:tcPr>
            <w:tcW w:w="1129" w:type="dxa"/>
          </w:tcPr>
          <w:p w:rsidR="00A75E50" w:rsidRPr="001C6ACF" w:rsidRDefault="00A75E50" w:rsidP="00A746BC">
            <w:pPr>
              <w:pStyle w:val="HStandard"/>
              <w:jc w:val="center"/>
            </w:pPr>
            <w:r>
              <w:lastRenderedPageBreak/>
              <w:t>Mindegyik közös értékelési kérdés</w:t>
            </w:r>
          </w:p>
        </w:tc>
        <w:tc>
          <w:tcPr>
            <w:tcW w:w="2410" w:type="dxa"/>
          </w:tcPr>
          <w:p w:rsidR="00A75E50" w:rsidRPr="00571D58" w:rsidRDefault="006B0133" w:rsidP="00E95159">
            <w:pPr>
              <w:pStyle w:val="HStandard"/>
              <w:jc w:val="left"/>
            </w:pPr>
            <w:hyperlink r:id="rId31">
              <w:r w:rsidR="006F62E2">
                <w:rPr>
                  <w:rStyle w:val="Hyperlink"/>
                </w:rPr>
                <w:t>„Common evaluation questions for Rural Development Programmes 2014-2020” (Közös értékelési kérdések a 2014–2020-as időszak vidékfejlesztési programjaihoz) című munkadokumentum</w:t>
              </w:r>
            </w:hyperlink>
          </w:p>
        </w:tc>
        <w:tc>
          <w:tcPr>
            <w:tcW w:w="5477" w:type="dxa"/>
          </w:tcPr>
          <w:p w:rsidR="00A75E50" w:rsidRPr="00863E73" w:rsidRDefault="00A75E50" w:rsidP="00E95159">
            <w:pPr>
              <w:pStyle w:val="HStandard"/>
            </w:pPr>
            <w:r>
              <w:t>Ismerteti a közös monitoring- és értékelési rendszerben található közös értékelési kérdések célját és alkalmazását. Ismerteti az értékelési kérdések különböző típusait, és felsorolja az elbírálási kritériumokat, valamint a közös és kiegészítő mutatókat az 1–21. sz. közös értékelési kérdések vonatkozásában.</w:t>
            </w:r>
          </w:p>
        </w:tc>
      </w:tr>
    </w:tbl>
    <w:p w:rsidR="00154C43" w:rsidRPr="001C6ACF" w:rsidRDefault="00154C43"/>
    <w:p w:rsidR="001C2076" w:rsidRPr="001C6ACF" w:rsidRDefault="00497FC8" w:rsidP="00E35440">
      <w:pPr>
        <w:pStyle w:val="HHeading2"/>
      </w:pPr>
      <w:r>
        <w:t xml:space="preserve"> </w:t>
      </w:r>
      <w:r w:rsidR="001C2076">
        <w:t xml:space="preserve">Felkészülés a 2019-ben benyújtandó éves végrehajtási jelentésre </w:t>
      </w:r>
    </w:p>
    <w:p w:rsidR="009B016B" w:rsidRPr="001C6ACF" w:rsidRDefault="00806A70" w:rsidP="00217482">
      <w:pPr>
        <w:pStyle w:val="HStandard"/>
      </w:pPr>
      <w:r>
        <w:t>A VFP eredményeinek és hatásainak 2019. évi értékelésére való felkészülés során az értékelésben érdekelt különféle tagállami felek különböző lépéseket tehetnek</w:t>
      </w:r>
      <w:r>
        <w:rPr>
          <w:rStyle w:val="FootnoteReference"/>
          <w:sz w:val="20"/>
          <w:vertAlign w:val="superscript"/>
        </w:rPr>
        <w:footnoteReference w:id="24"/>
      </w:r>
      <w:r>
        <w:t>, amelyek hozzájárulnak annak biztosításához, hogy az értékelési megállapítások minőségiek és a politikai döntéshozók számára relevánsak legyenek.</w:t>
      </w:r>
    </w:p>
    <w:p w:rsidR="00932C3E" w:rsidRPr="001C6ACF" w:rsidRDefault="003146E6" w:rsidP="00217482">
      <w:pPr>
        <w:pStyle w:val="HStandard"/>
      </w:pPr>
      <w:r>
        <w:t>A javasolt ellenőrzőlista megtalálható a 2. táblázatban, és tartalmazza a 2019. évi értékeléshez szükséges lépéseket. Magában foglal továbbá néhány előkészítő lépést is, amelyek – amennyiben még nem került rájuk sor – még elvégezhetők a 2019. évi értékelési tevékenységek megkezdése előtt. A 2. táblázat ismerteti a tagállami szinten az értékelési tevékenységekben adott esetben részt vevő különböző szereplők fel</w:t>
      </w:r>
      <w:r w:rsidR="00FB33B7">
        <w:t>adatkörét</w:t>
      </w:r>
      <w:r>
        <w:t xml:space="preserve">, nevezetesen a következőkét: Irányító hatóság (IH), monitoringbizottság (MB), kifizető ügynökség (KÜ), értékelési osztály (ÉO) (ha van), értékelési irányítócsoport (ÉICS) (ha van), értékelők (Ér), adatszolgáltatók (ASZ) és egyéb illetékes értékelési érdekelt felek (E). </w:t>
      </w:r>
    </w:p>
    <w:p w:rsidR="004773BB" w:rsidRPr="001C6ACF" w:rsidRDefault="00A75E50" w:rsidP="00676871">
      <w:pPr>
        <w:pStyle w:val="HHeadingtables"/>
        <w:ind w:left="1021" w:hanging="1021"/>
      </w:pPr>
      <w:r>
        <w:br w:type="column"/>
      </w:r>
      <w:r>
        <w:lastRenderedPageBreak/>
        <w:t>A 2019. évi értékelés ajánlott lépéseinek ellenőrzőlistája</w:t>
      </w:r>
    </w:p>
    <w:tbl>
      <w:tblPr>
        <w:tblStyle w:val="Tabukasmriekou5tmavzvraznenie61"/>
        <w:tblW w:w="9833" w:type="dxa"/>
        <w:jc w:val="center"/>
        <w:tblLayout w:type="fixed"/>
        <w:tblLook w:val="04A0" w:firstRow="1" w:lastRow="0" w:firstColumn="1" w:lastColumn="0" w:noHBand="0" w:noVBand="1"/>
      </w:tblPr>
      <w:tblGrid>
        <w:gridCol w:w="764"/>
        <w:gridCol w:w="3200"/>
        <w:gridCol w:w="1429"/>
        <w:gridCol w:w="531"/>
        <w:gridCol w:w="480"/>
        <w:gridCol w:w="600"/>
        <w:gridCol w:w="600"/>
        <w:gridCol w:w="600"/>
        <w:gridCol w:w="600"/>
        <w:gridCol w:w="480"/>
        <w:gridCol w:w="549"/>
      </w:tblGrid>
      <w:tr w:rsidR="00055507" w:rsidRPr="001C6ACF" w:rsidTr="00EB3D33">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Szakasz</w:t>
            </w:r>
          </w:p>
        </w:tc>
        <w:tc>
          <w:tcPr>
            <w:tcW w:w="3200"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Lépés</w:t>
            </w:r>
          </w:p>
        </w:tc>
        <w:tc>
          <w:tcPr>
            <w:tcW w:w="1429"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Indikatív ütemterv</w:t>
            </w:r>
          </w:p>
        </w:tc>
        <w:tc>
          <w:tcPr>
            <w:tcW w:w="4440"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Felelősség (x) és részvétel (y)</w:t>
            </w:r>
            <w:r>
              <w:rPr>
                <w:rStyle w:val="FootnoteReference"/>
                <w:color w:val="FFFFFF" w:themeColor="background1"/>
                <w:sz w:val="10"/>
              </w:rPr>
              <w:footnoteReference w:id="25"/>
            </w:r>
          </w:p>
        </w:tc>
      </w:tr>
      <w:tr w:rsidR="001C0097" w:rsidRPr="001C6ACF" w:rsidTr="00EB3D33">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764"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200"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429"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531"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IH</w:t>
            </w:r>
          </w:p>
        </w:tc>
        <w:tc>
          <w:tcPr>
            <w:tcW w:w="48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KÜ</w:t>
            </w:r>
          </w:p>
        </w:tc>
        <w:tc>
          <w:tcPr>
            <w:tcW w:w="60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ASZ</w:t>
            </w:r>
          </w:p>
        </w:tc>
        <w:tc>
          <w:tcPr>
            <w:tcW w:w="60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ÉO</w:t>
            </w:r>
          </w:p>
        </w:tc>
        <w:tc>
          <w:tcPr>
            <w:tcW w:w="60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ÉICS</w:t>
            </w:r>
          </w:p>
        </w:tc>
        <w:tc>
          <w:tcPr>
            <w:tcW w:w="60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Ér</w:t>
            </w:r>
          </w:p>
        </w:tc>
        <w:tc>
          <w:tcPr>
            <w:tcW w:w="48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MB</w:t>
            </w:r>
          </w:p>
        </w:tc>
        <w:tc>
          <w:tcPr>
            <w:tcW w:w="549"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w:t>
            </w:r>
          </w:p>
        </w:tc>
      </w:tr>
      <w:tr w:rsidR="001C0097" w:rsidRPr="001C6ACF" w:rsidTr="00EB3D3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Tervezés</w:t>
            </w:r>
          </w:p>
        </w:tc>
        <w:tc>
          <w:tcPr>
            <w:tcW w:w="320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közös kontextusmutatók alapértékének frissítése (a VFP-ken belül).</w:t>
            </w:r>
          </w:p>
        </w:tc>
        <w:tc>
          <w:tcPr>
            <w:tcW w:w="142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Amint elérhetők az adatok</w:t>
            </w:r>
          </w:p>
        </w:tc>
        <w:tc>
          <w:tcPr>
            <w:tcW w:w="531"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480"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trHeight w:val="59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VFP értékelési tervében szereplő közös hatásmutatókkal kapcsolatos értékelési tevékenységek, témák, tanulmányok és adatgyűjtési rendelkezések megtervezése. </w:t>
            </w:r>
          </w:p>
        </w:tc>
        <w:tc>
          <w:tcPr>
            <w:tcW w:w="142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2013-tól </w:t>
            </w:r>
          </w:p>
        </w:tc>
        <w:tc>
          <w:tcPr>
            <w:tcW w:w="531"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Belső értékelési terv (dokumentum) kidolgozása/frissítése az értékelési témák és tevékenységek részletesebb meghatározása érdekében (beleértve a nettó hatás hatásmutatók révén történő kiszűrésére, egyéb bizonyítékok gyűjtésére és a kapcsolódó tanulmányokra irányuló, adatokkal kapcsolatos tevékenységeket). </w:t>
            </w:r>
          </w:p>
        </w:tc>
        <w:tc>
          <w:tcPr>
            <w:tcW w:w="142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2013-tól</w:t>
            </w:r>
          </w:p>
        </w:tc>
        <w:tc>
          <w:tcPr>
            <w:tcW w:w="531"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trHeight w:val="790"/>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Előkészítés</w:t>
            </w:r>
          </w:p>
        </w:tc>
        <w:tc>
          <w:tcPr>
            <w:tcW w:w="3200"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Önkéntes értékelési irányítócsoport felállítása az értékelési folyamat irányítása érdekében (rendszeres ülések).</w:t>
            </w:r>
          </w:p>
        </w:tc>
        <w:tc>
          <w:tcPr>
            <w:tcW w:w="142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programozási időszak elején </w:t>
            </w:r>
          </w:p>
        </w:tc>
        <w:tc>
          <w:tcPr>
            <w:tcW w:w="531"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program beavatkozási logikájának felülvizsgálata (célok, K+F prioritások és kiemelt területek, intézkedések). </w:t>
            </w:r>
          </w:p>
        </w:tc>
        <w:tc>
          <w:tcPr>
            <w:tcW w:w="142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programozási időszak elején és minden értékelés előtt</w:t>
            </w:r>
          </w:p>
        </w:tc>
        <w:tc>
          <w:tcPr>
            <w:tcW w:w="531"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trHeight w:val="502"/>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közös értékelési kérdések egységes értelmezésének kialakítása, az elbírálási kritériumok meghatározása és azok összekapcsolása a közös (és kiegészítő) mutatókkal. Konzisztencia biztosítása az értékelési elemek és a VFP beavatkozási logikájának összekapcsolásakor. </w:t>
            </w:r>
          </w:p>
        </w:tc>
        <w:tc>
          <w:tcPr>
            <w:tcW w:w="142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 programozási időszak elején és minden értékelés előtt</w:t>
            </w:r>
          </w:p>
        </w:tc>
        <w:tc>
          <w:tcPr>
            <w:tcW w:w="531"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Programspecifikus értékelési kérdések kidolgozása szükség esetén. Azok elbírálási kritériumokkal és programspecifikus mutatókkal való kiegészítése. Konzisztencia biztosítása az értékelési elemek és a VFP beavatkozási logikájának összekapcsolásakor.</w:t>
            </w:r>
          </w:p>
        </w:tc>
        <w:tc>
          <w:tcPr>
            <w:tcW w:w="142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programozási időszak elején és minden értékelés előtt</w:t>
            </w:r>
          </w:p>
        </w:tc>
        <w:tc>
          <w:tcPr>
            <w:tcW w:w="531"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trHeight w:val="1050"/>
          <w:jc w:val="center"/>
        </w:trPr>
        <w:tc>
          <w:tcPr>
            <w:cnfStyle w:val="001000000000" w:firstRow="0" w:lastRow="0" w:firstColumn="1" w:lastColumn="0" w:oddVBand="0" w:evenVBand="0" w:oddHBand="0" w:evenHBand="0" w:firstRowFirstColumn="0" w:firstRowLastColumn="0" w:lastRowFirstColumn="0" w:lastRowLastColumn="0"/>
            <w:tcW w:w="764"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meglévő adatok vizsgálata a közös (és kiegészítő) mutatók kiszámítása érdekében az EU 2020 stratégiával kapcsolatos közös értékelési kérdések megválaszolásához szükséges adatok gyűjtése céljából. Az esetleges adathiányok azonosítása a kiválasztott mutatók tekintetében. </w:t>
            </w:r>
          </w:p>
        </w:tc>
        <w:tc>
          <w:tcPr>
            <w:tcW w:w="1429"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 programozási időszak elején és az értékelés előtt</w:t>
            </w:r>
          </w:p>
        </w:tc>
        <w:tc>
          <w:tcPr>
            <w:tcW w:w="531"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480"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lehetséges értékelési megközelítések megvitatása a hatásmutatók értékelése/nettó hatások kiszűrésére való felhasználása érdekében, a meglévő adatokra támaszkodva. </w:t>
            </w:r>
          </w:p>
        </w:tc>
        <w:tc>
          <w:tcPr>
            <w:tcW w:w="142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programozási időszak elején és az értékelés előtt</w:t>
            </w:r>
          </w:p>
        </w:tc>
        <w:tc>
          <w:tcPr>
            <w:tcW w:w="531"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trHeight w:val="24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feladatok meghatározása és pályázat kiírása az értékelés elvégzésére (folyamatos értékelés vagy a 2017. és 2019. évi egyes értékelésekre vonatkozó szerződések). </w:t>
            </w:r>
          </w:p>
        </w:tc>
        <w:tc>
          <w:tcPr>
            <w:tcW w:w="1429"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 programozási időszak elején vagy 2016-ban és 2018-ban</w:t>
            </w:r>
          </w:p>
        </w:tc>
        <w:tc>
          <w:tcPr>
            <w:tcW w:w="531"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Felépítés</w:t>
            </w:r>
          </w:p>
        </w:tc>
        <w:tc>
          <w:tcPr>
            <w:tcW w:w="32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meglévő adatforrások és adathiányok megvitatása az értékelőkkel. Megállapodás az adathiányok áthidalásával kapcsolatban. </w:t>
            </w:r>
          </w:p>
        </w:tc>
        <w:tc>
          <w:tcPr>
            <w:tcW w:w="142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és 2018 második és harmadik negyedéve</w:t>
            </w:r>
          </w:p>
        </w:tc>
        <w:tc>
          <w:tcPr>
            <w:tcW w:w="531"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VFP hatásainak értékelésére és a nettó hatások közös (és kiegészítő) hatásmutatók révén történő kiszűrésére irányuló módszertani megközelítések megvitatása az értékelőkkel. </w:t>
            </w:r>
          </w:p>
        </w:tc>
        <w:tc>
          <w:tcPr>
            <w:tcW w:w="1429"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és 2018 második és harmadik negyedéve</w:t>
            </w:r>
          </w:p>
        </w:tc>
        <w:tc>
          <w:tcPr>
            <w:tcW w:w="531"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Megfigyelés</w:t>
            </w:r>
          </w:p>
        </w:tc>
        <w:tc>
          <w:tcPr>
            <w:tcW w:w="32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kedvezményezettekre vonatkozó adatok és információk gyűjtése a közös (és kiegészítő) hatásmutatókkal összefüggésben és a javasolt módszerekkel összhangban. </w:t>
            </w:r>
          </w:p>
        </w:tc>
        <w:tc>
          <w:tcPr>
            <w:tcW w:w="142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VFP elejétől 2018 végéig</w:t>
            </w:r>
          </w:p>
        </w:tc>
        <w:tc>
          <w:tcPr>
            <w:tcW w:w="531"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nem kedvezményezettekre vonatkozó adatok és információk gyűjtése a közös (és kiegészítő) hatásmutatókkal összefüggésben és a javasolt módszerekkel összhangban. </w:t>
            </w:r>
          </w:p>
        </w:tc>
        <w:tc>
          <w:tcPr>
            <w:tcW w:w="142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 VFP elejétől 2018 végéig</w:t>
            </w:r>
          </w:p>
        </w:tc>
        <w:tc>
          <w:tcPr>
            <w:tcW w:w="531"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műveletekre vonatkozó adatbázisból és más forrásokból (pl. mezőgazdasági számviteli információs hálózat, statisztikai hivatal, környezeti monitoring stb.) gyűjtött adatok minőségének biztosítása. </w:t>
            </w:r>
          </w:p>
        </w:tc>
        <w:tc>
          <w:tcPr>
            <w:tcW w:w="1429"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Folyamatos</w:t>
            </w:r>
          </w:p>
        </w:tc>
        <w:tc>
          <w:tcPr>
            <w:tcW w:w="531"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Elemzés</w:t>
            </w: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hatásmutatók értékelése és nettó hatások szűrésére való felhasználása a javasolt értékelési megközelítésekkel és a kiválasztott értékelési módszerekkel összhangban. </w:t>
            </w:r>
          </w:p>
        </w:tc>
        <w:tc>
          <w:tcPr>
            <w:tcW w:w="1429"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első negyedéve</w:t>
            </w:r>
          </w:p>
        </w:tc>
        <w:tc>
          <w:tcPr>
            <w:tcW w:w="531"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Az elemzés minőségének biztosítása. </w:t>
            </w:r>
          </w:p>
        </w:tc>
        <w:tc>
          <w:tcPr>
            <w:tcW w:w="142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első negyedéve</w:t>
            </w:r>
          </w:p>
        </w:tc>
        <w:tc>
          <w:tcPr>
            <w:tcW w:w="531"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Elbírálás</w:t>
            </w: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Az elemzésből származó értékelési megállapítások értelmezése, az elbírálás kialakítása az elbírálási kritériumok alapján, valamint az értékelési kérdések megválaszolása. </w:t>
            </w:r>
          </w:p>
        </w:tc>
        <w:tc>
          <w:tcPr>
            <w:tcW w:w="142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első negyedéve</w:t>
            </w:r>
          </w:p>
        </w:tc>
        <w:tc>
          <w:tcPr>
            <w:tcW w:w="531"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F5313B">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Következtetések megfogalmazása az elbírálásokkal kapcsolatban, valamint szükség esetén ajánlások </w:t>
            </w:r>
            <w:r>
              <w:rPr>
                <w:color w:val="373737"/>
                <w:sz w:val="16"/>
              </w:rPr>
              <w:lastRenderedPageBreak/>
              <w:t>megfogalmazása.</w:t>
            </w:r>
          </w:p>
        </w:tc>
        <w:tc>
          <w:tcPr>
            <w:tcW w:w="142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 xml:space="preserve">2019 első és második </w:t>
            </w:r>
            <w:r>
              <w:rPr>
                <w:color w:val="373737"/>
                <w:sz w:val="16"/>
              </w:rPr>
              <w:lastRenderedPageBreak/>
              <w:t>negyedéve</w:t>
            </w:r>
          </w:p>
        </w:tc>
        <w:tc>
          <w:tcPr>
            <w:tcW w:w="531"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Az elbírálások minőségének biztosítása. </w:t>
            </w:r>
          </w:p>
        </w:tc>
        <w:tc>
          <w:tcPr>
            <w:tcW w:w="142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első és második negyedéve</w:t>
            </w:r>
          </w:p>
        </w:tc>
        <w:tc>
          <w:tcPr>
            <w:tcW w:w="531"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Jelentéstétel</w:t>
            </w:r>
          </w:p>
        </w:tc>
        <w:tc>
          <w:tcPr>
            <w:tcW w:w="32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Az értékelési jelentés elkészítése.</w:t>
            </w:r>
          </w:p>
        </w:tc>
        <w:tc>
          <w:tcPr>
            <w:tcW w:w="142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második negyedéve</w:t>
            </w:r>
          </w:p>
        </w:tc>
        <w:tc>
          <w:tcPr>
            <w:tcW w:w="531"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Az értékelési megállapítások ismertetése a monitoringbizottság előtt.</w:t>
            </w:r>
          </w:p>
        </w:tc>
        <w:tc>
          <w:tcPr>
            <w:tcW w:w="142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második negyedéve</w:t>
            </w:r>
          </w:p>
        </w:tc>
        <w:tc>
          <w:tcPr>
            <w:tcW w:w="531"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Az éves végrehajtási jelentés (beleértve a 2. és a 7. fejezetet) SFC-formanyomtatványának kitöltése és benyújtása az Európai Bizottsághoz.</w:t>
            </w:r>
          </w:p>
        </w:tc>
        <w:tc>
          <w:tcPr>
            <w:tcW w:w="142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második negyedéve</w:t>
            </w:r>
          </w:p>
        </w:tc>
        <w:tc>
          <w:tcPr>
            <w:tcW w:w="531"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Az éves végrehajtási jelentés és az értékelési jelentések (és nem csak az éves végrehajtási jelentés 7. fejezetének) közzététele a nyilvános weboldalon.</w:t>
            </w:r>
          </w:p>
        </w:tc>
        <w:tc>
          <w:tcPr>
            <w:tcW w:w="1429"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második, harmadik és negyedik negyedéve</w:t>
            </w:r>
          </w:p>
        </w:tc>
        <w:tc>
          <w:tcPr>
            <w:tcW w:w="531"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1C0097" w:rsidRPr="001C6ACF" w:rsidTr="00EB3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Az értékelési megállapítások egyéb, a különböző célcsoportoknak megfelelő formátumban történő elkészítése (pl. lakossági összefoglaló).</w:t>
            </w:r>
          </w:p>
        </w:tc>
        <w:tc>
          <w:tcPr>
            <w:tcW w:w="142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2019 harmadik és negyedik negyedéve</w:t>
            </w:r>
          </w:p>
        </w:tc>
        <w:tc>
          <w:tcPr>
            <w:tcW w:w="531"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60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1C0097" w:rsidRPr="001C6ACF" w:rsidTr="00EB3D33">
        <w:trPr>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200"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Az értékelési megállapítások közlése a célcsoportokkal. </w:t>
            </w:r>
          </w:p>
        </w:tc>
        <w:tc>
          <w:tcPr>
            <w:tcW w:w="142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2019 harmadik és negyedik negyedéve</w:t>
            </w:r>
          </w:p>
        </w:tc>
        <w:tc>
          <w:tcPr>
            <w:tcW w:w="531"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48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60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60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48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1C0097" w:rsidRPr="001C6ACF" w:rsidTr="00EB3D33">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764"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Nyomon követés</w:t>
            </w:r>
          </w:p>
        </w:tc>
        <w:tc>
          <w:tcPr>
            <w:tcW w:w="3200"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Az értékelésből származó következtetések és ajánlások kezelése és nyomon követése a vidékfejlesztési program megtervezésének és megvalósításának javítása érdekében. </w:t>
            </w:r>
          </w:p>
        </w:tc>
        <w:tc>
          <w:tcPr>
            <w:tcW w:w="1429"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2019 második negyedévétől </w:t>
            </w:r>
          </w:p>
        </w:tc>
        <w:tc>
          <w:tcPr>
            <w:tcW w:w="531"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48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60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480"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F5313B">
          <w:footerReference w:type="default" r:id="rId32"/>
          <w:footerReference w:type="first" r:id="rId33"/>
          <w:pgSz w:w="11906" w:h="16838" w:code="9"/>
          <w:pgMar w:top="1440" w:right="1440" w:bottom="1320" w:left="1440" w:header="567" w:footer="737" w:gutter="0"/>
          <w:pgNumType w:start="1"/>
          <w:cols w:space="708"/>
          <w:titlePg/>
          <w:docGrid w:linePitch="360"/>
        </w:sectPr>
      </w:pPr>
    </w:p>
    <w:p w:rsidR="00425D88" w:rsidRPr="001C6ACF" w:rsidRDefault="00425D88" w:rsidP="00FA4A24">
      <w:pPr>
        <w:pStyle w:val="HHeading1"/>
        <w:tabs>
          <w:tab w:val="clear" w:pos="474"/>
          <w:tab w:val="clear" w:pos="567"/>
        </w:tabs>
        <w:ind w:left="454" w:hanging="454"/>
        <w:rPr>
          <w:sz w:val="28"/>
        </w:rPr>
      </w:pPr>
      <w:r>
        <w:rPr>
          <w:sz w:val="28"/>
        </w:rPr>
        <w:lastRenderedPageBreak/>
        <w:t xml:space="preserve">A VFP hatásainak 2019. évi értékelésére irányuló megközelítések </w:t>
      </w:r>
      <w:r>
        <w:rPr>
          <w:sz w:val="28"/>
        </w:rPr>
        <w:br/>
        <w:t>(II. RÉSZ)</w:t>
      </w:r>
    </w:p>
    <w:p w:rsidR="00BB6B80" w:rsidRPr="00571D58" w:rsidRDefault="000B213F" w:rsidP="00B86C6A">
      <w:pPr>
        <w:pStyle w:val="HStandard"/>
      </w:pPr>
      <w:r>
        <w:rPr>
          <w:b/>
          <w:noProof/>
          <w:lang w:val="en-GB" w:eastAsia="en-GB" w:bidi="ar-SA"/>
        </w:rPr>
        <mc:AlternateContent>
          <mc:Choice Requires="wps">
            <w:drawing>
              <wp:inline distT="0" distB="0" distL="0" distR="0" wp14:anchorId="32B98344" wp14:editId="11ED9CAD">
                <wp:extent cx="5695950" cy="1712794"/>
                <wp:effectExtent l="0" t="0" r="19050" b="2095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712794"/>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B86C6A" w:rsidRDefault="00FA4A24" w:rsidP="00BB6B80">
                            <w:pPr>
                              <w:pStyle w:val="Normal12PTcouleurgris"/>
                              <w:rPr>
                                <w:rStyle w:val="HStandardCar"/>
                                <w:color w:val="292929" w:themeColor="text1" w:themeShade="BF"/>
                              </w:rPr>
                            </w:pPr>
                            <w:r w:rsidRPr="00171202">
                              <w:rPr>
                                <w:noProof/>
                                <w:sz w:val="18"/>
                                <w:lang w:val="en-GB" w:eastAsia="en-GB" w:bidi="ar-SA"/>
                              </w:rPr>
                              <w:drawing>
                                <wp:inline distT="0" distB="0" distL="0" distR="0" wp14:anchorId="3A7E6415" wp14:editId="1DD247E5">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007E1C34">
                              <w:rPr>
                                <w:rStyle w:val="HStandardCar"/>
                                <w:color w:val="292929" w:themeColor="text1" w:themeShade="BF"/>
                                <w:sz w:val="20"/>
                              </w:rPr>
                              <w:t xml:space="preserve">A VFP eredményeinek és hatásainak 2019. évi értékeléséről szóló, nem kötelező erejű iránymutatás </w:t>
                            </w:r>
                            <w:r w:rsidR="007E1C34">
                              <w:rPr>
                                <w:rStyle w:val="HStandardCar"/>
                                <w:b/>
                                <w:color w:val="F07E31"/>
                                <w:sz w:val="20"/>
                              </w:rPr>
                              <w:t>II. RÉSZÉT</w:t>
                            </w:r>
                            <w:r w:rsidR="007E1C34">
                              <w:rPr>
                                <w:rStyle w:val="HStandardCar"/>
                                <w:color w:val="292929" w:themeColor="text1" w:themeShade="BF"/>
                                <w:sz w:val="20"/>
                              </w:rPr>
                              <w:t xml:space="preserve"> a </w:t>
                            </w:r>
                            <w:r w:rsidR="007E1C34">
                              <w:rPr>
                                <w:rStyle w:val="HStandardCar"/>
                                <w:b/>
                                <w:color w:val="F07E31"/>
                                <w:sz w:val="20"/>
                              </w:rPr>
                              <w:t>III. RÉSSZEL</w:t>
                            </w:r>
                            <w:r w:rsidR="007E1C34">
                              <w:t xml:space="preserve"> </w:t>
                            </w:r>
                            <w:r w:rsidR="007E1C34">
                              <w:rPr>
                                <w:rStyle w:val="HStandardCar"/>
                                <w:color w:val="292929" w:themeColor="text1" w:themeShade="BF"/>
                                <w:sz w:val="20"/>
                              </w:rPr>
                              <w:t xml:space="preserve">(A 22–30. sz. közös értékelési kérdések megválaszolására vonatkozó adatlapok) és a </w:t>
                            </w:r>
                            <w:r w:rsidR="007E1C34">
                              <w:rPr>
                                <w:rStyle w:val="HStandardCar"/>
                                <w:b/>
                                <w:color w:val="F07E31"/>
                                <w:sz w:val="20"/>
                              </w:rPr>
                              <w:t>IV. RÉSSZEL</w:t>
                            </w:r>
                            <w:r w:rsidR="007E1C34">
                              <w:rPr>
                                <w:rStyle w:val="HStandardCar"/>
                                <w:color w:val="292929" w:themeColor="text1" w:themeShade="BF"/>
                                <w:sz w:val="20"/>
                              </w:rPr>
                              <w:t xml:space="preserve"> (Technikai melléklet) együtt kell értelmezni, amely kiegészítő információt tartalmaz a javasolt értékelési megközelítésekről, példákat ad a kiegészítő mutatókra, részletesen ismerteti a munkalépések leírását, a javasolt értékelési megközelítések megfelelőségét, valamint magában foglal egy szójegyzéket és a teendők és tiltott tevékenységek listáját.</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34.8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415213;5441539,1712794;0,1712794;0,1712794;0,297581;254411,0" o:connectangles="0,0,0,0,0,0,0,0,0" textboxrect="0,0,5695950,1464319"/>
                <v:textbox>
                  <w:txbxContent>
                    <w:p w:rsidR="007E1C34" w:rsidRPr="00B86C6A" w:rsidRDefault="00FA4A24" w:rsidP="00BB6B80">
                      <w:pPr>
                        <w:pStyle w:val="Normal12PTcouleurgris"/>
                        <w:rPr>
                          <w:rStyle w:val="HStandardCar"/>
                          <w:color w:val="292929" w:themeColor="text1" w:themeShade="BF"/>
                        </w:rPr>
                      </w:pPr>
                      <w:r w:rsidRPr="00171202">
                        <w:rPr>
                          <w:noProof/>
                          <w:sz w:val="18"/>
                          <w:lang w:val="en-GB" w:eastAsia="en-GB" w:bidi="ar-SA"/>
                        </w:rPr>
                        <w:drawing>
                          <wp:inline distT="0" distB="0" distL="0" distR="0" wp14:anchorId="3A7E6415" wp14:editId="1DD247E5">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007E1C34">
                        <w:rPr>
                          <w:rStyle w:val="HStandardCar"/>
                          <w:color w:val="292929" w:themeColor="text1" w:themeShade="BF"/>
                          <w:sz w:val="20"/>
                        </w:rPr>
                        <w:t xml:space="preserve">A VFP eredményeinek és hatásainak 2019. évi értékeléséről szóló, nem kötelező erejű iránymutatás </w:t>
                      </w:r>
                      <w:r w:rsidR="007E1C34">
                        <w:rPr>
                          <w:rStyle w:val="HStandardCar"/>
                          <w:b/>
                          <w:color w:val="F07E31"/>
                          <w:sz w:val="20"/>
                        </w:rPr>
                        <w:t>II. RÉSZÉT</w:t>
                      </w:r>
                      <w:r w:rsidR="007E1C34">
                        <w:rPr>
                          <w:rStyle w:val="HStandardCar"/>
                          <w:color w:val="292929" w:themeColor="text1" w:themeShade="BF"/>
                          <w:sz w:val="20"/>
                        </w:rPr>
                        <w:t xml:space="preserve"> a </w:t>
                      </w:r>
                      <w:r w:rsidR="007E1C34">
                        <w:rPr>
                          <w:rStyle w:val="HStandardCar"/>
                          <w:b/>
                          <w:color w:val="F07E31"/>
                          <w:sz w:val="20"/>
                        </w:rPr>
                        <w:t>III. RÉSSZEL</w:t>
                      </w:r>
                      <w:r w:rsidR="007E1C34">
                        <w:t xml:space="preserve"> </w:t>
                      </w:r>
                      <w:r w:rsidR="007E1C34">
                        <w:rPr>
                          <w:rStyle w:val="HStandardCar"/>
                          <w:color w:val="292929" w:themeColor="text1" w:themeShade="BF"/>
                          <w:sz w:val="20"/>
                        </w:rPr>
                        <w:t xml:space="preserve">(A 22–30. sz. közös értékelési kérdések megválaszolására vonatkozó adatlapok) és a </w:t>
                      </w:r>
                      <w:r w:rsidR="007E1C34">
                        <w:rPr>
                          <w:rStyle w:val="HStandardCar"/>
                          <w:b/>
                          <w:color w:val="F07E31"/>
                          <w:sz w:val="20"/>
                        </w:rPr>
                        <w:t>IV. RÉSSZEL</w:t>
                      </w:r>
                      <w:r w:rsidR="007E1C34">
                        <w:rPr>
                          <w:rStyle w:val="HStandardCar"/>
                          <w:color w:val="292929" w:themeColor="text1" w:themeShade="BF"/>
                          <w:sz w:val="20"/>
                        </w:rPr>
                        <w:t xml:space="preserve"> (Technikai melléklet) együtt kell értelmezni, amely kiegészítő információt tartalmaz a javasolt értékelési megközelítésekről, példákat ad a kiegészítő mutatókra, részletesen ismerteti a munkalépések leírását, a javasolt értékelési megközelítések megfelelőségét, valamint magában foglal egy szójegyzéket és a teendők és tiltott tevékenységek listáját.</w:t>
                      </w:r>
                    </w:p>
                  </w:txbxContent>
                </v:textbox>
                <w10:anchorlock/>
              </v:shape>
            </w:pict>
          </mc:Fallback>
        </mc:AlternateContent>
      </w:r>
    </w:p>
    <w:p w:rsidR="00425D88" w:rsidRPr="007645B4" w:rsidRDefault="00425D88" w:rsidP="00497FC8">
      <w:pPr>
        <w:pStyle w:val="HHeading2"/>
        <w:tabs>
          <w:tab w:val="clear" w:pos="360"/>
          <w:tab w:val="clear" w:pos="567"/>
        </w:tabs>
        <w:ind w:left="397" w:hanging="397"/>
      </w:pPr>
      <w:r>
        <w:t>A VFP hatásainak értékelésére irányuló megfelelő értékelési megközelítések kiválasztása</w:t>
      </w:r>
    </w:p>
    <w:p w:rsidR="00E93BEA" w:rsidRPr="001C6ACF" w:rsidRDefault="00E93BEA" w:rsidP="00E93BEA">
      <w:pPr>
        <w:pStyle w:val="HStandard"/>
        <w:rPr>
          <w:rFonts w:cs="Arial"/>
        </w:rPr>
      </w:pPr>
      <w:r>
        <w:t xml:space="preserve">A KAP II. pillére közös hatásmutatóinak 2019. évi értékelése és a nettó hatások kiszűrésére való felhasználása kihívásokkal teli feladat, amely </w:t>
      </w:r>
      <w:r>
        <w:rPr>
          <w:b/>
        </w:rPr>
        <w:t>számos kérdést</w:t>
      </w:r>
      <w:r>
        <w:t xml:space="preserve"> vet fel: </w:t>
      </w:r>
    </w:p>
    <w:p w:rsidR="00E93BEA" w:rsidRPr="001C6ACF" w:rsidRDefault="00E93BEA" w:rsidP="00E93BEA">
      <w:pPr>
        <w:pStyle w:val="Hlistbullet"/>
      </w:pPr>
      <w:r>
        <w:t xml:space="preserve">Hogyan tulajdoníthatók a vidéki területeken megfigyelhető változások a VFP beavatkozásainak, és mely értékelési megközelítéseket kellene alkalmazni ebből a célból? </w:t>
      </w:r>
    </w:p>
    <w:p w:rsidR="00E93BEA" w:rsidRPr="001C6ACF" w:rsidRDefault="00E93BEA" w:rsidP="00E93BEA">
      <w:pPr>
        <w:pStyle w:val="Hlistbullet"/>
      </w:pPr>
      <w:r>
        <w:t xml:space="preserve">A meglévő forrásokból (pl. monitoring, uniós, nemzeti és regionális adatbázisok) származó mely adatokat kellene a javasolt értékelési megközelítés megalapozására használni? </w:t>
      </w:r>
    </w:p>
    <w:p w:rsidR="00E93BEA" w:rsidRPr="001C6ACF" w:rsidRDefault="00E93BEA" w:rsidP="00E93BEA">
      <w:pPr>
        <w:pStyle w:val="Hlistbullet"/>
      </w:pPr>
      <w:r>
        <w:t xml:space="preserve">Hogyan kell koordinálni a különböző adatszolgáltatók között? </w:t>
      </w:r>
    </w:p>
    <w:p w:rsidR="00E93BEA" w:rsidRPr="001C6ACF" w:rsidRDefault="00E93BEA" w:rsidP="00E93BEA">
      <w:pPr>
        <w:pStyle w:val="Hlistbullet"/>
      </w:pPr>
      <w:r>
        <w:t xml:space="preserve">Hogyan biztosítható az adatminőség, és hogyan hidalhatók át az adathiányok? </w:t>
      </w:r>
    </w:p>
    <w:p w:rsidR="009B0B1E" w:rsidRPr="001C6ACF" w:rsidRDefault="009B0B1E" w:rsidP="00497FC8">
      <w:pPr>
        <w:pStyle w:val="HHeading3"/>
        <w:ind w:left="680" w:hanging="680"/>
      </w:pPr>
      <w:r>
        <w:t>Hogyan lehet logikai modelleket alkalmazni a megfelelő értékelési megközelítések kiválasztása érdekében?</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2000250"/>
                <wp:effectExtent l="0" t="0" r="28575" b="19050"/>
                <wp:wrapTight wrapText="bothSides">
                  <wp:wrapPolygon edited="0">
                    <wp:start x="672" y="0"/>
                    <wp:lineTo x="0" y="823"/>
                    <wp:lineTo x="0" y="21600"/>
                    <wp:lineTo x="21180" y="21600"/>
                    <wp:lineTo x="21684" y="20777"/>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00250"/>
                        </a:xfrm>
                        <a:prstGeom prst="round2DiagRect">
                          <a:avLst>
                            <a:gd name="adj1" fmla="val 8733"/>
                            <a:gd name="adj2" fmla="val 0"/>
                          </a:avLst>
                        </a:prstGeom>
                        <a:noFill/>
                        <a:ln w="25400" cap="flat" cmpd="sng" algn="ctr">
                          <a:solidFill>
                            <a:srgbClr val="BE4A35"/>
                          </a:solidFill>
                          <a:prstDash val="solid"/>
                        </a:ln>
                        <a:effectLst/>
                      </wps:spPr>
                      <wps:txbx>
                        <w:txbxContent>
                          <w:p w:rsidR="007E1C34" w:rsidRPr="00C545E7" w:rsidRDefault="007E1C34"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logikai modellek</w:t>
                            </w:r>
                            <w:r>
                              <w:rPr>
                                <w:b w:val="0"/>
                                <w:color w:val="373737" w:themeColor="text1"/>
                              </w:rPr>
                              <w:t xml:space="preserve"> olyan döntési fák, amelyek segítenek az érdekelt feleknek a (kontrafaktuális) értékelési megközelítés megtervezésében, valamint az elérhető adatok és információk alapján a legmegfelelőbb módszerek kiválasztásában.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57.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" adj="-11796480,,5400" path="m174682,l2447925,r,l2447925,1825568v,96474,-78208,174682,-174682,174682l,2000250r,l,174682c,78208,78208,,174682,xe" filled="f" strokecolor="#be4a35" strokeweight="2pt">
                <v:stroke joinstyle="miter"/>
                <v:formulas/>
                <v:path arrowok="t" o:connecttype="custom" o:connectlocs="174682,0;2447925,0;2447925,0;2447925,1825568;2273243,2000250;0,2000250;0,2000250;0,174682;174682,0" o:connectangles="0,0,0,0,0,0,0,0,0" textboxrect="0,0,2447925,2000250"/>
                <v:textbox>
                  <w:txbxContent>
                    <w:p w:rsidR="007E1C34" w:rsidRPr="00C545E7" w:rsidRDefault="007E1C34"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logikai modellek</w:t>
                      </w:r>
                      <w:r>
                        <w:rPr>
                          <w:b w:val="0"/>
                          <w:color w:val="373737" w:themeColor="text1"/>
                        </w:rPr>
                        <w:t xml:space="preserve"> olyan döntési fák, amelyek segítenek az érdekelt feleknek a (kontrafaktuális) értékelési megközelítés megtervezésében, valamint az elérhető adatok és információk alapján a legmegfelelőbb módszerek kiválasztásában.</w:t>
                      </w:r>
                    </w:p>
                  </w:txbxContent>
                </v:textbox>
                <w10:wrap type="tight" anchorx="margin"/>
              </v:shape>
            </w:pict>
          </mc:Fallback>
        </mc:AlternateContent>
      </w:r>
      <w:r>
        <w:t xml:space="preserve">A logikai modellek új megközelítések és jobb adatgyűjtés-tervezés felé terelhetik az értékelőt, és az adatok elérhetőségétől kevésbé függő módszerek figyelembevételére ösztönözhetnek (pl. kvalitatív módszerek). A logikai modellek továbbá segíthetnek az irányító hatóságoknak az értékelési eredmények adott kontextuson (adatok, értékelési költségvetés és ütemterv) belüli hatékonyabb tervezésében és előrejelzésében. </w:t>
      </w:r>
    </w:p>
    <w:p w:rsidR="00FF13C7" w:rsidRPr="001C6ACF" w:rsidRDefault="00FF13C7" w:rsidP="00FF13C7">
      <w:pPr>
        <w:pStyle w:val="HStandard"/>
        <w:spacing w:after="0"/>
        <w:rPr>
          <w:rFonts w:cs="Arial"/>
          <w:color w:val="373737"/>
          <w:szCs w:val="18"/>
        </w:rPr>
      </w:pPr>
      <w:r>
        <w:rPr>
          <w:color w:val="373737"/>
        </w:rPr>
        <w:t>A logikai modellek lépésről lépésre segítséget nyújtanak az értékelési megközelítések megtervezéséhez az alábbiak jobb megértésének lehetővé tétele érdekében:</w:t>
      </w:r>
    </w:p>
    <w:p w:rsidR="00FF13C7" w:rsidRPr="001C6ACF" w:rsidRDefault="00FF13C7" w:rsidP="00FF13C7">
      <w:pPr>
        <w:pStyle w:val="Hlistbullet"/>
        <w:spacing w:before="0" w:after="0" w:line="280" w:lineRule="atLeast"/>
        <w:ind w:left="502"/>
        <w:rPr>
          <w:rFonts w:cs="Arial"/>
          <w:color w:val="373737"/>
          <w:szCs w:val="18"/>
        </w:rPr>
      </w:pPr>
      <w:r>
        <w:rPr>
          <w:b/>
          <w:color w:val="373737"/>
        </w:rPr>
        <w:t>LEHETŐSÉGEK:</w:t>
      </w:r>
      <w:r>
        <w:rPr>
          <w:color w:val="373737"/>
        </w:rPr>
        <w:t xml:space="preserve"> milyen adat-/mutató-/módszer-kombinációk állnak rendelkezésre és alkalmasak az értékelési kérdések megválaszolására. </w:t>
      </w:r>
    </w:p>
    <w:p w:rsidR="00FF13C7" w:rsidRPr="001C6ACF" w:rsidRDefault="00FF13C7" w:rsidP="00FF13C7">
      <w:pPr>
        <w:pStyle w:val="Hlistbullet"/>
        <w:spacing w:before="0" w:after="0" w:line="280" w:lineRule="atLeast"/>
        <w:ind w:left="502"/>
        <w:rPr>
          <w:color w:val="373737"/>
          <w:sz w:val="22"/>
        </w:rPr>
      </w:pPr>
      <w:r>
        <w:rPr>
          <w:b/>
          <w:color w:val="373737"/>
        </w:rPr>
        <w:t>KÖVETELMÉNYEK:</w:t>
      </w:r>
      <w:r>
        <w:rPr>
          <w:color w:val="373737"/>
        </w:rPr>
        <w:t xml:space="preserve"> milyen adatok/mutatók/módszerek/megközelítések szükségesek a nettó hatások értékeléséhez és az értékelési kérdés megválaszolásához.</w:t>
      </w:r>
    </w:p>
    <w:p w:rsidR="00FF13C7" w:rsidRPr="001C6ACF" w:rsidRDefault="00FF13C7" w:rsidP="00FF13C7">
      <w:pPr>
        <w:pStyle w:val="Hlistbullet"/>
        <w:spacing w:before="0" w:after="0" w:line="280" w:lineRule="atLeast"/>
        <w:ind w:left="502"/>
        <w:rPr>
          <w:color w:val="373737"/>
          <w:sz w:val="22"/>
        </w:rPr>
      </w:pPr>
      <w:r>
        <w:rPr>
          <w:b/>
          <w:color w:val="373737"/>
        </w:rPr>
        <w:t>KÖVETKEZMÉNYEK:</w:t>
      </w:r>
      <w:r>
        <w:rPr>
          <w:color w:val="373737"/>
        </w:rPr>
        <w:t xml:space="preserve"> milyen hatásai vannak a különböző szinteken meghozott döntéseknek az értékelés költségeire és hatékonyságára.</w:t>
      </w:r>
    </w:p>
    <w:p w:rsidR="00E93BEA" w:rsidRPr="00571D58" w:rsidRDefault="009B37D9" w:rsidP="009B37D9">
      <w:pPr>
        <w:pStyle w:val="HStandard"/>
      </w:pPr>
      <w:r>
        <w:lastRenderedPageBreak/>
        <w:t xml:space="preserve">Az ebben az iránymutatásban ismertetett logikai modellek az </w:t>
      </w:r>
      <w:hyperlink r:id="rId36">
        <w:r>
          <w:rPr>
            <w:rStyle w:val="Hyperlink"/>
            <w:u w:val="none"/>
          </w:rPr>
          <w:t>ENVIEVAL</w:t>
        </w:r>
      </w:hyperlink>
      <w:r>
        <w:rPr>
          <w:rStyle w:val="FootnoteReference"/>
        </w:rPr>
        <w:footnoteReference w:id="26"/>
      </w:r>
      <w:r>
        <w:t xml:space="preserve"> által a „</w:t>
      </w:r>
      <w:hyperlink r:id="rId37">
        <w:r>
          <w:rPr>
            <w:rStyle w:val="Hyperlink"/>
            <w:i/>
            <w:u w:val="none"/>
          </w:rPr>
          <w:t>Methodological Handbook for the evaluation of environmental impacts of RDPs</w:t>
        </w:r>
      </w:hyperlink>
      <w:r>
        <w:t>”</w:t>
      </w:r>
      <w:r w:rsidR="00AC2860">
        <w:t xml:space="preserve"> (Módszertani kézikönyv az VFP-</w:t>
      </w:r>
      <w:r>
        <w:t>k környezeti hatásainak értékeléséhez) című kézikönyvben kifejlesztett megközelítést alkalmazzák.</w:t>
      </w:r>
      <w:hyperlink r:id="rId38">
        <w:r>
          <w:rPr>
            <w:rStyle w:val="Hyperlink"/>
            <w:u w:val="none"/>
          </w:rPr>
          <w:t xml:space="preserve"> </w:t>
        </w:r>
      </w:hyperlink>
      <w:r>
        <w:t>Az ENVIEVAL alakította ki és tesztelte a vidékfejlesztési intézkedések és programok uniós tagállamokban gyakorolt környezeti hatásainak értékelésére irányuló továbbfejlesztett eszközöket</w:t>
      </w:r>
      <w:r>
        <w:rPr>
          <w:rStyle w:val="FootnoteReference"/>
        </w:rPr>
        <w:footnoteReference w:id="27"/>
      </w:r>
      <w:r>
        <w:t xml:space="preserve">. </w:t>
      </w:r>
    </w:p>
    <w:p w:rsidR="00AE216A" w:rsidRPr="00FB6C06" w:rsidRDefault="00AE216A" w:rsidP="00AE216A">
      <w:pPr>
        <w:pStyle w:val="HHeading4"/>
      </w:pPr>
      <w:r>
        <w:t>A logikai modell szintjei</w:t>
      </w:r>
    </w:p>
    <w:p w:rsidR="00AE216A" w:rsidRPr="001C6ACF" w:rsidRDefault="00AE216A" w:rsidP="00AE216A">
      <w:pPr>
        <w:pStyle w:val="HStandard"/>
        <w:rPr>
          <w:rFonts w:cs="Arial"/>
        </w:rPr>
      </w:pPr>
      <w:r>
        <w:t xml:space="preserve">A </w:t>
      </w:r>
      <w:r>
        <w:rPr>
          <w:b/>
        </w:rPr>
        <w:t>logikai modell négy szintjének</w:t>
      </w:r>
      <w:r>
        <w:t xml:space="preserve"> áttekintése a 2. ábrán látható. Ez az ábra az </w:t>
      </w:r>
      <w:r>
        <w:rPr>
          <w:b/>
        </w:rPr>
        <w:t>1. szinten</w:t>
      </w:r>
      <w:r>
        <w:t xml:space="preserve"> azt ismerteti, hogyan kell felépíteni az értékelés keretét. Ehhez meg kell érteni a hatások beavatkozási logikában történő elhelyezését, a rendelkezésre álló mutatókat és az értékelés egységét. A </w:t>
      </w:r>
      <w:r>
        <w:rPr>
          <w:b/>
        </w:rPr>
        <w:t>2. szint</w:t>
      </w:r>
      <w:r>
        <w:t xml:space="preserve"> határozza meg a kontrafaktuális forgatókönyvre vonatkozó opciókat a korlátozó tényezők figyelembevételével. A </w:t>
      </w:r>
      <w:r>
        <w:rPr>
          <w:b/>
        </w:rPr>
        <w:t>3. szint</w:t>
      </w:r>
      <w:r>
        <w:t xml:space="preserve"> mikro- és makroszinten fejleszti tovább az opciókat a nettó hatások értékelésének céljából. A </w:t>
      </w:r>
      <w:r>
        <w:rPr>
          <w:b/>
        </w:rPr>
        <w:t>4. szint</w:t>
      </w:r>
      <w:r>
        <w:t xml:space="preserve"> végezetül a mikro- és makroszintű elemzés konzisztenciáját ellenőrzi a megállapítások validálása céljából. </w:t>
      </w:r>
    </w:p>
    <w:p w:rsidR="00E93BEA" w:rsidRPr="001C6ACF" w:rsidRDefault="00E93BEA" w:rsidP="00243667">
      <w:pPr>
        <w:pStyle w:val="HHeadingfigures"/>
        <w:ind w:left="851" w:hanging="851"/>
      </w:pPr>
      <w:r>
        <w:t>A logikai modell szintjeinek egyszerűsített folyamatábrája</w:t>
      </w:r>
    </w:p>
    <w:p w:rsidR="00E93BEA" w:rsidRPr="00571D58" w:rsidRDefault="001D3A8A" w:rsidP="00E93BEA">
      <w:pPr>
        <w:pStyle w:val="HStandard"/>
        <w:jc w:val="center"/>
      </w:pPr>
      <w:r w:rsidRPr="001D3A8A">
        <w:rPr>
          <w:noProof/>
          <w:lang w:val="en-GB" w:eastAsia="en-GB" w:bidi="ar-SA"/>
        </w:rPr>
        <w:drawing>
          <wp:inline distT="0" distB="0" distL="0" distR="0" wp14:anchorId="78AFAA11" wp14:editId="061C4B63">
            <wp:extent cx="4945075" cy="2945104"/>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1965" cy="2943252"/>
                    </a:xfrm>
                    <a:prstGeom prst="rect">
                      <a:avLst/>
                    </a:prstGeom>
                    <a:noFill/>
                    <a:ln>
                      <a:noFill/>
                    </a:ln>
                  </pic:spPr>
                </pic:pic>
              </a:graphicData>
            </a:graphic>
          </wp:inline>
        </w:drawing>
      </w:r>
    </w:p>
    <w:p w:rsidR="004F365B" w:rsidRPr="001C6ACF" w:rsidRDefault="004F365B" w:rsidP="004F365B">
      <w:pPr>
        <w:pStyle w:val="HSource"/>
        <w:rPr>
          <w:i w:val="0"/>
        </w:rPr>
      </w:pPr>
      <w:r>
        <w:t xml:space="preserve">Forrás: Európai vidékfejlesztési értékelési támogató szolgálat, 2018, az alábbi dokumentum alkalmazásával: ENVIEVAL (2015): Methodological Handbook for the evaluation of environmental impacts of RDPs (A VFP-k környezeti hatásainak értékeléséről szóló módszertani kézikönyv): D9.5. jelentés. Brüsszel: Európai Bizottság.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A logikai modell szintjei referenciaként szolgálnak a KAP hatásmutatóival kapcsolatos javasolt értékelési módszerek ismertetése terén (lásd a 2.2.–2.9. fejezetet).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Az értékelés keretének kialakítása (1. szint)</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-38100</wp:posOffset>
                </wp:positionH>
                <wp:positionV relativeFrom="paragraph">
                  <wp:posOffset>88900</wp:posOffset>
                </wp:positionV>
                <wp:extent cx="2286000" cy="2638425"/>
                <wp:effectExtent l="0" t="0" r="19050" b="28575"/>
                <wp:wrapThrough wrapText="bothSides">
                  <wp:wrapPolygon edited="0">
                    <wp:start x="900" y="0"/>
                    <wp:lineTo x="0" y="780"/>
                    <wp:lineTo x="0" y="21678"/>
                    <wp:lineTo x="20880" y="21678"/>
                    <wp:lineTo x="21600" y="21054"/>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638425"/>
                        </a:xfrm>
                        <a:prstGeom prst="round2DiagRect">
                          <a:avLst>
                            <a:gd name="adj1" fmla="val 8733"/>
                            <a:gd name="adj2" fmla="val 0"/>
                          </a:avLst>
                        </a:prstGeom>
                        <a:noFill/>
                        <a:ln w="25400" cap="flat" cmpd="sng" algn="ctr">
                          <a:solidFill>
                            <a:srgbClr val="BE4A35"/>
                          </a:solidFill>
                          <a:prstDash val="solid"/>
                        </a:ln>
                        <a:effectLst/>
                      </wps:spPr>
                      <wps:txbx>
                        <w:txbxContent>
                          <w:p w:rsidR="007E1C34" w:rsidRPr="00044269" w:rsidRDefault="007E1C34"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Az adott </w:t>
                            </w:r>
                            <w:r>
                              <w:rPr>
                                <w:b w:val="0"/>
                                <w:color w:val="373737" w:themeColor="text1"/>
                              </w:rPr>
                              <w:t xml:space="preserve">(ágazati, környezeti vagy társadalmi-gazdasági) </w:t>
                            </w:r>
                            <w:r>
                              <w:rPr>
                                <w:color w:val="373737" w:themeColor="text1"/>
                              </w:rPr>
                              <w:t>hatás értékelése</w:t>
                            </w:r>
                            <w:r>
                              <w:rPr>
                                <w:b w:val="0"/>
                                <w:color w:val="373737" w:themeColor="text1"/>
                              </w:rPr>
                              <w:t xml:space="preserve"> a konzisztens értékelési keret kialakításával kezdődik. Ez segít a hatás beavatkozási logikában történő elhelyezésének egyértelműsítésében, és ismerteti a méréséhez szükséges, elérhető mutatókat és elemzési egységeket.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pt;margin-top:7pt;width:180pt;height:207.7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638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" adj="-11796480,,5400" path="m199636,l2286000,r,l2286000,2438789v,110256,-89380,199636,-199636,199636l,2638425r,l,199636c,89380,89380,,199636,xe" filled="f" strokecolor="#be4a35" strokeweight="2pt">
                <v:stroke joinstyle="miter"/>
                <v:formulas/>
                <v:path arrowok="t" o:connecttype="custom" o:connectlocs="199636,0;2286000,0;2286000,0;2286000,2438789;2086364,2638425;0,2638425;0,2638425;0,199636;199636,0" o:connectangles="0,0,0,0,0,0,0,0,0" textboxrect="0,0,2286000,2638425"/>
                <v:textbox>
                  <w:txbxContent>
                    <w:p w:rsidR="007E1C34" w:rsidRPr="00044269" w:rsidRDefault="007E1C34"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Az adott </w:t>
                      </w:r>
                      <w:r>
                        <w:rPr>
                          <w:b w:val="0"/>
                          <w:color w:val="373737" w:themeColor="text1"/>
                        </w:rPr>
                        <w:t xml:space="preserve">(ágazati, környezeti vagy társadalmi-gazdasági) </w:t>
                      </w:r>
                      <w:r>
                        <w:rPr>
                          <w:color w:val="373737" w:themeColor="text1"/>
                        </w:rPr>
                        <w:t>hatás értékelése</w:t>
                      </w:r>
                      <w:r>
                        <w:rPr>
                          <w:b w:val="0"/>
                          <w:color w:val="373737" w:themeColor="text1"/>
                        </w:rPr>
                        <w:t xml:space="preserve"> a konzisztens értékelési keret kialakításával kezdődik. Ez segít a hatás beavatkozási logikában történő elhelyezésének egyértelműsítésében, és ismerteti a méréséhez szükséges, elérhető mutatókat és elemzési egységeket.</w:t>
                      </w:r>
                    </w:p>
                  </w:txbxContent>
                </v:textbox>
                <w10:wrap type="through" anchorx="margin"/>
              </v:shape>
            </w:pict>
          </mc:Fallback>
        </mc:AlternateContent>
      </w:r>
      <w:r>
        <w:t>Az értékelés keretét az alábbi lépések követésével lehet kialakítani:</w:t>
      </w:r>
    </w:p>
    <w:p w:rsidR="00E93BEA" w:rsidRPr="001C6ACF" w:rsidRDefault="0084519A" w:rsidP="00E93BEA">
      <w:pPr>
        <w:pStyle w:val="HStandard"/>
        <w:rPr>
          <w:rFonts w:cs="Arial"/>
        </w:rPr>
      </w:pPr>
      <w:r>
        <w:rPr>
          <w:b/>
          <w:color w:val="F07E31" w:themeColor="accent1"/>
        </w:rPr>
        <w:t>1. lépés –</w:t>
      </w:r>
      <w:r>
        <w:rPr>
          <w:i/>
        </w:rPr>
        <w:t xml:space="preserve"> </w:t>
      </w:r>
      <w:r>
        <w:rPr>
          <w:b/>
          <w:color w:val="F07E31" w:themeColor="accent1"/>
        </w:rPr>
        <w:t>A közös monitoring- és értékelési rendszer beavatkozási logikájának ismertetése:</w:t>
      </w:r>
      <w:r>
        <w:t xml:space="preserve"> A beavatkozási logika az adott értékelési kérdéssel, intézkedéssel, kiemelt területekkel, valamint a </w:t>
      </w:r>
      <w:r>
        <w:rPr>
          <w:b/>
        </w:rPr>
        <w:t xml:space="preserve">közös monitoring- és értékelési rendszer kapcsolódó kimenet-, eredmény- és hatásmutatóival </w:t>
      </w:r>
      <w:r>
        <w:t>kapcsolatos szakpolitikai célok hierarchiáját mutatja be. Ezen mutatók felülvizsgálatára az elérhető adatok tekintetében kerül sor.</w:t>
      </w:r>
    </w:p>
    <w:p w:rsidR="000C2540" w:rsidRPr="001C6ACF" w:rsidRDefault="0084519A" w:rsidP="000C2540">
      <w:pPr>
        <w:pStyle w:val="HStandard"/>
        <w:rPr>
          <w:rFonts w:cs="Arial"/>
          <w:bCs/>
        </w:rPr>
      </w:pPr>
      <w:r>
        <w:rPr>
          <w:b/>
          <w:color w:val="F07E31" w:themeColor="accent1"/>
        </w:rPr>
        <w:t xml:space="preserve">2. lépés – Kiegészítő (eredmény- és/vagy hatás-) mutatók kiválasztása: </w:t>
      </w:r>
      <w:r>
        <w:t xml:space="preserve">Ezek a mutatók a közös monitoring- és értékelési rendszer kötelező mutatóit egészíthetik ki. </w:t>
      </w:r>
      <w:r>
        <w:rPr>
          <w:b/>
        </w:rPr>
        <w:t>A kiegészítő mutatók alkalmazása önkéntes</w:t>
      </w:r>
      <w:r>
        <w:t xml:space="preserve">, és alaposan át kell gondolni, figyelembe véve a költségeket, az adatok elérhetőségét, a megfelelőséget és a hozzáadott értéket az értékelés szempontjából. A kiegészítő mutatók hasznosak lehetnek a nettó eredmények és hatások számszerűsítése terén, ha a közös mutatókra vonatkozó adatok nem elegendők, vagy ki kell tölteni a közös eredmény- és hatásmutatók hiányosságait. A kiegészítő mutatók jellegüket tekintve lehetnek kvalitatívak is (pl. az érdekelt felek által értékelt változás foka a Liker-skála alapján) a kvantitatív bizonyítékok kiegészítése érdekében vagy az alternatív számszerűsíthető bizonyítékok hiányában. </w:t>
      </w:r>
    </w:p>
    <w:p w:rsidR="00560A1E" w:rsidRPr="001C6ACF" w:rsidRDefault="0084519A" w:rsidP="00E93BEA">
      <w:pPr>
        <w:pStyle w:val="HStandard"/>
        <w:rPr>
          <w:rFonts w:cs="Arial"/>
        </w:rPr>
      </w:pPr>
      <w:r>
        <w:rPr>
          <w:b/>
          <w:color w:val="F07E31" w:themeColor="accent1"/>
        </w:rPr>
        <w:t xml:space="preserve">3. lépés – Az elemzési egység (= a szervezett rendszer legkisebb eleme) meghatározása a mikro- és makroszintű értékelés esetén (adott esetben): </w:t>
      </w:r>
      <w:r>
        <w:t>A mikroszintű elemzési egységek lehetnek mezőgazdasági üzemek, parcellák, közösségek vagy régiók, míg a makroszintű egységek lehetnek vízgyűjtő területek, regionális egységek vagy a vidékfejlesztési programmal érintett teljes területek. A meghatározott elemzési egységgel a mutató mérni tudja a területgazdálkodási változásokat és a környezeti, ágazati vagy társadalmi-gazdasági változásokat, amelyeket a VFP innovációi idéztek elő. A vonatkozó adatokat ugyanazon egységkategória tekintetében kell gyűjteni, és azoknak magukban kell foglalniuk a kedvezményezetteket és a nem kedvezményezetteket is.</w:t>
      </w:r>
    </w:p>
    <w:p w:rsidR="00E93BEA" w:rsidRPr="001C6ACF" w:rsidRDefault="00E93BEA" w:rsidP="00E93BEA">
      <w:pPr>
        <w:pStyle w:val="HHeading4"/>
      </w:pPr>
      <w:r>
        <w:t>A kontrafaktuális forgatókönyv felállítása (2. szint)</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197DD8EA" wp14:editId="0BF74E78">
                <wp:simplePos x="0" y="0"/>
                <wp:positionH relativeFrom="column">
                  <wp:posOffset>3238500</wp:posOffset>
                </wp:positionH>
                <wp:positionV relativeFrom="paragraph">
                  <wp:posOffset>41275</wp:posOffset>
                </wp:positionV>
                <wp:extent cx="2447925" cy="1657350"/>
                <wp:effectExtent l="0" t="0" r="28575" b="19050"/>
                <wp:wrapThrough wrapText="bothSides">
                  <wp:wrapPolygon edited="0">
                    <wp:start x="504" y="0"/>
                    <wp:lineTo x="0" y="745"/>
                    <wp:lineTo x="0" y="21600"/>
                    <wp:lineTo x="21348" y="21600"/>
                    <wp:lineTo x="21684" y="21103"/>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57350"/>
                        </a:xfrm>
                        <a:prstGeom prst="round2DiagRect">
                          <a:avLst>
                            <a:gd name="adj1" fmla="val 8733"/>
                            <a:gd name="adj2" fmla="val 0"/>
                          </a:avLst>
                        </a:prstGeom>
                        <a:noFill/>
                        <a:ln w="25400" cap="flat" cmpd="sng" algn="ctr">
                          <a:solidFill>
                            <a:srgbClr val="BE4A35"/>
                          </a:solidFill>
                          <a:prstDash val="solid"/>
                        </a:ln>
                        <a:effectLst/>
                      </wps:spPr>
                      <wps:txbx>
                        <w:txbxContent>
                          <w:p w:rsidR="007E1C34" w:rsidRPr="00044269" w:rsidRDefault="007E1C34"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AD66032" wp14:editId="0D35505C">
                                  <wp:extent cx="664845" cy="487680"/>
                                  <wp:effectExtent l="0" t="0" r="0" b="7620"/>
                                  <wp:docPr id="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program hatásait</w:t>
                            </w:r>
                            <w:r>
                              <w:rPr>
                                <w:b w:val="0"/>
                                <w:color w:val="373737" w:themeColor="text1"/>
                              </w:rPr>
                              <w:t xml:space="preserve"> soha nem lehet közvetlenül megfigyelni az egyéb közrejátszó tényezők miatt, ezért az értékelésükhöz kontrafaktuális elemzésre van szükség.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7DD8EA" id="_x0000_s1032" style="position:absolute;left:0;text-align:left;margin-left:255pt;margin-top:3.25pt;width:192.75pt;height:13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" adj="-11796480,,5400" path="m144736,l2447925,r,l2447925,1512614v,79935,-64801,144736,-144736,144736l,1657350r,l,144736c,64801,64801,,144736,xe" filled="f" strokecolor="#be4a35" strokeweight="2pt">
                <v:stroke joinstyle="miter"/>
                <v:formulas/>
                <v:path arrowok="t" o:connecttype="custom" o:connectlocs="144736,0;2447925,0;2447925,0;2447925,1512614;2303189,1657350;0,1657350;0,1657350;0,144736;144736,0" o:connectangles="0,0,0,0,0,0,0,0,0" textboxrect="0,0,2447925,1657350"/>
                <v:textbox>
                  <w:txbxContent>
                    <w:p w:rsidR="007E1C34" w:rsidRPr="00044269" w:rsidRDefault="007E1C34"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AD66032" wp14:editId="0D35505C">
                            <wp:extent cx="664845" cy="487680"/>
                            <wp:effectExtent l="0" t="0" r="0" b="7620"/>
                            <wp:docPr id="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program hatásait</w:t>
                      </w:r>
                      <w:r>
                        <w:rPr>
                          <w:b w:val="0"/>
                          <w:color w:val="373737" w:themeColor="text1"/>
                        </w:rPr>
                        <w:t xml:space="preserve"> soha nem lehet közvetlenül megfigyelni az egyéb közrejátszó tényezők miatt, ezért az értékelésükhöz kontrafaktuális elemzésre van szükség.</w:t>
                      </w:r>
                    </w:p>
                  </w:txbxContent>
                </v:textbox>
                <w10:wrap type="through"/>
              </v:shape>
            </w:pict>
          </mc:Fallback>
        </mc:AlternateContent>
      </w:r>
      <w:r>
        <w:t>A program hatása az ugyanazon egységre vonatkozó konkrét eredmény (pl. bruttó hozzáadott érték vagy a munkaerő termelékenysége) programmal és program nélkül elért értékében rejlő különbség. Ez a definíció érvényes bármilyen elemzési egységre (pl. személy, gazdálkodás, vállalkozás, földterület, közösség, falu, régió, programterület vagy ország) és bármilyen (ágazati, környezeti vagy társadalmi-gazdasági mutatókkal kifejezett) eredményre, amely valószínűsíthetően a programhoz köthető.</w:t>
      </w:r>
    </w:p>
    <w:p w:rsidR="002D4AB7" w:rsidRPr="001C6ACF" w:rsidRDefault="002D4AB7" w:rsidP="002D4AB7">
      <w:pPr>
        <w:pStyle w:val="HStandard"/>
        <w:rPr>
          <w:rFonts w:cs="Arial"/>
        </w:rPr>
      </w:pPr>
      <w:r>
        <w:t xml:space="preserve">A 2. szint segít az értékelőnek abban, hogy azonosítsa a kontrafaktuális forgatókönyvek típusát/típusait, amelye(ke)t az elérhető adatok alapján lehet létrehozni. A szint számos korlátozó tényezőt figyelembe vesz (pl. hiányos adatelérhetőség, rövid távú értékelési szerződések, korlátolt értékelési kapacitás), továbbá segít az életképes, második legjobb megoldások azonosításában (pl. a </w:t>
      </w:r>
      <w:r>
        <w:lastRenderedPageBreak/>
        <w:t xml:space="preserve">környezeti hatások értékelése terén). A kontrafaktuális forgatókönyv megtervezésére vonatkozó lehetséges opciók szisztematikus feltérképezése fontos, még az adatok hiánya esetén is. Értékes információt nyújt arról, milyen feltételeknek kell megfelelni az átfogó kontrafaktuális forgatókönyv alkalmazása érdekében, és alternatív lehetőségeket mutat be (pl. naiv csoportok összehasonlítása, kvalitatív értékelések). </w:t>
      </w:r>
    </w:p>
    <w:p w:rsidR="00A41C7D" w:rsidRPr="001C6ACF" w:rsidRDefault="00E93BEA" w:rsidP="000B6372">
      <w:pPr>
        <w:pStyle w:val="HStandard"/>
      </w:pPr>
      <w:r>
        <w:t xml:space="preserve">A logikai modellben a kontrafaktuális szint mind a mikro-, mind pedig a makroszintű értékelések esetén alkalmazandó, és összefügg az értékelési megközelítés és módszerek kiválasztásával. </w:t>
      </w:r>
      <w:r>
        <w:rPr>
          <w:b/>
        </w:rPr>
        <w:t>A program értékelőjének kell eldöntenie, mely szinten (mikro/makro) végzi el a program hatásainak értékelését.</w:t>
      </w:r>
      <w:r>
        <w:t xml:space="preserve"> Ez a döntés az elérhető adatokon múlik, és a (gazdasági, környezeti vagy társadalmi-gazdasági) adatok gyűjtésével érintett elemzési egység kiválasztása előtt kerül rá sor.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6002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00200"/>
                        </a:xfrm>
                        <a:prstGeom prst="round2DiagRect">
                          <a:avLst>
                            <a:gd name="adj1" fmla="val 8733"/>
                            <a:gd name="adj2" fmla="val 0"/>
                          </a:avLst>
                        </a:prstGeom>
                        <a:noFill/>
                        <a:ln w="25400" cap="flat" cmpd="sng" algn="ctr">
                          <a:solidFill>
                            <a:srgbClr val="BE4A35"/>
                          </a:solidFill>
                          <a:prstDash val="solid"/>
                        </a:ln>
                        <a:effectLst/>
                      </wps:spPr>
                      <wps:txbx>
                        <w:txbxContent>
                          <w:p w:rsidR="007E1C34" w:rsidRPr="009B4B57" w:rsidRDefault="007E1C34"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több vidékfejlesztési programmal rendelkező tagállamok</w:t>
                            </w:r>
                            <w:r>
                              <w:rPr>
                                <w:b w:val="0"/>
                                <w:color w:val="373737" w:themeColor="text1"/>
                              </w:rPr>
                              <w:t xml:space="preserve"> számára kihívást jelenthet, hogy az uniós adatforrások (pl. Eurostat) nem bocsátják rendelkezésre a regionális VFP-k egyes szintjeire vonatkozó közös KAP-hatásmutatók értékeit. Ilyen esetekben a mutató (NUTS 2) regionális értéke a nemzeti adatok alapján vagy, amennyiben lehetséges, az egyes régiókon belül az egységeken alapuló adatok (I.01., I.02., I.03.) összegzésével becsülhető meg.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26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7E1C34" w:rsidRPr="009B4B57" w:rsidRDefault="007E1C34"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több vidékfejlesztési programmal rendelkező tagállamok</w:t>
                      </w:r>
                      <w:r>
                        <w:rPr>
                          <w:b w:val="0"/>
                          <w:color w:val="373737" w:themeColor="text1"/>
                        </w:rPr>
                        <w:t xml:space="preserve"> számára kihívást jelenthet, hogy az uniós adatforrások (pl. Eurostat) nem bocsátják rendelkezésre a regionális VFP-k egyes szintjeire vonatkozó közös KAP-hatásmutatók értékeit. Ilyen esetekben a mutató (NUTS 2) regionális értéke a nemzeti adatok alapján vagy, amennyiben lehetséges, az egyes régiókon belül az egységeken alapuló adatok (I.01., I.02., I.03.) összegzésével becsülhető meg.</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-114300</wp:posOffset>
                </wp:positionH>
                <wp:positionV relativeFrom="paragraph">
                  <wp:posOffset>-209551</wp:posOffset>
                </wp:positionV>
                <wp:extent cx="6477000" cy="903922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903922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A2D9" id="Rectangle: Rounded Corners 946" o:spid="_x0000_s1026" style="position:absolute;margin-left:-9pt;margin-top:-16.5pt;width:510pt;height:71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347F332D" wp14:editId="0EDB1CDE">
                <wp:extent cx="6160135" cy="2590800"/>
                <wp:effectExtent l="0" t="0" r="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0135" cy="259080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E1C34" w:rsidRDefault="007E1C34" w:rsidP="007E1C34">
                            <w:pPr>
                              <w:pStyle w:val="HHeading4"/>
                              <w:spacing w:before="0" w:after="12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1. RÖVID ÚTMUTATÓ: Hogyan alkalmazható a logikai modell a kontrafaktuális forgatókönyv felállítására vonatkozó különböző lehetőségek azonosítása és az értékelési megközelítés kiválasztása terén?</w:t>
                            </w:r>
                          </w:p>
                          <w:p w:rsidR="007E1C34" w:rsidRPr="005D575A" w:rsidRDefault="007E1C34" w:rsidP="005166F3">
                            <w:pPr>
                              <w:pStyle w:val="HStandard"/>
                              <w:spacing w:after="0"/>
                              <w:rPr>
                                <w:rFonts w:cs="Arial"/>
                                <w:sz w:val="18"/>
                              </w:rPr>
                            </w:pPr>
                            <w:r>
                              <w:rPr>
                                <w:sz w:val="18"/>
                              </w:rPr>
                              <w:t xml:space="preserve">A kontrafaktuális szinten található döntési fa lépéseinek alkalmazása iránymutatást nyújt a kontrafaktuális forgatókönyv megtervezésével kapcsolatos alábbi fő kérdések megválaszolása terén: </w:t>
                            </w:r>
                          </w:p>
                          <w:p w:rsidR="007E1C34" w:rsidRPr="005D575A" w:rsidRDefault="007E1C34" w:rsidP="005166F3">
                            <w:pPr>
                              <w:pStyle w:val="Hlistbullet"/>
                              <w:rPr>
                                <w:sz w:val="18"/>
                              </w:rPr>
                            </w:pPr>
                            <w:r>
                              <w:rPr>
                                <w:sz w:val="18"/>
                              </w:rPr>
                              <w:t>Milyen lehetőségek állnak rendelkezésre a kontrafaktuális forgatókönyv létrehozása esetén?</w:t>
                            </w:r>
                          </w:p>
                          <w:p w:rsidR="007E1C34" w:rsidRPr="005D575A" w:rsidRDefault="007E1C34" w:rsidP="005166F3">
                            <w:pPr>
                              <w:pStyle w:val="Hlistbullet"/>
                              <w:rPr>
                                <w:sz w:val="18"/>
                              </w:rPr>
                            </w:pPr>
                            <w:r>
                              <w:rPr>
                                <w:sz w:val="18"/>
                              </w:rPr>
                              <w:t>Az intézkedések végrehajtása és alkalmazása lehetővé teszi egy kontrollcsoport létrehozását?</w:t>
                            </w:r>
                          </w:p>
                          <w:p w:rsidR="007E1C34" w:rsidRPr="005D575A" w:rsidRDefault="007E1C34" w:rsidP="005166F3">
                            <w:pPr>
                              <w:pStyle w:val="Hlistbullet"/>
                              <w:rPr>
                                <w:sz w:val="18"/>
                              </w:rPr>
                            </w:pPr>
                            <w:r>
                              <w:rPr>
                                <w:sz w:val="18"/>
                              </w:rPr>
                              <w:t>Milyen mértékben rendelkezem a kiválasztott mutatókat befolyásoló tényezőkre vonatkozó adatokkal?</w:t>
                            </w:r>
                          </w:p>
                          <w:p w:rsidR="007E1C34" w:rsidRPr="005D575A" w:rsidRDefault="007E1C34" w:rsidP="005166F3">
                            <w:pPr>
                              <w:pStyle w:val="Hlistbullet"/>
                              <w:rPr>
                                <w:sz w:val="18"/>
                              </w:rPr>
                            </w:pPr>
                            <w:r>
                              <w:rPr>
                                <w:sz w:val="18"/>
                              </w:rPr>
                              <w:t>Rendelkezem a kiválasztott mutatókra vonatkozó, más időpontban (korábban vagy később) mért adatokkal a kedvezményezettek és a nem kedvezményezettek esetében?</w:t>
                            </w:r>
                          </w:p>
                          <w:p w:rsidR="007E1C34" w:rsidRPr="00A41C7D" w:rsidRDefault="007E1C34" w:rsidP="005166F3">
                            <w:pPr>
                              <w:pStyle w:val="Hlistbullet"/>
                              <w:rPr>
                                <w:sz w:val="18"/>
                              </w:rPr>
                            </w:pPr>
                            <w:r>
                              <w:rPr>
                                <w:sz w:val="18"/>
                              </w:rPr>
                              <w:t>Használhatok átfogó, statisztikán alapuló módszereket az értékelt intézkedések nettó hatásainak költséghatékony számszerűsítése érdekében?</w:t>
                            </w:r>
                          </w:p>
                          <w:p w:rsidR="007E1C34" w:rsidRPr="00C545E7" w:rsidRDefault="007E1C34"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85.05pt;height:204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" adj="-11796480,,5400" path="m150406,l6093460,r,2459444c6093460,2542511,6026121,2609850,5943054,2609850l,2609850,,150406c,67339,67339,,150406,xe" filled="f" stroked="f" strokeweight="2pt">
                <v:stroke joinstyle="miter"/>
                <v:formulas/>
                <v:path arrowok="t" o:connecttype="custom" o:connectlocs="152052,0;6160135,0;6160135,0;6160135,2441492;6008083,2590800;0,2590800;0,2590800;0,149308;152052,0" o:connectangles="0,0,0,0,0,0,0,0,0" textboxrect="0,0,6093460,2609850"/>
                <v:textbox>
                  <w:txbxContent>
                    <w:p w:rsidR="007E1C34" w:rsidRDefault="007E1C34" w:rsidP="007E1C34">
                      <w:pPr>
                        <w:pStyle w:val="HHeading4"/>
                        <w:spacing w:before="0" w:after="12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1. RÖVID ÚTMUTATÓ: Hogyan alkalmazható a logikai modell a kontrafaktuális forgatókönyv felállítására vonatkozó különböző lehetőségek azonosítása és az értékelési megközelítés kiválasztása terén?</w:t>
                      </w:r>
                    </w:p>
                    <w:p w:rsidR="007E1C34" w:rsidRPr="005D575A" w:rsidRDefault="007E1C34" w:rsidP="005166F3">
                      <w:pPr>
                        <w:pStyle w:val="HStandard"/>
                        <w:spacing w:after="0"/>
                        <w:rPr>
                          <w:rFonts w:cs="Arial"/>
                          <w:sz w:val="18"/>
                        </w:rPr>
                      </w:pPr>
                      <w:r>
                        <w:rPr>
                          <w:sz w:val="18"/>
                        </w:rPr>
                        <w:t xml:space="preserve">A kontrafaktuális szinten található döntési fa lépéseinek alkalmazása iránymutatást nyújt a kontrafaktuális forgatókönyv megtervezésével kapcsolatos alábbi fő kérdések megválaszolása terén: </w:t>
                      </w:r>
                    </w:p>
                    <w:p w:rsidR="007E1C34" w:rsidRPr="005D575A" w:rsidRDefault="007E1C34" w:rsidP="005166F3">
                      <w:pPr>
                        <w:pStyle w:val="Hlistbullet"/>
                        <w:rPr>
                          <w:sz w:val="18"/>
                        </w:rPr>
                      </w:pPr>
                      <w:r>
                        <w:rPr>
                          <w:sz w:val="18"/>
                        </w:rPr>
                        <w:t>Milyen lehetőségek állnak rendelkezésre a kontrafaktuális forgatókönyv létrehozása esetén?</w:t>
                      </w:r>
                    </w:p>
                    <w:p w:rsidR="007E1C34" w:rsidRPr="005D575A" w:rsidRDefault="007E1C34" w:rsidP="005166F3">
                      <w:pPr>
                        <w:pStyle w:val="Hlistbullet"/>
                        <w:rPr>
                          <w:sz w:val="18"/>
                        </w:rPr>
                      </w:pPr>
                      <w:r>
                        <w:rPr>
                          <w:sz w:val="18"/>
                        </w:rPr>
                        <w:t>Az intézkedések végrehajtása és alkalmazása lehetővé teszi egy kontrollcsoport létrehozását?</w:t>
                      </w:r>
                    </w:p>
                    <w:p w:rsidR="007E1C34" w:rsidRPr="005D575A" w:rsidRDefault="007E1C34" w:rsidP="005166F3">
                      <w:pPr>
                        <w:pStyle w:val="Hlistbullet"/>
                        <w:rPr>
                          <w:sz w:val="18"/>
                        </w:rPr>
                      </w:pPr>
                      <w:r>
                        <w:rPr>
                          <w:sz w:val="18"/>
                        </w:rPr>
                        <w:t>Milyen mértékben rendelkezem a kiválasztott mutatókat befolyásoló tényezőkre vonatkozó adatokkal?</w:t>
                      </w:r>
                    </w:p>
                    <w:p w:rsidR="007E1C34" w:rsidRPr="005D575A" w:rsidRDefault="007E1C34" w:rsidP="005166F3">
                      <w:pPr>
                        <w:pStyle w:val="Hlistbullet"/>
                        <w:rPr>
                          <w:sz w:val="18"/>
                        </w:rPr>
                      </w:pPr>
                      <w:r>
                        <w:rPr>
                          <w:sz w:val="18"/>
                        </w:rPr>
                        <w:t>Rendelkezem a kiválasztott mutatókra vonatkozó, más időpontban (korábban vagy később) mért adatokkal a kedvezményezettek és a nem kedvezményezettek esetében?</w:t>
                      </w:r>
                    </w:p>
                    <w:p w:rsidR="007E1C34" w:rsidRPr="00A41C7D" w:rsidRDefault="007E1C34" w:rsidP="005166F3">
                      <w:pPr>
                        <w:pStyle w:val="Hlistbullet"/>
                        <w:rPr>
                          <w:sz w:val="18"/>
                        </w:rPr>
                      </w:pPr>
                      <w:r>
                        <w:rPr>
                          <w:sz w:val="18"/>
                        </w:rPr>
                        <w:t>Használhatok átfogó, statisztikán alapuló módszereket az értékelt intézkedések nettó hatásainak költséghatékony számszerűsítése érdekében?</w:t>
                      </w:r>
                    </w:p>
                    <w:p w:rsidR="007E1C34" w:rsidRPr="00C545E7" w:rsidRDefault="007E1C34"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AF1B2E">
      <w:pPr>
        <w:pStyle w:val="HHeadingfigures"/>
        <w:spacing w:before="120"/>
        <w:ind w:left="851" w:hanging="851"/>
      </w:pPr>
      <w:r>
        <w:t>A kontrafaktuális forgatókönyv létrehozására vonatkozó opciók azonosítására irányuló logikai modell</w:t>
      </w:r>
    </w:p>
    <w:p w:rsidR="00727DDF" w:rsidRPr="00571D58" w:rsidRDefault="006256C3" w:rsidP="00727DDF">
      <w:pPr>
        <w:pStyle w:val="HStandard"/>
      </w:pPr>
      <w:r>
        <w:rPr>
          <w:noProof/>
          <w:color w:val="auto"/>
          <w:sz w:val="18"/>
          <w:lang w:val="en-GB" w:eastAsia="en-GB" w:bidi="ar-SA"/>
        </w:rPr>
        <w:drawing>
          <wp:inline distT="0" distB="0" distL="0" distR="0">
            <wp:extent cx="5731510" cy="41675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167505"/>
                    </a:xfrm>
                    <a:prstGeom prst="rect">
                      <a:avLst/>
                    </a:prstGeom>
                  </pic:spPr>
                </pic:pic>
              </a:graphicData>
            </a:graphic>
          </wp:inline>
        </w:drawing>
      </w:r>
      <w:r w:rsidR="00EC01C3">
        <w:rPr>
          <w:noProof/>
          <w:color w:val="auto"/>
          <w:sz w:val="18"/>
        </w:rPr>
        <w:t xml:space="preserve"> </w:t>
      </w:r>
    </w:p>
    <w:p w:rsidR="00EB120C" w:rsidRPr="00AC6A80" w:rsidRDefault="00EB120C" w:rsidP="00B42D5D">
      <w:pPr>
        <w:pStyle w:val="HSource"/>
      </w:pPr>
      <w:r>
        <w:t>Forrás: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A logikai modell a VFP bevezetésének leírásával és a közös monitoring- és értékelési rendszer elérhető hatásmutatói, valamint, ha ki vannak jelölve (kitöltött sötétszürke mezők), a kiegészítő mutatók tekintetében fennálló adathelyzet ismertetésével kezdődik. A döntési kérdések sora (piros mezők) a kontrafaktuális forgatókönyv kialakítására vonatkozó lehetséges opciókhoz (kitöltött piros mezők) vezetnek.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Tudjon meg többet a logikai módszerek használatáról a </w:t>
      </w:r>
      <w:hyperlink r:id="rId41">
        <w:r>
          <w:rPr>
            <w:rStyle w:val="Hyperlink"/>
            <w:i/>
            <w:sz w:val="18"/>
          </w:rPr>
          <w:t>hetedik keretprogram részét képező kutatási projektből, az ENVIEVAL-ból</w:t>
        </w:r>
      </w:hyperlink>
      <w:r>
        <w:rPr>
          <w:rStyle w:val="Hyperlink"/>
          <w:i/>
          <w:sz w:val="18"/>
          <w:u w:val="none"/>
        </w:rPr>
        <w:t xml:space="preserve"> és a „</w:t>
      </w:r>
      <w:hyperlink r:id="rId42">
        <w:r>
          <w:rPr>
            <w:rStyle w:val="Hyperlink"/>
            <w:i/>
            <w:sz w:val="18"/>
          </w:rPr>
          <w:t>Methodological Handbook for the evaluation of environmental impacts of RDPs</w:t>
        </w:r>
      </w:hyperlink>
      <w:r>
        <w:rPr>
          <w:i/>
          <w:color w:val="F07E31" w:themeColor="accent1"/>
          <w:sz w:val="18"/>
        </w:rPr>
        <w:t>” (VFP-k környezet hatásainak értékelése) című módszertani kézikönyvéből.</w:t>
      </w:r>
    </w:p>
    <w:p w:rsidR="00EB120C" w:rsidRPr="00336531" w:rsidRDefault="00755D9D" w:rsidP="00EB120C">
      <w:pPr>
        <w:pStyle w:val="HStandard"/>
      </w:pPr>
      <w:r>
        <w:rPr>
          <w:b/>
          <w:i/>
          <w:noProof/>
          <w:color w:val="F07E31" w:themeColor="accent1"/>
          <w:lang w:val="en-GB" w:eastAsia="en-GB" w:bidi="ar-SA"/>
        </w:rPr>
        <w:lastRenderedPageBreak/>
        <mc:AlternateContent>
          <mc:Choice Requires="wps">
            <w:drawing>
              <wp:inline distT="0" distB="0" distL="0" distR="0" wp14:anchorId="609D5AF2" wp14:editId="0FB6EB68">
                <wp:extent cx="5567045" cy="8918812"/>
                <wp:effectExtent l="0" t="0" r="14605" b="1587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918812"/>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55D9D" w:rsidRPr="00391ECD" w:rsidRDefault="00755D9D" w:rsidP="00755D9D">
                            <w:pPr>
                              <w:pStyle w:val="HHeading4"/>
                            </w:pPr>
                            <w:r>
                              <w:rPr>
                                <w:noProof/>
                                <w:color w:val="373737"/>
                                <w:lang w:val="en-GB" w:eastAsia="en-GB" w:bidi="ar-SA"/>
                              </w:rPr>
                              <w:drawing>
                                <wp:inline distT="0" distB="0" distL="0" distR="0" wp14:anchorId="36152AC9" wp14:editId="65173982">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2. RÖVID ÚTMUTATÓ: Hogyan lehet kontrollcsoportot létrehozni mikroszinten? (a 2. szinttel összefüggésben)</w:t>
                            </w:r>
                          </w:p>
                          <w:p w:rsidR="00755D9D" w:rsidRPr="007008C0" w:rsidRDefault="00755D9D" w:rsidP="00755D9D">
                            <w:pPr>
                              <w:pStyle w:val="HStandard"/>
                              <w:spacing w:after="0"/>
                              <w:rPr>
                                <w:rFonts w:cs="Arial"/>
                                <w:color w:val="373737"/>
                                <w:sz w:val="18"/>
                                <w:szCs w:val="18"/>
                              </w:rPr>
                            </w:pPr>
                            <w:r>
                              <w:rPr>
                                <w:color w:val="373737"/>
                                <w:sz w:val="18"/>
                              </w:rPr>
                              <w:t xml:space="preserve">A mikroszintű kontrafaktuális elemzést a program kedvezményezettjeinek és nem kedvezményezettjeinek (megfigyelhető és nem megfigyelhető tekintetben) lehető leghasonlóbb kontrollcsoportjai közötti összehasonlításra kell alapozni. Ha a két csoport statisztikailag kellően hasonló (hasonló jellemzőkkel rendelkeznek), akkor feltételezhető, hogy bármilyen különbség a programnak tulajdonítható. A kontrafaktuális elemzés lehetővé teszi az </w:t>
                            </w:r>
                            <w:r w:rsidR="005B66C9">
                              <w:rPr>
                                <w:color w:val="373737"/>
                                <w:sz w:val="18"/>
                              </w:rPr>
                              <w:t>ok-</w:t>
                            </w:r>
                            <w:r>
                              <w:rPr>
                                <w:color w:val="373737"/>
                                <w:sz w:val="18"/>
                              </w:rPr>
                              <w:t>okozati viszonyok létrehozását – az eredményekben megfigyelt változásokat a programnak tulajdonítja, azonban a megtévesztésre alkalmas tényezőket eltávolítja.</w:t>
                            </w:r>
                          </w:p>
                          <w:p w:rsidR="00755D9D" w:rsidRPr="007008C0" w:rsidRDefault="00755D9D" w:rsidP="00755D9D">
                            <w:pPr>
                              <w:pStyle w:val="HStandard"/>
                              <w:spacing w:after="0"/>
                              <w:rPr>
                                <w:rFonts w:cs="Arial"/>
                                <w:color w:val="373737"/>
                                <w:sz w:val="18"/>
                                <w:szCs w:val="18"/>
                              </w:rPr>
                            </w:pPr>
                          </w:p>
                          <w:p w:rsidR="00755D9D" w:rsidRPr="007008C0" w:rsidRDefault="00755D9D" w:rsidP="00755D9D">
                            <w:pPr>
                              <w:pStyle w:val="HStandard"/>
                              <w:spacing w:after="0"/>
                              <w:rPr>
                                <w:rFonts w:cs="Arial"/>
                                <w:color w:val="373737"/>
                                <w:sz w:val="18"/>
                                <w:szCs w:val="18"/>
                              </w:rPr>
                            </w:pPr>
                            <w:r>
                              <w:rPr>
                                <w:color w:val="373737"/>
                                <w:sz w:val="18"/>
                              </w:rPr>
                              <w:t xml:space="preserve">A megfelelő kontrollcsoport kialakítása kihívást jelenthet a program jelentős természetes szelekciója és szigorú alkalmassági feltételei miatt. Az értékelésben szereplő, a programból támogatást kapott kedvezményezettek jelentős mértékben eltérnek a nem kedvezményezettektől mind szerkezeti jellemzőikben, mind gazdasági, környezeti és társadalmi-gazdasági teljesítményük terén. </w:t>
                            </w:r>
                          </w:p>
                          <w:p w:rsidR="00755D9D" w:rsidRPr="007008C0" w:rsidRDefault="00755D9D" w:rsidP="00755D9D">
                            <w:pPr>
                              <w:pStyle w:val="HStandard"/>
                              <w:spacing w:after="0"/>
                              <w:rPr>
                                <w:rFonts w:cs="Arial"/>
                                <w:color w:val="373737"/>
                                <w:sz w:val="18"/>
                                <w:szCs w:val="18"/>
                              </w:rPr>
                            </w:pPr>
                          </w:p>
                          <w:p w:rsidR="00755D9D" w:rsidRPr="007008C0" w:rsidRDefault="00755D9D" w:rsidP="00755D9D">
                            <w:pPr>
                              <w:pStyle w:val="HStandard"/>
                              <w:spacing w:after="0"/>
                              <w:rPr>
                                <w:rFonts w:cs="Arial"/>
                                <w:color w:val="373737"/>
                                <w:sz w:val="18"/>
                                <w:szCs w:val="18"/>
                              </w:rPr>
                            </w:pPr>
                            <w:r>
                              <w:rPr>
                                <w:color w:val="373737"/>
                                <w:sz w:val="18"/>
                              </w:rPr>
                              <w:t>A megfelelő kontrollcsoport felállítása az alábbiak szerint történik:</w:t>
                            </w:r>
                          </w:p>
                          <w:p w:rsidR="00755D9D" w:rsidRPr="007008C0" w:rsidRDefault="00755D9D" w:rsidP="00755D9D">
                            <w:pPr>
                              <w:pStyle w:val="Hlistbullet"/>
                              <w:spacing w:before="0" w:after="0" w:line="280" w:lineRule="atLeast"/>
                              <w:ind w:left="604" w:hanging="604"/>
                              <w:rPr>
                                <w:color w:val="373737"/>
                                <w:sz w:val="18"/>
                                <w:szCs w:val="18"/>
                              </w:rPr>
                            </w:pPr>
                            <w:r>
                              <w:rPr>
                                <w:b/>
                                <w:color w:val="F07E31" w:themeColor="accent1"/>
                                <w:sz w:val="18"/>
                              </w:rPr>
                              <w:t>1. lépés:</w:t>
                            </w:r>
                            <w:r>
                              <w:rPr>
                                <w:color w:val="373737"/>
                                <w:sz w:val="18"/>
                              </w:rPr>
                              <w:t xml:space="preserve"> Találjon a VFP kedvezményezettjeiből (pl. mezőgazdasági üzemek/mezőgazdasági termelők/nem mezőgazdasági vállalkozások/közösségek/területek/régiók) álló mintát egy elérhető adatbázisban (pl. mezőgazdasági számviteli információs hálózat), és alkalmazza a VFP monitoringrendszerét referenciapontként (pl. a kifizető ügynökség adatbázisa). </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2. lépés:</w:t>
                            </w:r>
                            <w:r>
                              <w:rPr>
                                <w:color w:val="373737"/>
                                <w:sz w:val="18"/>
                              </w:rPr>
                              <w:t xml:space="preserve"> Az adatbázisban megtalálható releváns egységekből válassza ki azon egységeket, amelyek ugyanazon az időszakon belül nem részesültek a VFP intézkedéseiből származó támogatásban („nem kedvezményezettek”).</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3. lépés:</w:t>
                            </w:r>
                            <w:r>
                              <w:rPr>
                                <w:color w:val="373737"/>
                                <w:sz w:val="18"/>
                              </w:rPr>
                              <w:t xml:space="preserve"> A nem kedvezményezettek csoportjából válassza ki előzetesen azon egységeket, amelyek NEM feleltek meg a program alkalmassági feltételeinek (a magas jövedelem, a méret, a helyszín stb. miatt), és ezeket vegye ki az elemzésből. </w:t>
                            </w:r>
                          </w:p>
                          <w:p w:rsidR="00755D9D" w:rsidRPr="007008C0" w:rsidRDefault="00755D9D" w:rsidP="00755D9D">
                            <w:pPr>
                              <w:pStyle w:val="Hlistbullet"/>
                              <w:spacing w:before="0" w:after="0" w:line="280" w:lineRule="atLeast"/>
                              <w:ind w:left="604" w:hanging="604"/>
                              <w:rPr>
                                <w:color w:val="373737"/>
                                <w:sz w:val="18"/>
                                <w:szCs w:val="18"/>
                              </w:rPr>
                            </w:pPr>
                            <w:r>
                              <w:rPr>
                                <w:b/>
                                <w:color w:val="F07E31" w:themeColor="accent1"/>
                                <w:sz w:val="18"/>
                              </w:rPr>
                              <w:t>4. lépés:</w:t>
                            </w:r>
                            <w:r>
                              <w:rPr>
                                <w:color w:val="373737"/>
                                <w:sz w:val="18"/>
                              </w:rPr>
                              <w:t xml:space="preserve"> Mindkét csoport (a kedvezményezettek és a nem kedvezményezettek) valamennyi egysége tekintetében gyűjtsön adatokat a fő jellemzőikről (változók) 2013-ra (azaz a program előtti időszakra) vonatkozólag. Megjegyzendő, hogy az elemzésben szereplő változóknak mind az egység kiválasztására, mind pedig a mikroszinten kiszámított mutatókra (közös és kiegészítő hatásmutatók) hatással kell lenniük. A javasolt változók között (fontos kontrollváltozóként) szerepelhet az alábbiak egyike: i) az adott egység („kedvezményezett” és „nem kedvezményezett”) által a 2007–2013 közötti korábbi programozási időszak során kapott támogatás szintje, és/vagy ii) az adott egység („kedvezményezett” és „nem kedvezményezett”) által az elemzett időszak során más közforrásból kapott támogatás szintje (uniós strukturális alapok, I. pillér).</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5. lépés:</w:t>
                            </w:r>
                            <w:r>
                              <w:rPr>
                                <w:color w:val="373737"/>
                                <w:sz w:val="18"/>
                              </w:rPr>
                              <w:t xml:space="preserve"> Alkalmazza a megfelelő technikákat (pl. megfeleltetés), amelyek lehetővé teszik a megfelelő „kontrollcsoport” azonosítását a „nem kedvezményezettek” (lásd a 2–3. lépést) mintájából (a „nem kedvezményezettek” és/vagy a „kedvezményezettek” némelyike a megfelelő kontrollegységek hiánya miatt fog kikerülni az elemzésből).</w:t>
                            </w:r>
                          </w:p>
                          <w:p w:rsidR="00755D9D" w:rsidRPr="0025164E" w:rsidRDefault="00755D9D" w:rsidP="00755D9D">
                            <w:pPr>
                              <w:pStyle w:val="Hlistbullet"/>
                              <w:spacing w:before="0" w:after="0" w:line="280" w:lineRule="atLeast"/>
                              <w:ind w:left="604" w:hanging="604"/>
                            </w:pPr>
                            <w:r>
                              <w:rPr>
                                <w:b/>
                                <w:color w:val="F07E31" w:themeColor="accent1"/>
                                <w:sz w:val="18"/>
                              </w:rPr>
                              <w:t>6. lépés:</w:t>
                            </w:r>
                            <w:r>
                              <w:rPr>
                                <w:color w:val="373737"/>
                                <w:sz w:val="18"/>
                              </w:rPr>
                              <w:t xml:space="preserve"> Végezze el a két csoport programból kapott támogatás előtti „hasonlóságának” statisztikai ellenőrzését (pl. statisztikai vizsgálatok végzése az elemzésben szereplő kovariánsok tekintetében). A „kedvezményezettek” csoportján belüli egységek átlagos értéke nem térhet el jelentős mértékben a „kontrollcsoport” vonatkozó egységének értékétől.</w:t>
                            </w:r>
                          </w:p>
                          <w:p w:rsidR="00755D9D" w:rsidRPr="0025164E" w:rsidRDefault="00755D9D" w:rsidP="00755D9D">
                            <w:pPr>
                              <w:pStyle w:val="Hlistbullet"/>
                              <w:numPr>
                                <w:ilvl w:val="0"/>
                                <w:numId w:val="0"/>
                              </w:numPr>
                              <w:jc w:val="center"/>
                              <w:rPr>
                                <w:i/>
                                <w:color w:val="F07E31" w:themeColor="accent1"/>
                                <w:sz w:val="18"/>
                                <w:szCs w:val="18"/>
                              </w:rPr>
                            </w:pPr>
                            <w:r>
                              <w:rPr>
                                <w:i/>
                                <w:color w:val="F07E31" w:themeColor="accent1"/>
                                <w:sz w:val="18"/>
                              </w:rPr>
                              <w:t>A kontrollcsoportok kialakításával, párosításával stb. kapcsolatban további információk megtalálhatók</w:t>
                            </w:r>
                            <w:r>
                              <w:rPr>
                                <w:i/>
                                <w:color w:val="F07E31" w:themeColor="accent1"/>
                                <w:sz w:val="18"/>
                                <w:szCs w:val="18"/>
                              </w:rPr>
                              <w:br/>
                            </w:r>
                            <w:r>
                              <w:rPr>
                                <w:i/>
                                <w:color w:val="F07E31" w:themeColor="accent1"/>
                                <w:sz w:val="18"/>
                              </w:rPr>
                              <w:t xml:space="preserve"> </w:t>
                            </w:r>
                            <w:hyperlink r:id="rId43" w:history="1">
                              <w:r>
                                <w:rPr>
                                  <w:rStyle w:val="Hyperlink"/>
                                  <w:i/>
                                  <w:color w:val="F07E31" w:themeColor="accent1"/>
                                  <w:sz w:val="18"/>
                                </w:rPr>
                                <w:t xml:space="preserve">a „Guidelines for the ex post evaluation of 2007-2013 RDPs” (A 2007–2013 közötti vidékfejlesztési programok utólagos értékelése) című iránymutatás </w:t>
                              </w:r>
                            </w:hyperlink>
                            <w:r>
                              <w:rPr>
                                <w:rStyle w:val="Hyperlink"/>
                                <w:i/>
                                <w:color w:val="F07E31" w:themeColor="accent1"/>
                                <w:sz w:val="18"/>
                              </w:rPr>
                              <w:t>4. fejezetében.</w:t>
                            </w:r>
                          </w:p>
                        </w:txbxContent>
                      </wps:txbx>
                      <wps:bodyPr rot="0" vert="horz" wrap="square" lIns="91440" tIns="45720" rIns="91440" bIns="45720" anchor="ctr" anchorCtr="0" upright="1">
                        <a:noAutofit/>
                      </wps:bodyPr>
                    </wps:wsp>
                  </a:graphicData>
                </a:graphic>
              </wp:inline>
            </w:drawing>
          </mc:Choice>
          <mc:Fallback>
            <w:pict>
              <v:shape w14:anchorId="609D5AF2" id="AutoShape 67" o:spid="_x0000_s1035" style="width:438.35pt;height:702.2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625137;5290419,8918812;0,8918812;0,8918812;0,293675;276626,0" o:connectangles="0,0,0,0,0,0,0,0,0" textboxrect="0,0,5567045,8401050"/>
                <v:textbox>
                  <w:txbxContent>
                    <w:p w:rsidR="00755D9D" w:rsidRPr="00391ECD" w:rsidRDefault="00755D9D" w:rsidP="00755D9D">
                      <w:pPr>
                        <w:pStyle w:val="HHeading4"/>
                      </w:pPr>
                      <w:r>
                        <w:rPr>
                          <w:noProof/>
                          <w:color w:val="373737"/>
                          <w:lang w:val="en-GB" w:eastAsia="en-GB" w:bidi="ar-SA"/>
                        </w:rPr>
                        <w:drawing>
                          <wp:inline distT="0" distB="0" distL="0" distR="0" wp14:anchorId="36152AC9" wp14:editId="65173982">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2. RÖVID ÚTMUTATÓ: Hogyan lehet kontrollcsoportot létrehozni mikroszinten? (a 2. szinttel összefüggésben)</w:t>
                      </w:r>
                    </w:p>
                    <w:p w:rsidR="00755D9D" w:rsidRPr="007008C0" w:rsidRDefault="00755D9D" w:rsidP="00755D9D">
                      <w:pPr>
                        <w:pStyle w:val="HStandard"/>
                        <w:spacing w:after="0"/>
                        <w:rPr>
                          <w:rFonts w:cs="Arial"/>
                          <w:color w:val="373737"/>
                          <w:sz w:val="18"/>
                          <w:szCs w:val="18"/>
                        </w:rPr>
                      </w:pPr>
                      <w:r>
                        <w:rPr>
                          <w:color w:val="373737"/>
                          <w:sz w:val="18"/>
                        </w:rPr>
                        <w:t xml:space="preserve">A mikroszintű kontrafaktuális elemzést a program kedvezményezettjeinek és nem kedvezményezettjeinek (megfigyelhető és nem megfigyelhető tekintetben) lehető leghasonlóbb kontrollcsoportjai közötti összehasonlításra kell alapozni. Ha a két csoport statisztikailag kellően hasonló (hasonló jellemzőkkel rendelkeznek), akkor feltételezhető, hogy bármilyen különbség a programnak tulajdonítható. A kontrafaktuális elemzés lehetővé teszi az </w:t>
                      </w:r>
                      <w:r w:rsidR="005B66C9">
                        <w:rPr>
                          <w:color w:val="373737"/>
                          <w:sz w:val="18"/>
                        </w:rPr>
                        <w:t>ok-</w:t>
                      </w:r>
                      <w:r>
                        <w:rPr>
                          <w:color w:val="373737"/>
                          <w:sz w:val="18"/>
                        </w:rPr>
                        <w:t>okozati viszonyok létrehozását – az eredményekben megfigyelt változásokat a programnak tulajdonítja, azonban a megtévesztésre alkalmas tényezőket eltávolítja.</w:t>
                      </w:r>
                    </w:p>
                    <w:p w:rsidR="00755D9D" w:rsidRPr="007008C0" w:rsidRDefault="00755D9D" w:rsidP="00755D9D">
                      <w:pPr>
                        <w:pStyle w:val="HStandard"/>
                        <w:spacing w:after="0"/>
                        <w:rPr>
                          <w:rFonts w:cs="Arial"/>
                          <w:color w:val="373737"/>
                          <w:sz w:val="18"/>
                          <w:szCs w:val="18"/>
                        </w:rPr>
                      </w:pPr>
                    </w:p>
                    <w:p w:rsidR="00755D9D" w:rsidRPr="007008C0" w:rsidRDefault="00755D9D" w:rsidP="00755D9D">
                      <w:pPr>
                        <w:pStyle w:val="HStandard"/>
                        <w:spacing w:after="0"/>
                        <w:rPr>
                          <w:rFonts w:cs="Arial"/>
                          <w:color w:val="373737"/>
                          <w:sz w:val="18"/>
                          <w:szCs w:val="18"/>
                        </w:rPr>
                      </w:pPr>
                      <w:r>
                        <w:rPr>
                          <w:color w:val="373737"/>
                          <w:sz w:val="18"/>
                        </w:rPr>
                        <w:t xml:space="preserve">A megfelelő kontrollcsoport kialakítása kihívást jelenthet a program jelentős természetes szelekciója és szigorú alkalmassági feltételei miatt. Az értékelésben szereplő, a programból támogatást kapott kedvezményezettek jelentős mértékben eltérnek a nem kedvezményezettektől mind szerkezeti jellemzőikben, mind gazdasági, környezeti és társadalmi-gazdasági teljesítményük terén. </w:t>
                      </w:r>
                    </w:p>
                    <w:p w:rsidR="00755D9D" w:rsidRPr="007008C0" w:rsidRDefault="00755D9D" w:rsidP="00755D9D">
                      <w:pPr>
                        <w:pStyle w:val="HStandard"/>
                        <w:spacing w:after="0"/>
                        <w:rPr>
                          <w:rFonts w:cs="Arial"/>
                          <w:color w:val="373737"/>
                          <w:sz w:val="18"/>
                          <w:szCs w:val="18"/>
                        </w:rPr>
                      </w:pPr>
                    </w:p>
                    <w:p w:rsidR="00755D9D" w:rsidRPr="007008C0" w:rsidRDefault="00755D9D" w:rsidP="00755D9D">
                      <w:pPr>
                        <w:pStyle w:val="HStandard"/>
                        <w:spacing w:after="0"/>
                        <w:rPr>
                          <w:rFonts w:cs="Arial"/>
                          <w:color w:val="373737"/>
                          <w:sz w:val="18"/>
                          <w:szCs w:val="18"/>
                        </w:rPr>
                      </w:pPr>
                      <w:r>
                        <w:rPr>
                          <w:color w:val="373737"/>
                          <w:sz w:val="18"/>
                        </w:rPr>
                        <w:t>A megfelelő kontrollcsoport felállítása az alábbiak szerint történik:</w:t>
                      </w:r>
                    </w:p>
                    <w:p w:rsidR="00755D9D" w:rsidRPr="007008C0" w:rsidRDefault="00755D9D" w:rsidP="00755D9D">
                      <w:pPr>
                        <w:pStyle w:val="Hlistbullet"/>
                        <w:spacing w:before="0" w:after="0" w:line="280" w:lineRule="atLeast"/>
                        <w:ind w:left="604" w:hanging="604"/>
                        <w:rPr>
                          <w:color w:val="373737"/>
                          <w:sz w:val="18"/>
                          <w:szCs w:val="18"/>
                        </w:rPr>
                      </w:pPr>
                      <w:r>
                        <w:rPr>
                          <w:b/>
                          <w:color w:val="F07E31" w:themeColor="accent1"/>
                          <w:sz w:val="18"/>
                        </w:rPr>
                        <w:t>1. lépés:</w:t>
                      </w:r>
                      <w:r>
                        <w:rPr>
                          <w:color w:val="373737"/>
                          <w:sz w:val="18"/>
                        </w:rPr>
                        <w:t xml:space="preserve"> Találjon a VFP kedvezményezettjeiből (pl. mezőgazdasági üzemek/mezőgazdasági termelők/nem mezőgazdasági vállalkozások/közösségek/területek/régiók) álló mintát egy elérhető adatbázisban (pl. mezőgazdasági számviteli információs hálózat), és alkalmazza a VFP monitoringrendszerét referenciapontként (pl. a kifizető ügynökség adatbázisa). </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2. lépés:</w:t>
                      </w:r>
                      <w:r>
                        <w:rPr>
                          <w:color w:val="373737"/>
                          <w:sz w:val="18"/>
                        </w:rPr>
                        <w:t xml:space="preserve"> Az adatbázisban megtalálható releváns egységekből válassza ki azon egységeket, amelyek ugyanazon az időszakon belül nem részesültek a VFP intézkedéseiből származó támogatásban („nem kedvezményezettek”).</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3. lépés:</w:t>
                      </w:r>
                      <w:r>
                        <w:rPr>
                          <w:color w:val="373737"/>
                          <w:sz w:val="18"/>
                        </w:rPr>
                        <w:t xml:space="preserve"> A nem kedvezményezettek csoportjából válassza ki előzetesen azon egységeket, amelyek NEM feleltek meg a program alkalmassági feltételeinek (a magas jövedelem, a méret, a helyszín stb. miatt), és ezeket vegye ki az elemzésből. </w:t>
                      </w:r>
                    </w:p>
                    <w:p w:rsidR="00755D9D" w:rsidRPr="007008C0" w:rsidRDefault="00755D9D" w:rsidP="00755D9D">
                      <w:pPr>
                        <w:pStyle w:val="Hlistbullet"/>
                        <w:spacing w:before="0" w:after="0" w:line="280" w:lineRule="atLeast"/>
                        <w:ind w:left="604" w:hanging="604"/>
                        <w:rPr>
                          <w:color w:val="373737"/>
                          <w:sz w:val="18"/>
                          <w:szCs w:val="18"/>
                        </w:rPr>
                      </w:pPr>
                      <w:r>
                        <w:rPr>
                          <w:b/>
                          <w:color w:val="F07E31" w:themeColor="accent1"/>
                          <w:sz w:val="18"/>
                        </w:rPr>
                        <w:t>4. lépés:</w:t>
                      </w:r>
                      <w:r>
                        <w:rPr>
                          <w:color w:val="373737"/>
                          <w:sz w:val="18"/>
                        </w:rPr>
                        <w:t xml:space="preserve"> Mindkét csoport (a kedvezményezettek és a nem kedvezményezettek) valamennyi egysége tekintetében gyűjtsön adatokat a fő jellemzőikről (változók) 2013-ra (azaz a program előtti időszakra) vonatkozólag. Megjegyzendő, hogy az elemzésben szereplő változóknak mind az egység kiválasztására, mind pedig a mikroszinten kiszámított mutatókra (közös és kiegészítő hatásmutatók) hatással kell lenniük. A javasolt változók között (fontos kontrollváltozóként) szerepelhet az alábbiak egyike: i) az adott egység („kedvezményezett” és „nem kedvezményezett”) által a 2007–2013 közötti korábbi programozási időszak során kapott támogatás szintje, és/vagy ii) az adott egység („kedvezményezett” és „nem kedvezményezett”) által az elemzett időszak során más közforrásból kapott támogatás szintje (uniós strukturális alapok, I. pillér).</w:t>
                      </w:r>
                    </w:p>
                    <w:p w:rsidR="00755D9D" w:rsidRPr="00AF5661" w:rsidRDefault="00755D9D" w:rsidP="00755D9D">
                      <w:pPr>
                        <w:pStyle w:val="Hlistbullet"/>
                        <w:spacing w:before="0" w:after="0" w:line="280" w:lineRule="atLeast"/>
                        <w:ind w:left="604" w:hanging="604"/>
                        <w:rPr>
                          <w:color w:val="373737"/>
                          <w:sz w:val="18"/>
                          <w:szCs w:val="18"/>
                        </w:rPr>
                      </w:pPr>
                      <w:r>
                        <w:rPr>
                          <w:b/>
                          <w:color w:val="F07E31" w:themeColor="accent1"/>
                          <w:sz w:val="18"/>
                        </w:rPr>
                        <w:t>5. lépés:</w:t>
                      </w:r>
                      <w:r>
                        <w:rPr>
                          <w:color w:val="373737"/>
                          <w:sz w:val="18"/>
                        </w:rPr>
                        <w:t xml:space="preserve"> Alkalmazza a megfelelő technikákat (pl. megfeleltetés), amelyek lehetővé teszik a megfelelő „kontrollcsoport” azonosítását a „nem kedvezményezettek” (lásd a 2–3. lépést) mintájából (a „nem kedvezményezettek” és/vagy a „kedvezményezettek” némelyike a megfelelő kontrollegységek hiánya miatt fog kikerülni az elemzésből).</w:t>
                      </w:r>
                    </w:p>
                    <w:p w:rsidR="00755D9D" w:rsidRPr="0025164E" w:rsidRDefault="00755D9D" w:rsidP="00755D9D">
                      <w:pPr>
                        <w:pStyle w:val="Hlistbullet"/>
                        <w:spacing w:before="0" w:after="0" w:line="280" w:lineRule="atLeast"/>
                        <w:ind w:left="604" w:hanging="604"/>
                      </w:pPr>
                      <w:r>
                        <w:rPr>
                          <w:b/>
                          <w:color w:val="F07E31" w:themeColor="accent1"/>
                          <w:sz w:val="18"/>
                        </w:rPr>
                        <w:t>6. lépés:</w:t>
                      </w:r>
                      <w:r>
                        <w:rPr>
                          <w:color w:val="373737"/>
                          <w:sz w:val="18"/>
                        </w:rPr>
                        <w:t xml:space="preserve"> Végezze el a két csoport programból kapott támogatás előtti „hasonlóságának” statisztikai ellenőrzését (pl. statisztikai vizsgálatok végzése az elemzésben szereplő kovariánsok tekintetében). A „kedvezményezettek” csoportján belüli egységek átlagos értéke nem térhet el jelentős mértékben a „kontrollcsoport” vonatkozó egységének értékétől.</w:t>
                      </w:r>
                    </w:p>
                    <w:p w:rsidR="00755D9D" w:rsidRPr="0025164E" w:rsidRDefault="00755D9D" w:rsidP="00755D9D">
                      <w:pPr>
                        <w:pStyle w:val="Hlistbullet"/>
                        <w:numPr>
                          <w:ilvl w:val="0"/>
                          <w:numId w:val="0"/>
                        </w:numPr>
                        <w:jc w:val="center"/>
                        <w:rPr>
                          <w:i/>
                          <w:color w:val="F07E31" w:themeColor="accent1"/>
                          <w:sz w:val="18"/>
                          <w:szCs w:val="18"/>
                        </w:rPr>
                      </w:pPr>
                      <w:r>
                        <w:rPr>
                          <w:i/>
                          <w:color w:val="F07E31" w:themeColor="accent1"/>
                          <w:sz w:val="18"/>
                        </w:rPr>
                        <w:t>A kontrollcsoportok kialakításával, párosításával stb. kapcsolatban további információk megtalálhatók</w:t>
                      </w:r>
                      <w:r>
                        <w:rPr>
                          <w:i/>
                          <w:color w:val="F07E31" w:themeColor="accent1"/>
                          <w:sz w:val="18"/>
                          <w:szCs w:val="18"/>
                        </w:rPr>
                        <w:br/>
                      </w:r>
                      <w:r>
                        <w:rPr>
                          <w:i/>
                          <w:color w:val="F07E31" w:themeColor="accent1"/>
                          <w:sz w:val="18"/>
                        </w:rPr>
                        <w:t xml:space="preserve"> </w:t>
                      </w:r>
                      <w:hyperlink r:id="rId44" w:history="1">
                        <w:r>
                          <w:rPr>
                            <w:rStyle w:val="Hyperlink"/>
                            <w:i/>
                            <w:color w:val="F07E31" w:themeColor="accent1"/>
                            <w:sz w:val="18"/>
                          </w:rPr>
                          <w:t xml:space="preserve">a „Guidelines for the ex post evaluation of 2007-2013 RDPs” (A 2007–2013 közötti vidékfejlesztési programok utólagos értékelése) című iránymutatás </w:t>
                        </w:r>
                      </w:hyperlink>
                      <w:r>
                        <w:rPr>
                          <w:rStyle w:val="Hyperlink"/>
                          <w:i/>
                          <w:color w:val="F07E31" w:themeColor="accent1"/>
                          <w:sz w:val="18"/>
                        </w:rPr>
                        <w:t>4. fejezetében.</w:t>
                      </w:r>
                    </w:p>
                  </w:txbxContent>
                </v:textbox>
                <w10:anchorlock/>
              </v:shape>
            </w:pict>
          </mc:Fallback>
        </mc:AlternateContent>
      </w:r>
    </w:p>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275CFA58" wp14:editId="34FCCF25">
                <wp:extent cx="6464935" cy="8763000"/>
                <wp:effectExtent l="0" t="0" r="12065" b="19050"/>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935" cy="876300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DD36A9" w:rsidRDefault="007E1C34" w:rsidP="00A96D33">
                            <w:pPr>
                              <w:pStyle w:val="HHeading4"/>
                              <w:spacing w:before="120"/>
                            </w:pPr>
                            <w:r>
                              <w:rPr>
                                <w:noProof/>
                                <w:lang w:val="en-GB" w:eastAsia="en-GB" w:bidi="ar-SA"/>
                              </w:rPr>
                              <w:drawing>
                                <wp:inline distT="0" distB="0" distL="0" distR="0" wp14:anchorId="1CD829C7" wp14:editId="2BC77D81">
                                  <wp:extent cx="457200" cy="485775"/>
                                  <wp:effectExtent l="0" t="0" r="0" b="9525"/>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85775"/>
                                          </a:xfrm>
                                          <a:prstGeom prst="rect">
                                            <a:avLst/>
                                          </a:prstGeom>
                                        </pic:spPr>
                                      </pic:pic>
                                    </a:graphicData>
                                  </a:graphic>
                                </wp:inline>
                              </w:drawing>
                            </w:r>
                            <w:r>
                              <w:t>3. RÖVID ÚTMUTATÓ: Kompromisszumok az értékelési módszerek megválasztása terén</w:t>
                            </w:r>
                          </w:p>
                          <w:p w:rsidR="007E1C34" w:rsidRDefault="007E1C34" w:rsidP="006D4194">
                            <w:pPr>
                              <w:pStyle w:val="HStandard"/>
                              <w:spacing w:after="0"/>
                              <w:rPr>
                                <w:rFonts w:cs="Arial"/>
                                <w:color w:val="373737"/>
                                <w:sz w:val="18"/>
                                <w:szCs w:val="18"/>
                              </w:rPr>
                            </w:pPr>
                            <w:r>
                              <w:rPr>
                                <w:color w:val="373737"/>
                                <w:sz w:val="18"/>
                              </w:rPr>
                              <w:t>Az értékelések során gyakran a nem elérhető adatok a legfőbb akadályozó tényezők, amelyek korlátozzák az értékelési módszerek kiválasztását. A „naiv” (kontrafaktuális forgatókönyv nélküli) értékelési technikák alkalmazása ilyen esetekben azonban jelentős hiányosságokhoz vezet a módszertani pontosság, hitelesség, megbízhatóság és érvényesség terén. Az érdekelt feleket ezért arra ösztönözzük, hogy mérlegeljék az adatigény és a gyengébb módszerekkel létrehozott eredményekben rejlő esetleges torzító tényezők közötti kompromisszumokat. A minőségibb eredményeket biztosító értékelési módszerek jellemzően több adatot igényelnek.</w:t>
                            </w:r>
                          </w:p>
                          <w:p w:rsidR="007E1C34" w:rsidRPr="006D4194" w:rsidRDefault="007E1C34" w:rsidP="006D4194">
                            <w:pPr>
                              <w:pStyle w:val="HStandard"/>
                              <w:spacing w:after="0"/>
                              <w:rPr>
                                <w:rFonts w:cs="Arial"/>
                                <w:color w:val="373737"/>
                                <w:sz w:val="18"/>
                                <w:szCs w:val="18"/>
                              </w:rPr>
                            </w:pPr>
                          </w:p>
                          <w:p w:rsidR="007E1C34" w:rsidRPr="009866F7" w:rsidRDefault="007E1C34" w:rsidP="006D4194">
                            <w:pPr>
                              <w:spacing w:before="0" w:after="0" w:line="240" w:lineRule="auto"/>
                              <w:rPr>
                                <w:rFonts w:cs="Arial"/>
                                <w:color w:val="373737"/>
                                <w:szCs w:val="18"/>
                                <w:highlight w:val="yellow"/>
                              </w:rPr>
                            </w:pPr>
                            <w:r>
                              <w:rPr>
                                <w:b/>
                              </w:rPr>
                              <w:t xml:space="preserve">A </w:t>
                            </w:r>
                            <w:r>
                              <w:rPr>
                                <w:b/>
                                <w:color w:val="373737"/>
                              </w:rPr>
                              <w:t>módszerek összehasonlítása</w:t>
                            </w:r>
                            <w:r>
                              <w:t xml:space="preserve"> </w:t>
                            </w:r>
                            <w:r>
                              <w:rPr>
                                <w:color w:val="373737"/>
                              </w:rPr>
                              <w:t xml:space="preserve">(Jelmagyarázat: +++++ = a legmagasabb pontszám; + = a legalacsonyabb pontszám): </w:t>
                            </w:r>
                          </w:p>
                          <w:tbl>
                            <w:tblPr>
                              <w:tblStyle w:val="Tabukasmriekou5tmavzvraznenie11"/>
                              <w:tblW w:w="9108" w:type="dxa"/>
                              <w:tblLayout w:type="fixed"/>
                              <w:tblLook w:val="04A0" w:firstRow="1" w:lastRow="0" w:firstColumn="1" w:lastColumn="0" w:noHBand="0" w:noVBand="1"/>
                            </w:tblPr>
                            <w:tblGrid>
                              <w:gridCol w:w="2388"/>
                              <w:gridCol w:w="2160"/>
                              <w:gridCol w:w="1800"/>
                              <w:gridCol w:w="1440"/>
                              <w:gridCol w:w="1320"/>
                            </w:tblGrid>
                            <w:tr w:rsidR="007E1C34" w:rsidTr="00A96D33">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388" w:type="dxa"/>
                                </w:tcPr>
                                <w:p w:rsidR="007E1C34" w:rsidRPr="0025164E" w:rsidRDefault="007E1C34" w:rsidP="009811C2">
                                  <w:pPr>
                                    <w:jc w:val="center"/>
                                    <w:rPr>
                                      <w:rFonts w:cs="Arial"/>
                                      <w:szCs w:val="18"/>
                                    </w:rPr>
                                  </w:pPr>
                                  <w:r>
                                    <w:t>Módszer</w:t>
                                  </w:r>
                                </w:p>
                              </w:tc>
                              <w:tc>
                                <w:tcPr>
                                  <w:tcW w:w="2160" w:type="dxa"/>
                                </w:tcPr>
                                <w:p w:rsidR="007E1C34" w:rsidRPr="0025164E" w:rsidRDefault="007E1C34"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Hitelesség/pontosság, megbízhatóság stb.</w:t>
                                  </w:r>
                                </w:p>
                              </w:tc>
                              <w:tc>
                                <w:tcPr>
                                  <w:tcW w:w="180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 kiválasztási és egyéb torzító tényezők csökkentésére való képesség</w:t>
                                  </w:r>
                                </w:p>
                              </w:tc>
                              <w:tc>
                                <w:tcPr>
                                  <w:tcW w:w="144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Az értékelés minősége</w:t>
                                  </w:r>
                                </w:p>
                              </w:tc>
                              <w:tc>
                                <w:tcPr>
                                  <w:tcW w:w="132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Adatigény</w:t>
                                  </w:r>
                                </w:p>
                              </w:tc>
                            </w:tr>
                            <w:tr w:rsidR="007E1C34" w:rsidTr="00A96D3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Kísérleti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57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Kvázi kísérleti megközelítés</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Megfeleltetési megközelítések („különbségek különbsége” módszerrel kiegészítve)</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284"/>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RDD</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Instrumentális változók módszere</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414"/>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„Különbségek különbsége” módszer</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Nem kedvezményezettekkel való összehasonlítás meghatározott időszak alatt (naiv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A program kedvezményezettjeinek előzetes és utólagos összehasonlítása (naiv megközelítés)</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A program eredményeinek/hatásainak megbecsülésére alkalmazott kvalitatív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7E1C34" w:rsidRPr="00742E07" w:rsidRDefault="007E1C34" w:rsidP="00735F08">
                            <w:pPr>
                              <w:pStyle w:val="HStandard"/>
                              <w:jc w:val="center"/>
                              <w:rPr>
                                <w:i/>
                                <w:color w:val="F07E31" w:themeColor="accent1"/>
                              </w:rPr>
                            </w:pPr>
                            <w:r>
                              <w:rPr>
                                <w:i/>
                                <w:color w:val="F07E31" w:themeColor="accent1"/>
                                <w:sz w:val="18"/>
                              </w:rPr>
                              <w:t xml:space="preserve">Az értékelési megközelítések kiválasztására vonatkozó kritériumoktól további információkat tudhat meg a </w:t>
                            </w:r>
                            <w:r>
                              <w:rPr>
                                <w:i/>
                                <w:color w:val="F07E31" w:themeColor="accent1"/>
                                <w:sz w:val="18"/>
                                <w:szCs w:val="18"/>
                              </w:rPr>
                              <w:br/>
                            </w:r>
                            <w:r>
                              <w:rPr>
                                <w:i/>
                                <w:color w:val="F07E31" w:themeColor="accent1"/>
                                <w:sz w:val="18"/>
                              </w:rPr>
                              <w:t>„</w:t>
                            </w:r>
                            <w:hyperlink r:id="rId45">
                              <w:r>
                                <w:rPr>
                                  <w:rStyle w:val="Hyperlink"/>
                                  <w:i/>
                                  <w:color w:val="F07E31" w:themeColor="accent1"/>
                                  <w:sz w:val="18"/>
                                </w:rPr>
                                <w:t>Guidelines for the ex post evaluation of 2007-2013 RDPs</w:t>
                              </w:r>
                            </w:hyperlink>
                            <w:r>
                              <w:rPr>
                                <w:rStyle w:val="Hyperlink"/>
                                <w:i/>
                                <w:color w:val="F07E31" w:themeColor="accent1"/>
                                <w:sz w:val="18"/>
                              </w:rPr>
                              <w:t xml:space="preserve"> </w:t>
                            </w:r>
                            <w:r>
                              <w:rPr>
                                <w:i/>
                                <w:color w:val="F07E31" w:themeColor="accent1"/>
                                <w:sz w:val="18"/>
                              </w:rPr>
                              <w:t>” (A 2007–2013 közötti vidékfejlesztési programok utólagos értékelése) című iránymutatás 4.3.4.2. fejezetéből.</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6" style="width:509.05pt;height:690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" adj="-11796480,,5400" path="m290989,l5731510,r,8160861c5731510,8321570,5601230,8451850,5440521,8451850l,8451850,,290989c,130280,130280,,290989,xe" filled="f" strokecolor="#be4a35" strokeweight="2pt">
                <v:stroke joinstyle="miter"/>
                <v:formulas/>
                <v:path arrowok="t" o:connecttype="custom" o:connectlocs="328225,0;6464935,0;6464935,0;6464935,8461298;6136710,8763000;0,8763000;0,8763000;0,301702;328225,0" o:connectangles="0,0,0,0,0,0,0,0,0" textboxrect="0,0,5731510,8451850"/>
                <v:textbox>
                  <w:txbxContent>
                    <w:p w:rsidR="007E1C34" w:rsidRPr="00DD36A9" w:rsidRDefault="007E1C34" w:rsidP="00A96D33">
                      <w:pPr>
                        <w:pStyle w:val="HHeading4"/>
                        <w:spacing w:before="120"/>
                      </w:pPr>
                      <w:r>
                        <w:rPr>
                          <w:noProof/>
                          <w:lang w:val="en-GB" w:eastAsia="en-GB" w:bidi="ar-SA"/>
                        </w:rPr>
                        <w:drawing>
                          <wp:inline distT="0" distB="0" distL="0" distR="0" wp14:anchorId="1CD829C7" wp14:editId="2BC77D81">
                            <wp:extent cx="457200" cy="485775"/>
                            <wp:effectExtent l="0" t="0" r="0" b="9525"/>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85775"/>
                                    </a:xfrm>
                                    <a:prstGeom prst="rect">
                                      <a:avLst/>
                                    </a:prstGeom>
                                  </pic:spPr>
                                </pic:pic>
                              </a:graphicData>
                            </a:graphic>
                          </wp:inline>
                        </w:drawing>
                      </w:r>
                      <w:r>
                        <w:t>3. RÖVID ÚTMUTATÓ: Kompromisszumok az értékelési módszerek megválasztása terén</w:t>
                      </w:r>
                    </w:p>
                    <w:p w:rsidR="007E1C34" w:rsidRDefault="007E1C34" w:rsidP="006D4194">
                      <w:pPr>
                        <w:pStyle w:val="HStandard"/>
                        <w:spacing w:after="0"/>
                        <w:rPr>
                          <w:rFonts w:cs="Arial"/>
                          <w:color w:val="373737"/>
                          <w:sz w:val="18"/>
                          <w:szCs w:val="18"/>
                        </w:rPr>
                      </w:pPr>
                      <w:r>
                        <w:rPr>
                          <w:color w:val="373737"/>
                          <w:sz w:val="18"/>
                        </w:rPr>
                        <w:t>Az értékelések során gyakran a nem elérhető adatok a legfőbb akadályozó tényezők, amelyek korlátozzák az értékelési módszerek kiválasztását. A „naiv” (kontrafaktuális forgatókönyv nélküli) értékelési technikák alkalmazása ilyen esetekben azonban jelentős hiányosságokhoz vezet a módszertani pontosság, hitelesség, megbízhatóság és érvényesség terén. Az érdekelt feleket ezért arra ösztönözzük, hogy mérlegeljék az adatigény és a gyengébb módszerekkel létrehozott eredményekben rejlő esetleges torzító tényezők közötti kompromisszumokat. A minőségibb eredményeket biztosító értékelési módszerek jellemzően több adatot igényelnek.</w:t>
                      </w:r>
                    </w:p>
                    <w:p w:rsidR="007E1C34" w:rsidRPr="006D4194" w:rsidRDefault="007E1C34" w:rsidP="006D4194">
                      <w:pPr>
                        <w:pStyle w:val="HStandard"/>
                        <w:spacing w:after="0"/>
                        <w:rPr>
                          <w:rFonts w:cs="Arial"/>
                          <w:color w:val="373737"/>
                          <w:sz w:val="18"/>
                          <w:szCs w:val="18"/>
                        </w:rPr>
                      </w:pPr>
                    </w:p>
                    <w:p w:rsidR="007E1C34" w:rsidRPr="009866F7" w:rsidRDefault="007E1C34" w:rsidP="006D4194">
                      <w:pPr>
                        <w:spacing w:before="0" w:after="0" w:line="240" w:lineRule="auto"/>
                        <w:rPr>
                          <w:rFonts w:cs="Arial"/>
                          <w:color w:val="373737"/>
                          <w:szCs w:val="18"/>
                          <w:highlight w:val="yellow"/>
                        </w:rPr>
                      </w:pPr>
                      <w:r>
                        <w:rPr>
                          <w:b/>
                        </w:rPr>
                        <w:t xml:space="preserve">A </w:t>
                      </w:r>
                      <w:r>
                        <w:rPr>
                          <w:b/>
                          <w:color w:val="373737"/>
                        </w:rPr>
                        <w:t>módszerek összehasonlítása</w:t>
                      </w:r>
                      <w:r>
                        <w:t xml:space="preserve"> </w:t>
                      </w:r>
                      <w:r>
                        <w:rPr>
                          <w:color w:val="373737"/>
                        </w:rPr>
                        <w:t xml:space="preserve">(Jelmagyarázat: +++++ = a legmagasabb pontszám; + = a legalacsonyabb pontszám): </w:t>
                      </w:r>
                    </w:p>
                    <w:tbl>
                      <w:tblPr>
                        <w:tblStyle w:val="Tabukasmriekou5tmavzvraznenie11"/>
                        <w:tblW w:w="9108" w:type="dxa"/>
                        <w:tblLayout w:type="fixed"/>
                        <w:tblLook w:val="04A0" w:firstRow="1" w:lastRow="0" w:firstColumn="1" w:lastColumn="0" w:noHBand="0" w:noVBand="1"/>
                      </w:tblPr>
                      <w:tblGrid>
                        <w:gridCol w:w="2388"/>
                        <w:gridCol w:w="2160"/>
                        <w:gridCol w:w="1800"/>
                        <w:gridCol w:w="1440"/>
                        <w:gridCol w:w="1320"/>
                      </w:tblGrid>
                      <w:tr w:rsidR="007E1C34" w:rsidTr="00A96D33">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388" w:type="dxa"/>
                          </w:tcPr>
                          <w:p w:rsidR="007E1C34" w:rsidRPr="0025164E" w:rsidRDefault="007E1C34" w:rsidP="009811C2">
                            <w:pPr>
                              <w:jc w:val="center"/>
                              <w:rPr>
                                <w:rFonts w:cs="Arial"/>
                                <w:szCs w:val="18"/>
                              </w:rPr>
                            </w:pPr>
                            <w:r>
                              <w:t>Módszer</w:t>
                            </w:r>
                          </w:p>
                        </w:tc>
                        <w:tc>
                          <w:tcPr>
                            <w:tcW w:w="2160" w:type="dxa"/>
                          </w:tcPr>
                          <w:p w:rsidR="007E1C34" w:rsidRPr="0025164E" w:rsidRDefault="007E1C34"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Hitelesség/pontosság, megbízhatóság stb.</w:t>
                            </w:r>
                          </w:p>
                        </w:tc>
                        <w:tc>
                          <w:tcPr>
                            <w:tcW w:w="180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 kiválasztási és egyéb torzító tényezők csökkentésére való képesség</w:t>
                            </w:r>
                          </w:p>
                        </w:tc>
                        <w:tc>
                          <w:tcPr>
                            <w:tcW w:w="144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Az értékelés minősége</w:t>
                            </w:r>
                          </w:p>
                        </w:tc>
                        <w:tc>
                          <w:tcPr>
                            <w:tcW w:w="1320" w:type="dxa"/>
                          </w:tcPr>
                          <w:p w:rsidR="007E1C34" w:rsidRPr="0025164E" w:rsidRDefault="007E1C3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Adatigény</w:t>
                            </w:r>
                          </w:p>
                        </w:tc>
                      </w:tr>
                      <w:tr w:rsidR="007E1C34" w:rsidTr="00A96D3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Kísérleti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57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Kvázi kísérleti megközelítés</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Megfeleltetési megközelítések („különbségek különbsége” módszerrel kiegészítve)</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284"/>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RDD</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Instrumentális változók módszere</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trHeight w:val="414"/>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„Különbségek különbsége” módszer</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Nem kedvezményezettekkel való összehasonlítás meghatározott időszak alatt (naiv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A program kedvezményezettjeinek előzetes és utólagos összehasonlítása (naiv megközelítés)</w:t>
                            </w:r>
                          </w:p>
                        </w:tc>
                        <w:tc>
                          <w:tcPr>
                            <w:tcW w:w="216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7E1C34" w:rsidTr="00A9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7E1C34" w:rsidRPr="009811C2" w:rsidRDefault="007E1C34" w:rsidP="00365997">
                            <w:pPr>
                              <w:jc w:val="left"/>
                              <w:rPr>
                                <w:rFonts w:cs="Arial"/>
                                <w:szCs w:val="18"/>
                              </w:rPr>
                            </w:pPr>
                            <w:r>
                              <w:t>A program eredményeinek/hatásainak megbecsülésére alkalmazott kvalitatív megközelítés</w:t>
                            </w:r>
                          </w:p>
                        </w:tc>
                        <w:tc>
                          <w:tcPr>
                            <w:tcW w:w="216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80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4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320" w:type="dxa"/>
                          </w:tcPr>
                          <w:p w:rsidR="007E1C34" w:rsidRPr="00B9614C" w:rsidRDefault="007E1C3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7E1C34" w:rsidRPr="00742E07" w:rsidRDefault="007E1C34" w:rsidP="00735F08">
                      <w:pPr>
                        <w:pStyle w:val="HStandard"/>
                        <w:jc w:val="center"/>
                        <w:rPr>
                          <w:i/>
                          <w:color w:val="F07E31" w:themeColor="accent1"/>
                        </w:rPr>
                      </w:pPr>
                      <w:r>
                        <w:rPr>
                          <w:i/>
                          <w:color w:val="F07E31" w:themeColor="accent1"/>
                          <w:sz w:val="18"/>
                        </w:rPr>
                        <w:t xml:space="preserve">Az értékelési megközelítések kiválasztására vonatkozó kritériumoktól további információkat tudhat meg a </w:t>
                      </w:r>
                      <w:r>
                        <w:rPr>
                          <w:i/>
                          <w:color w:val="F07E31" w:themeColor="accent1"/>
                          <w:sz w:val="18"/>
                          <w:szCs w:val="18"/>
                        </w:rPr>
                        <w:br/>
                      </w:r>
                      <w:r>
                        <w:rPr>
                          <w:i/>
                          <w:color w:val="F07E31" w:themeColor="accent1"/>
                          <w:sz w:val="18"/>
                        </w:rPr>
                        <w:t>„</w:t>
                      </w:r>
                      <w:hyperlink r:id="rId46">
                        <w:r>
                          <w:rPr>
                            <w:rStyle w:val="Hyperlink"/>
                            <w:i/>
                            <w:color w:val="F07E31" w:themeColor="accent1"/>
                            <w:sz w:val="18"/>
                          </w:rPr>
                          <w:t>Guidelines for the ex post evaluation of 2007-2013 RDPs</w:t>
                        </w:r>
                      </w:hyperlink>
                      <w:r>
                        <w:rPr>
                          <w:rStyle w:val="Hyperlink"/>
                          <w:i/>
                          <w:color w:val="F07E31" w:themeColor="accent1"/>
                          <w:sz w:val="18"/>
                        </w:rPr>
                        <w:t xml:space="preserve"> </w:t>
                      </w:r>
                      <w:r>
                        <w:rPr>
                          <w:i/>
                          <w:color w:val="F07E31" w:themeColor="accent1"/>
                          <w:sz w:val="18"/>
                        </w:rPr>
                        <w:t>” (A 2007–2013 közötti vidékfejlesztési programok utólagos értékelése) című iránymutatás 4.3.4.2. fejezetéből.</w:t>
                      </w:r>
                    </w:p>
                  </w:txbxContent>
                </v:textbox>
                <w10:anchorlock/>
              </v:shape>
            </w:pict>
          </mc:Fallback>
        </mc:AlternateContent>
      </w:r>
    </w:p>
    <w:p w:rsidR="00820050" w:rsidRPr="001C6ACF" w:rsidRDefault="004A3547" w:rsidP="00820050">
      <w:pPr>
        <w:pStyle w:val="HHeading4"/>
      </w:pPr>
      <w:r>
        <w:br w:type="column"/>
      </w:r>
      <w:r>
        <w:lastRenderedPageBreak/>
        <w:t>Mikro- és makroszintű értékelés és a nettó hatások kiszűrése (3. szint)</w:t>
      </w:r>
    </w:p>
    <w:p w:rsidR="00820050" w:rsidRPr="00863E73" w:rsidRDefault="00820050" w:rsidP="00820050">
      <w:pPr>
        <w:pStyle w:val="HStandard"/>
        <w:rPr>
          <w:rFonts w:cs="Arial"/>
        </w:rPr>
      </w:pPr>
      <w:r>
        <w:t xml:space="preserve">A logikai modell ezt követően az értékelési lehetőségek további pontosítása érdekében a </w:t>
      </w:r>
      <w:r>
        <w:rPr>
          <w:b/>
        </w:rPr>
        <w:t>mikro- és makroszintet</w:t>
      </w:r>
      <w:r>
        <w:t xml:space="preserve"> követi. A mikro- és makroszintre vonatkozó munkafolyamat olyan módszerekhez irányítja az értékelőt, amelyek a </w:t>
      </w:r>
      <w:r>
        <w:rPr>
          <w:b/>
        </w:rPr>
        <w:t>mikro- és makroszintű nettó hatások</w:t>
      </w:r>
      <w:r>
        <w:t xml:space="preserve"> konzisztens értékeléséhez járulnak hozzá</w:t>
      </w:r>
      <w:r>
        <w:rPr>
          <w:rStyle w:val="FootnoteReference"/>
          <w:b/>
        </w:rPr>
        <w:footnoteReference w:id="28"/>
      </w:r>
      <w:r>
        <w:t xml:space="preserve">. Valamennyi lehetséges kontrafaktuális forgatókönyv esetében egyéni mikroszintű logikai modell jön létre. Egyes, értékelésről szóló tervek esetén a mikroszintű megállapítások kivetítése képezi a makroszintű értékelés alapját. Más, értékelésről szóló tervek esetében a mikro- és makroszintű értékelések kiegészítik egymást, ami a konzisztencia ellenőrzését teszi szükségessé.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61A39BBA" wp14:editId="5C9A0DE1">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044269" w:rsidRDefault="007E1C3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kvantitatív adatokat kell kritikusan értelmezni</w:t>
                            </w:r>
                            <w:r>
                              <w:rPr>
                                <w:rStyle w:val="CommentReference"/>
                                <w:color w:val="373737" w:themeColor="text1"/>
                              </w:rPr>
                              <w:t xml:space="preserve"> </w:t>
                            </w:r>
                            <w:r>
                              <w:rPr>
                                <w:color w:val="373737" w:themeColor="text1"/>
                              </w:rPr>
                              <w:t>kvalitatív értékeléssel.</w:t>
                            </w:r>
                            <w:r>
                              <w:rPr>
                                <w:b w:val="0"/>
                                <w:color w:val="373737" w:themeColor="text1"/>
                              </w:rPr>
                              <w:t xml:space="preserve"> A kvalitatív értékelés továbbá segíthet a kvantitatív elemzés kiegészítésében az alábbi célokból: a) az elérhető adatok reprezentatív jellegének értékelése, b) a megállapítások egymáshoz viszonyított ellenőrzése, c) ugyanazon jelenség több dimenziójának megragadása.</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7"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fFhA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7E1C34" w:rsidRPr="00044269" w:rsidRDefault="007E1C3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 kvantitatív adatokat kell kritikusan értelmezni</w:t>
                      </w:r>
                      <w:r>
                        <w:rPr>
                          <w:rStyle w:val="CommentReference"/>
                          <w:color w:val="373737" w:themeColor="text1"/>
                        </w:rPr>
                        <w:t xml:space="preserve"> </w:t>
                      </w:r>
                      <w:r>
                        <w:rPr>
                          <w:color w:val="373737" w:themeColor="text1"/>
                        </w:rPr>
                        <w:t>kvalitatív értékeléssel.</w:t>
                      </w:r>
                      <w:r>
                        <w:rPr>
                          <w:b w:val="0"/>
                          <w:color w:val="373737" w:themeColor="text1"/>
                        </w:rPr>
                        <w:t xml:space="preserve"> A kvalitatív értékelés továbbá segíthet a kvantitatív elemzés kiegészítésében az alábbi célokból: a) az elérhető adatok reprezentatív jellegének értékelése, b) a megállapítások egymáshoz viszonyított ellenőrzése, c) ugyanazon jelenség több dimenziójának megragadása.</w:t>
                      </w:r>
                    </w:p>
                  </w:txbxContent>
                </v:textbox>
                <w10:anchorlock/>
              </v:shape>
            </w:pict>
          </mc:Fallback>
        </mc:AlternateContent>
      </w:r>
    </w:p>
    <w:p w:rsidR="00820050" w:rsidRPr="007645B4" w:rsidRDefault="00820050" w:rsidP="00820050">
      <w:pPr>
        <w:pStyle w:val="HStandard"/>
        <w:spacing w:after="0"/>
        <w:rPr>
          <w:rFonts w:cs="Arial"/>
        </w:rPr>
      </w:pPr>
      <w:r>
        <w:t>A döntési fa lépéseinek mikro- és makroszinten történő alkalmazása segít abban, hogy az értékelési megközelítés tervezése során megválaszoljuk az alábbi kérdéseket:</w:t>
      </w:r>
    </w:p>
    <w:p w:rsidR="00820050" w:rsidRPr="001C6ACF" w:rsidRDefault="00820050" w:rsidP="00C42303">
      <w:pPr>
        <w:pStyle w:val="Hlistbullet"/>
      </w:pPr>
      <w:r>
        <w:t>Szükségem van specifikus környezeti, ágazati (mezőgazdasági) vagy társadalmi-gazdasági módszerre a mutatók értékeiben bekövetkező változások számszerűsítéséhez, vagy használhatom közvetlenül a mutatók értékeit a kontrafaktuális módszer alkalmazásával?</w:t>
      </w:r>
    </w:p>
    <w:p w:rsidR="00820050" w:rsidRPr="001C6ACF" w:rsidRDefault="00820050" w:rsidP="00C42303">
      <w:pPr>
        <w:pStyle w:val="Hlistbullet"/>
      </w:pPr>
      <w:r>
        <w:t>Ha specifikus módszer alkalmazására van szükség, megfelelőek az adatok az elérhető módszerek valamelyikének a környezeti, ágazati vagy társadalmi-gazdasági hatások értékelése érdekében történő végrehajtásához?</w:t>
      </w:r>
    </w:p>
    <w:p w:rsidR="00820050" w:rsidRPr="001C6ACF" w:rsidRDefault="00820050" w:rsidP="00C42303">
      <w:pPr>
        <w:pStyle w:val="Hlistbullet"/>
      </w:pPr>
      <w:r>
        <w:t>Szükség van arra, hogy statisztikai mintavétellel új törzsadatokat gyűjtsek, és ez mennyire lesz költséges?</w:t>
      </w:r>
    </w:p>
    <w:p w:rsidR="00820050" w:rsidRPr="001C6ACF" w:rsidRDefault="00820050" w:rsidP="00C42303">
      <w:pPr>
        <w:pStyle w:val="Hlistbullet"/>
      </w:pPr>
      <w:r>
        <w:t>Szükség van arra, hogy a felmérés/monitoring adatai minőségének javítása érdekében külön feladatokat végezzek el?</w:t>
      </w:r>
    </w:p>
    <w:p w:rsidR="00820050" w:rsidRPr="001C6ACF" w:rsidRDefault="00820050" w:rsidP="00C42303">
      <w:pPr>
        <w:pStyle w:val="Hlistbullet"/>
      </w:pPr>
      <w:r>
        <w:t>Ha nem tudom számszerűsíteni a mutatók értékeiben bekövetkező változásokat, vagy ennek költsége rendkívül magas, akkor milyen alternatív (kvalitatív) módszerek állnak rendelkezésre a mutatók értékeiben bekövetkező változások értékelésére?</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bookmarkStart w:id="0" w:name="_GoBack"/>
      <w:r>
        <w:rPr>
          <w:b/>
          <w:i/>
          <w:noProof/>
          <w:color w:val="F07E31" w:themeColor="accent1"/>
          <w:lang w:val="en-GB" w:eastAsia="en-GB" w:bidi="ar-SA"/>
        </w:rPr>
        <w:lastRenderedPageBreak/>
        <mc:AlternateContent>
          <mc:Choice Requires="wps">
            <w:drawing>
              <wp:inline distT="0" distB="0" distL="0" distR="0" wp14:anchorId="1D134C61" wp14:editId="03650808">
                <wp:extent cx="5931535" cy="8801100"/>
                <wp:effectExtent l="0" t="0" r="12065" b="1905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80110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DD36A9" w:rsidRDefault="007E1C34"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4. RÖVID ÚTMUTATÓ: Hogyan lehet értékelni a VFP nettó hatásait? (a 3. szinttel összefüggésben)</w:t>
                            </w:r>
                          </w:p>
                          <w:p w:rsidR="007E1C34" w:rsidRPr="00553149" w:rsidRDefault="007E1C34" w:rsidP="00AC0E3D">
                            <w:pPr>
                              <w:pStyle w:val="HStandard"/>
                              <w:spacing w:after="0"/>
                              <w:rPr>
                                <w:rFonts w:cs="Arial"/>
                                <w:szCs w:val="16"/>
                              </w:rPr>
                            </w:pPr>
                            <w:r>
                              <w:t xml:space="preserve">A program nettó hatásainak </w:t>
                            </w:r>
                            <w:r>
                              <w:rPr>
                                <w:b/>
                              </w:rPr>
                              <w:t xml:space="preserve">makro- vagy programterületi szinten, </w:t>
                            </w:r>
                            <w:r>
                              <w:t xml:space="preserve">a kontrafaktuális forgatókönyv alkalmazásával történő értékelése két alapvető megközelítés alkalmazásával végezhető el: Az </w:t>
                            </w:r>
                            <w:r>
                              <w:rPr>
                                <w:b/>
                              </w:rPr>
                              <w:t>első megközelítés</w:t>
                            </w:r>
                            <w:r>
                              <w:t xml:space="preserve"> mikroelemzésen és a mikroelemzés eredményeinek makroszintre történő extrapolációján (kivetítésén) alapul. A </w:t>
                            </w:r>
                            <w:r>
                              <w:rPr>
                                <w:b/>
                              </w:rPr>
                              <w:t>második megközelítés</w:t>
                            </w:r>
                            <w:r>
                              <w:t xml:space="preserve"> olyan elemzési eszközöket alkalmaz, mint a </w:t>
                            </w:r>
                            <w:hyperlink r:id="rId47">
                              <w:r>
                                <w:rPr>
                                  <w:rStyle w:val="Hyperlink"/>
                                </w:rPr>
                                <w:t>számszerűsített általános egyensúlyi modell</w:t>
                              </w:r>
                            </w:hyperlink>
                            <w:r>
                              <w:t xml:space="preserve">, a részleges egyensúlyi modell és a térbeli ökonometriai modellek vagy egyéb modellezési technikák – amelyek esetén a vonatkozó modellparaméterek (pl. termelékenységi vagy kibocsátási együttható) becslésére ökonometriailag kerül sor olyan módon, </w:t>
                            </w:r>
                            <w:r>
                              <w:rPr>
                                <w:b/>
                              </w:rPr>
                              <w:t>amely figyelembe veszi</w:t>
                            </w:r>
                            <w:r>
                              <w:t xml:space="preserve"> az átfogó </w:t>
                            </w:r>
                            <w:r w:rsidR="005B66C9">
                              <w:t>ok-</w:t>
                            </w:r>
                            <w:r>
                              <w:t>okozati kapcsolatokat, a lehetséges kiválasztási torzító tényezőket, az endogenitást és a tértől való függést. Ez a megközelítés továbbá kombinálja a program hatásainak értékelését célzó, felülről építkező makroszintű megközelítést (pl. nemzeti és regionális lefedettséggel rendelkező modellek) és a különböző intézkedések vagy intézkedéskombinációk nettó hatásait értékelő, alulról építkező mikroszintű megközelítést.</w:t>
                            </w:r>
                          </w:p>
                          <w:p w:rsidR="007E1C34" w:rsidRPr="00553149" w:rsidRDefault="007E1C34" w:rsidP="00AC0E3D">
                            <w:pPr>
                              <w:pStyle w:val="HStandard"/>
                              <w:spacing w:after="0"/>
                              <w:rPr>
                                <w:rFonts w:cs="Arial"/>
                                <w:szCs w:val="16"/>
                              </w:rPr>
                            </w:pPr>
                          </w:p>
                          <w:p w:rsidR="007E1C34" w:rsidRPr="00553149" w:rsidRDefault="007E1C34" w:rsidP="00AC0E3D">
                            <w:pPr>
                              <w:pStyle w:val="HStandard"/>
                              <w:spacing w:after="0"/>
                              <w:rPr>
                                <w:rFonts w:cs="Arial"/>
                                <w:szCs w:val="16"/>
                              </w:rPr>
                            </w:pPr>
                            <w:r>
                              <w:t xml:space="preserve">Fontos megjegyezni, hogy VFP nettó hatásainak elemzése a választott megközelítéstől függetlenül kizárólag akkor lehetséges, ha elegendő kvantitatív adat áll rendelkezésre, és fejlett módszertani technikák alkalmazására kerül sor. A naiv kvantitatív értékelési opciók esetleges alkalmazása (pl. előzetes és utólagos értékelés, nem megfelelő kontrollok alkalmazása stb.) mindkét irányba (pozitívan és negatívan is) jelentősen torzíthatja a nettó hatásokra vonatkozóan kapott eredményeket. </w:t>
                            </w:r>
                          </w:p>
                          <w:p w:rsidR="007E1C34" w:rsidRPr="00553149" w:rsidRDefault="007E1C34" w:rsidP="00AC0E3D">
                            <w:pPr>
                              <w:pStyle w:val="HStandard"/>
                              <w:spacing w:after="0"/>
                              <w:rPr>
                                <w:rFonts w:cs="Arial"/>
                                <w:szCs w:val="16"/>
                              </w:rPr>
                            </w:pPr>
                          </w:p>
                          <w:p w:rsidR="007E1C34" w:rsidRPr="00502017" w:rsidRDefault="007E1C34" w:rsidP="00AC0E3D">
                            <w:pPr>
                              <w:pStyle w:val="HStandard"/>
                              <w:spacing w:after="0"/>
                              <w:rPr>
                                <w:rFonts w:cs="Arial"/>
                                <w:szCs w:val="16"/>
                              </w:rPr>
                            </w:pPr>
                            <w:r>
                              <w:t xml:space="preserve">Mivel az </w:t>
                            </w:r>
                            <w:r>
                              <w:rPr>
                                <w:b/>
                              </w:rPr>
                              <w:t>első megközelítés</w:t>
                            </w:r>
                            <w:r>
                              <w:t xml:space="preserve"> (a mikroelemzés kivetítése a makroszintű programterületre) a legegyszerűbb és legígéretesebb, az alábbiakban leírjuk a legfontosabb lépéseket. A megközelítés öt alapvető, mind az ágazati, mind pedig a környezeti és társadalmi-gazdasági hatásmutatókra alkalmazandó lépésből áll. Az VFP nettó hatásának e három területen végzett elemzésében rejlő alapvető különbség az elemzés alapját képező egységek meghatározása: pl. mezőgazdasági üzemek (vállalkozások) vagy közigazgatási régiók (pl. NUTS 4, NUTS 5 stb.) az ágazati mutatók esetében; földterületek vagy kis földrajzi régiók (regionális területi adatok) környezeti mutatók esetében; és közigazgatási régiók (pl. NUTS 3, NUTS 4 vagy NUTS 5) a társadalmi-gazdasági mutatók esetében. A lépések a következők:</w:t>
                            </w:r>
                          </w:p>
                          <w:p w:rsidR="007E1C34" w:rsidRPr="00502017" w:rsidRDefault="007E1C34" w:rsidP="00AC0E3D">
                            <w:pPr>
                              <w:pStyle w:val="HStandard"/>
                              <w:spacing w:after="0"/>
                              <w:rPr>
                                <w:rFonts w:cs="Arial"/>
                                <w:szCs w:val="16"/>
                              </w:rPr>
                            </w:pPr>
                          </w:p>
                          <w:p w:rsidR="007E1C34" w:rsidRPr="00735F08" w:rsidRDefault="007E1C34" w:rsidP="00AC0E3D">
                            <w:pPr>
                              <w:pStyle w:val="Hlistbullet"/>
                              <w:numPr>
                                <w:ilvl w:val="0"/>
                                <w:numId w:val="0"/>
                              </w:numPr>
                              <w:jc w:val="left"/>
                              <w:rPr>
                                <w:szCs w:val="16"/>
                              </w:rPr>
                            </w:pPr>
                            <w:r>
                              <w:rPr>
                                <w:b/>
                                <w:color w:val="F07E31" w:themeColor="accent1"/>
                              </w:rPr>
                              <w:t>1. lépés:</w:t>
                            </w:r>
                            <w:r>
                              <w:t xml:space="preserve"> Becsülje meg a </w:t>
                            </w:r>
                            <w:r>
                              <w:rPr>
                                <w:b/>
                              </w:rPr>
                              <w:t>VFP kedvezményezettekre mikroszinten gyakorolt közvetlen hatásait</w:t>
                            </w:r>
                            <w:r>
                              <w:t>:</w:t>
                            </w:r>
                          </w:p>
                          <w:p w:rsidR="007E1C34" w:rsidRPr="00553149" w:rsidRDefault="007E1C34" w:rsidP="00EC01C3">
                            <w:pPr>
                              <w:pStyle w:val="HStandard"/>
                              <w:numPr>
                                <w:ilvl w:val="1"/>
                                <w:numId w:val="13"/>
                              </w:numPr>
                              <w:spacing w:after="0"/>
                              <w:ind w:left="924" w:hanging="357"/>
                              <w:rPr>
                                <w:rFonts w:cs="Arial"/>
                                <w:szCs w:val="16"/>
                              </w:rPr>
                            </w:pPr>
                            <w:r>
                              <w:t>Számítsa ki a kedvezményezettek csoportja és a kontrollcsoport esetében a közös vagy kiegészítő hatásmutatók átlagértékét mikroszinten a támogatás előtt (pl. 2013-ban) és a támogatás után (pl. 2018-ban vagy 2019-ben).</w:t>
                            </w:r>
                          </w:p>
                          <w:p w:rsidR="007E1C34" w:rsidRPr="00553149" w:rsidRDefault="007E1C34" w:rsidP="00EC01C3">
                            <w:pPr>
                              <w:pStyle w:val="HStandard"/>
                              <w:numPr>
                                <w:ilvl w:val="1"/>
                                <w:numId w:val="13"/>
                              </w:numPr>
                              <w:spacing w:after="0"/>
                              <w:ind w:left="924" w:hanging="357"/>
                              <w:rPr>
                                <w:rFonts w:cs="Arial"/>
                                <w:szCs w:val="16"/>
                              </w:rPr>
                            </w:pPr>
                            <w:r>
                              <w:t xml:space="preserve">Számítsa ki az egyes szakpolitikai mutatókat (pl. a kezeltekre gyakorolt átlagos kezelési hatás – ATT) a releváns közös vagy kiegészítő hatásmutatók eredményként történő alkalmazásával. Számítsa ki a VFP </w:t>
                            </w:r>
                            <w:r>
                              <w:rPr>
                                <w:b/>
                              </w:rPr>
                              <w:t>fenti mutatókra gyakorolt nettó közvetlen hatásait</w:t>
                            </w:r>
                            <w:r>
                              <w:t xml:space="preserve"> a kiszámított ATT-k „különbségek különbsége” módszerrel történő kombinálásával.</w:t>
                            </w:r>
                          </w:p>
                          <w:p w:rsidR="007E1C34" w:rsidRPr="00553149" w:rsidRDefault="007E1C34" w:rsidP="00EC01C3">
                            <w:pPr>
                              <w:pStyle w:val="HStandard"/>
                              <w:numPr>
                                <w:ilvl w:val="1"/>
                                <w:numId w:val="13"/>
                              </w:numPr>
                              <w:spacing w:after="0"/>
                              <w:ind w:left="924" w:hanging="357"/>
                              <w:rPr>
                                <w:rFonts w:cs="Arial"/>
                                <w:szCs w:val="16"/>
                              </w:rPr>
                            </w:pPr>
                            <w:r>
                              <w:t>Végezzen érzékenységi elemzést a kapott eredmények tekintetében.</w:t>
                            </w:r>
                          </w:p>
                          <w:p w:rsidR="007E1C34" w:rsidRDefault="007E1C34" w:rsidP="00AC0E3D">
                            <w:pPr>
                              <w:pStyle w:val="Hlistbullet"/>
                              <w:numPr>
                                <w:ilvl w:val="0"/>
                                <w:numId w:val="0"/>
                              </w:numPr>
                              <w:spacing w:before="0" w:after="120" w:line="280" w:lineRule="atLeast"/>
                              <w:rPr>
                                <w:rFonts w:cs="Arial"/>
                                <w:szCs w:val="16"/>
                              </w:rPr>
                            </w:pPr>
                            <w:r>
                              <w:rPr>
                                <w:b/>
                                <w:color w:val="F07E31" w:themeColor="accent1"/>
                              </w:rPr>
                              <w:t xml:space="preserve">2. lépés: </w:t>
                            </w:r>
                            <w:r>
                              <w:t xml:space="preserve">Becsülje meg a </w:t>
                            </w:r>
                            <w:r>
                              <w:rPr>
                                <w:b/>
                              </w:rPr>
                              <w:t>VFP kedvezményezettekre mikroszinten gyakorolt közvetett hatásait</w:t>
                            </w:r>
                            <w:r>
                              <w:t>. A mutatók értékében megfigyelt változások esetében itt is külön kell választani a programnak betudható változásokat (az elsődleges és másodlagos hozzájárulások teljes hatása), valamint az egyéb tényezők által előidézett változásokat.</w:t>
                            </w:r>
                            <w:r>
                              <w:rPr>
                                <w:color w:val="auto"/>
                              </w:rPr>
                              <w:t xml:space="preserve"> </w:t>
                            </w:r>
                            <w:r>
                              <w:t xml:space="preserve">A VFP közvetett hatásait (pl. helyettesítés, lakóhelyelhagyás, pályázati multiplikátor) külön kell kiszámítani és bemutatni. </w:t>
                            </w:r>
                          </w:p>
                          <w:p w:rsidR="007E1C34" w:rsidRPr="00027601" w:rsidRDefault="007E1C34"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8" style="width:467.05pt;height:693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75303;5413534,8801100;0,8801100;0,8801100;0,525797;518001,0" o:connectangles="0,0,0,0,0,0,0,0,0" textboxrect="0,0,5931673,8670814"/>
                <v:textbox>
                  <w:txbxContent>
                    <w:p w:rsidR="007E1C34" w:rsidRPr="00DD36A9" w:rsidRDefault="007E1C34"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4. RÖVID ÚTMUTATÓ: Hogyan lehet értékelni a VFP nettó hatásait? (a 3. szinttel összefüggésben)</w:t>
                      </w:r>
                    </w:p>
                    <w:p w:rsidR="007E1C34" w:rsidRPr="00553149" w:rsidRDefault="007E1C34" w:rsidP="00AC0E3D">
                      <w:pPr>
                        <w:pStyle w:val="HStandard"/>
                        <w:spacing w:after="0"/>
                        <w:rPr>
                          <w:rFonts w:cs="Arial"/>
                          <w:szCs w:val="16"/>
                        </w:rPr>
                      </w:pPr>
                      <w:r>
                        <w:t xml:space="preserve">A program nettó hatásainak </w:t>
                      </w:r>
                      <w:r>
                        <w:rPr>
                          <w:b/>
                        </w:rPr>
                        <w:t xml:space="preserve">makro- vagy programterületi szinten, </w:t>
                      </w:r>
                      <w:r>
                        <w:t xml:space="preserve">a kontrafaktuális forgatókönyv alkalmazásával történő értékelése két alapvető megközelítés alkalmazásával végezhető el: Az </w:t>
                      </w:r>
                      <w:r>
                        <w:rPr>
                          <w:b/>
                        </w:rPr>
                        <w:t>első megközelítés</w:t>
                      </w:r>
                      <w:r>
                        <w:t xml:space="preserve"> mikroelemzésen és a mikroelemzés eredményeinek makroszintre történő extrapolációján (kivetítésén) alapul. A </w:t>
                      </w:r>
                      <w:r>
                        <w:rPr>
                          <w:b/>
                        </w:rPr>
                        <w:t>második megközelítés</w:t>
                      </w:r>
                      <w:r>
                        <w:t xml:space="preserve"> olyan elemzési eszközöket alkalmaz, mint a </w:t>
                      </w:r>
                      <w:hyperlink r:id="rId48">
                        <w:r>
                          <w:rPr>
                            <w:rStyle w:val="Hyperlink"/>
                          </w:rPr>
                          <w:t>számszerűsített általános egyensúlyi modell</w:t>
                        </w:r>
                      </w:hyperlink>
                      <w:r>
                        <w:t xml:space="preserve">, a részleges egyensúlyi modell és a térbeli ökonometriai modellek vagy egyéb modellezési technikák – amelyek esetén a vonatkozó modellparaméterek (pl. termelékenységi vagy kibocsátási együttható) becslésére ökonometriailag kerül sor olyan módon, </w:t>
                      </w:r>
                      <w:r>
                        <w:rPr>
                          <w:b/>
                        </w:rPr>
                        <w:t>amely figyelembe veszi</w:t>
                      </w:r>
                      <w:r>
                        <w:t xml:space="preserve"> az átfogó </w:t>
                      </w:r>
                      <w:r w:rsidR="005B66C9">
                        <w:t>ok-</w:t>
                      </w:r>
                      <w:r>
                        <w:t>okozati kapcsolatokat, a lehetséges kiválasztási torzító tényezőket, az endogenitást és a tértől való függést. Ez a megközelítés továbbá kombinálja a program hatásainak értékelését célzó, felülről építkező makroszintű megközelítést (pl. nemzeti és regionális lefedettséggel rendelkező modellek) és a különböző intézkedések vagy intézkedéskombinációk nettó hatásait értékelő, alulról építkező mikroszintű megközelítést.</w:t>
                      </w:r>
                    </w:p>
                    <w:p w:rsidR="007E1C34" w:rsidRPr="00553149" w:rsidRDefault="007E1C34" w:rsidP="00AC0E3D">
                      <w:pPr>
                        <w:pStyle w:val="HStandard"/>
                        <w:spacing w:after="0"/>
                        <w:rPr>
                          <w:rFonts w:cs="Arial"/>
                          <w:szCs w:val="16"/>
                        </w:rPr>
                      </w:pPr>
                    </w:p>
                    <w:p w:rsidR="007E1C34" w:rsidRPr="00553149" w:rsidRDefault="007E1C34" w:rsidP="00AC0E3D">
                      <w:pPr>
                        <w:pStyle w:val="HStandard"/>
                        <w:spacing w:after="0"/>
                        <w:rPr>
                          <w:rFonts w:cs="Arial"/>
                          <w:szCs w:val="16"/>
                        </w:rPr>
                      </w:pPr>
                      <w:r>
                        <w:t xml:space="preserve">Fontos megjegyezni, hogy VFP nettó hatásainak elemzése a választott megközelítéstől függetlenül kizárólag akkor lehetséges, ha elegendő kvantitatív adat áll rendelkezésre, és fejlett módszertani technikák alkalmazására kerül sor. A naiv kvantitatív értékelési opciók esetleges alkalmazása (pl. előzetes és utólagos értékelés, nem megfelelő kontrollok alkalmazása stb.) mindkét irányba (pozitívan és negatívan is) jelentősen torzíthatja a nettó hatásokra vonatkozóan kapott eredményeket. </w:t>
                      </w:r>
                    </w:p>
                    <w:p w:rsidR="007E1C34" w:rsidRPr="00553149" w:rsidRDefault="007E1C34" w:rsidP="00AC0E3D">
                      <w:pPr>
                        <w:pStyle w:val="HStandard"/>
                        <w:spacing w:after="0"/>
                        <w:rPr>
                          <w:rFonts w:cs="Arial"/>
                          <w:szCs w:val="16"/>
                        </w:rPr>
                      </w:pPr>
                    </w:p>
                    <w:p w:rsidR="007E1C34" w:rsidRPr="00502017" w:rsidRDefault="007E1C34" w:rsidP="00AC0E3D">
                      <w:pPr>
                        <w:pStyle w:val="HStandard"/>
                        <w:spacing w:after="0"/>
                        <w:rPr>
                          <w:rFonts w:cs="Arial"/>
                          <w:szCs w:val="16"/>
                        </w:rPr>
                      </w:pPr>
                      <w:r>
                        <w:t xml:space="preserve">Mivel az </w:t>
                      </w:r>
                      <w:r>
                        <w:rPr>
                          <w:b/>
                        </w:rPr>
                        <w:t>első megközelítés</w:t>
                      </w:r>
                      <w:r>
                        <w:t xml:space="preserve"> (a mikroelemzés kivetítése a makroszintű programterületre) a legegyszerűbb és legígéretesebb, az alábbiakban leírjuk a legfontosabb lépéseket. A megközelítés öt alapvető, mind az ágazati, mind pedig a környezeti és társadalmi-gazdasági hatásmutatókra alkalmazandó lépésből áll. Az VFP nettó hatásának e három területen végzett elemzésében rejlő alapvető különbség az elemzés alapját képező egységek meghatározása: pl. mezőgazdasági üzemek (vállalkozások) vagy közigazgatási régiók (pl. NUTS 4, NUTS 5 stb.) az ágazati mutatók esetében; földterületek vagy kis földrajzi régiók (regionális területi adatok) környezeti mutatók esetében; és közigazgatási régiók (pl. NUTS 3, NUTS 4 vagy NUTS 5) a társadalmi-gazdasági mutatók esetében. A lépések a következők:</w:t>
                      </w:r>
                    </w:p>
                    <w:p w:rsidR="007E1C34" w:rsidRPr="00502017" w:rsidRDefault="007E1C34" w:rsidP="00AC0E3D">
                      <w:pPr>
                        <w:pStyle w:val="HStandard"/>
                        <w:spacing w:after="0"/>
                        <w:rPr>
                          <w:rFonts w:cs="Arial"/>
                          <w:szCs w:val="16"/>
                        </w:rPr>
                      </w:pPr>
                    </w:p>
                    <w:p w:rsidR="007E1C34" w:rsidRPr="00735F08" w:rsidRDefault="007E1C34" w:rsidP="00AC0E3D">
                      <w:pPr>
                        <w:pStyle w:val="Hlistbullet"/>
                        <w:numPr>
                          <w:ilvl w:val="0"/>
                          <w:numId w:val="0"/>
                        </w:numPr>
                        <w:jc w:val="left"/>
                        <w:rPr>
                          <w:szCs w:val="16"/>
                        </w:rPr>
                      </w:pPr>
                      <w:r>
                        <w:rPr>
                          <w:b/>
                          <w:color w:val="F07E31" w:themeColor="accent1"/>
                        </w:rPr>
                        <w:t>1. lépés:</w:t>
                      </w:r>
                      <w:r>
                        <w:t xml:space="preserve"> Becsülje meg a </w:t>
                      </w:r>
                      <w:r>
                        <w:rPr>
                          <w:b/>
                        </w:rPr>
                        <w:t>VFP kedvezményezettekre mikroszinten gyakorolt közvetlen hatásait</w:t>
                      </w:r>
                      <w:r>
                        <w:t>:</w:t>
                      </w:r>
                    </w:p>
                    <w:p w:rsidR="007E1C34" w:rsidRPr="00553149" w:rsidRDefault="007E1C34" w:rsidP="00EC01C3">
                      <w:pPr>
                        <w:pStyle w:val="HStandard"/>
                        <w:numPr>
                          <w:ilvl w:val="1"/>
                          <w:numId w:val="13"/>
                        </w:numPr>
                        <w:spacing w:after="0"/>
                        <w:ind w:left="924" w:hanging="357"/>
                        <w:rPr>
                          <w:rFonts w:cs="Arial"/>
                          <w:szCs w:val="16"/>
                        </w:rPr>
                      </w:pPr>
                      <w:r>
                        <w:t>Számítsa ki a kedvezményezettek csoportja és a kontrollcsoport esetében a közös vagy kiegészítő hatásmutatók átlagértékét mikroszinten a támogatás előtt (pl. 2013-ban) és a támogatás után (pl. 2018-ban vagy 2019-ben).</w:t>
                      </w:r>
                    </w:p>
                    <w:p w:rsidR="007E1C34" w:rsidRPr="00553149" w:rsidRDefault="007E1C34" w:rsidP="00EC01C3">
                      <w:pPr>
                        <w:pStyle w:val="HStandard"/>
                        <w:numPr>
                          <w:ilvl w:val="1"/>
                          <w:numId w:val="13"/>
                        </w:numPr>
                        <w:spacing w:after="0"/>
                        <w:ind w:left="924" w:hanging="357"/>
                        <w:rPr>
                          <w:rFonts w:cs="Arial"/>
                          <w:szCs w:val="16"/>
                        </w:rPr>
                      </w:pPr>
                      <w:r>
                        <w:t xml:space="preserve">Számítsa ki az egyes szakpolitikai mutatókat (pl. a kezeltekre gyakorolt átlagos kezelési hatás – ATT) a releváns közös vagy kiegészítő hatásmutatók eredményként történő alkalmazásával. Számítsa ki a VFP </w:t>
                      </w:r>
                      <w:r>
                        <w:rPr>
                          <w:b/>
                        </w:rPr>
                        <w:t>fenti mutatókra gyakorolt nettó közvetlen hatásait</w:t>
                      </w:r>
                      <w:r>
                        <w:t xml:space="preserve"> a kiszámított ATT-k „különbségek különbsége” módszerrel történő kombinálásával.</w:t>
                      </w:r>
                    </w:p>
                    <w:p w:rsidR="007E1C34" w:rsidRPr="00553149" w:rsidRDefault="007E1C34" w:rsidP="00EC01C3">
                      <w:pPr>
                        <w:pStyle w:val="HStandard"/>
                        <w:numPr>
                          <w:ilvl w:val="1"/>
                          <w:numId w:val="13"/>
                        </w:numPr>
                        <w:spacing w:after="0"/>
                        <w:ind w:left="924" w:hanging="357"/>
                        <w:rPr>
                          <w:rFonts w:cs="Arial"/>
                          <w:szCs w:val="16"/>
                        </w:rPr>
                      </w:pPr>
                      <w:r>
                        <w:t>Végezzen érzékenységi elemzést a kapott eredmények tekintetében.</w:t>
                      </w:r>
                    </w:p>
                    <w:p w:rsidR="007E1C34" w:rsidRDefault="007E1C34" w:rsidP="00AC0E3D">
                      <w:pPr>
                        <w:pStyle w:val="Hlistbullet"/>
                        <w:numPr>
                          <w:ilvl w:val="0"/>
                          <w:numId w:val="0"/>
                        </w:numPr>
                        <w:spacing w:before="0" w:after="120" w:line="280" w:lineRule="atLeast"/>
                        <w:rPr>
                          <w:rFonts w:cs="Arial"/>
                          <w:szCs w:val="16"/>
                        </w:rPr>
                      </w:pPr>
                      <w:r>
                        <w:rPr>
                          <w:b/>
                          <w:color w:val="F07E31" w:themeColor="accent1"/>
                        </w:rPr>
                        <w:t xml:space="preserve">2. lépés: </w:t>
                      </w:r>
                      <w:r>
                        <w:t xml:space="preserve">Becsülje meg a </w:t>
                      </w:r>
                      <w:r>
                        <w:rPr>
                          <w:b/>
                        </w:rPr>
                        <w:t>VFP kedvezményezettekre mikroszinten gyakorolt közvetett hatásait</w:t>
                      </w:r>
                      <w:r>
                        <w:t>. A mutatók értékében megfigyelt változások esetében itt is külön kell választani a programnak betudható változásokat (az elsődleges és másodlagos hozzájárulások teljes hatása), valamint az egyéb tényezők által előidézett változásokat.</w:t>
                      </w:r>
                      <w:r>
                        <w:rPr>
                          <w:color w:val="auto"/>
                        </w:rPr>
                        <w:t xml:space="preserve"> </w:t>
                      </w:r>
                      <w:r>
                        <w:t xml:space="preserve">A VFP közvetett hatásait (pl. helyettesítés, lakóhelyelhagyás, pályázati multiplikátor) külön kell kiszámítani és bemutatni. </w:t>
                      </w:r>
                    </w:p>
                    <w:p w:rsidR="007E1C34" w:rsidRPr="00027601" w:rsidRDefault="007E1C34"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bookmarkEnd w:id="0"/>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470F4C74" wp14:editId="52AF0EB5">
                <wp:extent cx="5731510" cy="5210175"/>
                <wp:effectExtent l="0" t="0" r="21590" b="2857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5210175"/>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5945BB" w:rsidRDefault="007E1C34" w:rsidP="00AC0E3D">
                            <w:pPr>
                              <w:pStyle w:val="Hlistbullet"/>
                              <w:numPr>
                                <w:ilvl w:val="0"/>
                                <w:numId w:val="0"/>
                              </w:numPr>
                              <w:spacing w:before="0" w:after="120" w:line="280" w:lineRule="atLeast"/>
                              <w:rPr>
                                <w:rFonts w:cs="Arial"/>
                                <w:szCs w:val="16"/>
                              </w:rPr>
                            </w:pPr>
                            <w:r>
                              <w:rPr>
                                <w:b/>
                                <w:color w:val="F07E31" w:themeColor="accent1"/>
                              </w:rPr>
                              <w:t xml:space="preserve">3. lépés: </w:t>
                            </w:r>
                            <w:r>
                              <w:t xml:space="preserve">Számítsa ki a </w:t>
                            </w:r>
                            <w:r>
                              <w:rPr>
                                <w:b/>
                              </w:rPr>
                              <w:t>nem kedvezményezettekre mikroszinten gyakorolt közvetett hatásokat</w:t>
                            </w:r>
                            <w:r>
                              <w:t xml:space="preserve">. A mutatók értékében megfigyelhető változást itt szintén két részre lehet bontani: a programnak betudható változások (az elsődleges és másodlagos hozzájárulások teljes hatása) és a más tényezők által előidézett változások. Ez a szint azon az elváráson alapul, miszerint a VFP intézkedéseiből a kedvezmények által kapott támogatásnak „várható/váratlan” általános egyensúlyi hatása lehet (pl. a program kedvezményezettjei közvetlen szomszédságában található nem kedvezményezettekre gyakorolt negatív hatások). </w:t>
                            </w:r>
                          </w:p>
                          <w:p w:rsidR="007E1C34" w:rsidRPr="005945BB" w:rsidRDefault="007E1C34" w:rsidP="00AC0E3D">
                            <w:pPr>
                              <w:pStyle w:val="HStandard"/>
                              <w:rPr>
                                <w:rFonts w:cs="Arial"/>
                                <w:szCs w:val="16"/>
                              </w:rPr>
                            </w:pPr>
                            <w:r>
                              <w:t>Az értékelés e pontján elengedhetetlen az előzetes kvalitatív értékelés, mivel értékes belső szempontokat nyújthat, és fontos programspecifikus értékelési kérdések megfogalmazásához vezethet, amelyek a program teljesítményére összpontosítanak, különös tekintettel a nem kedvezményezettekre gyakorolt pozitív, negatív, szándékos és nem szándékos hatásokra. A programspecifikus értékelési kérdések alkalmazása önkéntes, azonban ha ilyen kérdés megfogalmazására kerül sor, azt meg kell válaszolni. A szinergiák vagy lehetséges negatív kereszthatások előzetes elemzése érdekében az értékelők használhatnak kvalitatív értékelési eszközöket is.</w:t>
                            </w:r>
                          </w:p>
                          <w:p w:rsidR="007E1C34" w:rsidRPr="005945BB" w:rsidRDefault="007E1C34" w:rsidP="00AC0E3D">
                            <w:pPr>
                              <w:pStyle w:val="Hlistbullet"/>
                              <w:numPr>
                                <w:ilvl w:val="0"/>
                                <w:numId w:val="0"/>
                              </w:numPr>
                              <w:spacing w:before="0" w:after="120" w:line="280" w:lineRule="atLeast"/>
                              <w:rPr>
                                <w:rFonts w:cs="Arial"/>
                                <w:szCs w:val="16"/>
                              </w:rPr>
                            </w:pPr>
                            <w:r>
                              <w:rPr>
                                <w:b/>
                                <w:color w:val="F07E31" w:themeColor="accent1"/>
                              </w:rPr>
                              <w:t xml:space="preserve">4. lépés: </w:t>
                            </w:r>
                            <w:r>
                              <w:rPr>
                                <w:b/>
                              </w:rPr>
                              <w:t>Összesítse a megállapításokat, és számítsa ki a VFP-nek az elemzett hatásmutatókra makro- és programterületi szinten gyakorolt hatásait.</w:t>
                            </w:r>
                            <w:r>
                              <w:t xml:space="preserve"> Ebben a lépésben az értékelőnek ki kell számítania a VFP-nek a hatásmutatókra programterületi szinten gyakorolt nettó közvetlen hatásait az extrapolációs technika alkalmazásával (azaz a mikroszinten kiszámított átlagos mikroeredményeknek és a kedvezményezettek/nem kedvezményezettek számának szorzata alapján).</w:t>
                            </w:r>
                          </w:p>
                          <w:p w:rsidR="007E1C34" w:rsidRPr="005945BB" w:rsidRDefault="007E1C34" w:rsidP="00AC0E3D">
                            <w:pPr>
                              <w:pStyle w:val="HStandard"/>
                              <w:rPr>
                                <w:color w:val="auto"/>
                                <w:szCs w:val="16"/>
                              </w:rPr>
                            </w:pPr>
                            <w:r>
                              <w:rPr>
                                <w:b/>
                                <w:color w:val="F07E31" w:themeColor="accent1"/>
                              </w:rPr>
                              <w:t xml:space="preserve">5. lépés: </w:t>
                            </w:r>
                            <w:r>
                              <w:rPr>
                                <w:b/>
                              </w:rPr>
                              <w:t>Alkalmazzon kvalitatív módszereket</w:t>
                            </w:r>
                            <w:r>
                              <w:t xml:space="preserve"> a kapott eredmények ellenőrzése és vizsgálata érdekében (háromszögelés).</w:t>
                            </w:r>
                          </w:p>
                          <w:p w:rsidR="007E1C34" w:rsidRPr="005945BB" w:rsidRDefault="007E1C34" w:rsidP="00735F08">
                            <w:pPr>
                              <w:pStyle w:val="Hlistbullet"/>
                              <w:numPr>
                                <w:ilvl w:val="0"/>
                                <w:numId w:val="0"/>
                              </w:numPr>
                              <w:jc w:val="center"/>
                              <w:rPr>
                                <w:i/>
                                <w:color w:val="F07E31" w:themeColor="accent1"/>
                                <w:szCs w:val="18"/>
                              </w:rPr>
                            </w:pPr>
                            <w:r>
                              <w:rPr>
                                <w:i/>
                                <w:color w:val="F07E31" w:themeColor="accent1"/>
                              </w:rPr>
                              <w:t>Tudjon meg többet a program nettó hatásainak kiszűréséről a</w:t>
                            </w:r>
                            <w:r>
                              <w:rPr>
                                <w:i/>
                                <w:color w:val="F07E31" w:themeColor="accent1"/>
                                <w:szCs w:val="18"/>
                              </w:rPr>
                              <w:br/>
                            </w:r>
                            <w:r>
                              <w:rPr>
                                <w:i/>
                                <w:color w:val="F07E31" w:themeColor="accent1"/>
                              </w:rPr>
                              <w:t xml:space="preserve"> </w:t>
                            </w:r>
                            <w:hyperlink r:id="rId49" w:history="1">
                              <w:r>
                                <w:rPr>
                                  <w:rStyle w:val="Hyperlink"/>
                                  <w:i/>
                                  <w:color w:val="F07E31" w:themeColor="accent1"/>
                                </w:rPr>
                                <w:t>„Guidelines for the ex post evaluation of 2007-2013 RDPs</w:t>
                              </w:r>
                            </w:hyperlink>
                            <w:r>
                              <w:rPr>
                                <w:rStyle w:val="Hyperlink"/>
                                <w:i/>
                                <w:color w:val="F07E31" w:themeColor="accent1"/>
                              </w:rPr>
                              <w:t>” (A 2007–2013 közötti vidékfejlesztési programok utólagos értékelése) című iránymutatás 4.2. fejezetéből és a számszerűsített általános egyensúlyról a 4.3.3. fejezetből.</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39" style="width:451.3pt;height:410.2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839419;5396180,5210175;0,5210175;0,5210175;0,370756;335330,0" o:connectangles="0,0,0,0,0,0,0,0,0" textboxrect="0,0,5731510,4712335"/>
                <v:textbox>
                  <w:txbxContent>
                    <w:p w:rsidR="007E1C34" w:rsidRPr="005945BB" w:rsidRDefault="007E1C34" w:rsidP="00AC0E3D">
                      <w:pPr>
                        <w:pStyle w:val="Hlistbullet"/>
                        <w:numPr>
                          <w:ilvl w:val="0"/>
                          <w:numId w:val="0"/>
                        </w:numPr>
                        <w:spacing w:before="0" w:after="120" w:line="280" w:lineRule="atLeast"/>
                        <w:rPr>
                          <w:rFonts w:cs="Arial"/>
                          <w:szCs w:val="16"/>
                        </w:rPr>
                      </w:pPr>
                      <w:r>
                        <w:rPr>
                          <w:b/>
                          <w:color w:val="F07E31" w:themeColor="accent1"/>
                        </w:rPr>
                        <w:t xml:space="preserve">3. lépés: </w:t>
                      </w:r>
                      <w:r>
                        <w:t xml:space="preserve">Számítsa ki a </w:t>
                      </w:r>
                      <w:r>
                        <w:rPr>
                          <w:b/>
                        </w:rPr>
                        <w:t>nem kedvezményezettekre mikroszinten gyakorolt közvetett hatásokat</w:t>
                      </w:r>
                      <w:r>
                        <w:t xml:space="preserve">. A mutatók értékében megfigyelhető változást itt szintén két részre lehet bontani: a programnak betudható változások (az elsődleges és másodlagos hozzájárulások teljes hatása) és a más tényezők által előidézett változások. Ez a szint azon az elváráson alapul, miszerint a VFP intézkedéseiből a kedvezmények által kapott támogatásnak „várható/váratlan” általános egyensúlyi hatása lehet (pl. a program kedvezményezettjei közvetlen szomszédságában található nem kedvezményezettekre gyakorolt negatív hatások). </w:t>
                      </w:r>
                    </w:p>
                    <w:p w:rsidR="007E1C34" w:rsidRPr="005945BB" w:rsidRDefault="007E1C34" w:rsidP="00AC0E3D">
                      <w:pPr>
                        <w:pStyle w:val="HStandard"/>
                        <w:rPr>
                          <w:rFonts w:cs="Arial"/>
                          <w:szCs w:val="16"/>
                        </w:rPr>
                      </w:pPr>
                      <w:r>
                        <w:t>Az értékelés e pontján elengedhetetlen az előzetes kvalitatív értékelés, mivel értékes belső szempontokat nyújthat, és fontos programspecifikus értékelési kérdések megfogalmazásához vezethet, amelyek a program teljesítményére összpontosítanak, különös tekintettel a nem kedvezményezettekre gyakorolt pozitív, negatív, szándékos és nem szándékos hatásokra. A programspecifikus értékelési kérdések alkalmazása önkéntes, azonban ha ilyen kérdés megfogalmazására kerül sor, azt meg kell válaszolni. A szinergiák vagy lehetséges negatív kereszthatások előzetes elemzése érdekében az értékelők használhatnak kvalitatív értékelési eszközöket is.</w:t>
                      </w:r>
                    </w:p>
                    <w:p w:rsidR="007E1C34" w:rsidRPr="005945BB" w:rsidRDefault="007E1C34" w:rsidP="00AC0E3D">
                      <w:pPr>
                        <w:pStyle w:val="Hlistbullet"/>
                        <w:numPr>
                          <w:ilvl w:val="0"/>
                          <w:numId w:val="0"/>
                        </w:numPr>
                        <w:spacing w:before="0" w:after="120" w:line="280" w:lineRule="atLeast"/>
                        <w:rPr>
                          <w:rFonts w:cs="Arial"/>
                          <w:szCs w:val="16"/>
                        </w:rPr>
                      </w:pPr>
                      <w:r>
                        <w:rPr>
                          <w:b/>
                          <w:color w:val="F07E31" w:themeColor="accent1"/>
                        </w:rPr>
                        <w:t xml:space="preserve">4. lépés: </w:t>
                      </w:r>
                      <w:r>
                        <w:rPr>
                          <w:b/>
                        </w:rPr>
                        <w:t>Összesítse a megállapításokat, és számítsa ki a VFP-nek az elemzett hatásmutatókra makro- és programterületi szinten gyakorolt hatásait.</w:t>
                      </w:r>
                      <w:r>
                        <w:t xml:space="preserve"> Ebben a lépésben az értékelőnek ki kell számítania a VFP-nek a hatásmutatókra programterületi szinten gyakorolt nettó közvetlen hatásait az extrapolációs technika alkalmazásával (azaz a mikroszinten kiszámított átlagos mikroeredményeknek és a kedvezményezettek/nem kedvezményezettek számának szorzata alapján).</w:t>
                      </w:r>
                    </w:p>
                    <w:p w:rsidR="007E1C34" w:rsidRPr="005945BB" w:rsidRDefault="007E1C34" w:rsidP="00AC0E3D">
                      <w:pPr>
                        <w:pStyle w:val="HStandard"/>
                        <w:rPr>
                          <w:color w:val="auto"/>
                          <w:szCs w:val="16"/>
                        </w:rPr>
                      </w:pPr>
                      <w:r>
                        <w:rPr>
                          <w:b/>
                          <w:color w:val="F07E31" w:themeColor="accent1"/>
                        </w:rPr>
                        <w:t xml:space="preserve">5. lépés: </w:t>
                      </w:r>
                      <w:r>
                        <w:rPr>
                          <w:b/>
                        </w:rPr>
                        <w:t>Alkalmazzon kvalitatív módszereket</w:t>
                      </w:r>
                      <w:r>
                        <w:t xml:space="preserve"> a kapott eredmények ellenőrzése és vizsgálata érdekében (háromszögelés).</w:t>
                      </w:r>
                    </w:p>
                    <w:p w:rsidR="007E1C34" w:rsidRPr="005945BB" w:rsidRDefault="007E1C34" w:rsidP="00735F08">
                      <w:pPr>
                        <w:pStyle w:val="Hlistbullet"/>
                        <w:numPr>
                          <w:ilvl w:val="0"/>
                          <w:numId w:val="0"/>
                        </w:numPr>
                        <w:jc w:val="center"/>
                        <w:rPr>
                          <w:i/>
                          <w:color w:val="F07E31" w:themeColor="accent1"/>
                          <w:szCs w:val="18"/>
                        </w:rPr>
                      </w:pPr>
                      <w:r>
                        <w:rPr>
                          <w:i/>
                          <w:color w:val="F07E31" w:themeColor="accent1"/>
                        </w:rPr>
                        <w:t>Tudjon meg többet a program nettó hatásainak kiszűréséről a</w:t>
                      </w:r>
                      <w:r>
                        <w:rPr>
                          <w:i/>
                          <w:color w:val="F07E31" w:themeColor="accent1"/>
                          <w:szCs w:val="18"/>
                        </w:rPr>
                        <w:br/>
                      </w:r>
                      <w:r>
                        <w:rPr>
                          <w:i/>
                          <w:color w:val="F07E31" w:themeColor="accent1"/>
                        </w:rPr>
                        <w:t xml:space="preserve"> </w:t>
                      </w:r>
                      <w:hyperlink r:id="rId50" w:history="1">
                        <w:r>
                          <w:rPr>
                            <w:rStyle w:val="Hyperlink"/>
                            <w:i/>
                            <w:color w:val="F07E31" w:themeColor="accent1"/>
                          </w:rPr>
                          <w:t>„Guidelines for the ex post evaluation of 2007-2013 RDPs</w:t>
                        </w:r>
                      </w:hyperlink>
                      <w:r>
                        <w:rPr>
                          <w:rStyle w:val="Hyperlink"/>
                          <w:i/>
                          <w:color w:val="F07E31" w:themeColor="accent1"/>
                        </w:rPr>
                        <w:t>” (A 2007–2013 közötti vidékfejlesztési programok utólagos értékelése) című iránymutatás 4.2. fejezetéből és a számszerűsített általános egyensúlyról a 4.3.3. fejezetből.</w:t>
                      </w:r>
                    </w:p>
                  </w:txbxContent>
                </v:textbox>
                <w10:anchorlock/>
              </v:shape>
            </w:pict>
          </mc:Fallback>
        </mc:AlternateContent>
      </w:r>
      <w:r>
        <w:br w:type="column"/>
      </w:r>
      <w:r>
        <w:lastRenderedPageBreak/>
        <w:t>Mikro-makroszintű konzisztencia-ellenőrzés és hitelesítés (4. szint)</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3BA9EE62" wp14:editId="012AF5C7">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E1C34" w:rsidRPr="00044269" w:rsidRDefault="007E1C3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A nettó hatások értékelése </w:t>
                            </w:r>
                            <w:r>
                              <w:rPr>
                                <w:b w:val="0"/>
                                <w:color w:val="373737" w:themeColor="text1"/>
                              </w:rPr>
                              <w:t>esetén fontos ellenőrizni a mikro- és makroszintű értékelésből származó eredmények konzisztenciáját a hitelesítésük érdekében. A konzisztencia akkor áll fenn, ha a két szint megállapításai nem ellentétesek egymással.</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0"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j7gQ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7E1C34" w:rsidRPr="00044269" w:rsidRDefault="007E1C3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A nettó hatások értékelése </w:t>
                      </w:r>
                      <w:r>
                        <w:rPr>
                          <w:b w:val="0"/>
                          <w:color w:val="373737" w:themeColor="text1"/>
                        </w:rPr>
                        <w:t>esetén fontos ellenőrizni a mikro- és makroszintű értékelésből származó eredmények konzisztenciáját a hitelesítésük érdekében. A konzisztencia akkor áll fenn, ha a két szint megállapításai nem ellentétesek egymással.</w:t>
                      </w:r>
                    </w:p>
                  </w:txbxContent>
                </v:textbox>
                <w10:anchorlock/>
              </v:shape>
            </w:pict>
          </mc:Fallback>
        </mc:AlternateContent>
      </w:r>
      <w:r>
        <w:t xml:space="preserve">Kvantitatív, alulról építkező elemzés esetén a konzisztenciát az adatok mikroszintről makroszintre történő kivetítése biztosítja.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A program támogatott egységekre gyakorolt </w:t>
      </w:r>
      <w:r>
        <w:rPr>
          <w:i/>
          <w:color w:val="373737" w:themeColor="text1"/>
          <w:sz w:val="20"/>
        </w:rPr>
        <w:t>közvetlen</w:t>
      </w:r>
      <w:r>
        <w:rPr>
          <w:color w:val="373737" w:themeColor="text1"/>
          <w:sz w:val="20"/>
        </w:rPr>
        <w:t xml:space="preserve"> hatásai tekintetében a program </w:t>
      </w:r>
      <w:r>
        <w:rPr>
          <w:b/>
          <w:color w:val="373737" w:themeColor="text1"/>
          <w:sz w:val="20"/>
        </w:rPr>
        <w:t>eredménymutatók</w:t>
      </w:r>
      <w:r>
        <w:rPr>
          <w:color w:val="373737" w:themeColor="text1"/>
          <w:sz w:val="20"/>
        </w:rPr>
        <w:t xml:space="preserve"> alkalmazásával kiszámított nettó közvetlen hatásainak elméletben konzisztensnek kell lenniük, és ugyanazt a tendenciát kell mutatniuk, mint a program </w:t>
      </w:r>
      <w:r>
        <w:rPr>
          <w:b/>
          <w:color w:val="373737" w:themeColor="text1"/>
          <w:sz w:val="20"/>
        </w:rPr>
        <w:t>hatásmutatók</w:t>
      </w:r>
      <w:r>
        <w:rPr>
          <w:color w:val="373737" w:themeColor="text1"/>
          <w:sz w:val="20"/>
        </w:rPr>
        <w:t xml:space="preserve"> alkalmazásával kiszámított nettó hatásainak. A közvetlen hatások méretétől és irányától függően azonban a makroszintű eredmények elméletben a mikroszintű hatásokkal ellentétes hatásirányokat is mutathatnak. Ezekben az esetekben azonban a hatások ellentétes irányait a közvetlen hatások </w:t>
      </w:r>
      <w:r w:rsidR="005B66C9">
        <w:rPr>
          <w:color w:val="373737" w:themeColor="text1"/>
          <w:sz w:val="20"/>
        </w:rPr>
        <w:t>ok-</w:t>
      </w:r>
      <w:r>
        <w:rPr>
          <w:color w:val="373737" w:themeColor="text1"/>
          <w:sz w:val="20"/>
        </w:rPr>
        <w:t>okozati és/vagy számszerűsített bizonyítékaival kell magyarázni. A mikro- és makroszintű eredmények konzisztencia-ellenőrzése az egyes mutatókra hatással lévő kulcsfontosságú tényezők alapos ismeretét teszi szükségessé.</w:t>
      </w:r>
    </w:p>
    <w:p w:rsidR="00FC012D" w:rsidRPr="001C6ACF" w:rsidRDefault="00FC012D" w:rsidP="00FC012D">
      <w:pPr>
        <w:pStyle w:val="HStandard"/>
        <w:rPr>
          <w:rFonts w:cs="Arial"/>
        </w:rPr>
      </w:pPr>
      <w:r>
        <w:t xml:space="preserve">A programnak a támogatott és nem támogatott mezőgazdasági üzemekre gyakorolt </w:t>
      </w:r>
      <w:r>
        <w:rPr>
          <w:i/>
        </w:rPr>
        <w:t>közvetett hatásai</w:t>
      </w:r>
      <w:r>
        <w:t xml:space="preserve"> tekintetében a mikrogazdasági megállapítások összesítés után csak megközelíteni tudják a VFP valamennyi lehetséges közvetett hatásának skáláját (beleértve az ágazati modellek használatával kiszámított hatásokat). E megközelítőleges eredmény fő oka a támogatott és nem támogatott egységek által „legalább elméletben” tapasztalt, </w:t>
      </w:r>
      <w:r>
        <w:rPr>
          <w:b/>
        </w:rPr>
        <w:t>valamennyi</w:t>
      </w:r>
      <w:r>
        <w:t xml:space="preserve"> lehetséges közvetett hatás modellezésének nehézségében rejlik. </w:t>
      </w:r>
    </w:p>
    <w:p w:rsidR="00FC012D" w:rsidRPr="00571D58" w:rsidRDefault="00FC012D" w:rsidP="00FC012D">
      <w:pPr>
        <w:pStyle w:val="HStandard"/>
        <w:rPr>
          <w:rFonts w:cs="Arial"/>
        </w:rPr>
      </w:pPr>
      <w:r>
        <w:t>Az eltérő mérőszámokat és terminológiát alkalmazó különböző adatforrások összesítésén alapuló, alulról építkező értékelés kétértelműséget eredményezhet. A makro- és mikroszintű konzisztencia-ellenőrzés fő kihívásainak egyike az ok-okozati kapcsolat meghatározása a mezőgazdasági üzemek vagy parcellák szintjén mért változások és hatások, valamint a mezőgazdasági üzem határainak változásán túlmutató változások és hatások között (pl. a NUTS 3 és a program szintjén).</w:t>
      </w:r>
      <w:r>
        <w:rPr>
          <w:color w:val="373737"/>
        </w:rPr>
        <w:t xml:space="preserve"> E tekintetben fontos, hogy az alkalmazott elemzési egységek és skálák figyelembe vegyék, hogy a hatások nagy valószínűséggel mely skálán és szintén következnek be. A rögzített közigazgatási határok alkalmazása torzíthatja az eredményeket. </w:t>
      </w:r>
      <w:r>
        <w:t>Érdemes erőfeszítéseket tenni annak érdekében, hogy a mintavételi módszereket konzisztens módon alkalmazzák a terület, a mezőgazdasági üzem és a táj szintjén a különböző vizsgált taxonómiai típusok és az éghajlatot, topográfiát, földhasználatot, társadalmi-gazdasági feltételeket és talajviszonyokat leíró változók közötti interakciók figyelembevétele céljából</w:t>
      </w:r>
      <w:r>
        <w:rPr>
          <w:rStyle w:val="FootnoteReference"/>
        </w:rPr>
        <w:footnoteReference w:id="29"/>
      </w:r>
      <w:r>
        <w:t>. A parcella vagy mezőgazdasági terület szerint vizsgált területtel rendelkező „alulról építkező megközelítés” lehetővé teszi, hogy az eredményeket helyszínspecifikus, kísérleti vizsgálati tervet követő kutatásokból származó adatok gyűjtésén keresztül lehessen megszerezni, és azokat a mikroszintről makroszintre lehessen kivetíteni a földrajzi információs rendszereken (GIS), műholdfelvételeken vagy térbeli elemzéseken keresztül</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290C42"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49E1C06B" wp14:editId="749F9B37">
                      <wp:simplePos x="0" y="0"/>
                      <wp:positionH relativeFrom="column">
                        <wp:posOffset>-114300</wp:posOffset>
                      </wp:positionH>
                      <wp:positionV relativeFrom="paragraph">
                        <wp:posOffset>-301625</wp:posOffset>
                      </wp:positionV>
                      <wp:extent cx="6153150" cy="5610225"/>
                      <wp:effectExtent l="0" t="0" r="19050" b="2857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561022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E37A" id="Rectangle: Diagonal Corners Rounded 15" o:spid="_x0000_s1026" style="position:absolute;margin-left:-9pt;margin-top:-23.75pt;width:484.5pt;height:44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3150,561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" path="m460207,l6153150,r,l6153150,5150018v,254165,-206042,460207,-460207,460207l,5610225r,l,460207c,206042,206042,,460207,xe" filled="f" strokecolor="#be4a35 [3205]" strokeweight="2pt">
                      <v:path arrowok="t" o:connecttype="custom" o:connectlocs="460207,0;6153150,0;6153150,0;6153150,5150018;5692943,5610225;0,5610225;0,5610225;0,460207;460207,0" o:connectangles="0,0,0,0,0,0,0,0,0"/>
                    </v:shape>
                  </w:pict>
                </mc:Fallback>
              </mc:AlternateContent>
            </w:r>
            <w:r w:rsidR="00FC012D">
              <w:rPr>
                <w:noProof/>
                <w:color w:val="373737"/>
                <w:lang w:val="en-GB" w:eastAsia="en-GB"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5. RÖVID ÚTMUTATÓ: Hogyan lehet a leghatékonyabban alkalmazni a kvalitatív megközelítéseket?</w:t>
            </w:r>
          </w:p>
        </w:tc>
      </w:tr>
    </w:tbl>
    <w:p w:rsidR="00696B10" w:rsidRDefault="00696B10" w:rsidP="00EC01C3">
      <w:pPr>
        <w:pStyle w:val="HStandard"/>
        <w:spacing w:after="0"/>
        <w:ind w:left="709" w:hanging="709"/>
        <w:rPr>
          <w:rFonts w:cs="Arial"/>
          <w:sz w:val="18"/>
          <w:szCs w:val="18"/>
        </w:rPr>
      </w:pPr>
      <w:r>
        <w:rPr>
          <w:b/>
          <w:sz w:val="18"/>
        </w:rPr>
        <w:t>A kvalitatív megközelítések</w:t>
      </w:r>
      <w:r>
        <w:rPr>
          <w:sz w:val="18"/>
        </w:rPr>
        <w:t xml:space="preserve"> három célból alkalmazhatók:</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 kvantitatív módszerek alternatívájaként,</w:t>
      </w:r>
      <w:r>
        <w:rPr>
          <w:rFonts w:ascii="Arial" w:hAnsi="Arial"/>
          <w:color w:val="373737" w:themeColor="text1"/>
          <w:sz w:val="18"/>
        </w:rPr>
        <w:t xml:space="preserve"> ha hiányoznak az adatok. A kvalitatív elméletalapú értékelés </w:t>
      </w:r>
      <w:r w:rsidR="004B2BDD" w:rsidRPr="004B2BDD">
        <w:rPr>
          <w:rFonts w:ascii="Arial" w:hAnsi="Arial"/>
          <w:color w:val="373737" w:themeColor="text1"/>
          <w:sz w:val="18"/>
        </w:rPr>
        <w:t xml:space="preserve">(theory-based evaluation, TBE) </w:t>
      </w:r>
      <w:r>
        <w:rPr>
          <w:rFonts w:ascii="Arial" w:hAnsi="Arial"/>
          <w:color w:val="373737" w:themeColor="text1"/>
          <w:sz w:val="18"/>
        </w:rPr>
        <w:t xml:space="preserve">például használható annak kimutatására, hogy az adott program hogyan és miért fog működni, és hogyan vezethet a tervezett eredmények eléréséhez. Az elméletalapú értékelés a program beavatkozási logikájának egyes lépéseit követi, és azonosítja az ok-okozati összefüggéseket és változási mechanizmusokat, amelyek az eredményekhez és hatásokhoz vezetnek. A beavatkozási logika különböző összefüggései számos módszer alkalmazásával elemezhetők. Ebben az iránymutatásban a fókuszcsoportokat (nevezetesen a programok és projektek hatásvizsgálatának módszerét) vagy az érdekelt felekkel/szakértőkkel készített interjúkat javasoljuk.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 kvantitatív kontrafaktuális értékelés kiegészítéseként</w:t>
      </w:r>
      <w:r>
        <w:rPr>
          <w:rFonts w:ascii="Arial" w:hAnsi="Arial"/>
          <w:color w:val="373737" w:themeColor="text1"/>
          <w:sz w:val="18"/>
        </w:rPr>
        <w:t xml:space="preserve"> a hatások létrejötte módjának és okának hatékonyabb meghatározása érdekében. Megjegyzendő, hogy az elméletalapú értékelés nem képes sem a nettó hatás vizsgálatára (azaz, hogy a programterületen megfigyelhető változás milyen mértékben tulajdonítható a programnak), sem pedig a program hatásainak más tényezők hozzájárulásától való különválasztására.</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 háromszögelés részeként a kvantitatív módszerek</w:t>
      </w:r>
      <w:r>
        <w:rPr>
          <w:rFonts w:ascii="Arial" w:hAnsi="Arial"/>
          <w:color w:val="373737" w:themeColor="text1"/>
          <w:sz w:val="18"/>
        </w:rPr>
        <w:t xml:space="preserve"> megállapításainak hitelesítése érdekében.</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További információk találhatók az elméletalapú elemzésről „</w:t>
      </w:r>
      <w:hyperlink r:id="rId51">
        <w:r>
          <w:rPr>
            <w:rStyle w:val="Hyperlink"/>
            <w:i/>
            <w:sz w:val="18"/>
          </w:rPr>
          <w:t>Investment Support under Rural Development Policy</w:t>
        </w:r>
      </w:hyperlink>
      <w:r>
        <w:rPr>
          <w:i/>
          <w:color w:val="F07E31" w:themeColor="accent1"/>
          <w:sz w:val="18"/>
        </w:rPr>
        <w:t>” (A vidékfejlesztési szakpolitika alapján nyújtott támogatás) című dokumentum 3.3.4. fejezetében (Európai Bizottság, 2014), valamint a kvalitatív módszerek kvantitatív adatok gyűjtésére történő használatának módjáról a „</w:t>
      </w:r>
      <w:hyperlink r:id="rId52"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(Az adattípusok és a gyűjtésükre irányuló módszerek megkülönböztetése) című könyvben (Hentschel, 1998). </w:t>
      </w:r>
    </w:p>
    <w:p w:rsidR="006D4194" w:rsidRPr="001C6ACF" w:rsidRDefault="006D4194" w:rsidP="006D4194">
      <w:pPr>
        <w:pStyle w:val="HStandard"/>
        <w:rPr>
          <w:sz w:val="22"/>
        </w:rPr>
      </w:pPr>
    </w:p>
    <w:p w:rsidR="00A24D39" w:rsidRPr="001C6ACF" w:rsidRDefault="0095652F" w:rsidP="00906918">
      <w:pPr>
        <w:pStyle w:val="HHeading3"/>
        <w:ind w:left="680" w:hanging="680"/>
      </w:pPr>
      <w:r>
        <w:t>A KAP hatásmutatóinak értékelése tekintetében javasolt értékelési megközelítések áttekintése</w:t>
      </w:r>
    </w:p>
    <w:p w:rsidR="00186FCF" w:rsidRPr="00336531" w:rsidRDefault="00186FCF" w:rsidP="00186FCF">
      <w:pPr>
        <w:pStyle w:val="HStandard"/>
        <w:rPr>
          <w:rFonts w:cs="Arial"/>
        </w:rPr>
      </w:pPr>
      <w:r>
        <w:t>A 2014–2020 közötti programozási időszakban a VFP hatásainak értékelésére először 2019-ben fog sor kerülni, amikor az egyes intézkedések alacsony szintű/kései bevezetése vagy az értékelésre szánt statisztikai adatok hiánya miatt még számos VFP esetében problémát jelenthet az adathiány. Mivel az adathiányok rendkívüli mértékben megnehezítik a VFP hatásainak megfigyelését, ez az iránymutatás legalább két különböző megközelítést javasol a KAP II. pillére minden egyes közös hatásmutatójának kiszámításához:</w:t>
      </w:r>
    </w:p>
    <w:p w:rsidR="00186FCF" w:rsidRPr="00FB6C06" w:rsidRDefault="00186FCF" w:rsidP="00C42303">
      <w:pPr>
        <w:pStyle w:val="Hlistbullet"/>
      </w:pPr>
      <w:r>
        <w:t xml:space="preserve">Az </w:t>
      </w:r>
      <w:r>
        <w:rPr>
          <w:b/>
        </w:rPr>
        <w:t>A. megközelítés</w:t>
      </w:r>
      <w:r>
        <w:t xml:space="preserve"> </w:t>
      </w:r>
      <w:r>
        <w:rPr>
          <w:b/>
        </w:rPr>
        <w:t>az optimális adathelyzet esetén alkalmazható értékelési megközelítésre</w:t>
      </w:r>
      <w:r>
        <w:t xml:space="preserve"> adott példa.</w:t>
      </w:r>
      <w:r>
        <w:rPr>
          <w:b/>
        </w:rPr>
        <w:t xml:space="preserve"> </w:t>
      </w:r>
      <w:r>
        <w:t xml:space="preserve">A megközelítés alkalmazható 2019-ben és/vagy az utólagos értékelés során. Az A. megközelítés fejlettebb, mint a B., és alaposabb is. </w:t>
      </w:r>
    </w:p>
    <w:p w:rsidR="00186FCF" w:rsidRPr="001C6ACF" w:rsidRDefault="00186FCF" w:rsidP="00C42303">
      <w:pPr>
        <w:pStyle w:val="Hlistbullet"/>
      </w:pPr>
      <w:r>
        <w:t xml:space="preserve">A </w:t>
      </w:r>
      <w:r>
        <w:rPr>
          <w:b/>
        </w:rPr>
        <w:t>B. megközelítés</w:t>
      </w:r>
      <w:r>
        <w:t xml:space="preserve"> egy </w:t>
      </w:r>
      <w:r>
        <w:rPr>
          <w:b/>
        </w:rPr>
        <w:t>alternatív értékelési megközelítésre adott példa</w:t>
      </w:r>
      <w:r>
        <w:t xml:space="preserve">, amely az </w:t>
      </w:r>
      <w:r>
        <w:rPr>
          <w:b/>
        </w:rPr>
        <w:t>adathiányok</w:t>
      </w:r>
      <w:r>
        <w:t xml:space="preserve"> </w:t>
      </w:r>
      <w:r>
        <w:rPr>
          <w:b/>
        </w:rPr>
        <w:t xml:space="preserve">esetén </w:t>
      </w:r>
      <w:r>
        <w:t xml:space="preserve">alkalmazható (amelyeket pl. a program lassú bevezetése okoz, ami nem teszi lehetővé a VFP hatásainak megfigyelését), vagy akkor ha, más tényezők (források, idő, készségek) akadályozzák egy fejlettebb megközelítés alkalmazását. A B. megközelítés számos esetben tartalmaz kvalitatív komponenst. </w:t>
      </w:r>
    </w:p>
    <w:p w:rsidR="00186FCF" w:rsidRPr="00336531" w:rsidRDefault="00CB3881" w:rsidP="00186FCF">
      <w:pPr>
        <w:pStyle w:val="HStandard"/>
        <w:rPr>
          <w:rFonts w:cs="Arial"/>
        </w:rPr>
      </w:pPr>
      <w:r>
        <w:rPr>
          <w:b/>
        </w:rPr>
        <w:lastRenderedPageBreak/>
        <w:t>Mind az A., mind pedig a B. megközelítés megfelel az értékelési standardoknak.</w:t>
      </w:r>
      <w:r>
        <w:t xml:space="preserve"> Az A. megközelítés az ideális adathelyzetben a legátfogóbb értékelési eredményeket biztosító megközelítésként definiálható. A 2019. évi adathelyzet alapján tény, hogy számos VFP esetében elképzelhető, hogy még nem az A. megközelítés a legpraktikusabb (lásd: a javasolt értékelési módszerek megfelelőségéről szóló táblázat a technikai melléklet 4.1.–4.7. fejezetében). Az értékelési módszerekre vonatkozó további példák az egyes hatásmutatókra vonatkozó logikai modell ábráin láthatók. </w:t>
      </w:r>
    </w:p>
    <w:p w:rsidR="0095652F" w:rsidRPr="001C6ACF" w:rsidRDefault="008F39E9" w:rsidP="00DF7183">
      <w:pPr>
        <w:pStyle w:val="HHeadingtables"/>
        <w:ind w:left="1021" w:hanging="1021"/>
      </w:pPr>
      <w:r>
        <w:br w:type="column"/>
      </w:r>
      <w:r>
        <w:lastRenderedPageBreak/>
        <w:t xml:space="preserve">Példák a KAP hatásmutatóinak értékelése tekintetében javasolt értékelési megközelítésekre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Kód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Mutató</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 megközelítés</w:t>
            </w:r>
            <w:r>
              <w:rPr>
                <w:color w:val="FFFFFF" w:themeColor="background1"/>
              </w:rPr>
              <w:t xml:space="preserve"> </w:t>
            </w:r>
            <w:r>
              <w:rPr>
                <w:color w:val="FFFFFF" w:themeColor="background1"/>
                <w:sz w:val="16"/>
              </w:rPr>
              <w:br/>
              <w:t>Példa az optimális adathelyzetben alkalmazható megközelítésre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B. megközelítés</w:t>
            </w:r>
            <w:r>
              <w:rPr>
                <w:color w:val="FFFFFF" w:themeColor="background1"/>
              </w:rPr>
              <w:t xml:space="preserve"> </w:t>
            </w:r>
            <w:r>
              <w:rPr>
                <w:color w:val="FFFFFF" w:themeColor="background1"/>
              </w:rPr>
              <w:br/>
            </w:r>
            <w:r>
              <w:rPr>
                <w:color w:val="FFFFFF" w:themeColor="background1"/>
                <w:sz w:val="16"/>
              </w:rPr>
              <w:t>Példa az adathiány esetén alkalmazható alternatív megközelítésre</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Mikroszint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Makroszint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Mikroszint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Makroszint</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Ágazati hatások</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7DAEB2F8" wp14:editId="3214BDF8">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Mezőgazdasági vállalkozói jövedelem</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 hajlandósági mutató alapján végzett párosítás kombinálása a „különbségek különbsége” módszerrel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Alulról építkező megközelítések a mikroszintű megállapítások kivetítésével </w:t>
            </w:r>
            <w:r>
              <w:rPr>
                <w:sz w:val="16"/>
                <w:szCs w:val="18"/>
              </w:rPr>
              <w:br/>
            </w:r>
            <w:r>
              <w:rPr>
                <w:sz w:val="16"/>
                <w:szCs w:val="18"/>
              </w:rPr>
              <w:br/>
            </w:r>
            <w:r>
              <w:rPr>
                <w:sz w:val="16"/>
              </w:rPr>
              <w:t>Ágazati modell alkalmazása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Szakadásos regresszió módszere (RDD)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Alulról építkező megközelítések a mikroszintű megállapítások kivetítésével</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60C89FE5" wp14:editId="0BAAF50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Mezőgazdasági tényezőjövedelem</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3885CE8D" wp14:editId="0051D0FE">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Teljes mezőgazdasági tényezőtermelékenység</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Környezeti hatások</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5DCB449D" wp14:editId="5A14188C">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A mezőgazdaságból származó kibocsátások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Regressziós és megfeleltetési technikák</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Általános hajlandósági mutató alapján végzett párosítás (GPSM) a NUTS 3 vagy egyéb térbeli adatok használatával</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Nincs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Naiv alapérték </w:t>
            </w:r>
            <w:r>
              <w:rPr>
                <w:rFonts w:cs="Arial"/>
                <w:sz w:val="16"/>
                <w:szCs w:val="18"/>
              </w:rPr>
              <w:br/>
            </w:r>
            <w:r>
              <w:rPr>
                <w:sz w:val="16"/>
              </w:rPr>
              <w:t>Összehasonlítások (beleértve a kvalitatív módszereket)</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4FFE8F18" wp14:editId="73C47C8F">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A mezőgazdasági területek madárpopulációira vonatkozó mutató</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Hajlandósági mutató alapján végzett párosítás (PSM) és „különbségek különbsége” módszer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Hajlandósági mutató alapján végzett párosítás (PSM) és „különbségek különbsége” módszer (DiD)</w:t>
            </w:r>
          </w:p>
          <w:p w:rsidR="00515FD4" w:rsidRPr="001C6ACF" w:rsidRDefault="00515FD4" w:rsidP="007008C0">
            <w:pPr>
              <w:pStyle w:val="HStandard"/>
              <w:spacing w:line="240" w:lineRule="auto"/>
              <w:jc w:val="center"/>
              <w:rPr>
                <w:rFonts w:cs="Arial"/>
                <w:sz w:val="16"/>
                <w:szCs w:val="18"/>
              </w:rPr>
            </w:pPr>
            <w:r>
              <w:rPr>
                <w:sz w:val="16"/>
              </w:rPr>
              <w:t>Térbeli ökonometriai modellek biogeográfiai területeken</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 páros összehasonlítások vagy többszörös összehasonlítási csoportok statisztikai elemzése a „különbségek különbsége” módszer alkalmazásával, </w:t>
            </w:r>
            <w:r>
              <w:rPr>
                <w:color w:val="373737"/>
                <w:sz w:val="16"/>
              </w:rPr>
              <w:t>kvalitatív értékelésekkel kiegészítve</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Alulról építkező megközelítések a mikroszintű megállapítások kivetítésével, </w:t>
            </w:r>
            <w:r>
              <w:rPr>
                <w:color w:val="373737"/>
                <w:sz w:val="16"/>
              </w:rPr>
              <w:t>kvalitatív értékelésekkel kiegészítve</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53EB68EB" wp14:editId="0924D9A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Jelentős természeti értéket képviselő gazdálkodás</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65BEFD83" wp14:editId="6B10719D">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Mezőgazdasági célú vízkivétel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Regressziós és megfeleltetési technikák az I.10., I.11-1. esetében és az adatok elérhetőségétől függően az I.11-2. esetében</w:t>
            </w:r>
            <w:r>
              <w:rPr>
                <w:rFonts w:cs="Arial"/>
                <w:sz w:val="16"/>
                <w:szCs w:val="18"/>
              </w:rPr>
              <w:br/>
            </w:r>
            <w:r>
              <w:rPr>
                <w:sz w:val="16"/>
              </w:rPr>
              <w:t>Vízgyűjtőkerületi „esettanulmány” vagy kizárólag az I.11-2. esetében annak alegységének szimulációja</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Generalizált hajlandósági mutató alapján végzett párosítás (GPSM) </w:t>
            </w:r>
            <w:r>
              <w:rPr>
                <w:rFonts w:cs="Arial"/>
                <w:sz w:val="16"/>
                <w:szCs w:val="18"/>
              </w:rPr>
              <w:br/>
            </w:r>
            <w:r>
              <w:rPr>
                <w:rFonts w:cs="Arial"/>
                <w:sz w:val="16"/>
                <w:szCs w:val="18"/>
              </w:rPr>
              <w:br/>
            </w:r>
            <w:r>
              <w:rPr>
                <w:sz w:val="16"/>
              </w:rPr>
              <w:t>Térbeli ökonometriai módszerek</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Kvalitatív módszerek</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Naiv csoportok összehasonlítása kvalitatív módszerekkel alátámasztva</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70E38ADE" wp14:editId="645369FF">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Vízminőség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5072" behindDoc="1" locked="0" layoutInCell="1" allowOverlap="1" wp14:anchorId="6F164582" wp14:editId="44757F51">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A szántóföldek talajának szervesanyag-tartalma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A talaj szervesanyag-tartalmának értékelése 0–60 cm-es talajmélység alapján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Nincs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 talaj szervesanyag-tartalmának értékelése </w:t>
            </w:r>
            <w:r>
              <w:rPr>
                <w:rFonts w:cs="Arial"/>
                <w:sz w:val="16"/>
                <w:szCs w:val="18"/>
              </w:rPr>
              <w:br/>
            </w:r>
            <w:r>
              <w:rPr>
                <w:sz w:val="16"/>
              </w:rPr>
              <w:t>az egyszerűsített talajmegfigyelési programok alapján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 talaj szervesanyag-tartalmának értékelése </w:t>
            </w:r>
            <w:r>
              <w:rPr>
                <w:rFonts w:cs="Arial"/>
                <w:sz w:val="16"/>
                <w:szCs w:val="18"/>
              </w:rPr>
              <w:br/>
            </w:r>
            <w:r>
              <w:rPr>
                <w:sz w:val="16"/>
              </w:rPr>
              <w:t>a LUCAS-adatbázis alapján</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6AA22043" wp14:editId="68BCA25F">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Víz által előidézett talajerózió</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Statisztikai alapú értékelési technikák</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GPSM-térbeli ökonometria DiD-vel alátámasztva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Naiv alapérték vagy dinamikus csoport-összehasonlítás</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Kvantitatív naiv értékelés a térbeli egységek és a nemzeti átlag között</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Társadalmi-gazdasági hatások</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27AE1644" wp14:editId="5C98FCED">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Foglalkoztatási ráta a vidéki térségekben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Nincs</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Rekurzív-dinamikus számszerűsített egyensúlyi modell (CGE) </w:t>
            </w:r>
            <w:r>
              <w:rPr>
                <w:sz w:val="16"/>
                <w:szCs w:val="18"/>
              </w:rPr>
              <w:br/>
            </w:r>
            <w:r>
              <w:rPr>
                <w:sz w:val="16"/>
                <w:szCs w:val="18"/>
              </w:rPr>
              <w:br/>
            </w:r>
            <w:r>
              <w:rPr>
                <w:sz w:val="16"/>
              </w:rPr>
              <w:t>Hajlandósági mutató alapján végzett párosítás (PSM) és generalizált hajlandósági mutató alapján végzett párosítás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Nincs</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Input-output-elemzés</w:t>
            </w:r>
          </w:p>
          <w:p w:rsidR="00186FCF" w:rsidRPr="001C6ACF" w:rsidRDefault="00186FCF" w:rsidP="007008C0">
            <w:pPr>
              <w:pStyle w:val="HStandard"/>
              <w:spacing w:line="240" w:lineRule="auto"/>
              <w:jc w:val="center"/>
              <w:rPr>
                <w:sz w:val="16"/>
                <w:szCs w:val="18"/>
              </w:rPr>
            </w:pPr>
            <w:r>
              <w:rPr>
                <w:sz w:val="16"/>
              </w:rPr>
              <w:t>(kvalitatív elemzéssel alátámasztva)</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742C0236" wp14:editId="575DC3F5">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Szegénységi arány a vidéki térségekben</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43336EE3" wp14:editId="2731CEFC">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Egy főre jutó GDP a vidéki térségekben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A fenti táblázat a KAP II. pillérének egyes hatásmutatói tekintetében nyújt áttekintést a mikro- és makroszintű értékeléshez javasolt értékelési technikákról, amelyek részletes leírása az iránymutatás 2.2.–2.9. fejezetében, valamint a technikai mellékletben található. </w:t>
      </w:r>
    </w:p>
    <w:p w:rsidR="00186FCF" w:rsidRPr="001C6ACF" w:rsidRDefault="00586A47">
      <w:r>
        <w:rPr>
          <w:b/>
          <w:i/>
          <w:noProof/>
          <w:color w:val="F07E31" w:themeColor="accent1"/>
          <w:lang w:val="en-GB" w:eastAsia="en-GB" w:bidi="ar-SA"/>
        </w:rPr>
        <mc:AlternateContent>
          <mc:Choice Requires="wps">
            <w:drawing>
              <wp:inline distT="0" distB="0" distL="0" distR="0" wp14:anchorId="66E0EFFA" wp14:editId="5E634813">
                <wp:extent cx="5819775" cy="2619375"/>
                <wp:effectExtent l="0" t="0" r="28575" b="2857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1937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86A47" w:rsidRPr="00D43E45" w:rsidRDefault="00586A47" w:rsidP="00586A47">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057CEA41" wp14:editId="243371BE">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Az ebben az iránymutatásban ismertetett </w:t>
                            </w:r>
                            <w:r>
                              <w:rPr>
                                <w:color w:val="373737" w:themeColor="text1"/>
                              </w:rPr>
                              <w:t xml:space="preserve">értékelési megközelítések </w:t>
                            </w:r>
                            <w:r>
                              <w:rPr>
                                <w:b w:val="0"/>
                                <w:color w:val="373737" w:themeColor="text1"/>
                              </w:rPr>
                              <w:t xml:space="preserve">csupán példák a lehetséges opciókra, más lehetőségek is léteznek. Az értékelők választhatnak más megközelítéseket is a VFP hatásainak értékelésére, figyelembe véve a megbízható bizonyítékok gyűjtésére vonatkozó legjobb opciót, valamint a </w:t>
                            </w:r>
                            <w:r>
                              <w:rPr>
                                <w:color w:val="373737" w:themeColor="text1"/>
                              </w:rPr>
                              <w:t>VFP sajátos helyzetét</w:t>
                            </w:r>
                            <w:r>
                              <w:rPr>
                                <w:b w:val="0"/>
                                <w:color w:val="373737" w:themeColor="text1"/>
                              </w:rPr>
                              <w:t xml:space="preserve"> az alábbiak tekintetében:</w:t>
                            </w:r>
                          </w:p>
                          <w:p w:rsidR="00586A47" w:rsidRPr="00D43E45" w:rsidRDefault="00586A47" w:rsidP="00586A47">
                            <w:pPr>
                              <w:pStyle w:val="Hlistbullet"/>
                              <w:rPr>
                                <w:i/>
                                <w:sz w:val="18"/>
                              </w:rPr>
                            </w:pPr>
                            <w:r>
                              <w:t xml:space="preserve">a VFP mérete, </w:t>
                            </w:r>
                          </w:p>
                          <w:p w:rsidR="00586A47" w:rsidRPr="00D43E45" w:rsidRDefault="00586A47" w:rsidP="00586A47">
                            <w:pPr>
                              <w:pStyle w:val="Hlistbullet"/>
                              <w:rPr>
                                <w:i/>
                                <w:sz w:val="18"/>
                              </w:rPr>
                            </w:pPr>
                            <w:r>
                              <w:t xml:space="preserve">a VFP bevezetése, </w:t>
                            </w:r>
                          </w:p>
                          <w:p w:rsidR="00586A47" w:rsidRPr="00D43E45" w:rsidRDefault="00586A47" w:rsidP="00586A47">
                            <w:pPr>
                              <w:pStyle w:val="Hlistbullet"/>
                              <w:rPr>
                                <w:i/>
                                <w:sz w:val="18"/>
                              </w:rPr>
                            </w:pPr>
                            <w:r>
                              <w:t>az értékeléshez szükséges adatok elérhetősége és minősége.</w:t>
                            </w:r>
                          </w:p>
                          <w:p w:rsidR="00586A47" w:rsidRPr="00E53246" w:rsidRDefault="00586A47" w:rsidP="00586A47">
                            <w:pPr>
                              <w:pStyle w:val="HHeading4"/>
                              <w:spacing w:before="0"/>
                              <w:jc w:val="both"/>
                              <w:rPr>
                                <w:b w:val="0"/>
                                <w:color w:val="373737" w:themeColor="text1"/>
                              </w:rPr>
                            </w:pPr>
                            <w:r>
                              <w:rPr>
                                <w:b w:val="0"/>
                                <w:color w:val="373737" w:themeColor="text1"/>
                              </w:rPr>
                              <w:t>Az ebben az iránymutatásban ismertetett logikai modellek hasznos eszközökként szolgálnak az értékelők számára a lehetséges értékelési opciók valós helyzetben történő kiválasztása tekintetében.</w:t>
                            </w:r>
                          </w:p>
                        </w:txbxContent>
                      </wps:txbx>
                      <wps:bodyPr rot="0" vert="horz" wrap="square" lIns="91440" tIns="45720" rIns="91440" bIns="45720" anchor="ctr" anchorCtr="0" upright="1">
                        <a:noAutofit/>
                      </wps:bodyPr>
                    </wps:wsp>
                  </a:graphicData>
                </a:graphic>
              </wp:inline>
            </w:drawing>
          </mc:Choice>
          <mc:Fallback>
            <w:pict>
              <v:shape w14:anchorId="66E0EFFA" id="AutoShape 61" o:spid="_x0000_s1041" style="width:458.25pt;height:206.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90625;5662230,2619375;0,2619375;0,2619375;0,228750;157545,0" o:connectangles="0,0,0,0,0,0,0,0,0" textboxrect="0,0,5819775,1804016"/>
                <v:textbox>
                  <w:txbxContent>
                    <w:p w:rsidR="00586A47" w:rsidRPr="00D43E45" w:rsidRDefault="00586A47" w:rsidP="00586A47">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057CEA41" wp14:editId="243371BE">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Az ebben az iránymutatásban ismertetett </w:t>
                      </w:r>
                      <w:r>
                        <w:rPr>
                          <w:color w:val="373737" w:themeColor="text1"/>
                        </w:rPr>
                        <w:t xml:space="preserve">értékelési megközelítések </w:t>
                      </w:r>
                      <w:r>
                        <w:rPr>
                          <w:b w:val="0"/>
                          <w:color w:val="373737" w:themeColor="text1"/>
                        </w:rPr>
                        <w:t xml:space="preserve">csupán példák a lehetséges opciókra, más lehetőségek is léteznek. Az értékelők választhatnak más megközelítéseket is a VFP hatásainak értékelésére, figyelembe véve a megbízható bizonyítékok gyűjtésére vonatkozó legjobb opciót, valamint a </w:t>
                      </w:r>
                      <w:r>
                        <w:rPr>
                          <w:color w:val="373737" w:themeColor="text1"/>
                        </w:rPr>
                        <w:t>VFP sajátos helyzetét</w:t>
                      </w:r>
                      <w:r>
                        <w:rPr>
                          <w:b w:val="0"/>
                          <w:color w:val="373737" w:themeColor="text1"/>
                        </w:rPr>
                        <w:t xml:space="preserve"> az alábbiak tekintetében:</w:t>
                      </w:r>
                    </w:p>
                    <w:p w:rsidR="00586A47" w:rsidRPr="00D43E45" w:rsidRDefault="00586A47" w:rsidP="00586A47">
                      <w:pPr>
                        <w:pStyle w:val="Hlistbullet"/>
                        <w:rPr>
                          <w:i/>
                          <w:sz w:val="18"/>
                        </w:rPr>
                      </w:pPr>
                      <w:r>
                        <w:t xml:space="preserve">a VFP mérete, </w:t>
                      </w:r>
                    </w:p>
                    <w:p w:rsidR="00586A47" w:rsidRPr="00D43E45" w:rsidRDefault="00586A47" w:rsidP="00586A47">
                      <w:pPr>
                        <w:pStyle w:val="Hlistbullet"/>
                        <w:rPr>
                          <w:i/>
                          <w:sz w:val="18"/>
                        </w:rPr>
                      </w:pPr>
                      <w:r>
                        <w:t xml:space="preserve">a VFP bevezetése, </w:t>
                      </w:r>
                    </w:p>
                    <w:p w:rsidR="00586A47" w:rsidRPr="00D43E45" w:rsidRDefault="00586A47" w:rsidP="00586A47">
                      <w:pPr>
                        <w:pStyle w:val="Hlistbullet"/>
                        <w:rPr>
                          <w:i/>
                          <w:sz w:val="18"/>
                        </w:rPr>
                      </w:pPr>
                      <w:r>
                        <w:t>az értékeléshez szükséges adatok elérhetősége és minősége.</w:t>
                      </w:r>
                    </w:p>
                    <w:p w:rsidR="00586A47" w:rsidRPr="00E53246" w:rsidRDefault="00586A47" w:rsidP="00586A47">
                      <w:pPr>
                        <w:pStyle w:val="HHeading4"/>
                        <w:spacing w:before="0"/>
                        <w:jc w:val="both"/>
                        <w:rPr>
                          <w:b w:val="0"/>
                          <w:color w:val="373737" w:themeColor="text1"/>
                        </w:rPr>
                      </w:pPr>
                      <w:r>
                        <w:rPr>
                          <w:b w:val="0"/>
                          <w:color w:val="373737" w:themeColor="text1"/>
                        </w:rPr>
                        <w:t>Az ebben az iránymutatásban ismertetett logikai modellek hasznos eszközökként szolgálnak az értékelők számára a lehetséges értékelési opciók valós helyzetben történő kiválasztása tekintetében.</w:t>
                      </w:r>
                    </w:p>
                  </w:txbxContent>
                </v:textbox>
                <w10:anchorlock/>
              </v:shape>
            </w:pict>
          </mc:Fallback>
        </mc:AlternateContent>
      </w:r>
    </w:p>
    <w:sectPr w:rsidR="00186FCF" w:rsidRPr="001C6ACF" w:rsidSect="005F79DE">
      <w:headerReference w:type="default" r:id="rId66"/>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133" w:rsidRDefault="006B0133">
      <w:pPr>
        <w:spacing w:before="0" w:after="0" w:line="240" w:lineRule="auto"/>
      </w:pPr>
      <w:r>
        <w:separator/>
      </w:r>
    </w:p>
  </w:endnote>
  <w:endnote w:type="continuationSeparator" w:id="0">
    <w:p w:rsidR="006B0133" w:rsidRDefault="006B01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7E1C34" w:rsidRDefault="007E1C34">
        <w:pPr>
          <w:pStyle w:val="Footer"/>
        </w:pPr>
        <w:r>
          <w:fldChar w:fldCharType="begin"/>
        </w:r>
        <w:r>
          <w:instrText xml:space="preserve"> PAGE   \* MERGEFORMAT </w:instrText>
        </w:r>
        <w:r>
          <w:fldChar w:fldCharType="separate"/>
        </w:r>
        <w:r w:rsidR="00AC2860">
          <w:rPr>
            <w:noProof/>
          </w:rPr>
          <w:t>1</w:t>
        </w:r>
        <w:r>
          <w:rPr>
            <w:noProof/>
          </w:rPr>
          <w:fldChar w:fldCharType="end"/>
        </w:r>
      </w:p>
    </w:sdtContent>
  </w:sdt>
  <w:p w:rsidR="007E1C34" w:rsidRDefault="007E1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4" w:rsidRDefault="007E1C34">
    <w:pPr>
      <w:pStyle w:val="Footer"/>
    </w:pPr>
  </w:p>
  <w:p w:rsidR="007E1C34" w:rsidRDefault="007E1C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7E1C34" w:rsidRDefault="007E1C34">
        <w:pPr>
          <w:pStyle w:val="Footer"/>
        </w:pPr>
        <w:r>
          <w:fldChar w:fldCharType="begin"/>
        </w:r>
        <w:r>
          <w:instrText xml:space="preserve"> PAGE   \* MERGEFORMAT </w:instrText>
        </w:r>
        <w:r>
          <w:fldChar w:fldCharType="separate"/>
        </w:r>
        <w:r w:rsidR="00AA744C">
          <w:rPr>
            <w:noProof/>
          </w:rPr>
          <w:t>5</w:t>
        </w:r>
        <w:r>
          <w:rPr>
            <w:noProof/>
          </w:rPr>
          <w:fldChar w:fldCharType="end"/>
        </w:r>
      </w:p>
    </w:sdtContent>
  </w:sdt>
  <w:p w:rsidR="007E1C34" w:rsidRDefault="007E1C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7E1C34" w:rsidRDefault="007E1C34">
        <w:pPr>
          <w:pStyle w:val="Footer"/>
        </w:pPr>
        <w:r>
          <w:fldChar w:fldCharType="begin"/>
        </w:r>
        <w:r>
          <w:instrText xml:space="preserve"> PAGE   \* MERGEFORMAT </w:instrText>
        </w:r>
        <w:r>
          <w:fldChar w:fldCharType="separate"/>
        </w:r>
        <w:r w:rsidR="00AC2860">
          <w:rPr>
            <w:noProof/>
          </w:rPr>
          <w:t>1</w:t>
        </w:r>
        <w:r>
          <w:rPr>
            <w:noProof/>
          </w:rPr>
          <w:fldChar w:fldCharType="end"/>
        </w:r>
      </w:p>
    </w:sdtContent>
  </w:sdt>
  <w:p w:rsidR="007E1C34" w:rsidRDefault="007E1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133" w:rsidRPr="005B2AAC" w:rsidRDefault="006B0133">
      <w:pPr>
        <w:spacing w:before="0" w:after="0" w:line="240" w:lineRule="auto"/>
        <w:rPr>
          <w:color w:val="F07E31" w:themeColor="accent1"/>
        </w:rPr>
      </w:pPr>
      <w:r>
        <w:rPr>
          <w:color w:val="F07E31" w:themeColor="accent1"/>
        </w:rPr>
        <w:separator/>
      </w:r>
    </w:p>
  </w:footnote>
  <w:footnote w:type="continuationSeparator" w:id="0">
    <w:p w:rsidR="006B0133" w:rsidRDefault="006B0133">
      <w:pPr>
        <w:spacing w:before="0" w:after="0" w:line="240" w:lineRule="auto"/>
      </w:pPr>
      <w:r>
        <w:continuationSeparator/>
      </w:r>
    </w:p>
  </w:footnote>
  <w:footnote w:id="1">
    <w:p w:rsidR="007E1C34" w:rsidRPr="003563F4" w:rsidRDefault="007E1C34">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1303/2013/EU rendelet 54. cikke és 56. cikkének (3) bekezdése.</w:t>
      </w:r>
    </w:p>
  </w:footnote>
  <w:footnote w:id="2">
    <w:p w:rsidR="007E1C34" w:rsidRPr="00E53246" w:rsidRDefault="007E1C34" w:rsidP="00CD63F6">
      <w:pPr>
        <w:pStyle w:val="FootnoteText"/>
      </w:pPr>
      <w:r>
        <w:rPr>
          <w:rStyle w:val="FootnoteReference"/>
          <w:color w:val="878787" w:themeColor="text2" w:themeTint="99"/>
        </w:rPr>
        <w:footnoteRef/>
      </w:r>
      <w:r>
        <w:rPr>
          <w:color w:val="878787" w:themeColor="text2" w:themeTint="99"/>
        </w:rPr>
        <w:t xml:space="preserve"> A 808/2014/EU rendelet VII. melléklete.</w:t>
      </w:r>
    </w:p>
  </w:footnote>
  <w:footnote w:id="3">
    <w:p w:rsidR="007E1C34" w:rsidRPr="003563F4" w:rsidRDefault="007E1C34"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1">
        <w:r>
          <w:rPr>
            <w:color w:val="878787" w:themeColor="text2" w:themeTint="99"/>
          </w:rPr>
          <w:t xml:space="preserve">Az 1305/2013/EU rendelet </w:t>
        </w:r>
      </w:hyperlink>
      <w:r>
        <w:rPr>
          <w:color w:val="878787" w:themeColor="text2" w:themeTint="99"/>
        </w:rPr>
        <w:t>75. cikke.</w:t>
      </w:r>
    </w:p>
  </w:footnote>
  <w:footnote w:id="4">
    <w:p w:rsidR="007E1C34" w:rsidRPr="003563F4" w:rsidRDefault="007E1C34"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Guidelines Establishing and implementing the Evaluation Plan of 2014-2020 RDPs (Iránymutatás a 2014–2020 közötti VFP-k értékelési tervének kialakításáról és végrehajtásáról). </w:t>
        </w:r>
      </w:hyperlink>
    </w:p>
  </w:footnote>
  <w:footnote w:id="5">
    <w:p w:rsidR="007E1C34" w:rsidRPr="003563F4" w:rsidRDefault="007E1C34"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A Bizottság 808/2014/EU végrehajtási rendelete, I. melléklet, 9. pont és VII. melléklet, 7. pont</w:t>
        </w:r>
      </w:hyperlink>
      <w:r>
        <w:rPr>
          <w:rStyle w:val="Hyperlink"/>
          <w:color w:val="878787" w:themeColor="text2" w:themeTint="99"/>
          <w:sz w:val="16"/>
          <w:u w:val="none"/>
        </w:rPr>
        <w:t>.</w:t>
      </w:r>
    </w:p>
  </w:footnote>
  <w:footnote w:id="6">
    <w:p w:rsidR="007E1C34" w:rsidRPr="003563F4" w:rsidRDefault="007E1C34"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Az értékelési támogató szolgálat a „</w:t>
      </w:r>
      <w:hyperlink r:id="rId4">
        <w:r>
          <w:rPr>
            <w:color w:val="878787" w:themeColor="text2" w:themeTint="99"/>
          </w:rPr>
          <w:t>Summary Report Synthesis of the Evaluation Components of the 2017 Enhanced AIR</w:t>
        </w:r>
      </w:hyperlink>
      <w:r>
        <w:t>” (A 2017. évi bővített éves végrehajtási jelentések értékelési elemei) című összefoglaló jelentés 7. fejezetében</w:t>
      </w:r>
      <w:r w:rsidR="00AA744C">
        <w:t xml:space="preserve"> </w:t>
      </w:r>
      <w:r>
        <w:rPr>
          <w:color w:val="878787" w:themeColor="text2" w:themeTint="99"/>
        </w:rPr>
        <w:t>foglalja össze a 2017-ben benyújtott éves végrehajtási jelentések megállapításait.</w:t>
      </w:r>
    </w:p>
  </w:footnote>
  <w:footnote w:id="7">
    <w:p w:rsidR="007E1C34" w:rsidRPr="00E53246" w:rsidRDefault="007E1C34">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 808/2014/EU rendelet VII. melléklete.</w:t>
      </w:r>
    </w:p>
  </w:footnote>
  <w:footnote w:id="8">
    <w:p w:rsidR="007E1C34" w:rsidRPr="003563F4" w:rsidRDefault="007E1C34"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1305/2013/EU rendelet, 67–79. cikk</w:t>
        </w:r>
      </w:hyperlink>
      <w:r>
        <w:rPr>
          <w:color w:val="878787" w:themeColor="text2" w:themeTint="99"/>
        </w:rPr>
        <w:t xml:space="preserve">, </w:t>
      </w:r>
      <w:hyperlink r:id="rId6">
        <w:r>
          <w:rPr>
            <w:color w:val="878787" w:themeColor="text2" w:themeTint="99"/>
          </w:rPr>
          <w:t>1306/2013/EU rendelet, 110. cikk,</w:t>
        </w:r>
      </w:hyperlink>
      <w:r>
        <w:rPr>
          <w:color w:val="878787" w:themeColor="text2" w:themeTint="99"/>
        </w:rPr>
        <w:t xml:space="preserve"> </w:t>
      </w:r>
      <w:hyperlink r:id="rId7">
        <w:r>
          <w:rPr>
            <w:color w:val="878787" w:themeColor="text2" w:themeTint="99"/>
          </w:rPr>
          <w:t>834/2014/EU rendelet, 1. cikk (1) bekezdés a) pont és I. melléklet</w:t>
        </w:r>
      </w:hyperlink>
      <w:r>
        <w:rPr>
          <w:color w:val="878787" w:themeColor="text2" w:themeTint="99"/>
        </w:rPr>
        <w:t xml:space="preserve">, </w:t>
      </w:r>
      <w:hyperlink r:id="rId8">
        <w:r>
          <w:rPr>
            <w:color w:val="878787" w:themeColor="text2" w:themeTint="99"/>
          </w:rPr>
          <w:t>808/2014/EU rendelet, 14. cikk és IV., V., VI. és VII. melléklet</w:t>
        </w:r>
      </w:hyperlink>
      <w:r>
        <w:rPr>
          <w:color w:val="878787" w:themeColor="text2" w:themeTint="99"/>
        </w:rPr>
        <w:t>.</w:t>
      </w:r>
    </w:p>
  </w:footnote>
  <w:footnote w:id="9">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1303/2013/EU rendelet 54. cikke.</w:t>
      </w:r>
    </w:p>
  </w:footnote>
  <w:footnote w:id="10">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1303/2013/EU rendelet 56. cikke.</w:t>
      </w:r>
    </w:p>
  </w:footnote>
  <w:footnote w:id="11">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1306/2013/EU rendelet 110. cikke.</w:t>
      </w:r>
    </w:p>
  </w:footnote>
  <w:footnote w:id="12">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1306/2013/EU rendelet 110. cikkének (3) bekezdése és 110. cikkének (4) bekezdése.</w:t>
      </w:r>
    </w:p>
  </w:footnote>
  <w:footnote w:id="13">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1305/2013/EU rendelet 67. és 68. cikke.</w:t>
      </w:r>
    </w:p>
  </w:footnote>
  <w:footnote w:id="14">
    <w:p w:rsidR="007E1C34" w:rsidRPr="00E53246" w:rsidRDefault="007E1C34" w:rsidP="001C2076">
      <w:pPr>
        <w:pStyle w:val="FootnoteText"/>
      </w:pPr>
      <w:r>
        <w:rPr>
          <w:rStyle w:val="FootnoteReference"/>
          <w:color w:val="878787" w:themeColor="text2" w:themeTint="99"/>
        </w:rPr>
        <w:footnoteRef/>
      </w:r>
      <w:r>
        <w:rPr>
          <w:color w:val="878787" w:themeColor="text2" w:themeTint="99"/>
        </w:rPr>
        <w:t xml:space="preserve"> Az 1305/2013/EU rendelet 69. cikke.</w:t>
      </w:r>
    </w:p>
  </w:footnote>
  <w:footnote w:id="15">
    <w:p w:rsidR="007E1C34" w:rsidRPr="003563F4" w:rsidRDefault="007E1C34"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Technical Handbook on the Monitoring and Evaluation of the Common Agriculture Policy 2014-2020 (A 2014–2020 közötti közös agrárpolitika monitoringjára és értékelésére vonatkozó kézikönyv), Európai Bizottság, 2017. június</w:t>
        </w:r>
      </w:hyperlink>
      <w:r>
        <w:rPr>
          <w:rStyle w:val="Hyperlink"/>
          <w:color w:val="878787" w:themeColor="text2" w:themeTint="99"/>
          <w:sz w:val="16"/>
          <w:u w:val="none"/>
        </w:rPr>
        <w:t>.</w:t>
      </w:r>
    </w:p>
  </w:footnote>
  <w:footnote w:id="16">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Az 808/2014/EU rendelet 14. cikke.</w:t>
      </w:r>
    </w:p>
  </w:footnote>
  <w:footnote w:id="17">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 808/2014/EU rendelet IV. melléklete.</w:t>
      </w:r>
    </w:p>
  </w:footnote>
  <w:footnote w:id="18">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 808/2014/EU rendelet V. melléklete.</w:t>
      </w:r>
    </w:p>
  </w:footnote>
  <w:footnote w:id="19">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 808/2014/EU rendelet VII. mellékletének 2. pontja.</w:t>
      </w:r>
    </w:p>
  </w:footnote>
  <w:footnote w:id="20">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 808/2014/EU rendelet I. melléklete I. részének 9. pontja.</w:t>
      </w:r>
    </w:p>
  </w:footnote>
  <w:footnote w:id="21">
    <w:p w:rsidR="007E1C34" w:rsidRPr="003563F4" w:rsidRDefault="007E1C3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 808/2014/EU rendelet VII. mellékletének 7. pontja.</w:t>
      </w:r>
    </w:p>
  </w:footnote>
  <w:footnote w:id="22">
    <w:p w:rsidR="007E1C34" w:rsidRPr="00E53246" w:rsidRDefault="007E1C34" w:rsidP="00FC0340">
      <w:pPr>
        <w:pStyle w:val="FootnoteText"/>
      </w:pPr>
      <w:r>
        <w:rPr>
          <w:rStyle w:val="FootnoteReference"/>
          <w:color w:val="878787" w:themeColor="text2" w:themeTint="99"/>
        </w:rPr>
        <w:footnoteRef/>
      </w:r>
      <w:r>
        <w:rPr>
          <w:color w:val="878787" w:themeColor="text2" w:themeTint="99"/>
        </w:rPr>
        <w:t xml:space="preserve"> A 808/2014/EU rendelet VI. melléklete.</w:t>
      </w:r>
    </w:p>
  </w:footnote>
  <w:footnote w:id="23">
    <w:p w:rsidR="007E1C34" w:rsidRPr="00E53246" w:rsidRDefault="007E1C34">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Technical Handbook on the Monitoring and Evaluation of the Common Agriculture Policy 2014-2020</w:t>
        </w:r>
      </w:hyperlink>
      <w:r>
        <w:t xml:space="preserve"> (A 2014–2020 közötti közös agrárpolitika monitoringjára és értékelésére vonatkozó kézikönyv), Európai Bizottság, 2017. június</w:t>
      </w:r>
      <w:r>
        <w:rPr>
          <w:rStyle w:val="Hyperlink"/>
          <w:color w:val="878787" w:themeColor="text2" w:themeTint="99"/>
          <w:sz w:val="16"/>
          <w:u w:val="none"/>
        </w:rPr>
        <w:t>.</w:t>
      </w:r>
    </w:p>
  </w:footnote>
  <w:footnote w:id="24">
    <w:p w:rsidR="007E1C34" w:rsidRPr="000D3DB8" w:rsidRDefault="007E1C34"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Az értékelési ciklussal kapcsolatos további információ megtalálható az „</w:t>
      </w:r>
      <w:hyperlink r:id="rId11">
        <w:r>
          <w:rPr>
            <w:rStyle w:val="Hyperlink"/>
            <w:sz w:val="16"/>
          </w:rPr>
          <w:t>Assessment of RDP results: How to Prepare for reporting on evaluation in 2017” (A VFP eredményeinek értékelése: felkészülés a 2017. évi értékelésre vonatkozó jelentéstételre)</w:t>
        </w:r>
      </w:hyperlink>
      <w:r>
        <w:rPr>
          <w:rStyle w:val="Hyperlink"/>
          <w:sz w:val="16"/>
        </w:rPr>
        <w:t xml:space="preserve"> </w:t>
      </w:r>
      <w:r>
        <w:t>című iránymutatásban.</w:t>
      </w:r>
    </w:p>
  </w:footnote>
  <w:footnote w:id="25">
    <w:p w:rsidR="007E1C34" w:rsidRPr="00E53246" w:rsidRDefault="007E1C34" w:rsidP="000D3DB8">
      <w:pPr>
        <w:pStyle w:val="FootnoteText"/>
      </w:pPr>
      <w:r>
        <w:rPr>
          <w:rStyle w:val="FootnoteReference"/>
          <w:color w:val="878787" w:themeColor="text2" w:themeTint="99"/>
        </w:rPr>
        <w:footnoteRef/>
      </w:r>
      <w:r>
        <w:t xml:space="preserve"> IH – Irányító hatóság, MB – monitoringbizottság, KÜ – kifizető ügynökség, ÉO – értékelési osztály, ÉICS – értékelési irányítócsoport, Ér – értékelők, ASZ – adatszolgáltatók, E – egyéb.</w:t>
      </w:r>
    </w:p>
  </w:footnote>
  <w:footnote w:id="26">
    <w:p w:rsidR="007E1C34" w:rsidRPr="00274AB7" w:rsidRDefault="007E1C34">
      <w:pPr>
        <w:pStyle w:val="FootnoteText"/>
      </w:pPr>
      <w:r>
        <w:rPr>
          <w:rStyle w:val="FootnoteReference"/>
          <w:color w:val="878787" w:themeColor="text2" w:themeTint="99"/>
        </w:rPr>
        <w:footnoteRef/>
      </w:r>
      <w:r>
        <w:rPr>
          <w:color w:val="878787" w:themeColor="text2" w:themeTint="99"/>
        </w:rPr>
        <w:t xml:space="preserve"> Az ENVIEVAL egy uniós együttműködési projekt (312071. sz. támogatási megállapodás), amely 2013 januárjától 2015 decemberéig az Európai Unió kutatási, technológiai fejlesztési és demonstrációs tevékenységekre vonatkozó hetedik keretprogramjából kapott támogatást.</w:t>
      </w:r>
    </w:p>
  </w:footnote>
  <w:footnote w:id="27">
    <w:p w:rsidR="007E1C34" w:rsidRPr="00E53246" w:rsidRDefault="007E1C34">
      <w:pPr>
        <w:pStyle w:val="FootnoteText"/>
      </w:pPr>
      <w:r>
        <w:rPr>
          <w:rStyle w:val="FootnoteReference"/>
          <w:color w:val="878787" w:themeColor="text2" w:themeTint="99"/>
        </w:rPr>
        <w:footnoteRef/>
      </w:r>
      <w:r>
        <w:t xml:space="preserve"> Methodological Handbook for the evaluation of environmental impacts of RDPs (A VFP-k környezeti hatásainak értékeléséről szóló módszertani kézikönyv): D9.5. jelentés, ENVIEVAL-projekt (312071. sz. támogatási megállapodás)]. Brüsszel: Európai Bizottság, Morkvenas Z, Navickas K, Gulbinas J, Jefanovas A, Schwarz G, Wolff A, Offermann F, Osterburg B, Aalders I, Miller D, Morrice J, Vlahos G, Smyrniotopoulou A, Artell J, Aakkula J, Toikkanen H, Povellato A, Longhitano D, Lasorella V, Balazs K, et al (2015), 152. o.</w:t>
      </w:r>
    </w:p>
  </w:footnote>
  <w:footnote w:id="28">
    <w:p w:rsidR="007E1C34" w:rsidRPr="00E53246" w:rsidRDefault="007E1C34" w:rsidP="00820050">
      <w:pPr>
        <w:pStyle w:val="FootnoteText"/>
      </w:pPr>
      <w:r>
        <w:rPr>
          <w:rStyle w:val="FootnoteReference"/>
          <w:color w:val="878787" w:themeColor="text2" w:themeTint="99"/>
        </w:rPr>
        <w:footnoteRef/>
      </w:r>
      <w:r>
        <w:rPr>
          <w:color w:val="878787" w:themeColor="text2" w:themeTint="99"/>
        </w:rPr>
        <w:t xml:space="preserve"> </w:t>
      </w:r>
      <w:r>
        <w:t>A VFP hatásainak nettó értékelése során megteendő lépések részletes leírása a „</w:t>
      </w:r>
      <w:hyperlink r:id="rId12">
        <w:r>
          <w:rPr>
            <w:rStyle w:val="Hyperlink"/>
            <w:sz w:val="16"/>
          </w:rPr>
          <w:t>Guidelines for the ex post evaluation of 2007-2013 RDPs</w:t>
        </w:r>
      </w:hyperlink>
      <w:r>
        <w:t>” (A 2007–2013 közötti VFP-k utólagos értékelése) című iránymutatás 4.2.3 és 4.2.4. fejezetében található meg.</w:t>
      </w:r>
    </w:p>
  </w:footnote>
  <w:footnote w:id="29">
    <w:p w:rsidR="007E1C34" w:rsidRPr="003563F4" w:rsidRDefault="007E1C34" w:rsidP="00B9614C">
      <w:pPr>
        <w:pStyle w:val="FootnoteText"/>
      </w:pPr>
      <w:r>
        <w:rPr>
          <w:rStyle w:val="FootnoteReference"/>
          <w:color w:val="878787" w:themeColor="text2" w:themeTint="99"/>
        </w:rPr>
        <w:footnoteRef/>
      </w:r>
      <w:r>
        <w:t xml:space="preserve"> További információkért lásd: „Landscape-moderated biodiversity effects of agri-environmental management: a meta-analysis”, Proceedings. Biological sciences / The Royal Society, 278(1713): 1894–1902, Batáry P, Báldi A, Kleijn D, Tscharntke T, 2011. </w:t>
      </w:r>
    </w:p>
  </w:footnote>
  <w:footnote w:id="30">
    <w:p w:rsidR="007E1C34" w:rsidRPr="00E53246" w:rsidRDefault="007E1C34" w:rsidP="00FC012D">
      <w:pPr>
        <w:pStyle w:val="FootnoteText"/>
      </w:pPr>
      <w:r>
        <w:rPr>
          <w:rStyle w:val="FootnoteReference"/>
          <w:color w:val="878787" w:themeColor="text2" w:themeTint="99"/>
        </w:rPr>
        <w:footnoteRef/>
      </w:r>
      <w:r>
        <w:rPr>
          <w:color w:val="878787" w:themeColor="text2" w:themeTint="99"/>
        </w:rPr>
        <w:t xml:space="preserve"> </w:t>
      </w:r>
      <w:r>
        <w:t xml:space="preserve">További információkért lásd: ‘Organic farming at local and landscape scales benefits plant diversity’,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4" w:rsidRPr="00E4509B" w:rsidRDefault="007E1C34" w:rsidP="00994192">
    <w:pPr>
      <w:pStyle w:val="Header"/>
    </w:pPr>
    <w:r>
      <w:tab/>
    </w:r>
    <w:r>
      <w:t>I. rész. – Mit kell jelenteni a 2019. évi éves végrehajtási jelentés értékelésében?</w:t>
    </w:r>
  </w:p>
  <w:p w:rsidR="007E1C34" w:rsidRPr="002C3379" w:rsidRDefault="007E1C34"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4" w:rsidRDefault="007E1C34" w:rsidP="00994192">
    <w:pPr>
      <w:pStyle w:val="Header"/>
      <w:tabs>
        <w:tab w:val="clear" w:pos="9072"/>
        <w:tab w:val="right" w:pos="9000"/>
        <w:tab w:val="right" w:pos="141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E924C7A6"/>
    <w:lvl w:ilvl="0" w:tplc="8C24ADFE">
      <w:start w:val="1"/>
      <w:numFmt w:val="decimal"/>
      <w:lvlText w:val="%1."/>
      <w:lvlJc w:val="left"/>
      <w:pPr>
        <w:ind w:left="720" w:hanging="360"/>
      </w:pPr>
      <w:rPr>
        <w:rFonts w:hint="default"/>
        <w:u w:val="single"/>
      </w:rPr>
    </w:lvl>
    <w:lvl w:ilvl="1" w:tplc="08090017">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4C689046"/>
    <w:lvl w:ilvl="0" w:tplc="34D05662">
      <w:start w:val="1"/>
      <w:numFmt w:val="decimal"/>
      <w:pStyle w:val="HHeadingfigures"/>
      <w:lvlText w:val="%1. ábra"/>
      <w:lvlJc w:val="left"/>
      <w:pPr>
        <w:tabs>
          <w:tab w:val="num" w:pos="964"/>
        </w:tabs>
        <w:ind w:left="964" w:hanging="964"/>
      </w:pPr>
      <w:rPr>
        <w:rFonts w:ascii="Arial" w:hAnsi="Arial" w:hint="default"/>
        <w:b/>
        <w:bCs w:val="0"/>
        <w:i w:val="0"/>
        <w:iCs w:val="0"/>
        <w:caps w:val="0"/>
        <w:smallCaps w:val="0"/>
        <w:strike w:val="0"/>
        <w:dstrike w:val="0"/>
        <w:outline w:val="0"/>
        <w:shadow w:val="0"/>
        <w:emboss w:val="0"/>
        <w:imprint w:val="0"/>
        <w:noProof w:val="0"/>
        <w:vanish w:val="0"/>
        <w:color w:val="373737"/>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B74A24D6"/>
    <w:lvl w:ilvl="0" w:tplc="A21ECE7C">
      <w:start w:val="1"/>
      <w:numFmt w:val="decimal"/>
      <w:pStyle w:val="HHeadingtables"/>
      <w:lvlText w:val="%1. táblázat"/>
      <w:lvlJc w:val="left"/>
      <w:pPr>
        <w:ind w:left="360" w:hanging="360"/>
      </w:pPr>
      <w:rPr>
        <w:rFonts w:ascii="Arial" w:hAnsi="Arial" w:cs="Times New Roman" w:hint="default"/>
        <w:b/>
        <w:bCs w:val="0"/>
        <w:i w:val="0"/>
        <w:iCs w:val="0"/>
        <w:caps w:val="0"/>
        <w:smallCaps w:val="0"/>
        <w:strike w:val="0"/>
        <w:dstrike w:val="0"/>
        <w:outline w:val="0"/>
        <w:shadow w:val="0"/>
        <w:emboss w:val="0"/>
        <w:imprint w:val="0"/>
        <w:vanish w:val="0"/>
        <w:color w:val="373737" w:themeColor="text1"/>
        <w:spacing w:val="0"/>
        <w:kern w:val="0"/>
        <w:position w:val="0"/>
        <w:sz w:val="16"/>
        <w:szCs w:val="18"/>
        <w:u w:val="none"/>
        <w:effect w:val="none"/>
        <w:vertAlign w:val="baseline"/>
        <w:em w:val="none"/>
        <w:specVanish w:val="0"/>
        <w14:ligatures w14:val="none"/>
        <w14:numForm w14:val="default"/>
        <w14:numSpacing w14:val="default"/>
        <w14:stylisticSets/>
        <w14:cntxtAlts w14: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295C2F9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 w:numId="35">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5DE2"/>
    <w:rsid w:val="000068EF"/>
    <w:rsid w:val="00006B47"/>
    <w:rsid w:val="00010136"/>
    <w:rsid w:val="00010467"/>
    <w:rsid w:val="00010494"/>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094"/>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1D6C"/>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442"/>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3A56"/>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4E8B"/>
    <w:rsid w:val="00146C75"/>
    <w:rsid w:val="00150011"/>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81C"/>
    <w:rsid w:val="00175DAE"/>
    <w:rsid w:val="00176032"/>
    <w:rsid w:val="0017622B"/>
    <w:rsid w:val="00176555"/>
    <w:rsid w:val="001773C8"/>
    <w:rsid w:val="00180B7A"/>
    <w:rsid w:val="001814C1"/>
    <w:rsid w:val="0018197E"/>
    <w:rsid w:val="00182991"/>
    <w:rsid w:val="00183503"/>
    <w:rsid w:val="001835AF"/>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0097"/>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3A8A"/>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8D1"/>
    <w:rsid w:val="001F1A2D"/>
    <w:rsid w:val="001F1DD1"/>
    <w:rsid w:val="001F25E0"/>
    <w:rsid w:val="001F485E"/>
    <w:rsid w:val="001F4DFD"/>
    <w:rsid w:val="001F52E4"/>
    <w:rsid w:val="001F5F53"/>
    <w:rsid w:val="001F6320"/>
    <w:rsid w:val="001F6572"/>
    <w:rsid w:val="001F7942"/>
    <w:rsid w:val="001F7B17"/>
    <w:rsid w:val="001F7F20"/>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5C5"/>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3667"/>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06"/>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0C42"/>
    <w:rsid w:val="00293279"/>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5E5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5D15"/>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357B"/>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36F8"/>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6EF8"/>
    <w:rsid w:val="00397169"/>
    <w:rsid w:val="00397C1D"/>
    <w:rsid w:val="003A110E"/>
    <w:rsid w:val="003A1F60"/>
    <w:rsid w:val="003A205A"/>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35E"/>
    <w:rsid w:val="003D1461"/>
    <w:rsid w:val="003D200A"/>
    <w:rsid w:val="003D2A72"/>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8F1"/>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87BDB"/>
    <w:rsid w:val="00491794"/>
    <w:rsid w:val="00491B60"/>
    <w:rsid w:val="004925DA"/>
    <w:rsid w:val="00492C4D"/>
    <w:rsid w:val="00492FAE"/>
    <w:rsid w:val="004934E9"/>
    <w:rsid w:val="0049483C"/>
    <w:rsid w:val="00495BF0"/>
    <w:rsid w:val="004965AA"/>
    <w:rsid w:val="0049661F"/>
    <w:rsid w:val="00496FDC"/>
    <w:rsid w:val="00497784"/>
    <w:rsid w:val="00497CFD"/>
    <w:rsid w:val="00497FC8"/>
    <w:rsid w:val="004A0AB3"/>
    <w:rsid w:val="004A132E"/>
    <w:rsid w:val="004A16E0"/>
    <w:rsid w:val="004A24A5"/>
    <w:rsid w:val="004A2960"/>
    <w:rsid w:val="004A2D39"/>
    <w:rsid w:val="004A33E5"/>
    <w:rsid w:val="004A3547"/>
    <w:rsid w:val="004A3955"/>
    <w:rsid w:val="004A4352"/>
    <w:rsid w:val="004A43E8"/>
    <w:rsid w:val="004A5414"/>
    <w:rsid w:val="004A654B"/>
    <w:rsid w:val="004A7896"/>
    <w:rsid w:val="004B10DA"/>
    <w:rsid w:val="004B1636"/>
    <w:rsid w:val="004B222D"/>
    <w:rsid w:val="004B2840"/>
    <w:rsid w:val="004B2BDD"/>
    <w:rsid w:val="004B348E"/>
    <w:rsid w:val="004B4061"/>
    <w:rsid w:val="004B42AD"/>
    <w:rsid w:val="004B44AA"/>
    <w:rsid w:val="004B5DE7"/>
    <w:rsid w:val="004B6A60"/>
    <w:rsid w:val="004B6C35"/>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196"/>
    <w:rsid w:val="0050142E"/>
    <w:rsid w:val="0050158A"/>
    <w:rsid w:val="00501D64"/>
    <w:rsid w:val="00502017"/>
    <w:rsid w:val="00502B3F"/>
    <w:rsid w:val="00502C9E"/>
    <w:rsid w:val="00503332"/>
    <w:rsid w:val="00503F73"/>
    <w:rsid w:val="00503F99"/>
    <w:rsid w:val="005104CA"/>
    <w:rsid w:val="00510C28"/>
    <w:rsid w:val="005117EB"/>
    <w:rsid w:val="00512350"/>
    <w:rsid w:val="005124EA"/>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BA5"/>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5E3"/>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1CC5"/>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6A47"/>
    <w:rsid w:val="00587E5C"/>
    <w:rsid w:val="0059176B"/>
    <w:rsid w:val="005931FB"/>
    <w:rsid w:val="005934AE"/>
    <w:rsid w:val="00593F3E"/>
    <w:rsid w:val="00594B8F"/>
    <w:rsid w:val="00595217"/>
    <w:rsid w:val="0059799F"/>
    <w:rsid w:val="005A048F"/>
    <w:rsid w:val="005A0806"/>
    <w:rsid w:val="005A08C9"/>
    <w:rsid w:val="005A0A03"/>
    <w:rsid w:val="005A0E07"/>
    <w:rsid w:val="005A1134"/>
    <w:rsid w:val="005A3078"/>
    <w:rsid w:val="005A45B5"/>
    <w:rsid w:val="005A56B7"/>
    <w:rsid w:val="005A71F2"/>
    <w:rsid w:val="005B08CA"/>
    <w:rsid w:val="005B09CC"/>
    <w:rsid w:val="005B1955"/>
    <w:rsid w:val="005B1DA4"/>
    <w:rsid w:val="005B24FC"/>
    <w:rsid w:val="005B2AAC"/>
    <w:rsid w:val="005B2BFA"/>
    <w:rsid w:val="005B2C04"/>
    <w:rsid w:val="005B3F06"/>
    <w:rsid w:val="005B450F"/>
    <w:rsid w:val="005B4B85"/>
    <w:rsid w:val="005B5382"/>
    <w:rsid w:val="005B59F7"/>
    <w:rsid w:val="005B66C9"/>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56C3"/>
    <w:rsid w:val="00627378"/>
    <w:rsid w:val="00627ED3"/>
    <w:rsid w:val="0063100F"/>
    <w:rsid w:val="0063147F"/>
    <w:rsid w:val="0063201E"/>
    <w:rsid w:val="006320B2"/>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71"/>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4517"/>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133"/>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5D9D"/>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76253"/>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C7675"/>
    <w:rsid w:val="007D0989"/>
    <w:rsid w:val="007D1462"/>
    <w:rsid w:val="007D1C1A"/>
    <w:rsid w:val="007D2A5B"/>
    <w:rsid w:val="007D2D54"/>
    <w:rsid w:val="007D3D53"/>
    <w:rsid w:val="007D4483"/>
    <w:rsid w:val="007D4491"/>
    <w:rsid w:val="007D61F5"/>
    <w:rsid w:val="007D69F2"/>
    <w:rsid w:val="007E07DC"/>
    <w:rsid w:val="007E13DC"/>
    <w:rsid w:val="007E1C34"/>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00F"/>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6513"/>
    <w:rsid w:val="008678CA"/>
    <w:rsid w:val="008700AC"/>
    <w:rsid w:val="00870C1B"/>
    <w:rsid w:val="00871756"/>
    <w:rsid w:val="008717E9"/>
    <w:rsid w:val="008725AE"/>
    <w:rsid w:val="0087374D"/>
    <w:rsid w:val="00873986"/>
    <w:rsid w:val="00874EF5"/>
    <w:rsid w:val="00875DF2"/>
    <w:rsid w:val="00876A9D"/>
    <w:rsid w:val="00876B02"/>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02F"/>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502"/>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918"/>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1D16"/>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2C8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3FD"/>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192"/>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2994"/>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4992"/>
    <w:rsid w:val="00A05DFF"/>
    <w:rsid w:val="00A06287"/>
    <w:rsid w:val="00A063EE"/>
    <w:rsid w:val="00A07FF6"/>
    <w:rsid w:val="00A10F62"/>
    <w:rsid w:val="00A11DC0"/>
    <w:rsid w:val="00A11DE9"/>
    <w:rsid w:val="00A13491"/>
    <w:rsid w:val="00A136C8"/>
    <w:rsid w:val="00A17B7D"/>
    <w:rsid w:val="00A20A24"/>
    <w:rsid w:val="00A21A87"/>
    <w:rsid w:val="00A222EC"/>
    <w:rsid w:val="00A228A7"/>
    <w:rsid w:val="00A23F87"/>
    <w:rsid w:val="00A24369"/>
    <w:rsid w:val="00A2448E"/>
    <w:rsid w:val="00A24D39"/>
    <w:rsid w:val="00A257DF"/>
    <w:rsid w:val="00A258ED"/>
    <w:rsid w:val="00A25D5A"/>
    <w:rsid w:val="00A27090"/>
    <w:rsid w:val="00A27406"/>
    <w:rsid w:val="00A276EE"/>
    <w:rsid w:val="00A30F51"/>
    <w:rsid w:val="00A315D9"/>
    <w:rsid w:val="00A31A25"/>
    <w:rsid w:val="00A31CB7"/>
    <w:rsid w:val="00A3244E"/>
    <w:rsid w:val="00A32E22"/>
    <w:rsid w:val="00A3327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43F"/>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18F"/>
    <w:rsid w:val="00A92AF5"/>
    <w:rsid w:val="00A94A1F"/>
    <w:rsid w:val="00A96133"/>
    <w:rsid w:val="00A9627E"/>
    <w:rsid w:val="00A962B9"/>
    <w:rsid w:val="00A9656F"/>
    <w:rsid w:val="00A968DA"/>
    <w:rsid w:val="00A96A87"/>
    <w:rsid w:val="00A96D33"/>
    <w:rsid w:val="00A9701C"/>
    <w:rsid w:val="00A975B5"/>
    <w:rsid w:val="00A97AB1"/>
    <w:rsid w:val="00AA00ED"/>
    <w:rsid w:val="00AA137E"/>
    <w:rsid w:val="00AA13B2"/>
    <w:rsid w:val="00AA14A5"/>
    <w:rsid w:val="00AA158B"/>
    <w:rsid w:val="00AA1D51"/>
    <w:rsid w:val="00AA2612"/>
    <w:rsid w:val="00AA2F84"/>
    <w:rsid w:val="00AA3A22"/>
    <w:rsid w:val="00AA5150"/>
    <w:rsid w:val="00AA744C"/>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A2F"/>
    <w:rsid w:val="00AC0C2B"/>
    <w:rsid w:val="00AC0E3D"/>
    <w:rsid w:val="00AC1EBF"/>
    <w:rsid w:val="00AC2860"/>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B2E"/>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131"/>
    <w:rsid w:val="00B178EE"/>
    <w:rsid w:val="00B17CA3"/>
    <w:rsid w:val="00B17DCA"/>
    <w:rsid w:val="00B21618"/>
    <w:rsid w:val="00B21F48"/>
    <w:rsid w:val="00B22ACC"/>
    <w:rsid w:val="00B23107"/>
    <w:rsid w:val="00B23247"/>
    <w:rsid w:val="00B23750"/>
    <w:rsid w:val="00B24543"/>
    <w:rsid w:val="00B24B39"/>
    <w:rsid w:val="00B25279"/>
    <w:rsid w:val="00B25390"/>
    <w:rsid w:val="00B254AC"/>
    <w:rsid w:val="00B2563E"/>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5507"/>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2348"/>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1D6"/>
    <w:rsid w:val="00BA66FC"/>
    <w:rsid w:val="00BA70D6"/>
    <w:rsid w:val="00BA770B"/>
    <w:rsid w:val="00BA7729"/>
    <w:rsid w:val="00BA7957"/>
    <w:rsid w:val="00BB067A"/>
    <w:rsid w:val="00BB1949"/>
    <w:rsid w:val="00BB1975"/>
    <w:rsid w:val="00BB21C0"/>
    <w:rsid w:val="00BB2D74"/>
    <w:rsid w:val="00BB339B"/>
    <w:rsid w:val="00BB38D2"/>
    <w:rsid w:val="00BB3C3B"/>
    <w:rsid w:val="00BB45FC"/>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2EB8"/>
    <w:rsid w:val="00C332EC"/>
    <w:rsid w:val="00C3344B"/>
    <w:rsid w:val="00C34581"/>
    <w:rsid w:val="00C34981"/>
    <w:rsid w:val="00C35DC3"/>
    <w:rsid w:val="00C36C67"/>
    <w:rsid w:val="00C374D0"/>
    <w:rsid w:val="00C37F99"/>
    <w:rsid w:val="00C41521"/>
    <w:rsid w:val="00C4168D"/>
    <w:rsid w:val="00C416B1"/>
    <w:rsid w:val="00C41960"/>
    <w:rsid w:val="00C42303"/>
    <w:rsid w:val="00C43994"/>
    <w:rsid w:val="00C44748"/>
    <w:rsid w:val="00C4588A"/>
    <w:rsid w:val="00C458DB"/>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0EC6"/>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639"/>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56A4"/>
    <w:rsid w:val="00DA6B5F"/>
    <w:rsid w:val="00DA7CED"/>
    <w:rsid w:val="00DA7EA5"/>
    <w:rsid w:val="00DB0D38"/>
    <w:rsid w:val="00DB123A"/>
    <w:rsid w:val="00DB1F78"/>
    <w:rsid w:val="00DB2DEB"/>
    <w:rsid w:val="00DB309C"/>
    <w:rsid w:val="00DB3DD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DF7183"/>
    <w:rsid w:val="00E00562"/>
    <w:rsid w:val="00E0074F"/>
    <w:rsid w:val="00E0095C"/>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B17"/>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4784"/>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3D33"/>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CF9"/>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13B"/>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0545"/>
    <w:rsid w:val="00FA15AA"/>
    <w:rsid w:val="00FA16AE"/>
    <w:rsid w:val="00FA188D"/>
    <w:rsid w:val="00FA1AC4"/>
    <w:rsid w:val="00FA1CFE"/>
    <w:rsid w:val="00FA27E6"/>
    <w:rsid w:val="00FA38D1"/>
    <w:rsid w:val="00FA4A24"/>
    <w:rsid w:val="00FA509D"/>
    <w:rsid w:val="00FA5BC8"/>
    <w:rsid w:val="00FA6E10"/>
    <w:rsid w:val="00FA7537"/>
    <w:rsid w:val="00FA7E7B"/>
    <w:rsid w:val="00FB106A"/>
    <w:rsid w:val="00FB11A4"/>
    <w:rsid w:val="00FB1CA8"/>
    <w:rsid w:val="00FB2C56"/>
    <w:rsid w:val="00FB33B7"/>
    <w:rsid w:val="00FB3DD4"/>
    <w:rsid w:val="00FB4006"/>
    <w:rsid w:val="00FB4609"/>
    <w:rsid w:val="00FB4617"/>
    <w:rsid w:val="00FB59BB"/>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DF2"/>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hu-HU"/>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hu-HU"/>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spacing w:before="240" w:after="140" w:line="240" w:lineRule="exact"/>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hu-HU"/>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hu-HU"/>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hu-HU"/>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hu-HU"/>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hu-HU"/>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hu-HU"/>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hu-HU" w:eastAsia="hu-HU"/>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hu-HU"/>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hu-HU" w:eastAsia="hu-HU"/>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hu-HU"/>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hu-HU"/>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hu-HU"/>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image" Target="media/image7.emf"/><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hyperlink" Target="https://www.envieval.eu/fileadmin/envieval/dissemination/deliverables/D9.5_Handbook_for_the_evaluation_of_environmental_impacts_of_RDPs.pdf" TargetMode="External"/><Relationship Id="rId40" Type="http://schemas.openxmlformats.org/officeDocument/2006/relationships/image" Target="media/image8.PNG"/><Relationship Id="rId45" Type="http://schemas.openxmlformats.org/officeDocument/2006/relationships/hyperlink" Target="https://enrd.ec.europa.eu/news-events/news/ex-post-evaluation-rdps-2007-2013_en"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0" Type="http://schemas.openxmlformats.org/officeDocument/2006/relationships/image" Target="media/image16.pn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image" Target="media/image6.png"/><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enrd.ec.europa.eu/enrd-static/app_templates/enrd_assets/pdf/evaluation/epe_master.pdf" TargetMode="External"/><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ec.europa.eu/agriculture/sites/agriculture/files/evaluation/rural-development-reports/2014/investment-support-rdp/fulltex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hu" TargetMode="External"/><Relationship Id="rId33" Type="http://schemas.openxmlformats.org/officeDocument/2006/relationships/footer" Target="footer4.xml"/><Relationship Id="rId38" Type="http://schemas.openxmlformats.org/officeDocument/2006/relationships/hyperlink" Target="https://www.envieval.eu/fileadmin/envieval/dissemination/deliverables/D9.5_Handbook_for_the_evaluation_of_environmental_impacts_of_RDPs.pdf" TargetMode="External"/><Relationship Id="rId46" Type="http://schemas.openxmlformats.org/officeDocument/2006/relationships/hyperlink" Target="https://enrd.ec.europa.eu/news-events/news/ex-post-evaluation-rdps-2007-2013_en" TargetMode="Externa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 TargetMode="External"/><Relationship Id="rId54" Type="http://schemas.openxmlformats.org/officeDocument/2006/relationships/image" Target="media/image10.png"/><Relationship Id="rId62"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hu/ALL/?uri=CELEX:32014R0808" TargetMode="External"/><Relationship Id="rId3" Type="http://schemas.openxmlformats.org/officeDocument/2006/relationships/hyperlink" Target="http://eur-lex.europa.eu/legal-content/hu/ALL/?uri=CELEX:32014R0808" TargetMode="External"/><Relationship Id="rId7" Type="http://schemas.openxmlformats.org/officeDocument/2006/relationships/hyperlink" Target="http://eur-lex.europa.eu/legal-content/HU/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hu/ALL/?uri=CELEX:32013R1305" TargetMode="External"/><Relationship Id="rId6" Type="http://schemas.openxmlformats.org/officeDocument/2006/relationships/hyperlink" Target="http://eur-lex.europa.eu/legal-content/HU/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FB238-4908-4A2B-BD8F-6F2E5519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8114</Words>
  <Characters>46252</Characters>
  <Application>Microsoft Office Word</Application>
  <DocSecurity>0</DocSecurity>
  <Lines>385</Lines>
  <Paragraphs>108</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54258</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2018-11-19T10:43:00Z</dcterms:created>
  <dcterms:modified xsi:type="dcterms:W3CDTF">2018-11-19T10:43:00Z</dcterms:modified>
</cp:coreProperties>
</file>