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061" w:rsidRPr="005667CD" w:rsidRDefault="000B213F" w:rsidP="0090758F">
      <w:pPr>
        <w:pStyle w:val="HHeadingboxes"/>
        <w:numPr>
          <w:ilvl w:val="0"/>
          <w:numId w:val="0"/>
        </w:numPr>
      </w:pPr>
      <w:r w:rsidRPr="005667CD">
        <w:rPr>
          <w:noProof/>
          <w:szCs w:val="24"/>
          <w:lang w:bidi="ar-SA"/>
        </w:rPr>
        <mc:AlternateContent>
          <mc:Choice Requires="wps">
            <w:drawing>
              <wp:anchor distT="0" distB="0" distL="114300" distR="114300" simplePos="0" relativeHeight="251654656" behindDoc="1" locked="0" layoutInCell="1" allowOverlap="1" wp14:anchorId="6C637F8E" wp14:editId="40215C7A">
                <wp:simplePos x="0" y="0"/>
                <wp:positionH relativeFrom="page">
                  <wp:posOffset>2053590</wp:posOffset>
                </wp:positionH>
                <wp:positionV relativeFrom="page">
                  <wp:posOffset>5022215</wp:posOffset>
                </wp:positionV>
                <wp:extent cx="4775835" cy="3150870"/>
                <wp:effectExtent l="0" t="0" r="5715" b="11430"/>
                <wp:wrapTight wrapText="bothSides">
                  <wp:wrapPolygon edited="0">
                    <wp:start x="0" y="0"/>
                    <wp:lineTo x="0" y="21548"/>
                    <wp:lineTo x="21540" y="21548"/>
                    <wp:lineTo x="21540" y="0"/>
                    <wp:lineTo x="0" y="0"/>
                  </wp:wrapPolygon>
                </wp:wrapTight>
                <wp:docPr id="9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835" cy="315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40E" w:rsidRPr="00E76949" w:rsidRDefault="0022740E" w:rsidP="00E76949">
                            <w:pPr>
                              <w:pStyle w:val="HTitle1"/>
                            </w:pPr>
                            <w:r>
                              <w:t>DIRECTRICES</w:t>
                            </w:r>
                          </w:p>
                          <w:p w:rsidR="0022740E" w:rsidRPr="00196DF6" w:rsidRDefault="0022740E" w:rsidP="00196DF6">
                            <w:pPr>
                              <w:pStyle w:val="HTitle2"/>
                            </w:pPr>
                            <w:r>
                              <w:t>Valoración de los logros e impactos de los PDR en 2019</w:t>
                            </w:r>
                          </w:p>
                          <w:p w:rsidR="0022740E" w:rsidRPr="00F15219" w:rsidRDefault="0022740E" w:rsidP="00196DF6">
                            <w:pPr>
                              <w:pStyle w:val="HTitle2"/>
                            </w:pPr>
                          </w:p>
                          <w:p w:rsidR="0022740E" w:rsidRPr="00435F02" w:rsidRDefault="0022740E" w:rsidP="00196DF6">
                            <w:pPr>
                              <w:pStyle w:val="HTitle3"/>
                              <w:rPr>
                                <w:color w:val="auto"/>
                              </w:rPr>
                            </w:pPr>
                            <w:r>
                              <w:rPr>
                                <w:color w:val="auto"/>
                              </w:rPr>
                              <w:t>Agosto de 2018</w:t>
                            </w:r>
                          </w:p>
                          <w:p w:rsidR="0022740E" w:rsidRDefault="0022740E" w:rsidP="00196DF6">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37F8E" id="_x0000_t202" coordsize="21600,21600" o:spt="202" path="m,l,21600r21600,l21600,xe">
                <v:stroke joinstyle="miter"/>
                <v:path gradientshapeok="t" o:connecttype="rect"/>
              </v:shapetype>
              <v:shape id="Text Box 5" o:spid="_x0000_s1026" type="#_x0000_t202" style="position:absolute;margin-left:161.7pt;margin-top:395.45pt;width:376.05pt;height:248.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tFsgIAAKw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" filled="f" stroked="f">
                <v:textbox inset="0,0,0,0">
                  <w:txbxContent>
                    <w:p w:rsidR="0022740E" w:rsidRPr="00E76949" w:rsidRDefault="0022740E" w:rsidP="00E76949">
                      <w:pPr>
                        <w:pStyle w:val="HTitle1"/>
                      </w:pPr>
                      <w:r>
                        <w:t>DIRECTRICES</w:t>
                      </w:r>
                    </w:p>
                    <w:p w:rsidR="0022740E" w:rsidRPr="00196DF6" w:rsidRDefault="0022740E" w:rsidP="00196DF6">
                      <w:pPr>
                        <w:pStyle w:val="HTitle2"/>
                      </w:pPr>
                      <w:r>
                        <w:t>Valoración de los logros e impactos de los PDR en 2019</w:t>
                      </w:r>
                    </w:p>
                    <w:p w:rsidR="0022740E" w:rsidRPr="00F15219" w:rsidRDefault="0022740E" w:rsidP="00196DF6">
                      <w:pPr>
                        <w:pStyle w:val="HTitle2"/>
                      </w:pPr>
                    </w:p>
                    <w:p w:rsidR="0022740E" w:rsidRPr="00435F02" w:rsidRDefault="0022740E" w:rsidP="00196DF6">
                      <w:pPr>
                        <w:pStyle w:val="HTitle3"/>
                        <w:rPr>
                          <w:color w:val="auto"/>
                        </w:rPr>
                      </w:pPr>
                      <w:r>
                        <w:rPr>
                          <w:color w:val="auto"/>
                        </w:rPr>
                        <w:t>Agosto de 2018</w:t>
                      </w:r>
                    </w:p>
                    <w:p w:rsidR="0022740E" w:rsidRDefault="0022740E" w:rsidP="00196DF6">
                      <w:pPr>
                        <w:pStyle w:val="HTitle3"/>
                      </w:pPr>
                    </w:p>
                  </w:txbxContent>
                </v:textbox>
                <w10:wrap type="tight" anchorx="page" anchory="page"/>
              </v:shape>
            </w:pict>
          </mc:Fallback>
        </mc:AlternateContent>
      </w:r>
      <w:r w:rsidRPr="005667CD">
        <w:rPr>
          <w:noProof/>
          <w:lang w:bidi="ar-SA"/>
        </w:rPr>
        <w:drawing>
          <wp:anchor distT="0" distB="0" distL="114300" distR="114300" simplePos="0" relativeHeight="251653631" behindDoc="1" locked="0" layoutInCell="1" allowOverlap="1" wp14:anchorId="5AE591C1" wp14:editId="3415865C">
            <wp:simplePos x="0" y="0"/>
            <wp:positionH relativeFrom="margin">
              <wp:posOffset>-918210</wp:posOffset>
            </wp:positionH>
            <wp:positionV relativeFrom="margin">
              <wp:posOffset>-914400</wp:posOffset>
            </wp:positionV>
            <wp:extent cx="7561580" cy="10683240"/>
            <wp:effectExtent l="1905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rsidRPr="005667CD">
        <w:t xml:space="preserve"> </w:t>
      </w:r>
      <w:r w:rsidRPr="005667CD">
        <w:br w:type="page"/>
      </w:r>
    </w:p>
    <w:p w:rsidR="00016061" w:rsidRPr="005667CD" w:rsidRDefault="000B213F" w:rsidP="007C6797">
      <w:pPr>
        <w:pStyle w:val="HStandard"/>
      </w:pPr>
      <w:r w:rsidRPr="005667CD">
        <w:rPr>
          <w:noProof/>
          <w:lang w:bidi="ar-SA"/>
        </w:rPr>
        <w:lastRenderedPageBreak/>
        <mc:AlternateContent>
          <mc:Choice Requires="wps">
            <w:drawing>
              <wp:anchor distT="0" distB="0" distL="114300" distR="114300" simplePos="0" relativeHeight="251664896" behindDoc="0" locked="0" layoutInCell="1" allowOverlap="1" wp14:anchorId="38D04AD1" wp14:editId="29D31423">
                <wp:simplePos x="0" y="0"/>
                <wp:positionH relativeFrom="margin">
                  <wp:posOffset>-428625</wp:posOffset>
                </wp:positionH>
                <wp:positionV relativeFrom="paragraph">
                  <wp:posOffset>3581400</wp:posOffset>
                </wp:positionV>
                <wp:extent cx="6583680" cy="5676265"/>
                <wp:effectExtent l="0" t="0" r="0" b="0"/>
                <wp:wrapNone/>
                <wp:docPr id="9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676265"/>
                        </a:xfrm>
                        <a:prstGeom prst="rect">
                          <a:avLst/>
                        </a:prstGeom>
                        <a:solidFill>
                          <a:srgbClr val="FFFFFF">
                            <a:alpha val="0"/>
                          </a:srgbClr>
                        </a:solidFill>
                        <a:ln>
                          <a:noFill/>
                        </a:ln>
                        <a:extLst/>
                      </wps:spPr>
                      <wps:txbx>
                        <w:txbxContent>
                          <w:p w:rsidR="0022740E" w:rsidRPr="00811EF1" w:rsidRDefault="0022740E" w:rsidP="00811EF1">
                            <w:pPr>
                              <w:pStyle w:val="Hdisclaimer"/>
                            </w:pPr>
                            <w:r>
                              <w:t>Aviso de derechos de autor</w:t>
                            </w:r>
                          </w:p>
                          <w:p w:rsidR="0022740E" w:rsidRPr="00811EF1" w:rsidRDefault="0022740E" w:rsidP="00811EF1">
                            <w:pPr>
                              <w:pStyle w:val="Hdisclaimer"/>
                            </w:pPr>
                            <w:r>
                              <w:t>© Unión Europea, 2018</w:t>
                            </w:r>
                          </w:p>
                          <w:p w:rsidR="0022740E" w:rsidRPr="00811EF1" w:rsidRDefault="0022740E" w:rsidP="00811EF1">
                            <w:pPr>
                              <w:pStyle w:val="Hdisclaimer"/>
                            </w:pPr>
                            <w:r>
                              <w:t>Se autoriza la reproducción siempre que se cite la fuente.</w:t>
                            </w:r>
                          </w:p>
                          <w:p w:rsidR="0022740E" w:rsidRPr="00811EF1" w:rsidRDefault="0022740E" w:rsidP="00811EF1">
                            <w:pPr>
                              <w:pStyle w:val="Hdisclaimer"/>
                            </w:pPr>
                            <w:r>
                              <w:t xml:space="preserve">Cita recomendada: </w:t>
                            </w:r>
                          </w:p>
                          <w:p w:rsidR="0022740E" w:rsidRDefault="0022740E" w:rsidP="00435F02">
                            <w:pPr>
                              <w:pStyle w:val="Hdisclaimer"/>
                            </w:pPr>
                            <w:r>
                              <w:t xml:space="preserve">COMISIÓN EUROPEA – Dirección General de Agricultura y Desarrollo Rural – Unidad C.4 (2018): Directrices. Valoración de los logros e impactos de los PDR en 2019. Bruselas, agosto de 2018. </w:t>
                            </w:r>
                          </w:p>
                          <w:p w:rsidR="0022740E" w:rsidRPr="00811EF1" w:rsidRDefault="0022740E" w:rsidP="00811EF1">
                            <w:pPr>
                              <w:pStyle w:val="Hdisclaimer"/>
                            </w:pPr>
                            <w:r>
                              <w:t>Exención de responsabilidad:</w:t>
                            </w:r>
                          </w:p>
                          <w:p w:rsidR="0022740E" w:rsidRPr="00811EF1" w:rsidRDefault="0022740E" w:rsidP="00811EF1">
                            <w:pPr>
                              <w:pStyle w:val="Hdisclaimer"/>
                            </w:pPr>
                            <w:r>
                              <w:t>La información y las opiniones expuestas en las presentes Directrices son las del autor o autores y no reflejan necesariamente la opinión oficial de la Comisión. La Comisión no garantiza la exactitud de los datos que figuran en las presentes Directrices. Ni la Comisión ni ninguna persona que actúe en su nombre podrán ser consideradas responsables del uso que pudiera hacerse de la información que contiene.</w:t>
                            </w:r>
                          </w:p>
                          <w:p w:rsidR="0022740E" w:rsidRPr="00811EF1" w:rsidRDefault="0022740E" w:rsidP="005B24FC">
                            <w:pPr>
                              <w:pStyle w:val="Hdisclaimer"/>
                              <w:tabs>
                                <w:tab w:val="right" w:pos="10065"/>
                              </w:tabs>
                            </w:pPr>
                            <w:r>
                              <w:rPr>
                                <w:noProof/>
                                <w:color w:val="auto"/>
                                <w:lang w:bidi="ar-SA"/>
                              </w:rPr>
                              <w:drawing>
                                <wp:inline distT="0" distB="0" distL="0" distR="0" wp14:anchorId="03927013" wp14:editId="23E244EC">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bidi="ar-SA"/>
                              </w:rPr>
                              <w:drawing>
                                <wp:inline distT="0" distB="0" distL="0" distR="0" wp14:anchorId="3A7AD82B" wp14:editId="15C3B993">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22740E" w:rsidRPr="00811EF1" w:rsidRDefault="0022740E" w:rsidP="00811EF1">
                            <w:pPr>
                              <w:pStyle w:val="Hdisclaimer"/>
                            </w:pPr>
                            <w:r>
                              <w:t>El Servicio de asistencia de evaluación es responsable de la función de evaluación dentro de la Red Europea de Desarrollo Rural (REDR) proporcionando orientación sobre la evaluación de los PDR y las políticas que recaen en el ámbito de competencias y orientación de la Unidad C.4 de la DG AGRI «Seguimiento y evaluación» de la Comisión Europea (CE). Para mejorar la evaluación de la política de desarrollo rural de la Unión Europea, el Servicio de asistencia de evaluación presta apoyo a todas las partes interesadas en la evaluación, en particular a la DG AGRI, a las autoridades nacionales, a las autoridades de gestión y a los evaluadores de los PDR, mediante el desarrollo y la difusión de metodologías y herramientas adecuadas, la recopilación y el intercambio de buenas prácticas, el desarrollo de capacidades y la comunicación con los miembros de la red sobre temas relacionados con la evaluación.</w:t>
                            </w:r>
                          </w:p>
                          <w:p w:rsidR="0022740E" w:rsidRPr="00811EF1" w:rsidRDefault="0022740E" w:rsidP="00811EF1">
                            <w:pPr>
                              <w:pStyle w:val="Hdisclaimer"/>
                            </w:pPr>
                            <w:r>
                              <w:t>En el servidor Europa de Internet se puede consultar información adicional sobre las actividades del Servicio de asistencia de evaluación europeo para el desarrollo rural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04AD1" id="Text Box 7" o:spid="_x0000_s1027" type="#_x0000_t202" style="position:absolute;left:0;text-align:left;margin-left:-33.75pt;margin-top:282pt;width:518.4pt;height:446.9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" stroked="f">
                <v:fill opacity="0"/>
                <v:textbox>
                  <w:txbxContent>
                    <w:p w:rsidR="0022740E" w:rsidRPr="00811EF1" w:rsidRDefault="0022740E" w:rsidP="00811EF1">
                      <w:pPr>
                        <w:pStyle w:val="Hdisclaimer"/>
                      </w:pPr>
                      <w:r>
                        <w:t>Aviso de derechos de autor</w:t>
                      </w:r>
                    </w:p>
                    <w:p w:rsidR="0022740E" w:rsidRPr="00811EF1" w:rsidRDefault="0022740E" w:rsidP="00811EF1">
                      <w:pPr>
                        <w:pStyle w:val="Hdisclaimer"/>
                      </w:pPr>
                      <w:r>
                        <w:t>© Unión Europea, 2018</w:t>
                      </w:r>
                    </w:p>
                    <w:p w:rsidR="0022740E" w:rsidRPr="00811EF1" w:rsidRDefault="0022740E" w:rsidP="00811EF1">
                      <w:pPr>
                        <w:pStyle w:val="Hdisclaimer"/>
                      </w:pPr>
                      <w:r>
                        <w:t>Se autoriza la reproducción siempre que se cite la fuente.</w:t>
                      </w:r>
                    </w:p>
                    <w:p w:rsidR="0022740E" w:rsidRPr="00811EF1" w:rsidRDefault="0022740E" w:rsidP="00811EF1">
                      <w:pPr>
                        <w:pStyle w:val="Hdisclaimer"/>
                      </w:pPr>
                      <w:r>
                        <w:t xml:space="preserve">Cita recomendada: </w:t>
                      </w:r>
                    </w:p>
                    <w:p w:rsidR="0022740E" w:rsidRDefault="0022740E" w:rsidP="00435F02">
                      <w:pPr>
                        <w:pStyle w:val="Hdisclaimer"/>
                      </w:pPr>
                      <w:r>
                        <w:t xml:space="preserve">COMISIÓN EUROPEA – Dirección General de Agricultura y Desarrollo Rural – Unidad C.4 (2018): Directrices. Valoración de los logros e impactos de los PDR en 2019. Bruselas, agosto de 2018. </w:t>
                      </w:r>
                    </w:p>
                    <w:p w:rsidR="0022740E" w:rsidRPr="00811EF1" w:rsidRDefault="0022740E" w:rsidP="00811EF1">
                      <w:pPr>
                        <w:pStyle w:val="Hdisclaimer"/>
                      </w:pPr>
                      <w:r>
                        <w:t>Exención de responsabilidad:</w:t>
                      </w:r>
                    </w:p>
                    <w:p w:rsidR="0022740E" w:rsidRPr="00811EF1" w:rsidRDefault="0022740E" w:rsidP="00811EF1">
                      <w:pPr>
                        <w:pStyle w:val="Hdisclaimer"/>
                      </w:pPr>
                      <w:r>
                        <w:t>La información y las opiniones expuestas en las presentes Directrices son las del autor o autores y no reflejan necesariamente la opinión oficial de la Comisión. La Comisión no garantiza la exactitud de los datos que figuran en las presentes Directrices. Ni la Comisión ni ninguna persona que actúe en su nombre podrán ser consideradas responsables del uso que pudiera hacerse de la información que contiene.</w:t>
                      </w:r>
                    </w:p>
                    <w:p w:rsidR="0022740E" w:rsidRPr="00811EF1" w:rsidRDefault="0022740E" w:rsidP="005B24FC">
                      <w:pPr>
                        <w:pStyle w:val="Hdisclaimer"/>
                        <w:tabs>
                          <w:tab w:val="right" w:pos="10065"/>
                        </w:tabs>
                      </w:pPr>
                      <w:r>
                        <w:rPr>
                          <w:noProof/>
                          <w:color w:val="auto"/>
                          <w:lang w:bidi="ar-SA"/>
                        </w:rPr>
                        <w:drawing>
                          <wp:inline distT="0" distB="0" distL="0" distR="0" wp14:anchorId="03927013" wp14:editId="23E244EC">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bidi="ar-SA"/>
                        </w:rPr>
                        <w:drawing>
                          <wp:inline distT="0" distB="0" distL="0" distR="0" wp14:anchorId="3A7AD82B" wp14:editId="15C3B993">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22740E" w:rsidRPr="00811EF1" w:rsidRDefault="0022740E" w:rsidP="00811EF1">
                      <w:pPr>
                        <w:pStyle w:val="Hdisclaimer"/>
                      </w:pPr>
                      <w:r>
                        <w:t>El Servicio de asistencia de evaluación es responsable de la función de evaluación dentro de la Red Europea de Desarrollo Rural (REDR) proporcionando orientación sobre la evaluación de los PDR y las políticas que recaen en el ámbito de competencias y orientación de la Unidad C.4 de la DG AGRI «Seguimiento y evaluación» de la Comisión Europea (CE). Para mejorar la evaluación de la política de desarrollo rural de la Unión Europea, el Servicio de asistencia de evaluación presta apoyo a todas las partes interesadas en la evaluación, en particular a la DG AGRI, a las autoridades nacionales, a las autoridades de gestión y a los evaluadores de los PDR, mediante el desarrollo y la difusión de metodologías y herramientas adecuadas, la recopilación y el intercambio de buenas prácticas, el desarrollo de capacidades y la comunicación con los miembros de la red sobre temas relacionados con la evaluación.</w:t>
                      </w:r>
                    </w:p>
                    <w:p w:rsidR="0022740E" w:rsidRPr="00811EF1" w:rsidRDefault="0022740E" w:rsidP="00811EF1">
                      <w:pPr>
                        <w:pStyle w:val="Hdisclaimer"/>
                      </w:pPr>
                      <w:r>
                        <w:t>En el servidor Europa de Internet se puede consultar información adicional sobre las actividades del Servicio de asistencia de evaluación europeo para el desarrollo rural (http://enrd.ec.europa.eu).</w:t>
                      </w:r>
                    </w:p>
                  </w:txbxContent>
                </v:textbox>
                <w10:wrap anchorx="margin"/>
              </v:shape>
            </w:pict>
          </mc:Fallback>
        </mc:AlternateContent>
      </w:r>
      <w:r w:rsidRPr="005667CD">
        <w:br w:type="page"/>
      </w:r>
    </w:p>
    <w:p w:rsidR="00016061" w:rsidRPr="005667CD" w:rsidRDefault="00016061" w:rsidP="007C6797">
      <w:pPr>
        <w:pStyle w:val="HStandard"/>
      </w:pPr>
    </w:p>
    <w:p w:rsidR="00016061" w:rsidRPr="005667CD" w:rsidRDefault="00016061" w:rsidP="007C6797">
      <w:pPr>
        <w:pStyle w:val="HStandard"/>
      </w:pPr>
    </w:p>
    <w:p w:rsidR="00016061" w:rsidRPr="005667CD" w:rsidRDefault="00016061" w:rsidP="007C6797">
      <w:pPr>
        <w:pStyle w:val="HStandard"/>
      </w:pPr>
    </w:p>
    <w:p w:rsidR="00016061" w:rsidRPr="005667CD" w:rsidRDefault="000B213F" w:rsidP="007C6797">
      <w:pPr>
        <w:pStyle w:val="HStandard"/>
      </w:pPr>
      <w:r w:rsidRPr="005667CD">
        <w:rPr>
          <w:noProof/>
          <w:lang w:bidi="ar-SA"/>
        </w:rPr>
        <mc:AlternateContent>
          <mc:Choice Requires="wps">
            <w:drawing>
              <wp:anchor distT="0" distB="0" distL="114300" distR="114300" simplePos="0" relativeHeight="251665920" behindDoc="1" locked="0" layoutInCell="1" allowOverlap="1" wp14:anchorId="21B83EE2" wp14:editId="34513879">
                <wp:simplePos x="0" y="0"/>
                <wp:positionH relativeFrom="page">
                  <wp:posOffset>2204720</wp:posOffset>
                </wp:positionH>
                <wp:positionV relativeFrom="page">
                  <wp:posOffset>5175250</wp:posOffset>
                </wp:positionV>
                <wp:extent cx="4958080" cy="3855720"/>
                <wp:effectExtent l="0" t="0" r="13970" b="11430"/>
                <wp:wrapTight wrapText="bothSides">
                  <wp:wrapPolygon edited="0">
                    <wp:start x="0" y="0"/>
                    <wp:lineTo x="0" y="21557"/>
                    <wp:lineTo x="21578" y="21557"/>
                    <wp:lineTo x="21578" y="0"/>
                    <wp:lineTo x="0" y="0"/>
                  </wp:wrapPolygon>
                </wp:wrapTight>
                <wp:docPr id="9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40E" w:rsidRPr="00F15219" w:rsidRDefault="0022740E" w:rsidP="00E76949">
                            <w:pPr>
                              <w:pStyle w:val="HTitle1"/>
                            </w:pPr>
                            <w:r>
                              <w:t>Directrices</w:t>
                            </w:r>
                          </w:p>
                          <w:p w:rsidR="0022740E" w:rsidRPr="00F15219" w:rsidRDefault="0022740E" w:rsidP="00BE49CF">
                            <w:pPr>
                              <w:pStyle w:val="HTitle2"/>
                            </w:pPr>
                            <w:r>
                              <w:t>Valoración de los logros e impactos de los PDR en 2019</w:t>
                            </w:r>
                          </w:p>
                          <w:p w:rsidR="0022740E" w:rsidRPr="00F15219" w:rsidRDefault="0022740E" w:rsidP="00196DF6">
                            <w:pPr>
                              <w:pStyle w:val="HTitle2"/>
                            </w:pPr>
                          </w:p>
                          <w:p w:rsidR="0022740E" w:rsidRPr="00D46054" w:rsidRDefault="0022740E" w:rsidP="00BE49CF">
                            <w:pPr>
                              <w:pStyle w:val="HTitle3"/>
                              <w:rPr>
                                <w:color w:val="auto"/>
                              </w:rPr>
                            </w:pPr>
                            <w:r>
                              <w:rPr>
                                <w:color w:val="auto"/>
                              </w:rPr>
                              <w:t>Agosto de 2018</w:t>
                            </w:r>
                          </w:p>
                          <w:p w:rsidR="0022740E" w:rsidRPr="00D46054" w:rsidRDefault="0022740E" w:rsidP="00196DF6">
                            <w:pPr>
                              <w:pStyle w:val="HTitle3"/>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83EE2" id="Text Box 16" o:spid="_x0000_s1028" type="#_x0000_t202" style="position:absolute;left:0;text-align:left;margin-left:173.6pt;margin-top:407.5pt;width:390.4pt;height:303.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82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" filled="f" stroked="f">
                <v:textbox inset="0,0,0,0">
                  <w:txbxContent>
                    <w:p w:rsidR="0022740E" w:rsidRPr="00F15219" w:rsidRDefault="0022740E" w:rsidP="00E76949">
                      <w:pPr>
                        <w:pStyle w:val="HTitle1"/>
                      </w:pPr>
                      <w:r>
                        <w:t>Directrices</w:t>
                      </w:r>
                    </w:p>
                    <w:p w:rsidR="0022740E" w:rsidRPr="00F15219" w:rsidRDefault="0022740E" w:rsidP="00BE49CF">
                      <w:pPr>
                        <w:pStyle w:val="HTitle2"/>
                      </w:pPr>
                      <w:r>
                        <w:t>Valoración de los logros e impactos de los PDR en 2019</w:t>
                      </w:r>
                    </w:p>
                    <w:p w:rsidR="0022740E" w:rsidRPr="00F15219" w:rsidRDefault="0022740E" w:rsidP="00196DF6">
                      <w:pPr>
                        <w:pStyle w:val="HTitle2"/>
                      </w:pPr>
                    </w:p>
                    <w:p w:rsidR="0022740E" w:rsidRPr="00D46054" w:rsidRDefault="0022740E" w:rsidP="00BE49CF">
                      <w:pPr>
                        <w:pStyle w:val="HTitle3"/>
                        <w:rPr>
                          <w:color w:val="auto"/>
                        </w:rPr>
                      </w:pPr>
                      <w:r>
                        <w:rPr>
                          <w:color w:val="auto"/>
                        </w:rPr>
                        <w:t>Agosto de 2018</w:t>
                      </w:r>
                    </w:p>
                    <w:p w:rsidR="0022740E" w:rsidRPr="00D46054" w:rsidRDefault="0022740E" w:rsidP="00196DF6">
                      <w:pPr>
                        <w:pStyle w:val="HTitle3"/>
                        <w:rPr>
                          <w:color w:val="auto"/>
                        </w:rPr>
                      </w:pPr>
                    </w:p>
                  </w:txbxContent>
                </v:textbox>
                <w10:wrap type="tight" anchorx="page" anchory="page"/>
              </v:shape>
            </w:pict>
          </mc:Fallback>
        </mc:AlternateContent>
      </w:r>
    </w:p>
    <w:p w:rsidR="00016061" w:rsidRPr="005667CD" w:rsidRDefault="00016061" w:rsidP="007C6797">
      <w:pPr>
        <w:pStyle w:val="HStandard"/>
        <w:sectPr w:rsidR="00016061" w:rsidRPr="005667CD" w:rsidSect="0073782F">
          <w:headerReference w:type="even" r:id="rId11"/>
          <w:headerReference w:type="default" r:id="rId12"/>
          <w:footerReference w:type="even" r:id="rId13"/>
          <w:footerReference w:type="default" r:id="rId14"/>
          <w:headerReference w:type="first" r:id="rId15"/>
          <w:footerReference w:type="first" r:id="rId16"/>
          <w:pgSz w:w="11906" w:h="16838" w:code="9"/>
          <w:pgMar w:top="1400" w:right="1400" w:bottom="1134" w:left="1400" w:header="284" w:footer="709" w:gutter="0"/>
          <w:cols w:space="708"/>
          <w:titlePg/>
          <w:docGrid w:linePitch="360"/>
        </w:sectPr>
      </w:pPr>
    </w:p>
    <w:p w:rsidR="008B6E5C" w:rsidRPr="005667CD" w:rsidRDefault="008B6E5C">
      <w:pPr>
        <w:spacing w:before="0" w:after="0" w:line="240" w:lineRule="auto"/>
        <w:jc w:val="left"/>
        <w:rPr>
          <w:rFonts w:cs="Arial"/>
          <w:b/>
          <w:bCs/>
          <w:caps/>
          <w:color w:val="F07E31" w:themeColor="accent1"/>
          <w:kern w:val="32"/>
          <w:sz w:val="20"/>
          <w:szCs w:val="32"/>
        </w:rPr>
      </w:pPr>
      <w:r w:rsidRPr="005667CD">
        <w:lastRenderedPageBreak/>
        <w:br w:type="page"/>
      </w:r>
    </w:p>
    <w:p w:rsidR="000B62C2" w:rsidRPr="005667CD" w:rsidRDefault="000B62C2" w:rsidP="000B62C2">
      <w:pPr>
        <w:pStyle w:val="HContent"/>
      </w:pPr>
      <w:r w:rsidRPr="005667CD">
        <w:lastRenderedPageBreak/>
        <w:t>Índice</w:t>
      </w:r>
    </w:p>
    <w:p w:rsidR="00FB5A40" w:rsidRPr="005667CD" w:rsidRDefault="00FB5A40" w:rsidP="00062EC4">
      <w:pPr>
        <w:tabs>
          <w:tab w:val="left" w:pos="600"/>
          <w:tab w:val="right" w:pos="8880"/>
        </w:tabs>
        <w:ind w:right="506"/>
      </w:pPr>
      <w:r w:rsidRPr="005667CD">
        <w:t>Agradecimientos</w:t>
      </w:r>
      <w:r w:rsidR="00062EC4" w:rsidRPr="005667CD">
        <w:tab/>
      </w:r>
      <w:r w:rsidRPr="005667CD">
        <w:t>1</w:t>
      </w:r>
    </w:p>
    <w:p w:rsidR="00FB5A40" w:rsidRPr="005667CD" w:rsidRDefault="00FB5A40" w:rsidP="00062EC4">
      <w:pPr>
        <w:tabs>
          <w:tab w:val="left" w:pos="600"/>
          <w:tab w:val="right" w:pos="8880"/>
        </w:tabs>
        <w:ind w:right="506"/>
      </w:pPr>
      <w:r w:rsidRPr="005667CD">
        <w:t>INTRODUCCIÓN</w:t>
      </w:r>
      <w:r w:rsidRPr="005667CD">
        <w:tab/>
        <w:t>2</w:t>
      </w:r>
    </w:p>
    <w:p w:rsidR="00FB5A40" w:rsidRPr="005667CD" w:rsidRDefault="00FB5A40" w:rsidP="00062EC4">
      <w:pPr>
        <w:tabs>
          <w:tab w:val="left" w:pos="600"/>
          <w:tab w:val="right" w:pos="8880"/>
        </w:tabs>
        <w:ind w:right="506"/>
      </w:pPr>
      <w:r w:rsidRPr="005667CD">
        <w:t>1</w:t>
      </w:r>
      <w:r w:rsidRPr="005667CD">
        <w:tab/>
        <w:t>¿Qué debe notificarse acerca de la evaluación en el IAE</w:t>
      </w:r>
      <w:r w:rsidR="004C78EA" w:rsidRPr="005667CD">
        <w:t xml:space="preserve"> presentado en 2019? (Parte I)</w:t>
      </w:r>
      <w:r w:rsidR="004C78EA" w:rsidRPr="005667CD">
        <w:tab/>
        <w:t>4</w:t>
      </w:r>
    </w:p>
    <w:p w:rsidR="00FB5A40" w:rsidRPr="005667CD" w:rsidRDefault="00FB5A40" w:rsidP="00062EC4">
      <w:pPr>
        <w:tabs>
          <w:tab w:val="left" w:pos="600"/>
          <w:tab w:val="right" w:pos="8880"/>
        </w:tabs>
        <w:ind w:right="506"/>
      </w:pPr>
      <w:r w:rsidRPr="005667CD">
        <w:t>1.1</w:t>
      </w:r>
      <w:r w:rsidRPr="005667CD">
        <w:tab/>
        <w:t>Marco jurídico y objetivo prin</w:t>
      </w:r>
      <w:r w:rsidR="004C78EA" w:rsidRPr="005667CD">
        <w:t>cipal de la evaluación en 2019</w:t>
      </w:r>
      <w:r w:rsidR="004C78EA" w:rsidRPr="005667CD">
        <w:tab/>
        <w:t>4</w:t>
      </w:r>
    </w:p>
    <w:p w:rsidR="00FB5A40" w:rsidRPr="005667CD" w:rsidRDefault="00FB5A40" w:rsidP="00062EC4">
      <w:pPr>
        <w:tabs>
          <w:tab w:val="left" w:pos="600"/>
          <w:tab w:val="right" w:pos="8880"/>
        </w:tabs>
        <w:ind w:right="506"/>
      </w:pPr>
      <w:r w:rsidRPr="005667CD">
        <w:t>1.2</w:t>
      </w:r>
      <w:r w:rsidRPr="005667CD">
        <w:tab/>
        <w:t>¿Cómo i</w:t>
      </w:r>
      <w:r w:rsidR="004C78EA" w:rsidRPr="005667CD">
        <w:t>nformar sobre las PCE en 2019?</w:t>
      </w:r>
      <w:r w:rsidR="004C78EA" w:rsidRPr="005667CD">
        <w:tab/>
        <w:t>7</w:t>
      </w:r>
    </w:p>
    <w:p w:rsidR="00FB5A40" w:rsidRPr="005667CD" w:rsidRDefault="00FB5A40" w:rsidP="00062EC4">
      <w:pPr>
        <w:tabs>
          <w:tab w:val="left" w:pos="600"/>
          <w:tab w:val="right" w:pos="8880"/>
        </w:tabs>
        <w:ind w:right="506"/>
      </w:pPr>
      <w:r w:rsidRPr="005667CD">
        <w:t>1.3</w:t>
      </w:r>
      <w:r w:rsidRPr="005667CD">
        <w:tab/>
        <w:t>Preparación del in</w:t>
      </w:r>
      <w:r w:rsidR="004C78EA" w:rsidRPr="005667CD">
        <w:t>forme anual de gestión en 2019</w:t>
      </w:r>
      <w:r w:rsidR="004C78EA" w:rsidRPr="005667CD">
        <w:tab/>
        <w:t>10</w:t>
      </w:r>
    </w:p>
    <w:p w:rsidR="00FB5A40" w:rsidRPr="005667CD" w:rsidRDefault="00FB5A40" w:rsidP="00062EC4">
      <w:pPr>
        <w:tabs>
          <w:tab w:val="left" w:pos="600"/>
          <w:tab w:val="right" w:pos="8880"/>
        </w:tabs>
        <w:ind w:right="506"/>
      </w:pPr>
      <w:r w:rsidRPr="005667CD">
        <w:t>2</w:t>
      </w:r>
      <w:r w:rsidRPr="005667CD">
        <w:tab/>
        <w:t xml:space="preserve">Enfoques para valorar los impactos </w:t>
      </w:r>
      <w:r w:rsidR="004C78EA" w:rsidRPr="005667CD">
        <w:t>de los PDR en 2019 (PARTE II)</w:t>
      </w:r>
      <w:r w:rsidR="004C78EA" w:rsidRPr="005667CD">
        <w:tab/>
        <w:t>14</w:t>
      </w:r>
    </w:p>
    <w:p w:rsidR="00FB5A40" w:rsidRPr="005667CD" w:rsidRDefault="00FB5A40" w:rsidP="00062EC4">
      <w:pPr>
        <w:tabs>
          <w:tab w:val="left" w:pos="600"/>
          <w:tab w:val="right" w:pos="8880"/>
        </w:tabs>
        <w:ind w:right="506"/>
      </w:pPr>
      <w:r w:rsidRPr="005667CD">
        <w:t>2.1</w:t>
      </w:r>
      <w:r w:rsidRPr="005667CD">
        <w:tab/>
        <w:t>Elección de enfoques de evaluación adecuados para va</w:t>
      </w:r>
      <w:r w:rsidR="004C78EA" w:rsidRPr="005667CD">
        <w:t>lorar los impactos de los PDR</w:t>
      </w:r>
      <w:r w:rsidR="004C78EA" w:rsidRPr="005667CD">
        <w:tab/>
        <w:t>14</w:t>
      </w:r>
    </w:p>
    <w:p w:rsidR="00FB5A40" w:rsidRPr="005667CD" w:rsidRDefault="00FB5A40" w:rsidP="00062EC4">
      <w:pPr>
        <w:tabs>
          <w:tab w:val="left" w:pos="600"/>
          <w:tab w:val="right" w:pos="8880"/>
        </w:tabs>
        <w:ind w:left="600" w:right="506" w:hanging="600"/>
      </w:pPr>
      <w:r w:rsidRPr="005667CD">
        <w:t>2.1.1</w:t>
      </w:r>
      <w:r w:rsidRPr="005667CD">
        <w:tab/>
        <w:t>¿Cómo pueden utilizarse los modelos lógicos para determinar qué enfoques</w:t>
      </w:r>
      <w:r w:rsidR="00714E32" w:rsidRPr="005667CD">
        <w:t xml:space="preserve"> de evaluación son adecuados?</w:t>
      </w:r>
      <w:r w:rsidR="00714E32" w:rsidRPr="005667CD">
        <w:tab/>
        <w:t>14</w:t>
      </w:r>
    </w:p>
    <w:p w:rsidR="00FB5A40" w:rsidRPr="005667CD" w:rsidRDefault="00FB5A40" w:rsidP="00062EC4">
      <w:pPr>
        <w:tabs>
          <w:tab w:val="left" w:pos="600"/>
          <w:tab w:val="right" w:pos="8880"/>
        </w:tabs>
        <w:ind w:left="600" w:right="506" w:hanging="600"/>
      </w:pPr>
      <w:r w:rsidRPr="005667CD">
        <w:t>2.1.2</w:t>
      </w:r>
      <w:r w:rsidRPr="005667CD">
        <w:tab/>
        <w:t>Descripción de los enfoques de evaluación recomendados para valorar los ind</w:t>
      </w:r>
      <w:r w:rsidR="00714E32" w:rsidRPr="005667CD">
        <w:t>icadores de impacto de la PAC</w:t>
      </w:r>
      <w:r w:rsidR="00714E32" w:rsidRPr="005667CD">
        <w:tab/>
        <w:t>25</w:t>
      </w:r>
    </w:p>
    <w:p w:rsidR="00016061" w:rsidRPr="005667CD" w:rsidRDefault="00542440" w:rsidP="000B62C2">
      <w:pPr>
        <w:pStyle w:val="HContent"/>
      </w:pPr>
      <w:r w:rsidRPr="005667CD">
        <w:lastRenderedPageBreak/>
        <w:t xml:space="preserve">Cuadros y figuras </w:t>
      </w:r>
    </w:p>
    <w:p w:rsidR="00FB5A40" w:rsidRPr="005667CD" w:rsidRDefault="00FB5A40" w:rsidP="00062EC4">
      <w:pPr>
        <w:tabs>
          <w:tab w:val="left" w:pos="1200"/>
          <w:tab w:val="right" w:pos="8880"/>
        </w:tabs>
        <w:ind w:right="386"/>
      </w:pPr>
      <w:r w:rsidRPr="005667CD">
        <w:t>Cuadro 1.</w:t>
      </w:r>
      <w:r w:rsidRPr="005667CD">
        <w:tab/>
        <w:t>Orientaciones para responder a las PCE en el info</w:t>
      </w:r>
      <w:r w:rsidR="00714E32" w:rsidRPr="005667CD">
        <w:t>rme anual de ejecución en 2019</w:t>
      </w:r>
      <w:r w:rsidR="00714E32" w:rsidRPr="005667CD">
        <w:tab/>
        <w:t>9</w:t>
      </w:r>
    </w:p>
    <w:p w:rsidR="00FB5A40" w:rsidRPr="005667CD" w:rsidRDefault="00FB5A40" w:rsidP="00062EC4">
      <w:pPr>
        <w:tabs>
          <w:tab w:val="left" w:pos="1200"/>
          <w:tab w:val="right" w:pos="8880"/>
        </w:tabs>
        <w:ind w:right="386"/>
      </w:pPr>
      <w:r w:rsidRPr="005667CD">
        <w:t>Cuadro 2.</w:t>
      </w:r>
      <w:r w:rsidRPr="005667CD">
        <w:tab/>
        <w:t>Lista de comprobación de los pasos recomenda</w:t>
      </w:r>
      <w:r w:rsidR="00714E32" w:rsidRPr="005667CD">
        <w:t>dos para la evaluación en 2019</w:t>
      </w:r>
      <w:r w:rsidR="00714E32" w:rsidRPr="005667CD">
        <w:tab/>
        <w:t>11</w:t>
      </w:r>
    </w:p>
    <w:p w:rsidR="00FB5A40" w:rsidRPr="005667CD" w:rsidRDefault="00FB5A40" w:rsidP="00062EC4">
      <w:pPr>
        <w:tabs>
          <w:tab w:val="left" w:pos="1200"/>
          <w:tab w:val="right" w:pos="8880"/>
        </w:tabs>
        <w:ind w:left="1200" w:right="386" w:hanging="1200"/>
      </w:pPr>
      <w:r w:rsidRPr="005667CD">
        <w:t>Cuadro 3.</w:t>
      </w:r>
      <w:r w:rsidRPr="005667CD">
        <w:tab/>
        <w:t xml:space="preserve">Ejemplos de los enfoques de evaluación recomendados </w:t>
      </w:r>
      <w:r w:rsidR="00714E32" w:rsidRPr="005667CD">
        <w:t>para valorar los indicadores de impacto de la PAC</w:t>
      </w:r>
      <w:r w:rsidR="00714E32" w:rsidRPr="005667CD">
        <w:tab/>
        <w:t>27</w:t>
      </w:r>
    </w:p>
    <w:p w:rsidR="00FE491B" w:rsidRPr="005667CD" w:rsidRDefault="00FE491B" w:rsidP="00FE491B">
      <w:pPr>
        <w:pStyle w:val="HContent"/>
      </w:pPr>
      <w:r w:rsidRPr="005667CD">
        <w:lastRenderedPageBreak/>
        <w:t>Lista de acrónimos</w:t>
      </w:r>
    </w:p>
    <w:p w:rsidR="004A2938" w:rsidRPr="005667CD" w:rsidRDefault="004A2938" w:rsidP="00FE491B">
      <w:pPr>
        <w:pStyle w:val="HStandard"/>
        <w:ind w:left="993" w:hanging="993"/>
      </w:pPr>
      <w:r w:rsidRPr="005667CD">
        <w:t>AEI</w:t>
      </w:r>
      <w:r w:rsidRPr="005667CD">
        <w:tab/>
      </w:r>
      <w:r w:rsidRPr="005667CD">
        <w:tab/>
        <w:t>Asociación Europea para la Innovación</w:t>
      </w:r>
    </w:p>
    <w:p w:rsidR="004A2938" w:rsidRPr="005667CD" w:rsidRDefault="004A2938" w:rsidP="00FE491B">
      <w:pPr>
        <w:pStyle w:val="HStandard"/>
        <w:ind w:left="993" w:hanging="993"/>
      </w:pPr>
      <w:r w:rsidRPr="005667CD">
        <w:t>AG</w:t>
      </w:r>
      <w:r w:rsidRPr="005667CD">
        <w:tab/>
      </w:r>
      <w:r w:rsidRPr="005667CD">
        <w:tab/>
        <w:t>Autoridad de gestión</w:t>
      </w:r>
    </w:p>
    <w:p w:rsidR="004A2938" w:rsidRPr="005667CD" w:rsidRDefault="004A2938" w:rsidP="00FE491B">
      <w:pPr>
        <w:pStyle w:val="HStandard"/>
        <w:ind w:left="993" w:hanging="993"/>
      </w:pPr>
      <w:r w:rsidRPr="005667CD">
        <w:t>AI</w:t>
      </w:r>
      <w:r w:rsidRPr="005667CD">
        <w:tab/>
      </w:r>
      <w:r w:rsidRPr="005667CD">
        <w:tab/>
        <w:t>Ámbito de interés</w:t>
      </w:r>
    </w:p>
    <w:p w:rsidR="004A2938" w:rsidRPr="005667CD" w:rsidRDefault="004A2938" w:rsidP="00FE491B">
      <w:pPr>
        <w:pStyle w:val="HStandard"/>
        <w:ind w:left="993" w:hanging="993"/>
      </w:pPr>
      <w:r w:rsidRPr="005667CD">
        <w:t>AIO</w:t>
      </w:r>
      <w:r w:rsidRPr="005667CD">
        <w:tab/>
      </w:r>
      <w:r w:rsidRPr="005667CD">
        <w:tab/>
        <w:t>Análisis input-output</w:t>
      </w:r>
    </w:p>
    <w:p w:rsidR="004A2938" w:rsidRPr="005667CD" w:rsidRDefault="004A2938" w:rsidP="00FE491B">
      <w:pPr>
        <w:pStyle w:val="HStandard"/>
        <w:ind w:left="993" w:hanging="993"/>
      </w:pPr>
      <w:r w:rsidRPr="005667CD">
        <w:t>AT</w:t>
      </w:r>
      <w:r w:rsidRPr="005667CD">
        <w:tab/>
      </w:r>
      <w:r w:rsidRPr="005667CD">
        <w:tab/>
        <w:t>Asistencia técnica</w:t>
      </w:r>
    </w:p>
    <w:p w:rsidR="004A2938" w:rsidRPr="005667CD" w:rsidRDefault="004A2938" w:rsidP="00FE491B">
      <w:pPr>
        <w:pStyle w:val="HStandard"/>
        <w:ind w:left="993" w:hanging="993"/>
      </w:pPr>
      <w:r w:rsidRPr="005667CD">
        <w:t>AVN</w:t>
      </w:r>
      <w:r w:rsidRPr="005667CD">
        <w:tab/>
      </w:r>
      <w:r w:rsidRPr="005667CD">
        <w:tab/>
        <w:t>Agricultura con un elevado valor natural</w:t>
      </w:r>
    </w:p>
    <w:p w:rsidR="004A2938" w:rsidRPr="005667CD" w:rsidRDefault="004A2938" w:rsidP="00FE491B">
      <w:pPr>
        <w:pStyle w:val="HStandard"/>
        <w:ind w:left="993" w:hanging="993"/>
      </w:pPr>
      <w:r w:rsidRPr="005667CD">
        <w:t>BBN</w:t>
      </w:r>
      <w:r w:rsidRPr="005667CD">
        <w:tab/>
      </w:r>
      <w:r w:rsidRPr="005667CD">
        <w:tab/>
        <w:t>Balance bruto de nutrientes</w:t>
      </w:r>
    </w:p>
    <w:p w:rsidR="004A2938" w:rsidRPr="005667CD" w:rsidRDefault="004A2938" w:rsidP="00FE491B">
      <w:pPr>
        <w:pStyle w:val="HStandard"/>
        <w:ind w:left="993" w:hanging="993"/>
      </w:pPr>
      <w:r w:rsidRPr="005667CD">
        <w:t>BCAM</w:t>
      </w:r>
      <w:r w:rsidRPr="005667CD">
        <w:tab/>
      </w:r>
      <w:r w:rsidRPr="005667CD">
        <w:tab/>
        <w:t>Buenas condiciones agrarias y medioambientales</w:t>
      </w:r>
    </w:p>
    <w:p w:rsidR="004A2938" w:rsidRPr="005667CD" w:rsidRDefault="004A2938" w:rsidP="00FE491B">
      <w:pPr>
        <w:pStyle w:val="HStandard"/>
        <w:ind w:left="993" w:hanging="993"/>
      </w:pPr>
      <w:r w:rsidRPr="005667CD">
        <w:t>BEE</w:t>
      </w:r>
      <w:r w:rsidRPr="005667CD">
        <w:tab/>
      </w:r>
      <w:r w:rsidRPr="005667CD">
        <w:tab/>
        <w:t>Buen estado ecológico</w:t>
      </w:r>
    </w:p>
    <w:p w:rsidR="004A2938" w:rsidRPr="005667CD" w:rsidRDefault="004A2938" w:rsidP="00FE491B">
      <w:pPr>
        <w:pStyle w:val="HStandard"/>
        <w:ind w:left="993" w:hanging="993"/>
      </w:pPr>
      <w:r w:rsidRPr="005667CD">
        <w:t>CCI</w:t>
      </w:r>
      <w:r w:rsidRPr="005667CD">
        <w:tab/>
      </w:r>
      <w:r w:rsidRPr="005667CD">
        <w:tab/>
        <w:t>Centro Común de Investigación</w:t>
      </w:r>
    </w:p>
    <w:p w:rsidR="004A2938" w:rsidRPr="005667CD" w:rsidRDefault="004A2938" w:rsidP="00FE491B">
      <w:pPr>
        <w:pStyle w:val="HStandard"/>
        <w:ind w:left="993" w:hanging="993"/>
      </w:pPr>
      <w:r w:rsidRPr="005667CD">
        <w:t>CEA</w:t>
      </w:r>
      <w:r w:rsidRPr="005667CD">
        <w:tab/>
      </w:r>
      <w:r w:rsidRPr="005667CD">
        <w:tab/>
        <w:t>Cuentas económicas de la agricultura</w:t>
      </w:r>
    </w:p>
    <w:p w:rsidR="004A2938" w:rsidRPr="005667CD" w:rsidRDefault="004A2938" w:rsidP="00FE491B">
      <w:pPr>
        <w:pStyle w:val="HStandard"/>
        <w:ind w:left="993" w:hanging="993"/>
      </w:pPr>
      <w:r w:rsidRPr="005667CD">
        <w:t>CORINE</w:t>
      </w:r>
      <w:r w:rsidRPr="005667CD">
        <w:tab/>
      </w:r>
      <w:r w:rsidRPr="005667CD">
        <w:tab/>
        <w:t>Coordinación de la información sobre el medio ambiente</w:t>
      </w:r>
    </w:p>
    <w:p w:rsidR="004A2938" w:rsidRPr="005667CD" w:rsidRDefault="004A2938" w:rsidP="00FE491B">
      <w:pPr>
        <w:pStyle w:val="HStandard"/>
        <w:ind w:left="993" w:hanging="993"/>
      </w:pPr>
      <w:r w:rsidRPr="005667CD">
        <w:t>COS</w:t>
      </w:r>
      <w:r w:rsidRPr="005667CD">
        <w:tab/>
      </w:r>
      <w:r w:rsidRPr="005667CD">
        <w:tab/>
        <w:t>Carbono orgánico del suelo</w:t>
      </w:r>
    </w:p>
    <w:p w:rsidR="004A2938" w:rsidRPr="005667CD" w:rsidRDefault="004A2938" w:rsidP="00FE491B">
      <w:pPr>
        <w:pStyle w:val="HStandard"/>
        <w:ind w:left="993" w:hanging="993"/>
      </w:pPr>
      <w:r w:rsidRPr="005667CD">
        <w:t>CS</w:t>
      </w:r>
      <w:r w:rsidRPr="005667CD">
        <w:tab/>
      </w:r>
      <w:r w:rsidRPr="005667CD">
        <w:tab/>
        <w:t>Comité de seguimiento</w:t>
      </w:r>
    </w:p>
    <w:p w:rsidR="004A2938" w:rsidRPr="005667CD" w:rsidRDefault="004A2938" w:rsidP="00FE491B">
      <w:pPr>
        <w:pStyle w:val="HStandard"/>
        <w:ind w:left="993" w:hanging="993"/>
      </w:pPr>
      <w:r w:rsidRPr="005667CD">
        <w:t>CV</w:t>
      </w:r>
      <w:r w:rsidRPr="005667CD">
        <w:tab/>
      </w:r>
      <w:r w:rsidRPr="005667CD">
        <w:tab/>
        <w:t>Criterios de valoración</w:t>
      </w:r>
    </w:p>
    <w:p w:rsidR="004A2938" w:rsidRPr="005667CD" w:rsidRDefault="004A2938" w:rsidP="00FE491B">
      <w:pPr>
        <w:pStyle w:val="HStandard"/>
        <w:ind w:left="993" w:hanging="993"/>
      </w:pPr>
      <w:r w:rsidRPr="005667CD">
        <w:t>DAFO</w:t>
      </w:r>
      <w:r w:rsidRPr="005667CD">
        <w:tab/>
      </w:r>
      <w:r w:rsidRPr="005667CD">
        <w:tab/>
        <w:t>Debilidades, Amenazas, Fortalezas y Oportunidades</w:t>
      </w:r>
    </w:p>
    <w:p w:rsidR="004A2938" w:rsidRPr="005667CD" w:rsidRDefault="004A2938" w:rsidP="00FE491B">
      <w:pPr>
        <w:pStyle w:val="HStandard"/>
        <w:ind w:left="993" w:hanging="993"/>
      </w:pPr>
      <w:r w:rsidRPr="005667CD">
        <w:t>DG AGRI</w:t>
      </w:r>
      <w:r w:rsidRPr="005667CD">
        <w:tab/>
      </w:r>
      <w:r w:rsidRPr="005667CD">
        <w:tab/>
        <w:t>Dirección General de Agricultura y Desarrollo Rural</w:t>
      </w:r>
    </w:p>
    <w:p w:rsidR="004A2938" w:rsidRPr="005667CD" w:rsidRDefault="004A2938" w:rsidP="00FE491B">
      <w:pPr>
        <w:pStyle w:val="HStandard"/>
        <w:ind w:left="993" w:hanging="993"/>
      </w:pPr>
      <w:r w:rsidRPr="005667CD">
        <w:t>DH</w:t>
      </w:r>
      <w:r w:rsidRPr="005667CD">
        <w:tab/>
      </w:r>
      <w:r w:rsidRPr="005667CD">
        <w:tab/>
        <w:t>Demarcación hidrográfica</w:t>
      </w:r>
    </w:p>
    <w:p w:rsidR="004A2938" w:rsidRPr="005667CD" w:rsidRDefault="004A2938" w:rsidP="00FE491B">
      <w:pPr>
        <w:pStyle w:val="HStandard"/>
        <w:ind w:left="993" w:hanging="993"/>
      </w:pPr>
      <w:r w:rsidRPr="005667CD">
        <w:t>DID</w:t>
      </w:r>
      <w:r w:rsidRPr="005667CD">
        <w:tab/>
      </w:r>
      <w:r w:rsidRPr="005667CD">
        <w:tab/>
        <w:t>Diferencias en diferencias</w:t>
      </w:r>
    </w:p>
    <w:p w:rsidR="004A2938" w:rsidRPr="005667CD" w:rsidRDefault="004A2938" w:rsidP="00FE491B">
      <w:pPr>
        <w:pStyle w:val="HStandard"/>
        <w:ind w:left="993" w:hanging="993"/>
      </w:pPr>
      <w:r w:rsidRPr="005667CD">
        <w:t>DLP</w:t>
      </w:r>
      <w:r w:rsidRPr="005667CD">
        <w:tab/>
      </w:r>
      <w:r w:rsidRPr="005667CD">
        <w:tab/>
        <w:t>Desarrollo local participativo</w:t>
      </w:r>
    </w:p>
    <w:p w:rsidR="004A2938" w:rsidRPr="005667CD" w:rsidRDefault="004A2938" w:rsidP="00FE491B">
      <w:pPr>
        <w:pStyle w:val="HStandard"/>
        <w:ind w:left="993" w:hanging="993"/>
      </w:pPr>
      <w:r w:rsidRPr="005667CD">
        <w:t>DMA</w:t>
      </w:r>
      <w:r w:rsidRPr="005667CD">
        <w:tab/>
      </w:r>
      <w:r w:rsidRPr="005667CD">
        <w:tab/>
        <w:t>Directiva marco sobre el agua</w:t>
      </w:r>
    </w:p>
    <w:p w:rsidR="004A2938" w:rsidRPr="005667CD" w:rsidRDefault="004A2938" w:rsidP="00FE491B">
      <w:pPr>
        <w:pStyle w:val="HStandard"/>
        <w:ind w:left="993" w:hanging="993"/>
      </w:pPr>
      <w:r w:rsidRPr="005667CD">
        <w:t>DN</w:t>
      </w:r>
      <w:r w:rsidRPr="005667CD">
        <w:tab/>
      </w:r>
      <w:r w:rsidRPr="005667CD">
        <w:tab/>
        <w:t>Directiva sobre los nitratos</w:t>
      </w:r>
    </w:p>
    <w:p w:rsidR="004A2938" w:rsidRPr="005667CD" w:rsidRDefault="004A2938" w:rsidP="00FE491B">
      <w:pPr>
        <w:pStyle w:val="HStandard"/>
        <w:ind w:left="993" w:hanging="993"/>
      </w:pPr>
      <w:r w:rsidRPr="005667CD">
        <w:t>DRD</w:t>
      </w:r>
      <w:r w:rsidRPr="005667CD">
        <w:tab/>
      </w:r>
      <w:r w:rsidRPr="005667CD">
        <w:tab/>
        <w:t xml:space="preserve">Diseño de regresión discontinua </w:t>
      </w:r>
    </w:p>
    <w:p w:rsidR="004A2938" w:rsidRPr="005667CD" w:rsidRDefault="004A2938" w:rsidP="00FE491B">
      <w:pPr>
        <w:pStyle w:val="HStandard"/>
        <w:ind w:left="993" w:hanging="993"/>
      </w:pPr>
      <w:r w:rsidRPr="005667CD">
        <w:t>DT</w:t>
      </w:r>
      <w:r w:rsidRPr="005667CD">
        <w:tab/>
      </w:r>
      <w:r w:rsidRPr="005667CD">
        <w:tab/>
        <w:t>Documento de trabajo</w:t>
      </w:r>
    </w:p>
    <w:p w:rsidR="004A2938" w:rsidRPr="005667CD" w:rsidRDefault="004A2938" w:rsidP="00FE491B">
      <w:pPr>
        <w:pStyle w:val="HStandard"/>
        <w:ind w:left="993" w:hanging="993"/>
      </w:pPr>
      <w:r w:rsidRPr="005667CD">
        <w:t>EDGAR</w:t>
      </w:r>
      <w:r w:rsidRPr="005667CD">
        <w:tab/>
      </w:r>
      <w:r w:rsidRPr="005667CD">
        <w:tab/>
        <w:t>Base de datos de emisiones para la investigación atmosférica global</w:t>
      </w:r>
    </w:p>
    <w:p w:rsidR="004A2938" w:rsidRPr="005667CD" w:rsidRDefault="004A2938" w:rsidP="00FE491B">
      <w:pPr>
        <w:pStyle w:val="HStandard"/>
        <w:ind w:left="993" w:hanging="993"/>
      </w:pPr>
      <w:r w:rsidRPr="005667CD">
        <w:t xml:space="preserve">EGC </w:t>
      </w:r>
      <w:r w:rsidRPr="005667CD">
        <w:tab/>
      </w:r>
      <w:r w:rsidRPr="005667CD">
        <w:tab/>
        <w:t>Equilibrio general calculable</w:t>
      </w:r>
    </w:p>
    <w:p w:rsidR="004A2938" w:rsidRPr="005667CD" w:rsidRDefault="004A2938" w:rsidP="00FE491B">
      <w:pPr>
        <w:pStyle w:val="HStandard"/>
        <w:ind w:left="993" w:hanging="993"/>
      </w:pPr>
      <w:r w:rsidRPr="005667CD">
        <w:t>EGPP</w:t>
      </w:r>
      <w:r w:rsidRPr="005667CD">
        <w:tab/>
      </w:r>
      <w:r w:rsidRPr="005667CD">
        <w:tab/>
        <w:t xml:space="preserve">Emparejamiento general de puntuaciones de propensión </w:t>
      </w:r>
    </w:p>
    <w:p w:rsidR="004A2938" w:rsidRPr="005667CD" w:rsidRDefault="004A2938" w:rsidP="00FE491B">
      <w:pPr>
        <w:pStyle w:val="HStandard"/>
        <w:ind w:left="993" w:hanging="993"/>
      </w:pPr>
      <w:r w:rsidRPr="005667CD">
        <w:t>EIE</w:t>
      </w:r>
      <w:r w:rsidRPr="005667CD">
        <w:tab/>
      </w:r>
      <w:r w:rsidRPr="005667CD">
        <w:tab/>
        <w:t>Fondos Estructurales y de Inversión Europeos</w:t>
      </w:r>
    </w:p>
    <w:p w:rsidR="004A2938" w:rsidRPr="005667CD" w:rsidRDefault="004A2938" w:rsidP="00FE491B">
      <w:pPr>
        <w:pStyle w:val="HStandard"/>
        <w:ind w:left="993" w:hanging="993"/>
      </w:pPr>
      <w:r w:rsidRPr="005667CD">
        <w:t>EM</w:t>
      </w:r>
      <w:r w:rsidRPr="005667CD">
        <w:tab/>
      </w:r>
      <w:r w:rsidRPr="005667CD">
        <w:tab/>
        <w:t>Estado miembro</w:t>
      </w:r>
    </w:p>
    <w:p w:rsidR="004A2938" w:rsidRPr="005667CD" w:rsidRDefault="004A2938" w:rsidP="00FE491B">
      <w:pPr>
        <w:pStyle w:val="HStandard"/>
        <w:ind w:left="993" w:hanging="993"/>
      </w:pPr>
      <w:r w:rsidRPr="005667CD">
        <w:t>EMPA</w:t>
      </w:r>
      <w:r w:rsidRPr="005667CD">
        <w:tab/>
      </w:r>
      <w:r w:rsidRPr="005667CD">
        <w:tab/>
        <w:t>Encuesta sobre métodos de producción agrícola</w:t>
      </w:r>
    </w:p>
    <w:p w:rsidR="004A2938" w:rsidRPr="005667CD" w:rsidRDefault="004A2938" w:rsidP="00FE491B">
      <w:pPr>
        <w:pStyle w:val="HStandard"/>
        <w:ind w:left="993" w:hanging="993"/>
      </w:pPr>
      <w:r w:rsidRPr="005667CD">
        <w:t>EMTT</w:t>
      </w:r>
      <w:r w:rsidRPr="005667CD">
        <w:tab/>
      </w:r>
      <w:r w:rsidRPr="005667CD">
        <w:tab/>
        <w:t>Efecto medio del tratamiento sobre los tratados</w:t>
      </w:r>
    </w:p>
    <w:p w:rsidR="004A2938" w:rsidRPr="005667CD" w:rsidRDefault="004A2938" w:rsidP="00FE491B">
      <w:pPr>
        <w:pStyle w:val="HStandard"/>
        <w:ind w:left="993" w:hanging="993"/>
      </w:pPr>
      <w:r w:rsidRPr="005667CD">
        <w:t>EPP</w:t>
      </w:r>
      <w:r w:rsidRPr="005667CD">
        <w:tab/>
      </w:r>
      <w:r w:rsidRPr="005667CD">
        <w:tab/>
        <w:t>Emparejamiento de puntuaciones de propensión</w:t>
      </w:r>
    </w:p>
    <w:p w:rsidR="004A2938" w:rsidRPr="005667CD" w:rsidRDefault="004A2938" w:rsidP="00FE491B">
      <w:pPr>
        <w:pStyle w:val="HStandard"/>
        <w:ind w:left="993" w:hanging="993"/>
      </w:pPr>
      <w:r w:rsidRPr="005667CD">
        <w:t>ERPE</w:t>
      </w:r>
      <w:r w:rsidRPr="005667CD">
        <w:tab/>
      </w:r>
      <w:r w:rsidRPr="005667CD">
        <w:tab/>
        <w:t>En riesgo de pobreza o exclusión social</w:t>
      </w:r>
    </w:p>
    <w:p w:rsidR="004A2938" w:rsidRPr="005667CD" w:rsidRDefault="004A2938" w:rsidP="00FE491B">
      <w:pPr>
        <w:pStyle w:val="HStandard"/>
        <w:ind w:left="993" w:hanging="993"/>
      </w:pPr>
      <w:r w:rsidRPr="005667CD">
        <w:lastRenderedPageBreak/>
        <w:t xml:space="preserve">ESDAC </w:t>
      </w:r>
      <w:r w:rsidRPr="005667CD">
        <w:tab/>
      </w:r>
      <w:r w:rsidRPr="005667CD">
        <w:tab/>
        <w:t>Centro europeo de datos sobre el suelo</w:t>
      </w:r>
    </w:p>
    <w:p w:rsidR="004A2938" w:rsidRPr="005667CD" w:rsidRDefault="004A2938" w:rsidP="00FE491B">
      <w:pPr>
        <w:pStyle w:val="HStandard"/>
        <w:ind w:left="993" w:hanging="993"/>
      </w:pPr>
      <w:proofErr w:type="spellStart"/>
      <w:r w:rsidRPr="005667CD">
        <w:t>Ev</w:t>
      </w:r>
      <w:proofErr w:type="spellEnd"/>
      <w:r w:rsidRPr="005667CD">
        <w:tab/>
      </w:r>
      <w:r w:rsidRPr="005667CD">
        <w:tab/>
        <w:t>Evaluador</w:t>
      </w:r>
    </w:p>
    <w:p w:rsidR="004A2938" w:rsidRPr="005667CD" w:rsidRDefault="004A2938" w:rsidP="00FE491B">
      <w:pPr>
        <w:pStyle w:val="HStandard"/>
        <w:ind w:left="993" w:hanging="993"/>
      </w:pPr>
      <w:r w:rsidRPr="005667CD">
        <w:t>EVT</w:t>
      </w:r>
      <w:r w:rsidRPr="005667CD">
        <w:tab/>
      </w:r>
      <w:r w:rsidRPr="005667CD">
        <w:tab/>
        <w:t>Evaluación basada en la teoría</w:t>
      </w:r>
    </w:p>
    <w:p w:rsidR="004A2938" w:rsidRPr="005667CD" w:rsidRDefault="004A2938" w:rsidP="00FE491B">
      <w:pPr>
        <w:pStyle w:val="HStandard"/>
        <w:ind w:left="993" w:hanging="993"/>
      </w:pPr>
      <w:proofErr w:type="spellStart"/>
      <w:r w:rsidRPr="005667CD">
        <w:t>Feader</w:t>
      </w:r>
      <w:proofErr w:type="spellEnd"/>
      <w:r w:rsidRPr="005667CD">
        <w:tab/>
      </w:r>
      <w:r w:rsidRPr="005667CD">
        <w:tab/>
        <w:t>Fondo Europeo Agrícola de Desarrollo Rural</w:t>
      </w:r>
    </w:p>
    <w:p w:rsidR="004A2938" w:rsidRPr="005667CD" w:rsidRDefault="004A2938" w:rsidP="00FE491B">
      <w:pPr>
        <w:pStyle w:val="HStandard"/>
        <w:ind w:left="993" w:hanging="993"/>
      </w:pPr>
      <w:r w:rsidRPr="005667CD">
        <w:t>GBID</w:t>
      </w:r>
      <w:r w:rsidRPr="005667CD">
        <w:tab/>
      </w:r>
      <w:r w:rsidRPr="005667CD">
        <w:tab/>
        <w:t>Gastos internos brutos en I+D</w:t>
      </w:r>
    </w:p>
    <w:p w:rsidR="004A2938" w:rsidRPr="005667CD" w:rsidRDefault="004A2938" w:rsidP="00FE491B">
      <w:pPr>
        <w:pStyle w:val="HStandard"/>
        <w:ind w:left="993" w:hanging="993"/>
      </w:pPr>
      <w:r w:rsidRPr="005667CD">
        <w:t xml:space="preserve">GDE </w:t>
      </w:r>
      <w:r w:rsidRPr="005667CD">
        <w:tab/>
      </w:r>
      <w:r w:rsidRPr="005667CD">
        <w:tab/>
        <w:t>Grupo director de evaluación</w:t>
      </w:r>
    </w:p>
    <w:p w:rsidR="004A2938" w:rsidRPr="005667CD" w:rsidRDefault="004A2938" w:rsidP="00FE491B">
      <w:pPr>
        <w:pStyle w:val="HStandard"/>
        <w:ind w:left="993" w:hanging="993"/>
      </w:pPr>
      <w:r w:rsidRPr="005667CD">
        <w:t>GEI</w:t>
      </w:r>
      <w:r w:rsidRPr="005667CD">
        <w:tab/>
      </w:r>
      <w:r w:rsidRPr="005667CD">
        <w:tab/>
        <w:t>Gas de efecto invernadero</w:t>
      </w:r>
    </w:p>
    <w:p w:rsidR="004A2938" w:rsidRPr="005667CD" w:rsidRDefault="004A2938" w:rsidP="00FE491B">
      <w:pPr>
        <w:pStyle w:val="HStandard"/>
        <w:ind w:left="993" w:hanging="993"/>
      </w:pPr>
      <w:r w:rsidRPr="005667CD">
        <w:t>GTIOR</w:t>
      </w:r>
      <w:r w:rsidRPr="005667CD">
        <w:tab/>
      </w:r>
      <w:r w:rsidRPr="005667CD">
        <w:tab/>
        <w:t>Generación de tablas input-output regionales</w:t>
      </w:r>
    </w:p>
    <w:p w:rsidR="004A2938" w:rsidRPr="005667CD" w:rsidRDefault="004A2938" w:rsidP="00FE491B">
      <w:pPr>
        <w:pStyle w:val="HStandard"/>
        <w:ind w:left="993" w:hanging="993"/>
      </w:pPr>
      <w:r w:rsidRPr="005667CD">
        <w:t>I</w:t>
      </w:r>
      <w:r w:rsidRPr="005667CD">
        <w:tab/>
      </w:r>
      <w:r w:rsidRPr="005667CD">
        <w:tab/>
        <w:t>Indicador de impacto</w:t>
      </w:r>
    </w:p>
    <w:p w:rsidR="004A2938" w:rsidRPr="005667CD" w:rsidRDefault="004A2938" w:rsidP="00FE491B">
      <w:pPr>
        <w:pStyle w:val="HStandard"/>
        <w:ind w:left="993" w:hanging="993"/>
      </w:pPr>
      <w:r w:rsidRPr="005667CD">
        <w:t>IA</w:t>
      </w:r>
      <w:r w:rsidRPr="005667CD">
        <w:tab/>
      </w:r>
      <w:r w:rsidRPr="005667CD">
        <w:tab/>
        <w:t>Indicadores agroambientales</w:t>
      </w:r>
    </w:p>
    <w:p w:rsidR="004A2938" w:rsidRPr="005667CD" w:rsidRDefault="004A2938" w:rsidP="00FE491B">
      <w:pPr>
        <w:pStyle w:val="HStandard"/>
        <w:ind w:left="993" w:hanging="993"/>
      </w:pPr>
      <w:r w:rsidRPr="005667CD">
        <w:t>IAA</w:t>
      </w:r>
      <w:r w:rsidRPr="005667CD">
        <w:tab/>
      </w:r>
      <w:r w:rsidRPr="005667CD">
        <w:tab/>
        <w:t>Índice de aves de tierras agrícolas</w:t>
      </w:r>
    </w:p>
    <w:p w:rsidR="004A2938" w:rsidRPr="005667CD" w:rsidRDefault="004A2938" w:rsidP="00FE491B">
      <w:pPr>
        <w:pStyle w:val="HStandard"/>
        <w:ind w:left="993" w:hanging="993"/>
      </w:pPr>
      <w:r w:rsidRPr="005667CD">
        <w:t>IAE</w:t>
      </w:r>
      <w:r w:rsidRPr="005667CD">
        <w:tab/>
      </w:r>
      <w:r w:rsidRPr="005667CD">
        <w:tab/>
        <w:t>Informe anual de ejecución</w:t>
      </w:r>
    </w:p>
    <w:p w:rsidR="004A2938" w:rsidRPr="005667CD" w:rsidRDefault="004A2938" w:rsidP="00FE491B">
      <w:pPr>
        <w:pStyle w:val="HStandard"/>
        <w:ind w:left="993" w:hanging="993"/>
      </w:pPr>
      <w:r w:rsidRPr="005667CD">
        <w:t>ICC</w:t>
      </w:r>
      <w:r w:rsidRPr="005667CD">
        <w:tab/>
      </w:r>
      <w:r w:rsidRPr="005667CD">
        <w:tab/>
        <w:t>Indicadores de contexto comunes</w:t>
      </w:r>
    </w:p>
    <w:p w:rsidR="004A2938" w:rsidRPr="005667CD" w:rsidRDefault="004A2938" w:rsidP="00FE491B">
      <w:pPr>
        <w:pStyle w:val="HStandard"/>
        <w:ind w:left="993" w:hanging="993"/>
      </w:pPr>
      <w:r w:rsidRPr="005667CD">
        <w:t>IO</w:t>
      </w:r>
      <w:r w:rsidRPr="005667CD">
        <w:tab/>
      </w:r>
      <w:r w:rsidRPr="005667CD">
        <w:tab/>
        <w:t>Indicador de objetivo</w:t>
      </w:r>
    </w:p>
    <w:p w:rsidR="004A2938" w:rsidRPr="005667CD" w:rsidRDefault="004A2938" w:rsidP="00FE491B">
      <w:pPr>
        <w:pStyle w:val="HStandard"/>
        <w:ind w:left="993" w:hanging="993"/>
      </w:pPr>
      <w:r w:rsidRPr="005667CD">
        <w:t>LI</w:t>
      </w:r>
      <w:r w:rsidRPr="005667CD">
        <w:tab/>
      </w:r>
      <w:r w:rsidRPr="005667CD">
        <w:tab/>
        <w:t>Lógica de intervención</w:t>
      </w:r>
    </w:p>
    <w:p w:rsidR="004A2938" w:rsidRPr="005667CD" w:rsidRDefault="004A2938" w:rsidP="00FE491B">
      <w:pPr>
        <w:pStyle w:val="HStandard"/>
        <w:ind w:left="993" w:hanging="993"/>
      </w:pPr>
      <w:r w:rsidRPr="005667CD">
        <w:t>LUCAS</w:t>
      </w:r>
      <w:r w:rsidRPr="005667CD">
        <w:tab/>
      </w:r>
      <w:r w:rsidRPr="005667CD">
        <w:tab/>
        <w:t xml:space="preserve">Encuesta sobre el uso y la cubierta del suelo </w:t>
      </w:r>
    </w:p>
    <w:p w:rsidR="004A2938" w:rsidRPr="005667CD" w:rsidRDefault="004A2938" w:rsidP="00FE491B">
      <w:pPr>
        <w:pStyle w:val="HStandard"/>
        <w:ind w:left="993" w:hanging="993"/>
      </w:pPr>
      <w:r w:rsidRPr="005667CD">
        <w:t>M</w:t>
      </w:r>
      <w:r w:rsidRPr="005667CD">
        <w:tab/>
      </w:r>
      <w:r w:rsidRPr="005667CD">
        <w:tab/>
        <w:t xml:space="preserve">Medida </w:t>
      </w:r>
    </w:p>
    <w:p w:rsidR="004A2938" w:rsidRPr="005667CD" w:rsidRDefault="004A2938" w:rsidP="00FE491B">
      <w:pPr>
        <w:pStyle w:val="HStandard"/>
        <w:ind w:left="993" w:hanging="993"/>
      </w:pPr>
      <w:r w:rsidRPr="005667CD">
        <w:t>MCS</w:t>
      </w:r>
      <w:r w:rsidRPr="005667CD">
        <w:tab/>
      </w:r>
      <w:r w:rsidRPr="005667CD">
        <w:tab/>
        <w:t>Matriz de contabilidad social</w:t>
      </w:r>
    </w:p>
    <w:p w:rsidR="004A2938" w:rsidRPr="005667CD" w:rsidRDefault="004A2938" w:rsidP="00FE491B">
      <w:pPr>
        <w:pStyle w:val="HStandard"/>
        <w:ind w:left="993" w:hanging="993"/>
      </w:pPr>
      <w:r w:rsidRPr="005667CD">
        <w:t>MEIPP</w:t>
      </w:r>
      <w:r w:rsidRPr="005667CD">
        <w:tab/>
      </w:r>
      <w:r w:rsidRPr="005667CD">
        <w:tab/>
        <w:t>Método para la evaluación de impacto de programas y proyectos</w:t>
      </w:r>
    </w:p>
    <w:p w:rsidR="004A2938" w:rsidRPr="005667CD" w:rsidRDefault="004A2938" w:rsidP="00FE491B">
      <w:pPr>
        <w:pStyle w:val="HStandard"/>
        <w:ind w:left="993" w:hanging="993"/>
      </w:pPr>
      <w:r w:rsidRPr="005667CD">
        <w:t>MOS</w:t>
      </w:r>
      <w:r w:rsidRPr="005667CD">
        <w:tab/>
      </w:r>
      <w:r w:rsidRPr="005667CD">
        <w:tab/>
        <w:t xml:space="preserve">Materia orgánica del suelo </w:t>
      </w:r>
    </w:p>
    <w:p w:rsidR="004A2938" w:rsidRPr="005667CD" w:rsidRDefault="004A2938" w:rsidP="00FE491B">
      <w:pPr>
        <w:pStyle w:val="HStandard"/>
        <w:ind w:left="993" w:hanging="993"/>
      </w:pPr>
      <w:r w:rsidRPr="005667CD">
        <w:t>NUTS</w:t>
      </w:r>
      <w:r w:rsidRPr="005667CD">
        <w:tab/>
      </w:r>
      <w:r w:rsidRPr="005667CD">
        <w:tab/>
        <w:t>Nomenclatura Común de Unidades Territoriales Estadísticas</w:t>
      </w:r>
      <w:r w:rsidRPr="005667CD">
        <w:tab/>
      </w:r>
    </w:p>
    <w:p w:rsidR="004A2938" w:rsidRPr="005667CD" w:rsidRDefault="004A2938" w:rsidP="00FE491B">
      <w:pPr>
        <w:pStyle w:val="HStandard"/>
        <w:ind w:left="993" w:hanging="993"/>
      </w:pPr>
      <w:r w:rsidRPr="005667CD">
        <w:t>ONG</w:t>
      </w:r>
      <w:r w:rsidRPr="005667CD">
        <w:tab/>
      </w:r>
      <w:r w:rsidRPr="005667CD">
        <w:tab/>
        <w:t>Organización no gubernamental</w:t>
      </w:r>
    </w:p>
    <w:p w:rsidR="004A2938" w:rsidRPr="005667CD" w:rsidRDefault="004A2938" w:rsidP="00FE491B">
      <w:pPr>
        <w:pStyle w:val="HStandard"/>
        <w:ind w:left="993" w:hanging="993"/>
      </w:pPr>
      <w:r w:rsidRPr="005667CD">
        <w:t>OP</w:t>
      </w:r>
      <w:r w:rsidRPr="005667CD">
        <w:tab/>
      </w:r>
      <w:r w:rsidRPr="005667CD">
        <w:tab/>
        <w:t>Organismo pagador</w:t>
      </w:r>
    </w:p>
    <w:p w:rsidR="004A2938" w:rsidRPr="005667CD" w:rsidRDefault="004A2938" w:rsidP="00FE491B">
      <w:pPr>
        <w:pStyle w:val="HStandard"/>
        <w:ind w:left="993" w:hanging="993"/>
      </w:pPr>
      <w:r w:rsidRPr="005667CD">
        <w:t>PAC</w:t>
      </w:r>
      <w:r w:rsidRPr="005667CD">
        <w:tab/>
      </w:r>
      <w:r w:rsidRPr="005667CD">
        <w:tab/>
        <w:t xml:space="preserve">Política agrícola común </w:t>
      </w:r>
    </w:p>
    <w:p w:rsidR="004A2938" w:rsidRPr="005667CD" w:rsidRDefault="004A2938" w:rsidP="00FE491B">
      <w:pPr>
        <w:pStyle w:val="HStandard"/>
        <w:ind w:left="993" w:hanging="993"/>
      </w:pPr>
      <w:r w:rsidRPr="005667CD">
        <w:t>PAM</w:t>
      </w:r>
      <w:r w:rsidRPr="005667CD">
        <w:tab/>
      </w:r>
      <w:r w:rsidRPr="005667CD">
        <w:tab/>
        <w:t>Programa de acción medioambiental</w:t>
      </w:r>
    </w:p>
    <w:p w:rsidR="004A2938" w:rsidRPr="005667CD" w:rsidRDefault="004A2938" w:rsidP="00FE491B">
      <w:pPr>
        <w:pStyle w:val="HStandard"/>
        <w:ind w:left="993" w:hanging="993"/>
      </w:pPr>
      <w:r w:rsidRPr="005667CD">
        <w:t>PCE</w:t>
      </w:r>
      <w:r w:rsidRPr="005667CD">
        <w:tab/>
      </w:r>
      <w:r w:rsidRPr="005667CD">
        <w:tab/>
        <w:t>Preguntas comunes de evaluación</w:t>
      </w:r>
    </w:p>
    <w:p w:rsidR="004A2938" w:rsidRPr="005667CD" w:rsidRDefault="004A2938" w:rsidP="00FE491B">
      <w:pPr>
        <w:pStyle w:val="HStandard"/>
        <w:ind w:left="993" w:hanging="993"/>
      </w:pPr>
      <w:r w:rsidRPr="005667CD">
        <w:t>PCIC</w:t>
      </w:r>
      <w:r w:rsidRPr="005667CD">
        <w:tab/>
      </w:r>
      <w:r w:rsidRPr="005667CD">
        <w:tab/>
        <w:t>Prevención y control integrados de la contaminación.</w:t>
      </w:r>
    </w:p>
    <w:p w:rsidR="004A2938" w:rsidRPr="005667CD" w:rsidRDefault="004A2938" w:rsidP="00FE491B">
      <w:pPr>
        <w:pStyle w:val="HStandard"/>
        <w:ind w:left="993" w:hanging="993"/>
      </w:pPr>
      <w:r w:rsidRPr="005667CD">
        <w:t>PD</w:t>
      </w:r>
      <w:r w:rsidRPr="005667CD">
        <w:tab/>
      </w:r>
      <w:r w:rsidRPr="005667CD">
        <w:tab/>
        <w:t>Proveedor de datos</w:t>
      </w:r>
    </w:p>
    <w:p w:rsidR="004A2938" w:rsidRPr="005667CD" w:rsidRDefault="004A2938" w:rsidP="00FE491B">
      <w:pPr>
        <w:pStyle w:val="HStandard"/>
        <w:ind w:left="993" w:hanging="993"/>
      </w:pPr>
      <w:proofErr w:type="spellStart"/>
      <w:r w:rsidRPr="005667CD">
        <w:t>PdC</w:t>
      </w:r>
      <w:proofErr w:type="spellEnd"/>
      <w:r w:rsidRPr="005667CD">
        <w:tab/>
      </w:r>
      <w:r w:rsidRPr="005667CD">
        <w:tab/>
        <w:t>Pliego de condiciones</w:t>
      </w:r>
    </w:p>
    <w:p w:rsidR="004A2938" w:rsidRPr="005667CD" w:rsidRDefault="004A2938" w:rsidP="00FE491B">
      <w:pPr>
        <w:pStyle w:val="HStandard"/>
        <w:ind w:left="993" w:hanging="993"/>
      </w:pPr>
      <w:r w:rsidRPr="005667CD">
        <w:t>PDR</w:t>
      </w:r>
      <w:r w:rsidRPr="005667CD">
        <w:tab/>
      </w:r>
      <w:r w:rsidRPr="005667CD">
        <w:tab/>
        <w:t>Programa de desarrollo rural</w:t>
      </w:r>
    </w:p>
    <w:p w:rsidR="004A2938" w:rsidRPr="005667CD" w:rsidRDefault="004A2938" w:rsidP="00FE491B">
      <w:pPr>
        <w:pStyle w:val="HStandard"/>
        <w:ind w:left="993" w:hanging="993"/>
      </w:pPr>
      <w:r w:rsidRPr="005667CD">
        <w:t>PEEP</w:t>
      </w:r>
      <w:r w:rsidRPr="005667CD">
        <w:tab/>
      </w:r>
      <w:r w:rsidRPr="005667CD">
        <w:tab/>
        <w:t>Pregunta de evaluación específica del programa</w:t>
      </w:r>
    </w:p>
    <w:p w:rsidR="004A2938" w:rsidRPr="005667CD" w:rsidRDefault="004A2938" w:rsidP="00FE491B">
      <w:pPr>
        <w:pStyle w:val="HStandard"/>
        <w:ind w:left="993" w:hanging="993"/>
      </w:pPr>
      <w:r w:rsidRPr="005667CD">
        <w:t>PIB</w:t>
      </w:r>
      <w:r w:rsidRPr="005667CD">
        <w:tab/>
      </w:r>
      <w:r w:rsidRPr="005667CD">
        <w:tab/>
        <w:t xml:space="preserve">Producto Interior Bruto </w:t>
      </w:r>
    </w:p>
    <w:p w:rsidR="004A2938" w:rsidRPr="005667CD" w:rsidRDefault="004A2938" w:rsidP="00FE491B">
      <w:pPr>
        <w:pStyle w:val="HStandard"/>
        <w:ind w:left="993" w:hanging="993"/>
      </w:pPr>
      <w:r w:rsidRPr="005667CD">
        <w:t>PTF</w:t>
      </w:r>
      <w:r w:rsidRPr="005667CD">
        <w:tab/>
      </w:r>
      <w:r w:rsidRPr="005667CD">
        <w:tab/>
        <w:t>Productividad total de los factores</w:t>
      </w:r>
    </w:p>
    <w:p w:rsidR="004A2938" w:rsidRPr="005667CD" w:rsidRDefault="004A2938" w:rsidP="00FE491B">
      <w:pPr>
        <w:pStyle w:val="HStandard"/>
        <w:ind w:left="993" w:hanging="993"/>
      </w:pPr>
      <w:r w:rsidRPr="005667CD">
        <w:t>R</w:t>
      </w:r>
      <w:r w:rsidRPr="005667CD">
        <w:tab/>
      </w:r>
      <w:r w:rsidRPr="005667CD">
        <w:tab/>
        <w:t>Indicadores de resultado</w:t>
      </w:r>
    </w:p>
    <w:p w:rsidR="004A2938" w:rsidRPr="005667CD" w:rsidRDefault="004A2938" w:rsidP="00FE491B">
      <w:pPr>
        <w:pStyle w:val="HStandard"/>
        <w:ind w:left="993" w:hanging="993"/>
      </w:pPr>
      <w:r w:rsidRPr="005667CD">
        <w:t>REA</w:t>
      </w:r>
      <w:r w:rsidRPr="005667CD">
        <w:tab/>
      </w:r>
      <w:r w:rsidRPr="005667CD">
        <w:tab/>
        <w:t>Renta empresarial agraria</w:t>
      </w:r>
    </w:p>
    <w:p w:rsidR="004A2938" w:rsidRPr="005667CD" w:rsidRDefault="004A2938" w:rsidP="00FE491B">
      <w:pPr>
        <w:pStyle w:val="HStandard"/>
        <w:ind w:left="993" w:hanging="993"/>
      </w:pPr>
      <w:r w:rsidRPr="005667CD">
        <w:t>RFA</w:t>
      </w:r>
      <w:r w:rsidRPr="005667CD">
        <w:tab/>
      </w:r>
      <w:r w:rsidRPr="005667CD">
        <w:tab/>
        <w:t>Renta de los factores agrícolas</w:t>
      </w:r>
    </w:p>
    <w:p w:rsidR="004A2938" w:rsidRPr="005667CD" w:rsidRDefault="004A2938" w:rsidP="00FE491B">
      <w:pPr>
        <w:pStyle w:val="HStandard"/>
        <w:ind w:left="993" w:hanging="993"/>
      </w:pPr>
      <w:r w:rsidRPr="005667CD">
        <w:lastRenderedPageBreak/>
        <w:t>RICA</w:t>
      </w:r>
      <w:r w:rsidRPr="005667CD">
        <w:tab/>
      </w:r>
      <w:r w:rsidRPr="005667CD">
        <w:tab/>
        <w:t>Red de Información Contable Agrícola</w:t>
      </w:r>
    </w:p>
    <w:p w:rsidR="004A2938" w:rsidRPr="005667CD" w:rsidRDefault="004A2938" w:rsidP="00FE491B">
      <w:pPr>
        <w:pStyle w:val="HStandard"/>
        <w:ind w:left="993" w:hanging="993"/>
      </w:pPr>
      <w:r w:rsidRPr="005667CD">
        <w:t>RIEB</w:t>
      </w:r>
      <w:r w:rsidRPr="005667CD">
        <w:tab/>
      </w:r>
      <w:r w:rsidRPr="005667CD">
        <w:tab/>
        <w:t>Racionalización de los indicadores europeos de la biodiversidad</w:t>
      </w:r>
    </w:p>
    <w:p w:rsidR="004A2938" w:rsidRPr="005667CD" w:rsidRDefault="004A2938" w:rsidP="00FE491B">
      <w:pPr>
        <w:pStyle w:val="HStandard"/>
        <w:ind w:left="993" w:hanging="993"/>
      </w:pPr>
      <w:r w:rsidRPr="005667CD">
        <w:t>RRN</w:t>
      </w:r>
      <w:r w:rsidRPr="005667CD">
        <w:tab/>
      </w:r>
      <w:r w:rsidRPr="005667CD">
        <w:tab/>
        <w:t>Red Rural Nacional</w:t>
      </w:r>
    </w:p>
    <w:p w:rsidR="004A2938" w:rsidRPr="005667CD" w:rsidRDefault="004A2938" w:rsidP="00FE491B">
      <w:pPr>
        <w:pStyle w:val="HStandard"/>
        <w:ind w:left="993" w:hanging="993"/>
      </w:pPr>
      <w:r w:rsidRPr="005667CD">
        <w:t>RUSLE</w:t>
      </w:r>
      <w:r w:rsidRPr="005667CD">
        <w:tab/>
      </w:r>
      <w:r w:rsidRPr="005667CD">
        <w:tab/>
        <w:t>Ecuación universal revisada de pérdida de suelo</w:t>
      </w:r>
    </w:p>
    <w:p w:rsidR="004A2938" w:rsidRPr="005667CD" w:rsidRDefault="004A2938" w:rsidP="00FE491B">
      <w:pPr>
        <w:pStyle w:val="HStandard"/>
        <w:ind w:left="993" w:hanging="993"/>
      </w:pPr>
      <w:r w:rsidRPr="005667CD">
        <w:t>SAU</w:t>
      </w:r>
      <w:r w:rsidRPr="005667CD">
        <w:tab/>
      </w:r>
      <w:r w:rsidRPr="005667CD">
        <w:tab/>
        <w:t>Superficie agrícola utilizada</w:t>
      </w:r>
    </w:p>
    <w:p w:rsidR="004A2938" w:rsidRPr="005667CD" w:rsidRDefault="004A2938" w:rsidP="00FE491B">
      <w:pPr>
        <w:pStyle w:val="HStandard"/>
        <w:ind w:left="993" w:hanging="993"/>
      </w:pPr>
      <w:r w:rsidRPr="005667CD">
        <w:t>SCGCF</w:t>
      </w:r>
      <w:r w:rsidRPr="005667CD">
        <w:tab/>
      </w:r>
      <w:r w:rsidRPr="005667CD">
        <w:tab/>
        <w:t>Sistema común de gestión compartida del Fondo</w:t>
      </w:r>
    </w:p>
    <w:p w:rsidR="004A2938" w:rsidRPr="005667CD" w:rsidRDefault="004A2938" w:rsidP="00FE491B">
      <w:pPr>
        <w:pStyle w:val="HStandard"/>
        <w:ind w:left="993" w:hanging="993"/>
      </w:pPr>
      <w:r w:rsidRPr="005667CD">
        <w:t xml:space="preserve">SCSE </w:t>
      </w:r>
      <w:r w:rsidRPr="005667CD">
        <w:tab/>
      </w:r>
      <w:r w:rsidRPr="005667CD">
        <w:tab/>
        <w:t>Sistema común de seguimiento y evaluación</w:t>
      </w:r>
    </w:p>
    <w:p w:rsidR="004A2938" w:rsidRPr="005667CD" w:rsidRDefault="004A2938" w:rsidP="00FE491B">
      <w:pPr>
        <w:pStyle w:val="HStandard"/>
        <w:ind w:left="993" w:hanging="993"/>
      </w:pPr>
      <w:r w:rsidRPr="005667CD">
        <w:t>SIG</w:t>
      </w:r>
      <w:r w:rsidRPr="005667CD">
        <w:tab/>
      </w:r>
      <w:r w:rsidRPr="005667CD">
        <w:tab/>
        <w:t>Sistema de información geográfica</w:t>
      </w:r>
    </w:p>
    <w:p w:rsidR="004A2938" w:rsidRPr="005667CD" w:rsidRDefault="004A2938" w:rsidP="00FE491B">
      <w:pPr>
        <w:pStyle w:val="HStandard"/>
        <w:ind w:left="993" w:hanging="993"/>
      </w:pPr>
      <w:r w:rsidRPr="005667CD">
        <w:t>SIGC</w:t>
      </w:r>
      <w:r w:rsidRPr="005667CD">
        <w:tab/>
      </w:r>
      <w:r w:rsidRPr="005667CD">
        <w:tab/>
        <w:t>Sistema integrado de gestión y control</w:t>
      </w:r>
    </w:p>
    <w:p w:rsidR="004A2938" w:rsidRPr="005667CD" w:rsidRDefault="004A2938" w:rsidP="00FE491B">
      <w:pPr>
        <w:pStyle w:val="HStandard"/>
        <w:ind w:left="993" w:hanging="993"/>
      </w:pPr>
      <w:r w:rsidRPr="005667CD">
        <w:t>SIP</w:t>
      </w:r>
      <w:r w:rsidRPr="005667CD">
        <w:tab/>
      </w:r>
      <w:r w:rsidRPr="005667CD">
        <w:tab/>
        <w:t>Sistema de identificación de parcelas agrícolas.</w:t>
      </w:r>
    </w:p>
    <w:p w:rsidR="004A2938" w:rsidRPr="005667CD" w:rsidRDefault="004A2938" w:rsidP="00FE491B">
      <w:pPr>
        <w:pStyle w:val="HStandard"/>
        <w:ind w:left="993" w:hanging="993"/>
      </w:pPr>
      <w:r w:rsidRPr="005667CD">
        <w:t xml:space="preserve">TIC </w:t>
      </w:r>
      <w:r w:rsidRPr="005667CD">
        <w:tab/>
      </w:r>
      <w:r w:rsidRPr="005667CD">
        <w:tab/>
        <w:t>Tecnologías de la información y la comunicación</w:t>
      </w:r>
    </w:p>
    <w:p w:rsidR="004A2938" w:rsidRPr="005667CD" w:rsidRDefault="004A2938" w:rsidP="00FE491B">
      <w:pPr>
        <w:pStyle w:val="HStandard"/>
        <w:ind w:left="993" w:hanging="993"/>
      </w:pPr>
      <w:r w:rsidRPr="005667CD">
        <w:t>UAL</w:t>
      </w:r>
      <w:r w:rsidRPr="005667CD">
        <w:tab/>
      </w:r>
      <w:r w:rsidRPr="005667CD">
        <w:tab/>
        <w:t>Unidad administrativa local</w:t>
      </w:r>
    </w:p>
    <w:p w:rsidR="004A2938" w:rsidRPr="005667CD" w:rsidRDefault="004A2938" w:rsidP="00FE491B">
      <w:pPr>
        <w:pStyle w:val="HStandard"/>
        <w:ind w:left="993" w:hanging="993"/>
      </w:pPr>
      <w:r w:rsidRPr="005667CD">
        <w:t>UE</w:t>
      </w:r>
      <w:r w:rsidRPr="005667CD">
        <w:tab/>
      </w:r>
      <w:r w:rsidRPr="005667CD">
        <w:tab/>
        <w:t>Unión Europea</w:t>
      </w:r>
    </w:p>
    <w:p w:rsidR="004A2938" w:rsidRPr="005667CD" w:rsidRDefault="004A2938" w:rsidP="00FE491B">
      <w:pPr>
        <w:pStyle w:val="HStandard"/>
        <w:ind w:left="993" w:hanging="993"/>
      </w:pPr>
      <w:proofErr w:type="spellStart"/>
      <w:r w:rsidRPr="005667CD">
        <w:t>UEv</w:t>
      </w:r>
      <w:proofErr w:type="spellEnd"/>
      <w:r w:rsidRPr="005667CD">
        <w:tab/>
      </w:r>
      <w:r w:rsidRPr="005667CD">
        <w:tab/>
        <w:t>Unidad de evaluación</w:t>
      </w:r>
    </w:p>
    <w:p w:rsidR="004A2938" w:rsidRPr="005667CD" w:rsidRDefault="004A2938" w:rsidP="00FE491B">
      <w:pPr>
        <w:pStyle w:val="HStandard"/>
        <w:ind w:left="993" w:hanging="993"/>
      </w:pPr>
      <w:r w:rsidRPr="005667CD">
        <w:t>UGM</w:t>
      </w:r>
      <w:r w:rsidRPr="005667CD">
        <w:tab/>
      </w:r>
      <w:r w:rsidRPr="005667CD">
        <w:tab/>
        <w:t>Unidad de ganado mayor</w:t>
      </w:r>
    </w:p>
    <w:p w:rsidR="004A2938" w:rsidRPr="005667CD" w:rsidRDefault="004A2938" w:rsidP="00FE491B">
      <w:pPr>
        <w:pStyle w:val="HStandard"/>
        <w:ind w:left="993" w:hanging="993"/>
      </w:pPr>
      <w:r w:rsidRPr="005667CD">
        <w:t>UTA</w:t>
      </w:r>
      <w:r w:rsidRPr="005667CD">
        <w:tab/>
      </w:r>
      <w:r w:rsidRPr="005667CD">
        <w:tab/>
        <w:t>Unidades de trabajo anuales</w:t>
      </w:r>
    </w:p>
    <w:p w:rsidR="004A2938" w:rsidRPr="005667CD" w:rsidRDefault="004A2938" w:rsidP="00FE491B">
      <w:pPr>
        <w:pStyle w:val="HStandard"/>
        <w:ind w:left="993" w:hanging="993"/>
      </w:pPr>
      <w:r w:rsidRPr="005667CD">
        <w:t>UTCUTS</w:t>
      </w:r>
      <w:r w:rsidRPr="005667CD">
        <w:tab/>
      </w:r>
      <w:r w:rsidRPr="005667CD">
        <w:tab/>
        <w:t>Uso de la tierra, cambio de uso de la tierra y silvicultura</w:t>
      </w:r>
    </w:p>
    <w:p w:rsidR="004A2938" w:rsidRPr="005667CD" w:rsidRDefault="004A2938" w:rsidP="00FE491B">
      <w:pPr>
        <w:pStyle w:val="HStandard"/>
        <w:ind w:left="993" w:hanging="993"/>
      </w:pPr>
      <w:r w:rsidRPr="005667CD">
        <w:t>UTF</w:t>
      </w:r>
      <w:r w:rsidRPr="005667CD">
        <w:tab/>
      </w:r>
      <w:r w:rsidRPr="005667CD">
        <w:tab/>
        <w:t xml:space="preserve">Unidad de trabajo familiar </w:t>
      </w:r>
    </w:p>
    <w:p w:rsidR="004A2938" w:rsidRPr="005667CD" w:rsidRDefault="004A2938" w:rsidP="00FE491B">
      <w:pPr>
        <w:pStyle w:val="HStandard"/>
        <w:ind w:left="993" w:hanging="993"/>
      </w:pPr>
      <w:r w:rsidRPr="005667CD">
        <w:t>VI</w:t>
      </w:r>
      <w:r w:rsidRPr="005667CD">
        <w:tab/>
      </w:r>
      <w:r w:rsidRPr="005667CD">
        <w:tab/>
        <w:t>Variables instrumentales</w:t>
      </w:r>
    </w:p>
    <w:p w:rsidR="004A2938" w:rsidRPr="005667CD" w:rsidRDefault="004A2938" w:rsidP="00FE491B">
      <w:pPr>
        <w:pStyle w:val="HStandard"/>
        <w:ind w:left="993" w:hanging="993"/>
      </w:pPr>
      <w:r w:rsidRPr="005667CD">
        <w:t>ZLN</w:t>
      </w:r>
      <w:r w:rsidRPr="005667CD">
        <w:tab/>
      </w:r>
      <w:r w:rsidRPr="005667CD">
        <w:tab/>
        <w:t>Zonas con limitaciones naturales</w:t>
      </w:r>
    </w:p>
    <w:p w:rsidR="00D32538" w:rsidRPr="005667CD" w:rsidRDefault="00D32538" w:rsidP="0095356C">
      <w:pPr>
        <w:pStyle w:val="HStandard"/>
        <w:ind w:left="993" w:hanging="993"/>
        <w:sectPr w:rsidR="00D32538" w:rsidRPr="005667CD" w:rsidSect="0073782F">
          <w:headerReference w:type="default" r:id="rId17"/>
          <w:footerReference w:type="first" r:id="rId18"/>
          <w:pgSz w:w="11906" w:h="16838" w:code="9"/>
          <w:pgMar w:top="1400" w:right="1400" w:bottom="1134" w:left="1400" w:header="567" w:footer="737" w:gutter="0"/>
          <w:cols w:space="708"/>
          <w:titlePg/>
          <w:docGrid w:linePitch="360"/>
        </w:sectPr>
      </w:pPr>
    </w:p>
    <w:p w:rsidR="006F7D30" w:rsidRPr="005667CD" w:rsidRDefault="006F7D30" w:rsidP="006F7D30">
      <w:pPr>
        <w:pStyle w:val="HHeading1"/>
        <w:numPr>
          <w:ilvl w:val="0"/>
          <w:numId w:val="0"/>
        </w:numPr>
        <w:rPr>
          <w:sz w:val="28"/>
        </w:rPr>
      </w:pPr>
      <w:r w:rsidRPr="005667CD">
        <w:rPr>
          <w:sz w:val="28"/>
        </w:rPr>
        <w:lastRenderedPageBreak/>
        <w:t>Agradecimientos</w:t>
      </w:r>
    </w:p>
    <w:p w:rsidR="00EB120C" w:rsidRPr="005667CD" w:rsidRDefault="00EB120C" w:rsidP="00EB120C">
      <w:pPr>
        <w:spacing w:after="120" w:line="280" w:lineRule="atLeast"/>
        <w:rPr>
          <w:rFonts w:ascii="Calibri" w:hAnsi="Calibri"/>
          <w:i/>
          <w:iCs/>
          <w:color w:val="373737" w:themeColor="text1"/>
          <w:sz w:val="20"/>
          <w:szCs w:val="20"/>
        </w:rPr>
      </w:pPr>
      <w:r w:rsidRPr="005667CD">
        <w:rPr>
          <w:i/>
          <w:color w:val="373737" w:themeColor="text1"/>
          <w:sz w:val="20"/>
        </w:rPr>
        <w:t xml:space="preserve">Las Directrices han sido elaboradas por un equipo internacional de expertos en evaluación del desarrollo rural, entre ellos </w:t>
      </w:r>
      <w:proofErr w:type="spellStart"/>
      <w:r w:rsidRPr="005667CD">
        <w:rPr>
          <w:i/>
          <w:color w:val="373737" w:themeColor="text1"/>
          <w:sz w:val="20"/>
        </w:rPr>
        <w:t>Jerzy</w:t>
      </w:r>
      <w:proofErr w:type="spellEnd"/>
      <w:r w:rsidRPr="005667CD">
        <w:rPr>
          <w:i/>
          <w:color w:val="373737" w:themeColor="text1"/>
          <w:sz w:val="20"/>
        </w:rPr>
        <w:t xml:space="preserve"> </w:t>
      </w:r>
      <w:proofErr w:type="spellStart"/>
      <w:r w:rsidRPr="005667CD">
        <w:rPr>
          <w:i/>
          <w:color w:val="373737" w:themeColor="text1"/>
          <w:sz w:val="20"/>
        </w:rPr>
        <w:t>Michalek</w:t>
      </w:r>
      <w:proofErr w:type="spellEnd"/>
      <w:r w:rsidRPr="005667CD">
        <w:rPr>
          <w:i/>
          <w:color w:val="373737" w:themeColor="text1"/>
          <w:sz w:val="20"/>
        </w:rPr>
        <w:t xml:space="preserve"> (impactos sectoriales), </w:t>
      </w:r>
      <w:proofErr w:type="spellStart"/>
      <w:r w:rsidRPr="005667CD">
        <w:rPr>
          <w:i/>
          <w:color w:val="373737" w:themeColor="text1"/>
          <w:sz w:val="20"/>
        </w:rPr>
        <w:t>Demetrios</w:t>
      </w:r>
      <w:proofErr w:type="spellEnd"/>
      <w:r w:rsidRPr="005667CD">
        <w:rPr>
          <w:i/>
          <w:color w:val="373737" w:themeColor="text1"/>
          <w:sz w:val="20"/>
        </w:rPr>
        <w:t xml:space="preserve"> Psaltopoulos (impactos </w:t>
      </w:r>
      <w:r w:rsidR="005667CD" w:rsidRPr="005667CD">
        <w:rPr>
          <w:i/>
          <w:color w:val="373737" w:themeColor="text1"/>
          <w:sz w:val="20"/>
        </w:rPr>
        <w:t>socioeconómicos</w:t>
      </w:r>
      <w:r w:rsidRPr="005667CD">
        <w:rPr>
          <w:i/>
          <w:color w:val="373737" w:themeColor="text1"/>
          <w:sz w:val="20"/>
        </w:rPr>
        <w:t xml:space="preserve">), Marili </w:t>
      </w:r>
      <w:proofErr w:type="spellStart"/>
      <w:r w:rsidRPr="005667CD">
        <w:rPr>
          <w:i/>
          <w:color w:val="373737" w:themeColor="text1"/>
          <w:sz w:val="20"/>
        </w:rPr>
        <w:t>Parisaki</w:t>
      </w:r>
      <w:proofErr w:type="spellEnd"/>
      <w:r w:rsidRPr="005667CD">
        <w:rPr>
          <w:i/>
          <w:color w:val="373737" w:themeColor="text1"/>
          <w:sz w:val="20"/>
        </w:rPr>
        <w:t xml:space="preserve"> (métodos cualitativos), </w:t>
      </w:r>
      <w:proofErr w:type="spellStart"/>
      <w:r w:rsidRPr="005667CD">
        <w:rPr>
          <w:i/>
          <w:color w:val="373737" w:themeColor="text1"/>
          <w:sz w:val="20"/>
        </w:rPr>
        <w:t>Tomáš</w:t>
      </w:r>
      <w:proofErr w:type="spellEnd"/>
      <w:r w:rsidRPr="005667CD">
        <w:rPr>
          <w:i/>
          <w:color w:val="373737" w:themeColor="text1"/>
          <w:sz w:val="20"/>
        </w:rPr>
        <w:t xml:space="preserve"> </w:t>
      </w:r>
      <w:proofErr w:type="spellStart"/>
      <w:r w:rsidRPr="005667CD">
        <w:rPr>
          <w:i/>
          <w:color w:val="373737" w:themeColor="text1"/>
          <w:sz w:val="20"/>
        </w:rPr>
        <w:t>Ratinger</w:t>
      </w:r>
      <w:proofErr w:type="spellEnd"/>
      <w:r w:rsidRPr="005667CD">
        <w:rPr>
          <w:i/>
          <w:color w:val="373737" w:themeColor="text1"/>
          <w:sz w:val="20"/>
        </w:rPr>
        <w:t xml:space="preserve"> (impactos sectoriales), Gerald Schwarz (impactos medioambientales), </w:t>
      </w:r>
      <w:proofErr w:type="spellStart"/>
      <w:r w:rsidRPr="005667CD">
        <w:rPr>
          <w:i/>
          <w:color w:val="373737" w:themeColor="text1"/>
          <w:sz w:val="20"/>
        </w:rPr>
        <w:t>Dimitris</w:t>
      </w:r>
      <w:proofErr w:type="spellEnd"/>
      <w:r w:rsidRPr="005667CD">
        <w:rPr>
          <w:i/>
          <w:color w:val="373737" w:themeColor="text1"/>
          <w:sz w:val="20"/>
        </w:rPr>
        <w:t xml:space="preserve"> </w:t>
      </w:r>
      <w:proofErr w:type="spellStart"/>
      <w:r w:rsidRPr="005667CD">
        <w:rPr>
          <w:i/>
          <w:color w:val="373737" w:themeColor="text1"/>
          <w:sz w:val="20"/>
        </w:rPr>
        <w:t>Skuras</w:t>
      </w:r>
      <w:proofErr w:type="spellEnd"/>
      <w:r w:rsidRPr="005667CD">
        <w:rPr>
          <w:i/>
          <w:color w:val="373737" w:themeColor="text1"/>
          <w:sz w:val="20"/>
        </w:rPr>
        <w:t xml:space="preserve"> (impactos medioambientales), </w:t>
      </w:r>
      <w:proofErr w:type="spellStart"/>
      <w:r w:rsidRPr="005667CD">
        <w:rPr>
          <w:i/>
          <w:color w:val="373737" w:themeColor="text1"/>
          <w:sz w:val="20"/>
        </w:rPr>
        <w:t>Darko</w:t>
      </w:r>
      <w:proofErr w:type="spellEnd"/>
      <w:r w:rsidRPr="005667CD">
        <w:rPr>
          <w:i/>
          <w:color w:val="373737" w:themeColor="text1"/>
          <w:sz w:val="20"/>
        </w:rPr>
        <w:t xml:space="preserve"> </w:t>
      </w:r>
      <w:proofErr w:type="spellStart"/>
      <w:r w:rsidRPr="005667CD">
        <w:rPr>
          <w:i/>
          <w:color w:val="373737" w:themeColor="text1"/>
          <w:sz w:val="20"/>
        </w:rPr>
        <w:t>Znaor</w:t>
      </w:r>
      <w:proofErr w:type="spellEnd"/>
      <w:r w:rsidRPr="005667CD">
        <w:rPr>
          <w:i/>
          <w:color w:val="373737" w:themeColor="text1"/>
          <w:sz w:val="20"/>
        </w:rPr>
        <w:t xml:space="preserve"> (impactos medioambientales). El grupo de trabajo temático correspondiente ha sido coordinado por el Servicio de asistencia de evaluación dirigido por Jela Tvrdonova y Hannes Wimmer. Valérie Dumont, Myles Stiffler, Matteo Metta, Valdis Kudins y Harriet Mackaill-Hill prestaron su apoyo a la labor de desarrollo y garantizaron la calidad y el aspecto vis</w:t>
      </w:r>
      <w:r w:rsidR="0073782F" w:rsidRPr="005667CD">
        <w:rPr>
          <w:i/>
          <w:color w:val="373737" w:themeColor="text1"/>
          <w:sz w:val="20"/>
        </w:rPr>
        <w:t>ual de las Directrices finales.</w:t>
      </w:r>
    </w:p>
    <w:p w:rsidR="00EB120C" w:rsidRPr="005667CD" w:rsidRDefault="00EB120C" w:rsidP="00EB120C">
      <w:pPr>
        <w:spacing w:after="120" w:line="280" w:lineRule="atLeast"/>
        <w:rPr>
          <w:i/>
          <w:iCs/>
          <w:color w:val="373737" w:themeColor="text1"/>
          <w:sz w:val="20"/>
          <w:szCs w:val="20"/>
        </w:rPr>
      </w:pPr>
      <w:r w:rsidRPr="005667CD">
        <w:rPr>
          <w:i/>
          <w:color w:val="373737" w:themeColor="text1"/>
          <w:sz w:val="20"/>
        </w:rPr>
        <w:t>Varios expertos han actuado como revisores inter pares (</w:t>
      </w:r>
      <w:proofErr w:type="spellStart"/>
      <w:r w:rsidRPr="005667CD">
        <w:rPr>
          <w:i/>
          <w:color w:val="373737" w:themeColor="text1"/>
          <w:sz w:val="20"/>
        </w:rPr>
        <w:t>Rolf</w:t>
      </w:r>
      <w:proofErr w:type="spellEnd"/>
      <w:r w:rsidRPr="005667CD">
        <w:rPr>
          <w:i/>
          <w:color w:val="373737" w:themeColor="text1"/>
          <w:sz w:val="20"/>
        </w:rPr>
        <w:t xml:space="preserve"> </w:t>
      </w:r>
      <w:proofErr w:type="spellStart"/>
      <w:r w:rsidRPr="005667CD">
        <w:rPr>
          <w:i/>
          <w:color w:val="373737" w:themeColor="text1"/>
          <w:sz w:val="20"/>
        </w:rPr>
        <w:t>Bergs</w:t>
      </w:r>
      <w:proofErr w:type="spellEnd"/>
      <w:r w:rsidRPr="005667CD">
        <w:rPr>
          <w:i/>
          <w:color w:val="373737" w:themeColor="text1"/>
          <w:sz w:val="20"/>
        </w:rPr>
        <w:t xml:space="preserve">, Kit Macleod, </w:t>
      </w:r>
      <w:proofErr w:type="spellStart"/>
      <w:r w:rsidRPr="005667CD">
        <w:rPr>
          <w:i/>
          <w:color w:val="373737" w:themeColor="text1"/>
          <w:sz w:val="20"/>
        </w:rPr>
        <w:t>Žymantas</w:t>
      </w:r>
      <w:proofErr w:type="spellEnd"/>
      <w:r w:rsidRPr="005667CD">
        <w:rPr>
          <w:i/>
          <w:color w:val="373737" w:themeColor="text1"/>
          <w:sz w:val="20"/>
        </w:rPr>
        <w:t xml:space="preserve"> </w:t>
      </w:r>
      <w:proofErr w:type="spellStart"/>
      <w:r w:rsidRPr="005667CD">
        <w:rPr>
          <w:i/>
          <w:color w:val="373737" w:themeColor="text1"/>
          <w:sz w:val="20"/>
        </w:rPr>
        <w:t>Morkvėnas</w:t>
      </w:r>
      <w:proofErr w:type="spellEnd"/>
      <w:r w:rsidRPr="005667CD">
        <w:rPr>
          <w:i/>
          <w:color w:val="373737" w:themeColor="text1"/>
          <w:sz w:val="20"/>
        </w:rPr>
        <w:t>). Representantes de la DG de Agricultura y Desarrollo Rural han garantizado la coherencia de las Directrices con el marco político de la UE.</w:t>
      </w:r>
    </w:p>
    <w:p w:rsidR="006F7D30" w:rsidRPr="005667CD" w:rsidRDefault="00EB120C" w:rsidP="00EB120C">
      <w:pPr>
        <w:pStyle w:val="HStandard"/>
      </w:pPr>
      <w:r w:rsidRPr="005667CD">
        <w:rPr>
          <w:i/>
        </w:rPr>
        <w:t>Representantes de los Estados miembros aportaron sus comentarios acerca de los proyectos de las Directrices durante la consulta del grupo de sondeo en enero y abril de 2018. Miembros del grupo de expertos en materia de seguimiento y evaluación de la PAC formularon observaciones sobre el proyecto final en junio de 2018. </w:t>
      </w:r>
    </w:p>
    <w:p w:rsidR="00860B72" w:rsidRPr="005667CD" w:rsidRDefault="00860B72" w:rsidP="000B2A17">
      <w:pPr>
        <w:pStyle w:val="HStandard"/>
      </w:pPr>
    </w:p>
    <w:p w:rsidR="008E728A" w:rsidRPr="005667CD" w:rsidRDefault="008549B5" w:rsidP="008E3ACB">
      <w:pPr>
        <w:pStyle w:val="HHeading1"/>
        <w:numPr>
          <w:ilvl w:val="0"/>
          <w:numId w:val="0"/>
        </w:numPr>
        <w:rPr>
          <w:sz w:val="28"/>
        </w:rPr>
      </w:pPr>
      <w:r w:rsidRPr="005667CD">
        <w:rPr>
          <w:sz w:val="28"/>
        </w:rPr>
        <w:lastRenderedPageBreak/>
        <w:t>INTRODUCCIÓN</w:t>
      </w:r>
    </w:p>
    <w:p w:rsidR="00CD63F6" w:rsidRPr="005667CD" w:rsidRDefault="00CD63F6" w:rsidP="00CD63F6">
      <w:pPr>
        <w:pStyle w:val="HHeading4"/>
      </w:pPr>
      <w:r w:rsidRPr="005667CD">
        <w:t>Importancia de la evaluación</w:t>
      </w:r>
    </w:p>
    <w:p w:rsidR="00CD63F6" w:rsidRPr="005667CD" w:rsidRDefault="00CD63F6" w:rsidP="00CD63F6">
      <w:pPr>
        <w:pStyle w:val="HStandard"/>
      </w:pPr>
      <w:r w:rsidRPr="005667CD">
        <w:t xml:space="preserve">Los Fondos Estructurales y de Inversión Europeos (Fondos EIE) son importantes </w:t>
      </w:r>
      <w:r w:rsidRPr="005667CD">
        <w:rPr>
          <w:b/>
        </w:rPr>
        <w:t>instrumentos públicos</w:t>
      </w:r>
      <w:r w:rsidRPr="005667CD">
        <w:t xml:space="preserve"> para apoyar acciones relacionadas con las prioridades clave de la Unión, que se canalizan a través de programas plurianuales en los Estados miembros y las regiones. Por lo tanto, redunda en el interés de los responsables políticos y del público saber si el dinero se gasta de manera responsable, produce los resultados esperados y si las intervenciones se dirigen a los beneficiarios adecuados para alcanzar los objetivos políticos de la UE. </w:t>
      </w:r>
    </w:p>
    <w:p w:rsidR="00CD63F6" w:rsidRPr="005667CD" w:rsidRDefault="00CD63F6" w:rsidP="00CC00DA">
      <w:pPr>
        <w:pStyle w:val="HStandard"/>
      </w:pPr>
      <w:r w:rsidRPr="005667CD">
        <w:t xml:space="preserve">La </w:t>
      </w:r>
      <w:r w:rsidRPr="005667CD">
        <w:rPr>
          <w:b/>
        </w:rPr>
        <w:t>evaluación</w:t>
      </w:r>
      <w:r w:rsidRPr="005667CD">
        <w:t xml:space="preserve"> es un instrumento para valorar la eficacia, la eficiencia, los resultados y los impactos de la política</w:t>
      </w:r>
      <w:r w:rsidRPr="005667CD">
        <w:rPr>
          <w:rStyle w:val="FootnoteReference"/>
        </w:rPr>
        <w:footnoteReference w:id="1"/>
      </w:r>
      <w:r w:rsidRPr="005667CD">
        <w:t xml:space="preserve">, la pertinencia, la coherencia y el valor añadido de la UE a fin de garantizar su responsabilidad y transparencia, y, en última instancia, mejorar su concepción. En el contexto del desarrollo rural, hay dos hitos de evaluación </w:t>
      </w:r>
      <w:r w:rsidRPr="005667CD">
        <w:rPr>
          <w:b/>
        </w:rPr>
        <w:t>durante el período de programación 2014-2020</w:t>
      </w:r>
      <w:r w:rsidRPr="005667CD">
        <w:t xml:space="preserve">. Uno en 2017, cuando las partes interesadas valoran los resultados de la política y el segundo en 2019, cuando se miden tanto los resultados de la política como los impactos. Además, </w:t>
      </w:r>
      <w:r w:rsidRPr="005667CD">
        <w:rPr>
          <w:b/>
        </w:rPr>
        <w:t>una vez finalizado el período de programación</w:t>
      </w:r>
      <w:r w:rsidRPr="005667CD">
        <w:t xml:space="preserve"> se lleva a cabo una evaluación </w:t>
      </w:r>
      <w:r w:rsidRPr="005667CD">
        <w:rPr>
          <w:i/>
        </w:rPr>
        <w:t>ex post</w:t>
      </w:r>
      <w:r w:rsidRPr="005667CD">
        <w:t>.</w:t>
      </w:r>
      <w:r w:rsidRPr="005667CD">
        <w:rPr>
          <w:b/>
        </w:rPr>
        <w:t xml:space="preserve"> </w:t>
      </w:r>
    </w:p>
    <w:p w:rsidR="00CD63F6" w:rsidRPr="005667CD" w:rsidRDefault="00CD63F6" w:rsidP="005C0884">
      <w:pPr>
        <w:pStyle w:val="HHeading4"/>
      </w:pPr>
      <w:r w:rsidRPr="005667CD">
        <w:t xml:space="preserve">Objetivo de las directrices </w:t>
      </w:r>
    </w:p>
    <w:p w:rsidR="00CD63F6" w:rsidRPr="005667CD" w:rsidRDefault="00BD7C99" w:rsidP="00CD63F6">
      <w:pPr>
        <w:pStyle w:val="HStandard"/>
      </w:pPr>
      <w:r w:rsidRPr="005667CD">
        <w:t>El marco jurídico exige que, en 2019, los Estados miembros informen sobre los logros del PDR para alcanzar los objetivos del programa y sus contribuciones a la estrategia de la UE para un crecimiento inteligente, sostenible e integrador. Esto se consigue a través de los informes anuales de ejecución (IAE) presentados en 2019. Las evaluaciones deben valorar la contribución neta del programa a los cambios en los valores de los indicadores de impacto de la PAC y responder a las preguntas de evaluación</w:t>
      </w:r>
      <w:r w:rsidRPr="005667CD">
        <w:rPr>
          <w:rStyle w:val="FootnoteReference"/>
        </w:rPr>
        <w:footnoteReference w:id="2"/>
      </w:r>
      <w:r w:rsidRPr="005667CD">
        <w:t xml:space="preserve">. </w:t>
      </w:r>
    </w:p>
    <w:p w:rsidR="00CD63F6" w:rsidRPr="005667CD" w:rsidRDefault="009642AA" w:rsidP="009F77FD">
      <w:pPr>
        <w:pStyle w:val="HStandard"/>
      </w:pPr>
      <w:r w:rsidRPr="005667CD">
        <w:t xml:space="preserve">Las presentes Directrices se marcan como objetivo </w:t>
      </w:r>
      <w:r w:rsidRPr="005667CD">
        <w:rPr>
          <w:b/>
        </w:rPr>
        <w:t>examinar los retos</w:t>
      </w:r>
      <w:r w:rsidRPr="005667CD">
        <w:t xml:space="preserve"> relacionados con las actividades de evaluación del informe anual de ejecución en 2019; </w:t>
      </w:r>
      <w:r w:rsidRPr="005667CD">
        <w:rPr>
          <w:b/>
        </w:rPr>
        <w:t>presentar enfoques prácticos</w:t>
      </w:r>
      <w:r w:rsidRPr="005667CD">
        <w:t xml:space="preserve"> para calcular las contribuciones netas de los PDR a los indicadores comunes de impacto de la PAC y valorar los avances en la consecución de los objetivos a nivel de la UE, y </w:t>
      </w:r>
      <w:r w:rsidRPr="005667CD">
        <w:rPr>
          <w:b/>
        </w:rPr>
        <w:t>prestar apoyo para responder</w:t>
      </w:r>
      <w:r w:rsidRPr="005667CD">
        <w:t xml:space="preserve"> a las preguntas comunes de evaluación (PCE) 22-30 y para informar sobre las conclusiones de la evaluación a la Comisión Europea en los IAE presentados en 2019.</w:t>
      </w:r>
    </w:p>
    <w:p w:rsidR="00CD63F6" w:rsidRPr="005667CD" w:rsidRDefault="00CD63F6" w:rsidP="005C0884">
      <w:pPr>
        <w:pStyle w:val="HHeading4"/>
      </w:pPr>
      <w:r w:rsidRPr="005667CD">
        <w:t xml:space="preserve">Estructura y contenido de las Directrices </w:t>
      </w:r>
    </w:p>
    <w:p w:rsidR="00CD63F6" w:rsidRPr="005667CD" w:rsidRDefault="00BD7C99" w:rsidP="005C0884">
      <w:pPr>
        <w:pStyle w:val="HStandard"/>
      </w:pPr>
      <w:r w:rsidRPr="005667CD">
        <w:t xml:space="preserve">Las </w:t>
      </w:r>
      <w:r w:rsidRPr="005667CD">
        <w:rPr>
          <w:b/>
        </w:rPr>
        <w:t>Directrices NO VINCULANTES</w:t>
      </w:r>
      <w:r w:rsidRPr="005667CD">
        <w:t xml:space="preserve">, </w:t>
      </w:r>
      <w:r w:rsidRPr="005667CD">
        <w:rPr>
          <w:i/>
        </w:rPr>
        <w:t>Valoración de los logros e impactos de los PDR en 2019</w:t>
      </w:r>
      <w:r w:rsidRPr="005667CD">
        <w:t xml:space="preserve">, abarcan lo siguiente: </w:t>
      </w:r>
    </w:p>
    <w:p w:rsidR="00CD63F6" w:rsidRPr="005667CD" w:rsidRDefault="008358D0" w:rsidP="00AD4DC6">
      <w:pPr>
        <w:pStyle w:val="Hlistbullet"/>
        <w:spacing w:line="276" w:lineRule="auto"/>
      </w:pPr>
      <w:r w:rsidRPr="005667CD">
        <w:rPr>
          <w:b/>
          <w:color w:val="F07E31" w:themeColor="accent1"/>
        </w:rPr>
        <w:t xml:space="preserve">PARTE I (principalmente para las autoridades de gestión): </w:t>
      </w:r>
      <w:r w:rsidRPr="005667CD">
        <w:t xml:space="preserve">informa sobre los requisitos legales y explica cómo presentar informes en 2019 en relación con las PCE 22-30. La parte I contiene referencias a otras directrices existentes. </w:t>
      </w:r>
    </w:p>
    <w:p w:rsidR="00CD63F6" w:rsidRPr="005667CD" w:rsidRDefault="008358D0" w:rsidP="00AD4DC6">
      <w:pPr>
        <w:pStyle w:val="Hlistbullet"/>
        <w:spacing w:line="276" w:lineRule="auto"/>
      </w:pPr>
      <w:r w:rsidRPr="005667CD">
        <w:rPr>
          <w:b/>
          <w:color w:val="F07E31" w:themeColor="accent1"/>
        </w:rPr>
        <w:t>PARTE II (principalmente para los evaluadores):</w:t>
      </w:r>
      <w:r w:rsidRPr="005667CD">
        <w:t xml:space="preserve"> ofrece apoyo metodológico para valorar los indicadores comunes de impacto del pilar II (impactos sectoriales, medioambientales y socioeconómicos). Esta parte explica las lógicas de intervención, el uso de elementos de evaluación adicionales, explica los requisitos en materia de datos, las unidades de valoración y orienta al lector eligiendo los enfoques de evaluación más adecuados para compensar las contribuciones de los PDR a los valores de los indicadores de impacto de la PAC. Además, la </w:t>
      </w:r>
      <w:r w:rsidRPr="005667CD">
        <w:lastRenderedPageBreak/>
        <w:t xml:space="preserve">parte II también sugiere enfoques para valorar las contribuciones del PDR para alcanzar los objetivos de la estrategia de la UE para 2020 en materia de innovación. </w:t>
      </w:r>
    </w:p>
    <w:p w:rsidR="00800238" w:rsidRPr="005667CD" w:rsidRDefault="00800238" w:rsidP="00AD4DC6">
      <w:pPr>
        <w:pStyle w:val="Hlistbullet"/>
        <w:spacing w:line="276" w:lineRule="auto"/>
      </w:pPr>
      <w:r w:rsidRPr="005667CD">
        <w:rPr>
          <w:b/>
          <w:color w:val="F07E31" w:themeColor="accent1"/>
        </w:rPr>
        <w:t>PARTE III:</w:t>
      </w:r>
      <w:r w:rsidRPr="005667CD">
        <w:rPr>
          <w:color w:val="F07E31" w:themeColor="accent1"/>
        </w:rPr>
        <w:t xml:space="preserve"> </w:t>
      </w:r>
      <w:r w:rsidRPr="005667CD">
        <w:t>contiene las fichas para responder a las PCE 22-30.</w:t>
      </w:r>
    </w:p>
    <w:p w:rsidR="00CD63F6" w:rsidRPr="005667CD" w:rsidRDefault="00FD0D50" w:rsidP="00AD4DC6">
      <w:pPr>
        <w:pStyle w:val="Hlistbullet"/>
        <w:spacing w:line="276" w:lineRule="auto"/>
      </w:pPr>
      <w:r>
        <w:rPr>
          <w:b/>
          <w:color w:val="F07E31" w:themeColor="accent1"/>
        </w:rPr>
        <w:t>PARTE IV</w:t>
      </w:r>
      <w:r w:rsidR="00FE491B" w:rsidRPr="005667CD">
        <w:rPr>
          <w:b/>
          <w:color w:val="F07E31" w:themeColor="accent1"/>
        </w:rPr>
        <w:t xml:space="preserve">: </w:t>
      </w:r>
      <w:r w:rsidR="00FE491B" w:rsidRPr="005667CD">
        <w:t xml:space="preserve">contiene el anexo técnico con información más detallada sobre los enfoques para valorar los indicadores de impacto de la PAC y el glosario de términos. </w:t>
      </w:r>
    </w:p>
    <w:p w:rsidR="001C2076" w:rsidRPr="005667CD" w:rsidRDefault="001C2076" w:rsidP="008D52EA">
      <w:pPr>
        <w:pStyle w:val="HHeading1"/>
        <w:tabs>
          <w:tab w:val="clear" w:pos="474"/>
          <w:tab w:val="clear" w:pos="567"/>
        </w:tabs>
        <w:rPr>
          <w:sz w:val="28"/>
        </w:rPr>
      </w:pPr>
      <w:r w:rsidRPr="005667CD">
        <w:rPr>
          <w:sz w:val="28"/>
        </w:rPr>
        <w:lastRenderedPageBreak/>
        <w:t>¿Qué debe notificarse acerca de la evaluación en el IAE presentado en 2019? (Parte I)</w:t>
      </w:r>
    </w:p>
    <w:p w:rsidR="001C2076" w:rsidRPr="005667CD" w:rsidRDefault="000C5796" w:rsidP="00E35440">
      <w:pPr>
        <w:pStyle w:val="HHeading2"/>
      </w:pPr>
      <w:r w:rsidRPr="005667CD">
        <w:t xml:space="preserve">Marco jurídico y objetivo principal de la evaluación en 2019 </w:t>
      </w:r>
    </w:p>
    <w:p w:rsidR="00B013D7" w:rsidRPr="005667CD" w:rsidRDefault="006A3698" w:rsidP="001C2076">
      <w:pPr>
        <w:pStyle w:val="HStandard"/>
      </w:pPr>
      <w:r w:rsidRPr="005667CD">
        <w:t>A partir de junio de 2016, y anualmente hasta 2024</w:t>
      </w:r>
      <w:r w:rsidRPr="005667CD">
        <w:rPr>
          <w:rStyle w:val="FootnoteReference"/>
        </w:rPr>
        <w:footnoteReference w:id="3"/>
      </w:r>
      <w:r w:rsidRPr="005667CD">
        <w:t>, los Estados miembros presentan a la Comisión Europea un informe anual de ejecución (IAE). El IAE ofrece información sobre la ejecución del PDR, así como sobre los progresos en la ejecución del plan de evaluación</w:t>
      </w:r>
      <w:r w:rsidRPr="005667CD">
        <w:rPr>
          <w:rStyle w:val="FootnoteReference"/>
        </w:rPr>
        <w:footnoteReference w:id="4"/>
      </w:r>
      <w:r w:rsidRPr="005667CD">
        <w:t xml:space="preserve">. </w:t>
      </w:r>
    </w:p>
    <w:p w:rsidR="001C2076" w:rsidRPr="005667CD" w:rsidRDefault="001C2076" w:rsidP="001C2076">
      <w:pPr>
        <w:pStyle w:val="HStandard"/>
      </w:pPr>
      <w:r w:rsidRPr="005667CD">
        <w:rPr>
          <w:b/>
        </w:rPr>
        <w:t>En 2017 el informe anual de ejecución</w:t>
      </w:r>
      <w:r w:rsidRPr="005667CD">
        <w:t xml:space="preserve"> incluyó la cuantificación de los logros del programa (a través de la valoración de los indicadores de resultados, incluidos los indicadores de resultados complementarios). Para interpretar los indicadores de resultados y responder a las preguntas comunes de evaluación</w:t>
      </w:r>
      <w:r w:rsidRPr="005667CD">
        <w:rPr>
          <w:rStyle w:val="FootnoteReference"/>
        </w:rPr>
        <w:footnoteReference w:id="5"/>
      </w:r>
      <w:r w:rsidRPr="005667CD">
        <w:t xml:space="preserve"> 1-21 se utilizaron criterios de valoración. Las </w:t>
      </w:r>
      <w:r w:rsidRPr="005667CD">
        <w:rPr>
          <w:i/>
        </w:rPr>
        <w:t>Directrices</w:t>
      </w:r>
      <w:r w:rsidRPr="005667CD">
        <w:t>:</w:t>
      </w:r>
      <w:r w:rsidRPr="005667CD">
        <w:rPr>
          <w:i/>
        </w:rPr>
        <w:t xml:space="preserve"> </w:t>
      </w:r>
      <w:hyperlink r:id="rId19">
        <w:r w:rsidRPr="005667CD">
          <w:rPr>
            <w:rStyle w:val="Hyperlink"/>
            <w:i/>
          </w:rPr>
          <w:t>Evaluación de los resultados del PDR: Cómo elaborar los informes sobre evaluación en 2017</w:t>
        </w:r>
      </w:hyperlink>
      <w:r w:rsidRPr="005667CD">
        <w:t>, pueden asimismo servir de apoyo para estas actividades haciéndolas también pertinentes para el ejercicio de 2019</w:t>
      </w:r>
      <w:r w:rsidRPr="005667CD">
        <w:rPr>
          <w:rStyle w:val="FootnoteReference"/>
        </w:rPr>
        <w:footnoteReference w:id="6"/>
      </w:r>
      <w:r w:rsidRPr="005667CD">
        <w:t xml:space="preserve">. </w:t>
      </w:r>
    </w:p>
    <w:p w:rsidR="00BA41C1" w:rsidRPr="005667CD" w:rsidRDefault="001C2076" w:rsidP="001C2076">
      <w:pPr>
        <w:pStyle w:val="HStandard"/>
      </w:pPr>
      <w:r w:rsidRPr="005667CD">
        <w:t xml:space="preserve">El </w:t>
      </w:r>
      <w:r w:rsidRPr="005667CD">
        <w:rPr>
          <w:b/>
        </w:rPr>
        <w:t>informe anual de ejecución</w:t>
      </w:r>
      <w:r w:rsidRPr="005667CD">
        <w:t xml:space="preserve"> presentado </w:t>
      </w:r>
      <w:r w:rsidRPr="005667CD">
        <w:rPr>
          <w:b/>
        </w:rPr>
        <w:t>en 2019</w:t>
      </w:r>
      <w:r w:rsidRPr="005667CD">
        <w:t xml:space="preserve"> requiere una actualización de las conclusiones de la evaluación que fueron anteriormente notificados en 2017, y </w:t>
      </w:r>
      <w:r w:rsidRPr="005667CD">
        <w:rPr>
          <w:u w:val="single"/>
        </w:rPr>
        <w:t>además</w:t>
      </w:r>
      <w:r w:rsidRPr="005667CD">
        <w:t xml:space="preserve"> incluirá:</w:t>
      </w:r>
    </w:p>
    <w:p w:rsidR="00BA41C1" w:rsidRPr="005667CD" w:rsidRDefault="001C2076" w:rsidP="00BA41C1">
      <w:pPr>
        <w:pStyle w:val="Hlistbullet"/>
      </w:pPr>
      <w:r w:rsidRPr="005667CD">
        <w:t xml:space="preserve">las conclusiones de la valoración de los impactos del PDR, obtenidos mediante el cálculo y la interpretación de los valores netos de los indicadores de impacto de la PAC; </w:t>
      </w:r>
    </w:p>
    <w:p w:rsidR="00BA41C1" w:rsidRPr="005667CD" w:rsidRDefault="00BA41C1" w:rsidP="00BA41C1">
      <w:pPr>
        <w:pStyle w:val="Hlistbullet"/>
      </w:pPr>
      <w:r w:rsidRPr="005667CD">
        <w:t xml:space="preserve">las contribuciones del PDR a la estrategia de la UE para un crecimiento inteligente, sostenible e integrador, así como a la estrategia sobre la biodiversidad, y </w:t>
      </w:r>
    </w:p>
    <w:p w:rsidR="001C2076" w:rsidRPr="005667CD" w:rsidRDefault="00BA41C1" w:rsidP="00BA41C1">
      <w:pPr>
        <w:pStyle w:val="Hlistbullet"/>
      </w:pPr>
      <w:r w:rsidRPr="005667CD">
        <w:t>las respuestas a las preguntas comunes de evaluación para los PDR 2014-2020 en relación con los objetivos a nivel de la UE (es decir, PCE 22-30).</w:t>
      </w:r>
    </w:p>
    <w:p w:rsidR="001C2076" w:rsidRPr="005667CD" w:rsidRDefault="00CA1C02" w:rsidP="001C2076">
      <w:pPr>
        <w:pStyle w:val="HStandard"/>
      </w:pPr>
      <w:r w:rsidRPr="005667CD">
        <w:t>La figura siguiente ofrece una visión general de los principales requisitos de información sobre la evaluación en los informes anuales de ejecución a través del período de programación, tal como se indica en el marco jurídico</w:t>
      </w:r>
      <w:r w:rsidRPr="005667CD">
        <w:rPr>
          <w:rStyle w:val="FootnoteReference"/>
        </w:rPr>
        <w:footnoteReference w:id="7"/>
      </w:r>
      <w:r w:rsidRPr="005667CD">
        <w:t xml:space="preserve"> y en las directrices correspondientes. </w:t>
      </w:r>
    </w:p>
    <w:p w:rsidR="001C2076" w:rsidRPr="005667CD" w:rsidRDefault="00CA1C02" w:rsidP="00E52947">
      <w:pPr>
        <w:pStyle w:val="HHeadingfigures"/>
      </w:pPr>
      <w:r w:rsidRPr="005667CD">
        <w:t xml:space="preserve">Información sobre la evaluación [de conformidad con el anexo VII del Reglamento (UE) n.º 808/2014] </w:t>
      </w:r>
    </w:p>
    <w:p w:rsidR="001C2076" w:rsidRPr="005667CD" w:rsidRDefault="00244515" w:rsidP="00744BAA">
      <w:pPr>
        <w:pStyle w:val="HStandard"/>
        <w:jc w:val="center"/>
      </w:pPr>
      <w:r w:rsidRPr="005667CD">
        <w:rPr>
          <w:noProof/>
        </w:rPr>
        <w:drawing>
          <wp:inline distT="0" distB="0" distL="0" distR="0" wp14:anchorId="2AF041AA" wp14:editId="5E13EA14">
            <wp:extent cx="5181600" cy="292004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1600" cy="2920047"/>
                    </a:xfrm>
                    <a:prstGeom prst="rect">
                      <a:avLst/>
                    </a:prstGeom>
                    <a:noFill/>
                    <a:ln>
                      <a:noFill/>
                    </a:ln>
                  </pic:spPr>
                </pic:pic>
              </a:graphicData>
            </a:graphic>
          </wp:inline>
        </w:drawing>
      </w:r>
    </w:p>
    <w:p w:rsidR="001C2076" w:rsidRPr="005667CD" w:rsidRDefault="001C2076" w:rsidP="008D52EA">
      <w:pPr>
        <w:pStyle w:val="HSource"/>
        <w:rPr>
          <w:i w:val="0"/>
        </w:rPr>
      </w:pPr>
      <w:r w:rsidRPr="005667CD">
        <w:t>Fuente: Servicio de asistencia de evaluación europeo para el desarrollo rural (2018)</w:t>
      </w:r>
    </w:p>
    <w:p w:rsidR="00E52E73" w:rsidRPr="005667CD" w:rsidRDefault="00E52E73" w:rsidP="00E52E73">
      <w:pPr>
        <w:pStyle w:val="HHeading4"/>
      </w:pPr>
      <w:r w:rsidRPr="005667CD">
        <w:lastRenderedPageBreak/>
        <w:t xml:space="preserve">Marco jurídico </w:t>
      </w:r>
    </w:p>
    <w:p w:rsidR="00DE65AB" w:rsidRPr="005667CD" w:rsidRDefault="00BA41C1" w:rsidP="001C2076">
      <w:pPr>
        <w:pStyle w:val="HStandard"/>
      </w:pPr>
      <w:r w:rsidRPr="005667CD">
        <w:t xml:space="preserve">El marco jurídico y el sistema común de seguimiento y evaluación (SCSE) proporcionan las bases para la evaluación de los PDR. </w:t>
      </w:r>
    </w:p>
    <w:p w:rsidR="001A2395" w:rsidRPr="005667CD" w:rsidRDefault="00BA41C1" w:rsidP="001C2076">
      <w:pPr>
        <w:pStyle w:val="HStandard"/>
      </w:pPr>
      <w:r w:rsidRPr="005667CD">
        <w:rPr>
          <w:b/>
        </w:rPr>
        <w:t>El marco jurídico</w:t>
      </w:r>
      <w:r w:rsidRPr="005667CD">
        <w:rPr>
          <w:rStyle w:val="FootnoteReference"/>
        </w:rPr>
        <w:footnoteReference w:id="8"/>
      </w:r>
      <w:r w:rsidRPr="005667CD">
        <w:t xml:space="preserve"> constituye la base para la evaluación de los logros del PDR y las contribuciones a los objetivos políticos más importantes de la UE. </w:t>
      </w:r>
    </w:p>
    <w:p w:rsidR="001C2076" w:rsidRPr="005667CD" w:rsidRDefault="00CA1C02" w:rsidP="001C2076">
      <w:pPr>
        <w:pStyle w:val="HStandard"/>
      </w:pPr>
      <w:r w:rsidRPr="005667CD">
        <w:t xml:space="preserve">Las </w:t>
      </w:r>
      <w:r w:rsidRPr="005667CD">
        <w:rPr>
          <w:b/>
        </w:rPr>
        <w:t>disposiciones generales</w:t>
      </w:r>
      <w:r w:rsidRPr="005667CD">
        <w:t xml:space="preserve"> para la evaluación se establecen en el </w:t>
      </w:r>
      <w:r w:rsidRPr="005667CD">
        <w:rPr>
          <w:b/>
        </w:rPr>
        <w:t>Reglamento (UE) n.º</w:t>
      </w:r>
      <w:r w:rsidR="004A2938" w:rsidRPr="005667CD">
        <w:rPr>
          <w:b/>
        </w:rPr>
        <w:t> </w:t>
      </w:r>
      <w:r w:rsidRPr="005667CD">
        <w:rPr>
          <w:b/>
        </w:rPr>
        <w:t>1303/2013</w:t>
      </w:r>
      <w:r w:rsidRPr="005667CD">
        <w:t xml:space="preserve"> y especifican el papel de la evaluación en:</w:t>
      </w:r>
    </w:p>
    <w:p w:rsidR="001C2076" w:rsidRPr="005667CD" w:rsidRDefault="001C2076" w:rsidP="008D52EA">
      <w:pPr>
        <w:pStyle w:val="Hlistbullet"/>
      </w:pPr>
      <w:r w:rsidRPr="005667CD">
        <w:t xml:space="preserve">la mejora de la calidad de la concepción y la ejecución de los programas, y </w:t>
      </w:r>
    </w:p>
    <w:p w:rsidR="001C2076" w:rsidRPr="005667CD" w:rsidRDefault="001C2076" w:rsidP="008D52EA">
      <w:pPr>
        <w:pStyle w:val="Hlistbullet"/>
      </w:pPr>
      <w:r w:rsidRPr="005667CD">
        <w:t>en la valoración de la eficacia, la eficiencia y el impacto del programa</w:t>
      </w:r>
      <w:r w:rsidRPr="005667CD">
        <w:rPr>
          <w:rStyle w:val="FootnoteReference"/>
        </w:rPr>
        <w:footnoteReference w:id="9"/>
      </w:r>
      <w:r w:rsidRPr="005667CD">
        <w:t xml:space="preserve">. </w:t>
      </w:r>
    </w:p>
    <w:p w:rsidR="00087412" w:rsidRPr="005667CD" w:rsidRDefault="00D42EC7" w:rsidP="001C2076">
      <w:pPr>
        <w:pStyle w:val="HStandard"/>
      </w:pPr>
      <w:r w:rsidRPr="005667CD">
        <w:t xml:space="preserve">Para tal fin, los Estados miembros proporcionarán los </w:t>
      </w:r>
      <w:r w:rsidRPr="005667CD">
        <w:rPr>
          <w:b/>
        </w:rPr>
        <w:t>recursos necesarios para efectuar las evaluaciones</w:t>
      </w:r>
      <w:r w:rsidRPr="005667CD">
        <w:t xml:space="preserve"> y velar por que existan procedimientos para </w:t>
      </w:r>
      <w:r w:rsidRPr="005667CD">
        <w:rPr>
          <w:b/>
        </w:rPr>
        <w:t>producir y recabar los datos necesarios para las evaluaciones</w:t>
      </w:r>
      <w:r w:rsidRPr="005667CD">
        <w:t xml:space="preserve">, en especial los relacionados con los indicadores comunes y, cuando proceda, los indicadores específicos de un programa. </w:t>
      </w:r>
    </w:p>
    <w:p w:rsidR="001C2076" w:rsidRPr="005667CD" w:rsidRDefault="001C2076" w:rsidP="001C2076">
      <w:pPr>
        <w:pStyle w:val="HStandard"/>
      </w:pPr>
      <w:r w:rsidRPr="005667CD">
        <w:t xml:space="preserve">La evaluación se llevará a cabo de conformidad con el </w:t>
      </w:r>
      <w:r w:rsidRPr="005667CD">
        <w:rPr>
          <w:b/>
        </w:rPr>
        <w:t>plan de evaluación</w:t>
      </w:r>
      <w:r w:rsidRPr="005667CD">
        <w:t xml:space="preserve"> y sus conclusiones serán objeto de seguimiento de acuerdo con las normas específicas del fondo. Durante el período de programación deberá evaluarse por lo menos una vez la manera en que la ayuda de los Fondos EIE ha contribuido a los objetivos de cada prioridad</w:t>
      </w:r>
      <w:r w:rsidRPr="005667CD">
        <w:rPr>
          <w:rStyle w:val="FootnoteReference"/>
        </w:rPr>
        <w:footnoteReference w:id="10"/>
      </w:r>
      <w:r w:rsidRPr="005667CD">
        <w:t>.</w:t>
      </w:r>
    </w:p>
    <w:p w:rsidR="001C2076" w:rsidRPr="005667CD" w:rsidRDefault="001C2076" w:rsidP="001C2076">
      <w:pPr>
        <w:pStyle w:val="HStandard"/>
      </w:pPr>
      <w:r w:rsidRPr="005667CD">
        <w:t xml:space="preserve">El </w:t>
      </w:r>
      <w:r w:rsidRPr="005667CD">
        <w:rPr>
          <w:b/>
        </w:rPr>
        <w:t>Reglamento (UE) n.º 1306/2013</w:t>
      </w:r>
      <w:r w:rsidRPr="005667CD">
        <w:t xml:space="preserve"> especifica los requisitos de seguimiento y evaluación de la política agrícola común (PAC)</w:t>
      </w:r>
      <w:r w:rsidRPr="005667CD">
        <w:rPr>
          <w:rStyle w:val="FootnoteReference"/>
        </w:rPr>
        <w:footnoteReference w:id="11"/>
      </w:r>
      <w:r w:rsidRPr="005667CD">
        <w:t xml:space="preserve">. Estipula que la Comisión Europea debe garantizar el rendimiento de la PAC en cuanto al logro de sus </w:t>
      </w:r>
      <w:r w:rsidRPr="005667CD">
        <w:rPr>
          <w:b/>
        </w:rPr>
        <w:t>objetivos comunes</w:t>
      </w:r>
      <w:r w:rsidRPr="005667CD">
        <w:t>. El impacto combinado de todos los instrumentos de la PAC se mide y valora sobre la base de la información procedente de las actividades de seguimiento y evaluación llevadas a cabo en los Estados miembros.</w:t>
      </w:r>
      <w:r w:rsidRPr="005667CD">
        <w:rPr>
          <w:b/>
        </w:rPr>
        <w:t xml:space="preserve"> </w:t>
      </w:r>
      <w:r w:rsidRPr="005667CD">
        <w:t xml:space="preserve">Los objetivos comunes se valorarán atendiendo </w:t>
      </w:r>
      <w:r w:rsidR="005667CD" w:rsidRPr="005667CD">
        <w:t>a</w:t>
      </w:r>
      <w:r w:rsidR="005667CD" w:rsidRPr="005667CD">
        <w:rPr>
          <w:b/>
        </w:rPr>
        <w:t xml:space="preserve"> indicadores</w:t>
      </w:r>
      <w:r w:rsidRPr="005667CD">
        <w:rPr>
          <w:b/>
        </w:rPr>
        <w:t xml:space="preserve"> comunes de impacto</w:t>
      </w:r>
      <w:r w:rsidRPr="005667CD">
        <w:t xml:space="preserve">, mientras que los objetivos específicos subordinados se evaluarán utilizando </w:t>
      </w:r>
      <w:r w:rsidRPr="005667CD">
        <w:rPr>
          <w:b/>
        </w:rPr>
        <w:t>indicadores comunes de resultados</w:t>
      </w:r>
      <w:r w:rsidRPr="005667CD">
        <w:t>. La información recopilada estará basada en fuentes de datos acreditadas, como la Red de Información Contable Agrícola (RICA) y Eurostat. La Comisión Europea tendrá en cuenta las necesidades de datos y las sinergias entre las fuentes potenciales de datos, especialmente su utilización para fines estadísticos cuando corresponda</w:t>
      </w:r>
      <w:r w:rsidRPr="005667CD">
        <w:rPr>
          <w:rStyle w:val="FootnoteReference"/>
        </w:rPr>
        <w:footnoteReference w:id="12"/>
      </w:r>
      <w:r w:rsidRPr="005667CD">
        <w:t>.</w:t>
      </w:r>
    </w:p>
    <w:p w:rsidR="001C2076" w:rsidRPr="005667CD" w:rsidRDefault="001C2076" w:rsidP="001C2076">
      <w:pPr>
        <w:pStyle w:val="HStandard"/>
      </w:pPr>
      <w:r w:rsidRPr="005667CD">
        <w:t xml:space="preserve">El </w:t>
      </w:r>
      <w:r w:rsidRPr="005667CD">
        <w:rPr>
          <w:b/>
        </w:rPr>
        <w:t>Reglamento (UE) n.º 1305/2013 establece el sistema común de seguimiento y evaluación</w:t>
      </w:r>
      <w:r w:rsidRPr="005667CD">
        <w:t>, sus objetivos</w:t>
      </w:r>
      <w:r w:rsidRPr="005667CD">
        <w:rPr>
          <w:rStyle w:val="FootnoteReference"/>
        </w:rPr>
        <w:footnoteReference w:id="13"/>
      </w:r>
      <w:r w:rsidRPr="005667CD">
        <w:t xml:space="preserve"> y los indicadores comunes</w:t>
      </w:r>
      <w:r w:rsidRPr="005667CD">
        <w:rPr>
          <w:rStyle w:val="FootnoteReference"/>
        </w:rPr>
        <w:footnoteReference w:id="14"/>
      </w:r>
      <w:r w:rsidRPr="005667CD">
        <w:t>. Estos indicadores se refieren a la situación inicial (indicadores de contexto), así como a la ejecución financiera, las realizaciones, los resultados y el impacto del programa. Los indicadores comunes se basarán en los datos disponibles, estarán vinculados a la estructura y los objetivos del marco de la política de desarrollo rural y deberán hacer posible la evaluación de los progresos, la eficiencia y la eficacia de la aplicación de dicha política en relación con los objetivos y metas a escala de la Unión, de los Estados miembros y del programa.</w:t>
      </w:r>
    </w:p>
    <w:p w:rsidR="001C2076" w:rsidRPr="005667CD" w:rsidRDefault="001C2076" w:rsidP="001C2076">
      <w:pPr>
        <w:pStyle w:val="HStandard"/>
        <w:rPr>
          <w:b/>
        </w:rPr>
      </w:pPr>
      <w:r w:rsidRPr="005667CD">
        <w:t xml:space="preserve">El impacto de los programas de desarrollo rural se evalúa con la ayuda de indicadores comunes de impacto (además de indicadores adicionales y específicos del programa). </w:t>
      </w:r>
      <w:r w:rsidRPr="005667CD">
        <w:rPr>
          <w:b/>
        </w:rPr>
        <w:t xml:space="preserve">La evaluación del impacto del programa es responsabilidad de cada Estado miembro. </w:t>
      </w:r>
    </w:p>
    <w:p w:rsidR="00E52E73" w:rsidRPr="005667CD" w:rsidRDefault="00E52E73" w:rsidP="00E52E73">
      <w:pPr>
        <w:pStyle w:val="HHeading4"/>
      </w:pPr>
      <w:r w:rsidRPr="005667CD">
        <w:lastRenderedPageBreak/>
        <w:t>Elementos de evaluación comunes</w:t>
      </w:r>
    </w:p>
    <w:p w:rsidR="00D42EC7" w:rsidRPr="005667CD" w:rsidRDefault="00D42EC7" w:rsidP="00D42EC7">
      <w:pPr>
        <w:pStyle w:val="HStandard"/>
      </w:pPr>
      <w:r w:rsidRPr="005667CD">
        <w:t>El sistema común de seguimiento y evaluación forma parte del marco común de seguimiento y evaluación de la PAC (MCSE)</w:t>
      </w:r>
      <w:r w:rsidRPr="005667CD">
        <w:rPr>
          <w:rStyle w:val="FootnoteReference"/>
        </w:rPr>
        <w:footnoteReference w:id="15"/>
      </w:r>
      <w:r w:rsidRPr="005667CD">
        <w:t xml:space="preserve"> e incluye varios documentos de orientación sobre el uso de preguntas e indicadores comunes de evaluación en el seguimiento y la evaluación de la política de desarrollo rural. El </w:t>
      </w:r>
      <w:r w:rsidRPr="005667CD">
        <w:rPr>
          <w:b/>
        </w:rPr>
        <w:t>Reglamento de Ejecución (UE) n.º 808/2014 de la Comisión</w:t>
      </w:r>
      <w:r w:rsidRPr="005667CD">
        <w:rPr>
          <w:rStyle w:val="FootnoteReference"/>
          <w:b/>
        </w:rPr>
        <w:footnoteReference w:id="16"/>
      </w:r>
      <w:r w:rsidRPr="005667CD">
        <w:t xml:space="preserve"> describe con más detalle el sistema común de seguimiento y evaluación y enumera sus elementos: </w:t>
      </w:r>
    </w:p>
    <w:p w:rsidR="001C2076" w:rsidRPr="005667CD" w:rsidRDefault="001C2076" w:rsidP="008D52EA">
      <w:pPr>
        <w:pStyle w:val="Hlistbullet"/>
      </w:pPr>
      <w:r w:rsidRPr="005667CD">
        <w:t xml:space="preserve">una lógica de intervención que muestre las interacciones entre las prioridades, los ámbitos de interés y las medidas; </w:t>
      </w:r>
    </w:p>
    <w:p w:rsidR="001C2076" w:rsidRPr="005667CD" w:rsidRDefault="001C2076" w:rsidP="008D52EA">
      <w:pPr>
        <w:pStyle w:val="Hlistbullet"/>
      </w:pPr>
      <w:r w:rsidRPr="005667CD">
        <w:t>un conjunto de indicadores comunes de contexto, resultados y productividad, incluidos los indicadores que deban utilizarse para el establecimiento de objetivos cuantificados en relación con los ámbitos de interés del desarrollo rural</w:t>
      </w:r>
      <w:r w:rsidRPr="005667CD">
        <w:rPr>
          <w:rStyle w:val="FootnoteReference"/>
        </w:rPr>
        <w:footnoteReference w:id="17"/>
      </w:r>
      <w:r w:rsidRPr="005667CD">
        <w:t xml:space="preserve">; </w:t>
      </w:r>
    </w:p>
    <w:p w:rsidR="001C2076" w:rsidRPr="005667CD" w:rsidRDefault="001C2076" w:rsidP="008D52EA">
      <w:pPr>
        <w:pStyle w:val="Hlistbullet"/>
      </w:pPr>
      <w:r w:rsidRPr="005667CD">
        <w:t>preguntas comunes de evaluación</w:t>
      </w:r>
      <w:r w:rsidRPr="005667CD">
        <w:rPr>
          <w:rStyle w:val="FootnoteReference"/>
        </w:rPr>
        <w:footnoteReference w:id="18"/>
      </w:r>
      <w:r w:rsidRPr="005667CD">
        <w:t>;</w:t>
      </w:r>
    </w:p>
    <w:p w:rsidR="001C2076" w:rsidRPr="005667CD" w:rsidRDefault="001C2076" w:rsidP="008D52EA">
      <w:pPr>
        <w:pStyle w:val="Hlistbullet"/>
      </w:pPr>
      <w:r w:rsidRPr="005667CD">
        <w:t xml:space="preserve">recogida, almacenamiento y transmisión de los datos; </w:t>
      </w:r>
    </w:p>
    <w:p w:rsidR="001C2076" w:rsidRPr="005667CD" w:rsidRDefault="001C2076" w:rsidP="008D52EA">
      <w:pPr>
        <w:pStyle w:val="Hlistbullet"/>
      </w:pPr>
      <w:r w:rsidRPr="005667CD">
        <w:t>presentación periódica de informes sobre las actividades de seguimiento y evaluación</w:t>
      </w:r>
      <w:r w:rsidRPr="005667CD">
        <w:rPr>
          <w:rStyle w:val="FootnoteReference"/>
        </w:rPr>
        <w:footnoteReference w:id="19"/>
      </w:r>
      <w:r w:rsidRPr="005667CD">
        <w:t xml:space="preserve">; </w:t>
      </w:r>
    </w:p>
    <w:p w:rsidR="001C2076" w:rsidRPr="005667CD" w:rsidRDefault="001C2076" w:rsidP="008D52EA">
      <w:pPr>
        <w:pStyle w:val="Hlistbullet"/>
      </w:pPr>
      <w:r w:rsidRPr="005667CD">
        <w:t>plan de evaluación</w:t>
      </w:r>
      <w:r w:rsidRPr="005667CD">
        <w:rPr>
          <w:rStyle w:val="FootnoteReference"/>
        </w:rPr>
        <w:footnoteReference w:id="20"/>
      </w:r>
      <w:r w:rsidRPr="005667CD">
        <w:t xml:space="preserve">; </w:t>
      </w:r>
    </w:p>
    <w:p w:rsidR="001C2076" w:rsidRPr="005667CD" w:rsidRDefault="001C2076" w:rsidP="008D52EA">
      <w:pPr>
        <w:pStyle w:val="Hlistbullet"/>
      </w:pPr>
      <w:r w:rsidRPr="005667CD">
        <w:t>evaluaciones previa y posterior y todas las demás actividades de evaluación relacionadas con el programa de desarrollo rural, incluidas las que sean necesarias para cumplir las nuevas prescripciones de los informes anuales de ejecución de 2017 y 2019</w:t>
      </w:r>
      <w:r w:rsidRPr="005667CD">
        <w:rPr>
          <w:rStyle w:val="FootnoteReference"/>
        </w:rPr>
        <w:footnoteReference w:id="21"/>
      </w:r>
      <w:r w:rsidRPr="005667CD">
        <w:t>;</w:t>
      </w:r>
    </w:p>
    <w:p w:rsidR="001C2076" w:rsidRPr="005667CD" w:rsidRDefault="001C2076" w:rsidP="008D52EA">
      <w:pPr>
        <w:pStyle w:val="Hlistbullet"/>
      </w:pPr>
      <w:r w:rsidRPr="005667CD">
        <w:t>ayuda para permitir que todos los agentes responsables del seguimiento y evaluación cumplan sus obligaciones</w:t>
      </w:r>
      <w:r w:rsidRPr="005667CD">
        <w:rPr>
          <w:rStyle w:val="FootnoteReference"/>
        </w:rPr>
        <w:footnoteReference w:id="22"/>
      </w:r>
      <w:r w:rsidRPr="005667CD">
        <w:t xml:space="preserve">. </w:t>
      </w:r>
    </w:p>
    <w:p w:rsidR="00F40273" w:rsidRPr="005667CD" w:rsidRDefault="00D42EC7" w:rsidP="001C2076">
      <w:pPr>
        <w:pStyle w:val="HStandard"/>
      </w:pPr>
      <w:r w:rsidRPr="005667CD">
        <w:t xml:space="preserve">La Comisión Europea también facilita </w:t>
      </w:r>
      <w:r w:rsidRPr="005667CD">
        <w:rPr>
          <w:b/>
        </w:rPr>
        <w:t>fichas</w:t>
      </w:r>
      <w:r w:rsidRPr="005667CD">
        <w:t xml:space="preserve"> detalladas para cada uno de los indicadores comunes que deben incluirse en el informe anual de ejecución presentado en 2017 y 2019 y entre los que figuran los dieciséis </w:t>
      </w:r>
      <w:hyperlink r:id="rId21">
        <w:r w:rsidRPr="005667CD">
          <w:rPr>
            <w:rStyle w:val="Hyperlink"/>
          </w:rPr>
          <w:t>indicadores comunes de impacto de la PAC</w:t>
        </w:r>
      </w:hyperlink>
      <w:r w:rsidRPr="005667CD">
        <w:t xml:space="preserve">. </w:t>
      </w:r>
      <w:r w:rsidRPr="005667CD">
        <w:rPr>
          <w:b/>
        </w:rPr>
        <w:t>Cada ficha de indicador de impacto</w:t>
      </w:r>
      <w:r w:rsidRPr="005667CD">
        <w:t xml:space="preserve"> contiene un enlace a:</w:t>
      </w:r>
    </w:p>
    <w:p w:rsidR="00F40273" w:rsidRPr="005667CD" w:rsidRDefault="00A3244E" w:rsidP="00DA263D">
      <w:pPr>
        <w:pStyle w:val="Hlistbullet"/>
      </w:pPr>
      <w:r w:rsidRPr="005667CD">
        <w:t xml:space="preserve">su respectivo objetivo político; </w:t>
      </w:r>
    </w:p>
    <w:p w:rsidR="00F40273" w:rsidRPr="005667CD" w:rsidRDefault="001C2076" w:rsidP="00DA263D">
      <w:pPr>
        <w:pStyle w:val="Hlistbullet"/>
      </w:pPr>
      <w:r w:rsidRPr="005667CD">
        <w:t xml:space="preserve">la definición del indicador; </w:t>
      </w:r>
    </w:p>
    <w:p w:rsidR="00F40273" w:rsidRPr="005667CD" w:rsidRDefault="001C2076" w:rsidP="00DA263D">
      <w:pPr>
        <w:pStyle w:val="Hlistbullet"/>
      </w:pPr>
      <w:r w:rsidRPr="005667CD">
        <w:t xml:space="preserve">la unidad de medida, </w:t>
      </w:r>
    </w:p>
    <w:p w:rsidR="00F40273" w:rsidRPr="005667CD" w:rsidRDefault="001C2076" w:rsidP="00DA263D">
      <w:pPr>
        <w:pStyle w:val="Hlistbullet"/>
      </w:pPr>
      <w:r w:rsidRPr="005667CD">
        <w:t xml:space="preserve">la metodología / fórmula de cálculo; </w:t>
      </w:r>
    </w:p>
    <w:p w:rsidR="00F40273" w:rsidRPr="005667CD" w:rsidRDefault="001C2076" w:rsidP="00DA263D">
      <w:pPr>
        <w:pStyle w:val="Hlistbullet"/>
      </w:pPr>
      <w:r w:rsidRPr="005667CD">
        <w:t xml:space="preserve">las necesidades de datos y fuentes; </w:t>
      </w:r>
    </w:p>
    <w:p w:rsidR="00F40273" w:rsidRPr="005667CD" w:rsidRDefault="003304E5" w:rsidP="00DA263D">
      <w:pPr>
        <w:pStyle w:val="Hlistbullet"/>
      </w:pPr>
      <w:r w:rsidRPr="005667CD">
        <w:t xml:space="preserve">el nivel y la frecuencia de la recogida de datos; </w:t>
      </w:r>
    </w:p>
    <w:p w:rsidR="001C2076" w:rsidRPr="005667CD" w:rsidRDefault="001C2076" w:rsidP="00DA263D">
      <w:pPr>
        <w:pStyle w:val="Hlistbullet"/>
      </w:pPr>
      <w:r w:rsidRPr="005667CD">
        <w:t xml:space="preserve">la información sobre los retrasos en la recogida de datos. </w:t>
      </w:r>
    </w:p>
    <w:p w:rsidR="001C2076" w:rsidRPr="005667CD" w:rsidRDefault="001C2076" w:rsidP="001C2076">
      <w:pPr>
        <w:pStyle w:val="HStandard"/>
      </w:pPr>
      <w:r w:rsidRPr="005667CD">
        <w:t xml:space="preserve">En la evaluación del impacto del PDR deben utilizarse </w:t>
      </w:r>
      <w:r w:rsidRPr="005667CD">
        <w:rPr>
          <w:b/>
        </w:rPr>
        <w:t>trece de los dieciséis indicadores comunes de impacto de la PAC</w:t>
      </w:r>
      <w:r w:rsidRPr="005667CD">
        <w:t>:</w:t>
      </w:r>
    </w:p>
    <w:p w:rsidR="001C2076" w:rsidRPr="005667CD" w:rsidRDefault="001C2076" w:rsidP="008D52EA">
      <w:pPr>
        <w:pStyle w:val="Hlistbullet"/>
      </w:pPr>
      <w:r w:rsidRPr="005667CD">
        <w:t>I.01 Renta empresarial agraria</w:t>
      </w:r>
    </w:p>
    <w:p w:rsidR="001C2076" w:rsidRPr="005667CD" w:rsidRDefault="001C2076" w:rsidP="008D52EA">
      <w:pPr>
        <w:pStyle w:val="Hlistbullet"/>
      </w:pPr>
      <w:r w:rsidRPr="005667CD">
        <w:t>I.02 Renta de los factores agrícolas</w:t>
      </w:r>
    </w:p>
    <w:p w:rsidR="001C2076" w:rsidRPr="005667CD" w:rsidRDefault="001C2076" w:rsidP="008D52EA">
      <w:pPr>
        <w:pStyle w:val="Hlistbullet"/>
      </w:pPr>
      <w:r w:rsidRPr="005667CD">
        <w:t>I.03 Productividad total de los factores en agricultura</w:t>
      </w:r>
    </w:p>
    <w:p w:rsidR="001C2076" w:rsidRPr="005667CD" w:rsidRDefault="001C2076" w:rsidP="008D52EA">
      <w:pPr>
        <w:pStyle w:val="Hlistbullet"/>
      </w:pPr>
      <w:r w:rsidRPr="005667CD">
        <w:t>I.07 Emisiones procedentes de la agricultura</w:t>
      </w:r>
    </w:p>
    <w:p w:rsidR="001C2076" w:rsidRPr="005667CD" w:rsidRDefault="001C2076" w:rsidP="008D52EA">
      <w:pPr>
        <w:pStyle w:val="Hlistbullet"/>
      </w:pPr>
      <w:r w:rsidRPr="005667CD">
        <w:t>I.08 Índice de aves de tierras agrícolas</w:t>
      </w:r>
    </w:p>
    <w:p w:rsidR="001C2076" w:rsidRPr="005667CD" w:rsidRDefault="001C2076" w:rsidP="008D52EA">
      <w:pPr>
        <w:pStyle w:val="Hlistbullet"/>
      </w:pPr>
      <w:r w:rsidRPr="005667CD">
        <w:t>I.09 Agricultura con un elevado valor natural</w:t>
      </w:r>
    </w:p>
    <w:p w:rsidR="001C2076" w:rsidRPr="005667CD" w:rsidRDefault="001C2076" w:rsidP="008D52EA">
      <w:pPr>
        <w:pStyle w:val="Hlistbullet"/>
      </w:pPr>
      <w:r w:rsidRPr="005667CD">
        <w:t>I.10 Captación de aguas en la agricultura</w:t>
      </w:r>
    </w:p>
    <w:p w:rsidR="001C2076" w:rsidRPr="005667CD" w:rsidRDefault="001C2076" w:rsidP="008D52EA">
      <w:pPr>
        <w:pStyle w:val="Hlistbullet"/>
      </w:pPr>
      <w:r w:rsidRPr="005667CD">
        <w:t>I.11 Calidad del agua</w:t>
      </w:r>
    </w:p>
    <w:p w:rsidR="001C2076" w:rsidRPr="005667CD" w:rsidRDefault="001C2076" w:rsidP="008D52EA">
      <w:pPr>
        <w:pStyle w:val="Hlistbullet"/>
      </w:pPr>
      <w:r w:rsidRPr="005667CD">
        <w:t>I.12 Materia orgánica del suelo en las tierras de cultivo</w:t>
      </w:r>
    </w:p>
    <w:p w:rsidR="001C2076" w:rsidRPr="005667CD" w:rsidRDefault="001C2076" w:rsidP="008D52EA">
      <w:pPr>
        <w:pStyle w:val="Hlistbullet"/>
      </w:pPr>
      <w:r w:rsidRPr="005667CD">
        <w:lastRenderedPageBreak/>
        <w:t>I.13 Erosión del suelo por la acción del agua</w:t>
      </w:r>
    </w:p>
    <w:p w:rsidR="001C2076" w:rsidRPr="005667CD" w:rsidRDefault="001C2076" w:rsidP="008D52EA">
      <w:pPr>
        <w:pStyle w:val="Hlistbullet"/>
      </w:pPr>
      <w:r w:rsidRPr="005667CD">
        <w:t>I.14 Tasa de empleo rural</w:t>
      </w:r>
    </w:p>
    <w:p w:rsidR="001C2076" w:rsidRPr="005667CD" w:rsidRDefault="001C2076" w:rsidP="008D52EA">
      <w:pPr>
        <w:pStyle w:val="Hlistbullet"/>
      </w:pPr>
      <w:r w:rsidRPr="005667CD">
        <w:t>I.15 Grado de pobreza rural</w:t>
      </w:r>
    </w:p>
    <w:p w:rsidR="001C2076" w:rsidRPr="005667CD" w:rsidRDefault="001C2076" w:rsidP="008D52EA">
      <w:pPr>
        <w:pStyle w:val="Hlistbullet"/>
      </w:pPr>
      <w:r w:rsidRPr="005667CD">
        <w:t>I.16 PIB per cápita rural</w:t>
      </w:r>
    </w:p>
    <w:p w:rsidR="001C2076" w:rsidRPr="005667CD" w:rsidRDefault="00B21618" w:rsidP="00E35440">
      <w:pPr>
        <w:pStyle w:val="HHeading2"/>
      </w:pPr>
      <w:r w:rsidRPr="005667CD">
        <w:t xml:space="preserve"> ¿Cómo informar sobre las PCE en 2019?</w:t>
      </w:r>
    </w:p>
    <w:p w:rsidR="001C2076" w:rsidRPr="005667CD" w:rsidRDefault="003304E5" w:rsidP="003304E5">
      <w:pPr>
        <w:pStyle w:val="HStandard"/>
      </w:pPr>
      <w:r w:rsidRPr="005667CD">
        <w:t xml:space="preserve">En 2019, los Estados miembros notifican sus conclusiones de la evaluación respondiendo a todas las preguntas de evaluación pertinentes comunes y específicas del programa en cada una de sus respectivas secciones del IAE. </w:t>
      </w:r>
    </w:p>
    <w:p w:rsidR="001C2076" w:rsidRPr="005667CD" w:rsidRDefault="00906DAF" w:rsidP="003304E5">
      <w:pPr>
        <w:pStyle w:val="HStandard"/>
      </w:pPr>
      <w:r w:rsidRPr="005667CD">
        <w:t>De manera similar a las PCE 1-21, las respuestas a las PCE relacionadas con los objetivos a nivel de la UE (PCE 22-30) deben basarse en los datos probatorios derivados de las conclusiones de la evaluación. Las valoraciones sobre el éxito de las intervenciones se formulan con la ayuda de criterios de valoración y se miden en función de indicadores de impacto comunes y adicionales, así como de indicadores relacionados con la estrategia de la UE para un crecimiento inteligente, sostenible e integrador. Además, en caso de escasez de datos puede recopilarse información cualitativa para responder a las preguntas de la evaluación.</w:t>
      </w:r>
    </w:p>
    <w:p w:rsidR="00970A15" w:rsidRPr="005667CD" w:rsidRDefault="00C16EB2" w:rsidP="00970A15">
      <w:pPr>
        <w:pStyle w:val="HHeading4"/>
      </w:pPr>
      <w:r w:rsidRPr="005667CD">
        <w:t>¿Cuáles son los pasos generales para responder a las preguntas de la evaluación?</w:t>
      </w:r>
    </w:p>
    <w:p w:rsidR="001C2076" w:rsidRPr="005667CD" w:rsidRDefault="001C2076" w:rsidP="007D2D54">
      <w:pPr>
        <w:pStyle w:val="HStandard"/>
        <w:rPr>
          <w:rFonts w:cs="Arial"/>
        </w:rPr>
      </w:pPr>
      <w:r w:rsidRPr="005667CD">
        <w:t>Para elaborar las respuestas a las PCE 22-30 se recomienda seguir los siguientes pasos generales:</w:t>
      </w:r>
    </w:p>
    <w:p w:rsidR="001C2076" w:rsidRPr="005667CD" w:rsidRDefault="007B324B" w:rsidP="00E35440">
      <w:pPr>
        <w:pStyle w:val="Hlistbullet"/>
      </w:pPr>
      <w:r w:rsidRPr="005667CD">
        <w:t>revisar la lógica de intervención del programa vinculada a</w:t>
      </w:r>
      <w:r w:rsidR="0090758F" w:rsidRPr="005667CD">
        <w:t xml:space="preserve"> </w:t>
      </w:r>
      <w:r w:rsidRPr="005667CD">
        <w:t>los objetivos de la PAC / objetivos de la Estrategia Europa 2020 de cada una de las respectivas preguntas comunes de evaluación, prioridades de desarrollo rural, ámbitos de interés y medidas;</w:t>
      </w:r>
    </w:p>
    <w:p w:rsidR="001C2076" w:rsidRPr="005667CD" w:rsidRDefault="00DA263D" w:rsidP="00E35440">
      <w:pPr>
        <w:pStyle w:val="Hlistbullet"/>
      </w:pPr>
      <w:r w:rsidRPr="005667CD">
        <w:t xml:space="preserve">definir los criterios de valoración y vincularlos a los indicadores de impacto comunes (y adicionales) que deben utilizarse para responder a la pregunta de evaluación; </w:t>
      </w:r>
    </w:p>
    <w:p w:rsidR="001C2076" w:rsidRPr="005667CD" w:rsidRDefault="007B324B" w:rsidP="00E35440">
      <w:pPr>
        <w:pStyle w:val="Hlistbullet"/>
      </w:pPr>
      <w:r w:rsidRPr="005667CD">
        <w:t>seleccionar métodos cuantitativos y cualitativos capaces de valorar los valores netos</w:t>
      </w:r>
      <w:r w:rsidRPr="005667CD">
        <w:rPr>
          <w:rStyle w:val="FootnoteReference"/>
          <w:i w:val="0"/>
          <w:position w:val="0"/>
          <w:sz w:val="20"/>
          <w:vertAlign w:val="superscript"/>
        </w:rPr>
        <w:footnoteReference w:id="23"/>
      </w:r>
      <w:r w:rsidRPr="005667CD">
        <w:t xml:space="preserve"> de los indicadores de impacto;</w:t>
      </w:r>
    </w:p>
    <w:p w:rsidR="001C2076" w:rsidRPr="005667CD" w:rsidRDefault="007B324B" w:rsidP="00E35440">
      <w:pPr>
        <w:pStyle w:val="Hlistbullet"/>
      </w:pPr>
      <w:r w:rsidRPr="005667CD">
        <w:t xml:space="preserve">proporcionar valores cuantitativos para los indicadores de resultados e impacto, así como las conclusiones cualitativas pertinentes para responder a las preguntas de evaluación; </w:t>
      </w:r>
    </w:p>
    <w:p w:rsidR="001C2076" w:rsidRPr="005667CD" w:rsidRDefault="007B324B" w:rsidP="00E35440">
      <w:pPr>
        <w:pStyle w:val="Hlistbullet"/>
      </w:pPr>
      <w:r w:rsidRPr="005667CD">
        <w:t>responder a las preguntas de evaluación.</w:t>
      </w:r>
    </w:p>
    <w:p w:rsidR="001C2076" w:rsidRPr="005667CD" w:rsidRDefault="00217482" w:rsidP="007D2D54">
      <w:pPr>
        <w:pStyle w:val="HStandard"/>
      </w:pPr>
      <w:r w:rsidRPr="005667CD">
        <w:t xml:space="preserve">Los pasos antes mencionados son similares a los propuestos en el ejercicio de evaluación en 2017. Sin embargo, en 2019 pueden aparecer algunos desafíos nuevos, que se explican detalladamente en la </w:t>
      </w:r>
      <w:r w:rsidRPr="005667CD">
        <w:rPr>
          <w:color w:val="F07E31" w:themeColor="accent1"/>
        </w:rPr>
        <w:t>parte II</w:t>
      </w:r>
      <w:r w:rsidRPr="005667CD">
        <w:t xml:space="preserve"> de las Directrices. </w:t>
      </w:r>
    </w:p>
    <w:p w:rsidR="001C2076" w:rsidRPr="005667CD" w:rsidRDefault="001C2076" w:rsidP="00812032">
      <w:pPr>
        <w:pStyle w:val="HHeading4"/>
      </w:pPr>
      <w:r w:rsidRPr="005667CD">
        <w:t xml:space="preserve">¿Dónde encontrar orientaciones con respecto a las PCE que deben responderse en 2019? </w:t>
      </w:r>
    </w:p>
    <w:p w:rsidR="00217482" w:rsidRPr="005667CD" w:rsidRDefault="00217482" w:rsidP="00217482">
      <w:pPr>
        <w:pStyle w:val="HStandard"/>
      </w:pPr>
      <w:r w:rsidRPr="005667CD">
        <w:t xml:space="preserve">Las presentes Directrices ofrecen información detallada acerca de cómo responder a las preguntas comunes de evaluación relacionadas con los objetivos a nivel de la UE (PCE 22-30). En caso necesario, las Directrices hacen referencia a otras orientaciones pertinentes, tal como se muestra en el cuadro 1. </w:t>
      </w:r>
    </w:p>
    <w:p w:rsidR="001C2076" w:rsidRPr="005667CD" w:rsidRDefault="001C2076" w:rsidP="001C2076">
      <w:pPr>
        <w:spacing w:after="0" w:line="280" w:lineRule="atLeast"/>
        <w:rPr>
          <w:rFonts w:cs="Arial"/>
          <w:color w:val="373737" w:themeColor="text1"/>
          <w:sz w:val="20"/>
          <w:szCs w:val="20"/>
        </w:rPr>
      </w:pPr>
      <w:r w:rsidRPr="005667CD">
        <w:rPr>
          <w:color w:val="373737" w:themeColor="text1"/>
          <w:sz w:val="20"/>
        </w:rPr>
        <w:t>Las orientaciones para responder a las preguntas comunes de evaluación relacionadas con los ámbitos de interés del desarrollo rural, las sinergias del programa, la asistencia técnica y las redes rurales nacionales (PCE 1-21) pueden encontrarse en los siguientes documentos:</w:t>
      </w:r>
    </w:p>
    <w:p w:rsidR="008E3ACB" w:rsidRPr="005667CD" w:rsidRDefault="00217482" w:rsidP="00E35440">
      <w:pPr>
        <w:pStyle w:val="Hlistbullet"/>
      </w:pPr>
      <w:r w:rsidRPr="005667CD">
        <w:t xml:space="preserve">Directrices </w:t>
      </w:r>
      <w:hyperlink r:id="rId22">
        <w:r w:rsidRPr="005667CD">
          <w:rPr>
            <w:rStyle w:val="Hyperlink"/>
            <w:i/>
            <w:color w:val="373737" w:themeColor="text1"/>
            <w:u w:val="none"/>
          </w:rPr>
          <w:t>Evaluación de los resultados del PDR: Cómo elaborar los informes sobre evaluación en 2017</w:t>
        </w:r>
      </w:hyperlink>
      <w:r w:rsidRPr="005667CD">
        <w:t xml:space="preserve">: este documento muestra cómo informar sobre las evaluaciones en el IAE presentado en 2017 y posteriormente. Estas Directrices sugieren posibles enfoques de evaluación para valorar los resultados del PDR en 2017, que en lo que atañe a las PCE 1-21 también siguen siendo válidos en 2019. </w:t>
      </w:r>
    </w:p>
    <w:p w:rsidR="001C2076" w:rsidRPr="005667CD" w:rsidRDefault="0022740E" w:rsidP="00E35440">
      <w:pPr>
        <w:pStyle w:val="Hlistbullet"/>
      </w:pPr>
      <w:hyperlink r:id="rId23">
        <w:r w:rsidR="006F62E2" w:rsidRPr="005667CD">
          <w:rPr>
            <w:rStyle w:val="Hyperlink"/>
            <w:i/>
            <w:color w:val="373737" w:themeColor="text1"/>
            <w:u w:val="none"/>
          </w:rPr>
          <w:t>Anexo 11 - Fichas para responder a las preguntas comunes de evaluación relativas a los programas de desarrollo rural 2014-2020</w:t>
        </w:r>
      </w:hyperlink>
      <w:r w:rsidR="006F62E2" w:rsidRPr="005667CD">
        <w:rPr>
          <w:rStyle w:val="Hyperlink"/>
          <w:i/>
          <w:color w:val="373737" w:themeColor="text1"/>
          <w:u w:val="none"/>
        </w:rPr>
        <w:t>:</w:t>
      </w:r>
      <w:r w:rsidR="006F62E2" w:rsidRPr="005667CD">
        <w:t xml:space="preserve"> ofrece apoyo técnico acerca de cómo responder a las PCE 1-21. Muestra la lógica de intervención vinculada a cada PCE, describe elementos de evaluación útiles y propone métodos de evaluación.</w:t>
      </w:r>
    </w:p>
    <w:p w:rsidR="0020488A" w:rsidRPr="005667CD" w:rsidRDefault="0020488A" w:rsidP="005A56B7">
      <w:pPr>
        <w:pStyle w:val="HStandard"/>
      </w:pPr>
      <w:r w:rsidRPr="005667CD">
        <w:t xml:space="preserve">En el cuadro 1 se ofrece una visión general de los documentos más pertinentes para responder a las PCE en el IAE 2019: </w:t>
      </w:r>
    </w:p>
    <w:p w:rsidR="00AB3BA1" w:rsidRPr="005667CD" w:rsidRDefault="009F77FD" w:rsidP="006B44E5">
      <w:pPr>
        <w:pStyle w:val="HHeadingtables"/>
      </w:pPr>
      <w:r w:rsidRPr="005667CD">
        <w:br w:type="column"/>
      </w:r>
      <w:r w:rsidRPr="005667CD">
        <w:lastRenderedPageBreak/>
        <w:t>Orientaciones para responder a las PCE en el informe anual de ejecución en 2019</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68"/>
        <w:gridCol w:w="2280"/>
        <w:gridCol w:w="5668"/>
      </w:tblGrid>
      <w:tr w:rsidR="00AB3BA1" w:rsidRPr="005667CD" w:rsidTr="004C78EA">
        <w:trPr>
          <w:tblHeader/>
        </w:trPr>
        <w:tc>
          <w:tcPr>
            <w:tcW w:w="1068" w:type="dxa"/>
            <w:shd w:val="clear" w:color="auto" w:fill="F07E31" w:themeFill="accent1"/>
          </w:tcPr>
          <w:p w:rsidR="00AB3BA1" w:rsidRPr="005667CD" w:rsidRDefault="007038B3" w:rsidP="00A746BC">
            <w:pPr>
              <w:pStyle w:val="HStandard"/>
              <w:jc w:val="center"/>
              <w:rPr>
                <w:b/>
                <w:color w:val="FFFFFF" w:themeColor="background1"/>
              </w:rPr>
            </w:pPr>
            <w:r w:rsidRPr="005667CD">
              <w:rPr>
                <w:b/>
                <w:color w:val="FFFFFF" w:themeColor="background1"/>
              </w:rPr>
              <w:t>PCE</w:t>
            </w:r>
          </w:p>
        </w:tc>
        <w:tc>
          <w:tcPr>
            <w:tcW w:w="2280" w:type="dxa"/>
            <w:shd w:val="clear" w:color="auto" w:fill="F07E31" w:themeFill="accent1"/>
          </w:tcPr>
          <w:p w:rsidR="00AB3BA1" w:rsidRPr="005667CD" w:rsidRDefault="00116A79" w:rsidP="008D52EA">
            <w:pPr>
              <w:pStyle w:val="HStandard"/>
              <w:jc w:val="center"/>
              <w:rPr>
                <w:b/>
                <w:color w:val="FFFFFF" w:themeColor="background1"/>
              </w:rPr>
            </w:pPr>
            <w:r w:rsidRPr="005667CD">
              <w:rPr>
                <w:b/>
                <w:color w:val="FFFFFF" w:themeColor="background1"/>
              </w:rPr>
              <w:t>Documento</w:t>
            </w:r>
          </w:p>
        </w:tc>
        <w:tc>
          <w:tcPr>
            <w:tcW w:w="5668" w:type="dxa"/>
            <w:shd w:val="clear" w:color="auto" w:fill="F07E31" w:themeFill="accent1"/>
          </w:tcPr>
          <w:p w:rsidR="00AB3BA1" w:rsidRPr="005667CD" w:rsidRDefault="00146C75" w:rsidP="008D52EA">
            <w:pPr>
              <w:pStyle w:val="HStandard"/>
              <w:jc w:val="center"/>
              <w:rPr>
                <w:b/>
                <w:color w:val="FFFFFF" w:themeColor="background1"/>
              </w:rPr>
            </w:pPr>
            <w:r w:rsidRPr="005667CD">
              <w:rPr>
                <w:b/>
                <w:color w:val="FFFFFF" w:themeColor="background1"/>
              </w:rPr>
              <w:t>Pertinencia para el IAE en 2019</w:t>
            </w:r>
          </w:p>
        </w:tc>
      </w:tr>
      <w:tr w:rsidR="009F7952" w:rsidRPr="005667CD" w:rsidTr="004C78EA">
        <w:trPr>
          <w:trHeight w:val="1091"/>
        </w:trPr>
        <w:tc>
          <w:tcPr>
            <w:tcW w:w="1068" w:type="dxa"/>
            <w:vMerge w:val="restart"/>
          </w:tcPr>
          <w:p w:rsidR="009F7952" w:rsidRPr="005667CD" w:rsidRDefault="009F7952" w:rsidP="00A746BC">
            <w:pPr>
              <w:pStyle w:val="HStandard"/>
              <w:jc w:val="center"/>
            </w:pPr>
            <w:r w:rsidRPr="005667CD">
              <w:t>1 - 21</w:t>
            </w:r>
          </w:p>
        </w:tc>
        <w:tc>
          <w:tcPr>
            <w:tcW w:w="2280" w:type="dxa"/>
          </w:tcPr>
          <w:p w:rsidR="009F7952" w:rsidRPr="005667CD" w:rsidRDefault="0022740E" w:rsidP="00DF22D0">
            <w:pPr>
              <w:pStyle w:val="HStandard"/>
              <w:jc w:val="left"/>
            </w:pPr>
            <w:hyperlink r:id="rId24">
              <w:r w:rsidR="006F62E2" w:rsidRPr="005667CD">
                <w:rPr>
                  <w:rStyle w:val="Hyperlink"/>
                </w:rPr>
                <w:t>Fichas de indicadores de objetivos del Pilar II (Prioridades I y II)</w:t>
              </w:r>
            </w:hyperlink>
          </w:p>
        </w:tc>
        <w:tc>
          <w:tcPr>
            <w:tcW w:w="5668" w:type="dxa"/>
          </w:tcPr>
          <w:p w:rsidR="009F7952" w:rsidRPr="005667CD" w:rsidRDefault="009F7952" w:rsidP="005A56B7">
            <w:pPr>
              <w:pStyle w:val="HStandard"/>
            </w:pPr>
            <w:r w:rsidRPr="005667CD">
              <w:t>Muestra con respecto a cada indicador los vínculos con la correspondiente prioridad y ámbito de interés, la definición y la unidad de medida, la metodología para su cálculo, las necesidades de datos y fuentes, la frecuencia de la recogida y los medios de transmisión a la Comisión Europea.</w:t>
            </w:r>
          </w:p>
        </w:tc>
      </w:tr>
      <w:tr w:rsidR="009F7952" w:rsidRPr="005667CD" w:rsidTr="004C78EA">
        <w:trPr>
          <w:trHeight w:val="290"/>
        </w:trPr>
        <w:tc>
          <w:tcPr>
            <w:tcW w:w="1068" w:type="dxa"/>
            <w:vMerge/>
          </w:tcPr>
          <w:p w:rsidR="009F7952" w:rsidRPr="005667CD" w:rsidRDefault="009F7952" w:rsidP="00A746BC">
            <w:pPr>
              <w:pStyle w:val="HStandard"/>
              <w:jc w:val="center"/>
            </w:pPr>
          </w:p>
        </w:tc>
        <w:tc>
          <w:tcPr>
            <w:tcW w:w="2280" w:type="dxa"/>
          </w:tcPr>
          <w:p w:rsidR="009F7952" w:rsidRPr="005667CD" w:rsidRDefault="0022740E" w:rsidP="00DF22D0">
            <w:pPr>
              <w:pStyle w:val="HStandard"/>
              <w:jc w:val="left"/>
            </w:pPr>
            <w:hyperlink r:id="rId25">
              <w:r w:rsidR="006F62E2" w:rsidRPr="005667CD">
                <w:rPr>
                  <w:rStyle w:val="Hyperlink"/>
                </w:rPr>
                <w:t>Fichas de indicadores de resultados complementarios para el pilar II</w:t>
              </w:r>
            </w:hyperlink>
          </w:p>
        </w:tc>
        <w:tc>
          <w:tcPr>
            <w:tcW w:w="5668" w:type="dxa"/>
          </w:tcPr>
          <w:p w:rsidR="009F7952" w:rsidRPr="005667CD" w:rsidRDefault="009F7952" w:rsidP="005A56B7">
            <w:pPr>
              <w:pStyle w:val="HStandard"/>
            </w:pPr>
            <w:r w:rsidRPr="005667CD">
              <w:t>Contienen orientaciones similares para cada uno de los indicadores de resultados complementarios.</w:t>
            </w:r>
          </w:p>
        </w:tc>
      </w:tr>
      <w:tr w:rsidR="009F7952" w:rsidRPr="005667CD" w:rsidTr="004C78EA">
        <w:trPr>
          <w:trHeight w:val="290"/>
        </w:trPr>
        <w:tc>
          <w:tcPr>
            <w:tcW w:w="1068" w:type="dxa"/>
            <w:vMerge/>
          </w:tcPr>
          <w:p w:rsidR="009F7952" w:rsidRPr="005667CD" w:rsidRDefault="009F7952" w:rsidP="00A746BC">
            <w:pPr>
              <w:pStyle w:val="HStandard"/>
              <w:jc w:val="center"/>
            </w:pPr>
          </w:p>
        </w:tc>
        <w:tc>
          <w:tcPr>
            <w:tcW w:w="2280" w:type="dxa"/>
          </w:tcPr>
          <w:p w:rsidR="009F7952" w:rsidRPr="005667CD" w:rsidRDefault="0022740E" w:rsidP="00DF22D0">
            <w:pPr>
              <w:pStyle w:val="HStandard"/>
              <w:jc w:val="left"/>
            </w:pPr>
            <w:hyperlink r:id="rId26">
              <w:r w:rsidR="006F62E2" w:rsidRPr="005667CD">
                <w:rPr>
                  <w:rStyle w:val="Hyperlink"/>
                </w:rPr>
                <w:t>Directrices Evaluación de los resultados del PDR: Cómo elaborar los informes sobre evaluación en 2017</w:t>
              </w:r>
            </w:hyperlink>
            <w:r w:rsidR="006F62E2" w:rsidRPr="005667CD">
              <w:t xml:space="preserve"> </w:t>
            </w:r>
            <w:r w:rsidR="006F62E2" w:rsidRPr="005667CD">
              <w:rPr>
                <w:rStyle w:val="Hyperlink"/>
              </w:rPr>
              <w:t>(anexo 11 aparte)</w:t>
            </w:r>
          </w:p>
        </w:tc>
        <w:tc>
          <w:tcPr>
            <w:tcW w:w="5668" w:type="dxa"/>
          </w:tcPr>
          <w:p w:rsidR="009F7952" w:rsidRPr="005667CD" w:rsidRDefault="00116A79" w:rsidP="00593F3E">
            <w:pPr>
              <w:pStyle w:val="HStandard"/>
            </w:pPr>
            <w:r w:rsidRPr="005667CD">
              <w:t>Sugieren cómo informar sobre las evaluaciones en el IAE presentado en 2017, cómo realizar las actividades de evaluación y en qué métodos basarse para responder a las PCE 1-21.</w:t>
            </w:r>
          </w:p>
        </w:tc>
      </w:tr>
      <w:tr w:rsidR="009F7952" w:rsidRPr="005667CD" w:rsidTr="004C78EA">
        <w:trPr>
          <w:trHeight w:val="290"/>
        </w:trPr>
        <w:tc>
          <w:tcPr>
            <w:tcW w:w="1068" w:type="dxa"/>
            <w:vMerge/>
          </w:tcPr>
          <w:p w:rsidR="009F7952" w:rsidRPr="005667CD" w:rsidRDefault="009F7952" w:rsidP="00A746BC">
            <w:pPr>
              <w:pStyle w:val="HStandard"/>
              <w:jc w:val="center"/>
            </w:pPr>
          </w:p>
        </w:tc>
        <w:tc>
          <w:tcPr>
            <w:tcW w:w="2280" w:type="dxa"/>
          </w:tcPr>
          <w:p w:rsidR="009F7952" w:rsidRPr="005667CD" w:rsidRDefault="0022740E" w:rsidP="00DF22D0">
            <w:pPr>
              <w:pStyle w:val="HStandard"/>
              <w:jc w:val="left"/>
            </w:pPr>
            <w:hyperlink r:id="rId27">
              <w:r w:rsidR="006F62E2" w:rsidRPr="005667CD">
                <w:rPr>
                  <w:rStyle w:val="Hyperlink"/>
                </w:rPr>
                <w:t>Directrices Evaluación de LEADER/DLP</w:t>
              </w:r>
            </w:hyperlink>
          </w:p>
        </w:tc>
        <w:tc>
          <w:tcPr>
            <w:tcW w:w="5668" w:type="dxa"/>
          </w:tcPr>
          <w:p w:rsidR="009F7952" w:rsidRPr="005667CD" w:rsidRDefault="00116A79" w:rsidP="005A56B7">
            <w:pPr>
              <w:pStyle w:val="HStandard"/>
            </w:pPr>
            <w:r w:rsidRPr="005667CD">
              <w:t xml:space="preserve">Explican cómo valorar las contribuciones primarias y secundarias de LEADER/DLP a los ámbitos de interés del desarrollo rural. </w:t>
            </w:r>
          </w:p>
        </w:tc>
      </w:tr>
      <w:tr w:rsidR="009F7952" w:rsidRPr="005667CD" w:rsidTr="004C78EA">
        <w:trPr>
          <w:trHeight w:val="290"/>
        </w:trPr>
        <w:tc>
          <w:tcPr>
            <w:tcW w:w="1068" w:type="dxa"/>
            <w:vMerge/>
          </w:tcPr>
          <w:p w:rsidR="009F7952" w:rsidRPr="005667CD" w:rsidRDefault="009F7952" w:rsidP="00A746BC">
            <w:pPr>
              <w:pStyle w:val="HStandard"/>
              <w:jc w:val="center"/>
            </w:pPr>
          </w:p>
        </w:tc>
        <w:tc>
          <w:tcPr>
            <w:tcW w:w="2280" w:type="dxa"/>
          </w:tcPr>
          <w:p w:rsidR="009F7952" w:rsidRPr="005667CD" w:rsidRDefault="0022740E" w:rsidP="00DF22D0">
            <w:pPr>
              <w:pStyle w:val="HStandard"/>
              <w:jc w:val="left"/>
            </w:pPr>
            <w:hyperlink r:id="rId28">
              <w:r w:rsidR="006F62E2" w:rsidRPr="005667CD">
                <w:rPr>
                  <w:rStyle w:val="Hyperlink"/>
                </w:rPr>
                <w:t>Directrices Evaluación de la innovación en los PDR 2014-2020</w:t>
              </w:r>
            </w:hyperlink>
          </w:p>
        </w:tc>
        <w:tc>
          <w:tcPr>
            <w:tcW w:w="5668" w:type="dxa"/>
          </w:tcPr>
          <w:p w:rsidR="009F7952" w:rsidRPr="005667CD" w:rsidRDefault="009F7952" w:rsidP="005A56B7">
            <w:pPr>
              <w:pStyle w:val="HStandard"/>
            </w:pPr>
            <w:r w:rsidRPr="005667CD">
              <w:t xml:space="preserve">Ofrecen información sobre la valoración de la innovación vinculada a los ámbitos prioritarios 1A y 1B y sobre el apoyo a la innovación a través de actividades de las redes rurales nacionales. Además, proporcionan apoyo para responder a las PCE 1, 2 y 21 desde el punto de vista de la innovación. </w:t>
            </w:r>
          </w:p>
        </w:tc>
      </w:tr>
      <w:tr w:rsidR="002C57D4" w:rsidRPr="005667CD" w:rsidTr="004C78EA">
        <w:tc>
          <w:tcPr>
            <w:tcW w:w="1068" w:type="dxa"/>
            <w:vMerge w:val="restart"/>
          </w:tcPr>
          <w:p w:rsidR="002C57D4" w:rsidRPr="005667CD" w:rsidRDefault="002C57D4" w:rsidP="00A746BC">
            <w:pPr>
              <w:pStyle w:val="HStandard"/>
              <w:jc w:val="center"/>
            </w:pPr>
            <w:r w:rsidRPr="005667CD">
              <w:t>22 - 30</w:t>
            </w:r>
          </w:p>
        </w:tc>
        <w:tc>
          <w:tcPr>
            <w:tcW w:w="2280" w:type="dxa"/>
          </w:tcPr>
          <w:p w:rsidR="002C57D4" w:rsidRPr="005667CD" w:rsidRDefault="0022740E" w:rsidP="00DF22D0">
            <w:pPr>
              <w:pStyle w:val="HStandard"/>
              <w:jc w:val="left"/>
            </w:pPr>
            <w:hyperlink r:id="rId29">
              <w:r w:rsidR="006F62E2" w:rsidRPr="005667CD">
                <w:rPr>
                  <w:rStyle w:val="Hyperlink"/>
                </w:rPr>
                <w:t>Fichas de Indicadores de impacto</w:t>
              </w:r>
            </w:hyperlink>
            <w:r w:rsidR="006F62E2" w:rsidRPr="005667CD">
              <w:t xml:space="preserve"> </w:t>
            </w:r>
          </w:p>
        </w:tc>
        <w:tc>
          <w:tcPr>
            <w:tcW w:w="5668" w:type="dxa"/>
          </w:tcPr>
          <w:p w:rsidR="002C57D4" w:rsidRPr="005667CD" w:rsidRDefault="002C57D4" w:rsidP="005A56B7">
            <w:pPr>
              <w:pStyle w:val="HStandard"/>
            </w:pPr>
            <w:r w:rsidRPr="005667CD">
              <w:t>Ofrecen información sobre los vínculos del indicador con los objetivos generales de la PAC, definición de indicadores, unidad de medida, metodología / fórmula para el cálculo, requisitos de datos, fuentes y frecuencia / retraso de la recogida y la localización de datos.</w:t>
            </w:r>
          </w:p>
        </w:tc>
      </w:tr>
      <w:tr w:rsidR="00A75E50" w:rsidRPr="005667CD" w:rsidTr="004C78EA">
        <w:tc>
          <w:tcPr>
            <w:tcW w:w="1068" w:type="dxa"/>
            <w:vMerge/>
          </w:tcPr>
          <w:p w:rsidR="00A75E50" w:rsidRPr="005667CD" w:rsidRDefault="00A75E50" w:rsidP="00A746BC">
            <w:pPr>
              <w:pStyle w:val="HStandard"/>
              <w:jc w:val="center"/>
            </w:pPr>
          </w:p>
        </w:tc>
        <w:tc>
          <w:tcPr>
            <w:tcW w:w="2280" w:type="dxa"/>
          </w:tcPr>
          <w:p w:rsidR="00A75E50" w:rsidRPr="005667CD" w:rsidRDefault="0022740E">
            <w:pPr>
              <w:pStyle w:val="HStandard"/>
              <w:jc w:val="left"/>
            </w:pPr>
            <w:hyperlink r:id="rId30">
              <w:r w:rsidR="006F62E2" w:rsidRPr="005667CD">
                <w:rPr>
                  <w:rStyle w:val="Hyperlink"/>
                </w:rPr>
                <w:t>Datos de los últimos indicadores de contexto de los Estados miembros</w:t>
              </w:r>
            </w:hyperlink>
          </w:p>
        </w:tc>
        <w:tc>
          <w:tcPr>
            <w:tcW w:w="5668" w:type="dxa"/>
          </w:tcPr>
          <w:p w:rsidR="00A75E50" w:rsidRPr="005667CD" w:rsidRDefault="00A75E50" w:rsidP="00FF4127">
            <w:pPr>
              <w:pStyle w:val="HStandard"/>
            </w:pPr>
            <w:r w:rsidRPr="005667CD">
              <w:t>La Comisión Europea facilita una actualización anual de los datos (en función de su disponibilidad) de los indicadores de contexto comunes sobre la base de los datos enviados por los Estados miembros.</w:t>
            </w:r>
          </w:p>
        </w:tc>
      </w:tr>
      <w:tr w:rsidR="00A75E50" w:rsidRPr="005667CD" w:rsidTr="004C78EA">
        <w:tc>
          <w:tcPr>
            <w:tcW w:w="1068" w:type="dxa"/>
            <w:vMerge/>
          </w:tcPr>
          <w:p w:rsidR="00A75E50" w:rsidRPr="005667CD" w:rsidRDefault="00A75E50" w:rsidP="00A746BC">
            <w:pPr>
              <w:pStyle w:val="HStandard"/>
              <w:jc w:val="center"/>
            </w:pPr>
          </w:p>
        </w:tc>
        <w:tc>
          <w:tcPr>
            <w:tcW w:w="2280" w:type="dxa"/>
          </w:tcPr>
          <w:p w:rsidR="00A75E50" w:rsidRPr="005667CD" w:rsidRDefault="0022740E">
            <w:pPr>
              <w:pStyle w:val="HStandard"/>
              <w:jc w:val="left"/>
              <w:rPr>
                <w:color w:val="F07E31" w:themeColor="accent1"/>
              </w:rPr>
            </w:pPr>
            <w:hyperlink r:id="rId31">
              <w:r w:rsidR="006F62E2" w:rsidRPr="005667CD">
                <w:rPr>
                  <w:rStyle w:val="Hyperlink"/>
                </w:rPr>
                <w:t>Directrices Evaluación de la innovación en los PDR 2014-2020</w:t>
              </w:r>
            </w:hyperlink>
          </w:p>
        </w:tc>
        <w:tc>
          <w:tcPr>
            <w:tcW w:w="5668" w:type="dxa"/>
          </w:tcPr>
          <w:p w:rsidR="00A75E50" w:rsidRPr="005667CD" w:rsidRDefault="00A75E50" w:rsidP="00FF4127">
            <w:pPr>
              <w:pStyle w:val="HStandard"/>
            </w:pPr>
            <w:r w:rsidRPr="005667CD">
              <w:t>Ofrecen información sobre la valoración de las contribuciones del PDR al objetivo principal de 2020 de la UE de invertir el 3 % del PIB de la UE en investigación y desarrollo e innovación, así como sobre la contribución del PDR a la innovación y sobre la respuesta a las PCE 23 y 30.</w:t>
            </w:r>
          </w:p>
        </w:tc>
      </w:tr>
      <w:tr w:rsidR="00A75E50" w:rsidRPr="005667CD" w:rsidTr="004C78EA">
        <w:tc>
          <w:tcPr>
            <w:tcW w:w="1068" w:type="dxa"/>
            <w:vMerge/>
          </w:tcPr>
          <w:p w:rsidR="00A75E50" w:rsidRPr="005667CD" w:rsidRDefault="00A75E50" w:rsidP="00A746BC">
            <w:pPr>
              <w:pStyle w:val="HStandard"/>
              <w:jc w:val="center"/>
            </w:pPr>
          </w:p>
        </w:tc>
        <w:tc>
          <w:tcPr>
            <w:tcW w:w="2280" w:type="dxa"/>
          </w:tcPr>
          <w:p w:rsidR="00A75E50" w:rsidRPr="005667CD" w:rsidRDefault="0022740E" w:rsidP="00DF22D0">
            <w:pPr>
              <w:pStyle w:val="HStandard"/>
              <w:jc w:val="left"/>
            </w:pPr>
            <w:hyperlink r:id="rId32">
              <w:r w:rsidR="006F62E2" w:rsidRPr="005667CD">
                <w:rPr>
                  <w:rStyle w:val="Hyperlink"/>
                </w:rPr>
                <w:t>Información sobre la Estrategia Europa 2020</w:t>
              </w:r>
            </w:hyperlink>
          </w:p>
        </w:tc>
        <w:tc>
          <w:tcPr>
            <w:tcW w:w="5668" w:type="dxa"/>
          </w:tcPr>
          <w:p w:rsidR="00A75E50" w:rsidRPr="005667CD" w:rsidRDefault="00A75E50" w:rsidP="00EE407C">
            <w:pPr>
              <w:pStyle w:val="HStandard"/>
            </w:pPr>
            <w:r w:rsidRPr="005667CD">
              <w:t xml:space="preserve">La Estrategia Europa 2020 sirve de marco de referencia para las actividades en los ámbitos de la UE, nacionales y regionales. Los gobiernos de la UE han establecido objetivos nacionales para contribuir a alcanzar los objetivos principales generales de la UE y están informando al respecto como parte de sus programas nacionales de reforma anuales. La Oficina Estadística de la UE, Eurostat, publica </w:t>
            </w:r>
            <w:r w:rsidRPr="005667CD">
              <w:lastRenderedPageBreak/>
              <w:t>periódicamente informes de situación exhaustivos en relación con los objetivos (</w:t>
            </w:r>
            <w:hyperlink r:id="rId33">
              <w:r w:rsidRPr="005667CD">
                <w:rPr>
                  <w:rStyle w:val="Hyperlink"/>
                </w:rPr>
                <w:t>Publicación «¿Más inteligente, más ecológica y más integradora? Indicadores de apoyo a la Estrategia Europa 2020»</w:t>
              </w:r>
            </w:hyperlink>
            <w:r w:rsidRPr="005667CD">
              <w:t xml:space="preserve">), que hacen un seguimiento de los avances en </w:t>
            </w:r>
            <w:proofErr w:type="spellStart"/>
            <w:r w:rsidRPr="005667CD">
              <w:t>pos</w:t>
            </w:r>
            <w:proofErr w:type="spellEnd"/>
            <w:r w:rsidRPr="005667CD">
              <w:t xml:space="preserve"> de los objetivos y metas de la UE definidos en las tres prioridades que se refuerzan mutuamente de crecimiento inteligente, sostenible e integrador y muestran la situación en los Estados miembros.</w:t>
            </w:r>
          </w:p>
        </w:tc>
      </w:tr>
      <w:tr w:rsidR="00A75E50" w:rsidRPr="005667CD" w:rsidTr="004C78EA">
        <w:tc>
          <w:tcPr>
            <w:tcW w:w="1068" w:type="dxa"/>
            <w:vMerge w:val="restart"/>
          </w:tcPr>
          <w:p w:rsidR="00A75E50" w:rsidRPr="005667CD" w:rsidRDefault="00A75E50" w:rsidP="00A746BC">
            <w:pPr>
              <w:pStyle w:val="HStandard"/>
              <w:jc w:val="center"/>
            </w:pPr>
            <w:r w:rsidRPr="005667CD">
              <w:lastRenderedPageBreak/>
              <w:t>22, 23, 24, 25, 30</w:t>
            </w:r>
          </w:p>
        </w:tc>
        <w:tc>
          <w:tcPr>
            <w:tcW w:w="2280" w:type="dxa"/>
          </w:tcPr>
          <w:p w:rsidR="00A75E50" w:rsidRPr="005667CD" w:rsidRDefault="0022740E">
            <w:pPr>
              <w:pStyle w:val="HStandard"/>
              <w:jc w:val="left"/>
              <w:rPr>
                <w:rFonts w:cs="Arial"/>
                <w:color w:val="F07E31" w:themeColor="accent1"/>
              </w:rPr>
            </w:pPr>
            <w:hyperlink r:id="rId34">
              <w:r w:rsidR="006F62E2" w:rsidRPr="005667CD">
                <w:rPr>
                  <w:rStyle w:val="Hyperlink"/>
                </w:rPr>
                <w:t>Información sobre los objetivos de la Estrategia Europa 2020 por Estado miembro</w:t>
              </w:r>
            </w:hyperlink>
          </w:p>
        </w:tc>
        <w:tc>
          <w:tcPr>
            <w:tcW w:w="5668" w:type="dxa"/>
          </w:tcPr>
          <w:p w:rsidR="00A75E50" w:rsidRPr="005667CD" w:rsidRDefault="00A75E50" w:rsidP="00823352">
            <w:pPr>
              <w:pStyle w:val="HStandard"/>
            </w:pPr>
            <w:r w:rsidRPr="005667CD">
              <w:t>Eurostat actualiza periódicamente la información relativa a los objetivos nacionales para cumplir los objetivos principales de la Estrategia Europa 2020 por Estado miembro.</w:t>
            </w:r>
          </w:p>
        </w:tc>
      </w:tr>
      <w:tr w:rsidR="00A75E50" w:rsidRPr="005667CD" w:rsidTr="004C78EA">
        <w:tc>
          <w:tcPr>
            <w:tcW w:w="1068" w:type="dxa"/>
            <w:vMerge/>
          </w:tcPr>
          <w:p w:rsidR="00A75E50" w:rsidRPr="005667CD" w:rsidRDefault="00A75E50" w:rsidP="00A746BC">
            <w:pPr>
              <w:pStyle w:val="HStandard"/>
              <w:jc w:val="center"/>
            </w:pPr>
          </w:p>
        </w:tc>
        <w:tc>
          <w:tcPr>
            <w:tcW w:w="2280" w:type="dxa"/>
          </w:tcPr>
          <w:p w:rsidR="00A75E50" w:rsidRPr="005667CD" w:rsidRDefault="0022740E">
            <w:pPr>
              <w:pStyle w:val="HStandard"/>
              <w:jc w:val="left"/>
              <w:rPr>
                <w:rFonts w:cs="Arial"/>
              </w:rPr>
            </w:pPr>
            <w:hyperlink r:id="rId35">
              <w:r w:rsidR="006F62E2" w:rsidRPr="005667CD">
                <w:rPr>
                  <w:rStyle w:val="Hyperlink"/>
                </w:rPr>
                <w:t>Fichas de indicadores de contexto</w:t>
              </w:r>
            </w:hyperlink>
            <w:r w:rsidR="006F62E2" w:rsidRPr="005667CD">
              <w:t xml:space="preserve"> </w:t>
            </w:r>
          </w:p>
        </w:tc>
        <w:tc>
          <w:tcPr>
            <w:tcW w:w="5668" w:type="dxa"/>
          </w:tcPr>
          <w:p w:rsidR="00A75E50" w:rsidRPr="005667CD" w:rsidRDefault="00A75E50" w:rsidP="00FF4127">
            <w:pPr>
              <w:pStyle w:val="HStandard"/>
            </w:pPr>
            <w:r w:rsidRPr="005667CD">
              <w:t>Cuarenta y cinco indicadores de contexto comunes de la PAC (divididos en 3 grupos: socioeconómicos, sectoriales y medioambientales) reflejan los aspectos pertinentes de la evolución del contexto general en la economía, el medio ambiente y la sociedad. Cabe la posibilidad de que estos indicadores puedan influir en la ejecución, logros y eficacia de la PAC. Las fichas informativas contienen una descripción de las definiciones, la metodología y las fuentes de datos.</w:t>
            </w:r>
          </w:p>
        </w:tc>
      </w:tr>
      <w:tr w:rsidR="00A75E50" w:rsidRPr="005667CD" w:rsidTr="004C78EA">
        <w:trPr>
          <w:trHeight w:val="1800"/>
        </w:trPr>
        <w:tc>
          <w:tcPr>
            <w:tcW w:w="1068" w:type="dxa"/>
          </w:tcPr>
          <w:p w:rsidR="00A75E50" w:rsidRPr="005667CD" w:rsidRDefault="00A75E50" w:rsidP="00A746BC">
            <w:pPr>
              <w:pStyle w:val="HStandard"/>
              <w:jc w:val="center"/>
            </w:pPr>
            <w:r w:rsidRPr="005667CD">
              <w:t>Todas las PCE</w:t>
            </w:r>
          </w:p>
        </w:tc>
        <w:tc>
          <w:tcPr>
            <w:tcW w:w="2280" w:type="dxa"/>
          </w:tcPr>
          <w:p w:rsidR="00A75E50" w:rsidRPr="005667CD" w:rsidRDefault="0022740E" w:rsidP="00E95159">
            <w:pPr>
              <w:pStyle w:val="HStandard"/>
              <w:jc w:val="left"/>
            </w:pPr>
            <w:hyperlink r:id="rId36">
              <w:r w:rsidR="006F62E2" w:rsidRPr="005667CD">
                <w:rPr>
                  <w:rStyle w:val="Hyperlink"/>
                </w:rPr>
                <w:t>Documento de trabajo - Preguntas comunes de evaluación para los programas de desarrollo rural 2014-2020</w:t>
              </w:r>
            </w:hyperlink>
          </w:p>
        </w:tc>
        <w:tc>
          <w:tcPr>
            <w:tcW w:w="5668" w:type="dxa"/>
          </w:tcPr>
          <w:p w:rsidR="00A75E50" w:rsidRPr="005667CD" w:rsidRDefault="00A75E50" w:rsidP="00E95159">
            <w:pPr>
              <w:pStyle w:val="HStandard"/>
            </w:pPr>
            <w:r w:rsidRPr="005667CD">
              <w:t>Explica la finalidad y el uso de las preguntas comunes de evaluación en el sistema común de seguimiento y evaluación. Describe los diferentes tipos de preguntas de evaluación y enumera los criterios de valoración y los indicadores comunes y adicionales correspondientes a las PCE 1-21.</w:t>
            </w:r>
          </w:p>
        </w:tc>
      </w:tr>
    </w:tbl>
    <w:p w:rsidR="00154C43" w:rsidRPr="005667CD" w:rsidRDefault="00154C43"/>
    <w:p w:rsidR="001C2076" w:rsidRPr="005667CD" w:rsidRDefault="001C2076" w:rsidP="00E35440">
      <w:pPr>
        <w:pStyle w:val="HHeading2"/>
      </w:pPr>
      <w:r w:rsidRPr="005667CD">
        <w:t xml:space="preserve">Preparación del informe anual de gestión en 2019 </w:t>
      </w:r>
    </w:p>
    <w:p w:rsidR="009B016B" w:rsidRPr="005667CD" w:rsidRDefault="00806A70" w:rsidP="00217482">
      <w:pPr>
        <w:pStyle w:val="HStandard"/>
      </w:pPr>
      <w:r w:rsidRPr="005667CD">
        <w:t>Como preparación para la valoración de los logros e impactos del PDR en 2019, varias partes interesadas en la evaluación de los Estados miembros pueden llevar a cabo varios pasos</w:t>
      </w:r>
      <w:r w:rsidRPr="005667CD">
        <w:rPr>
          <w:rStyle w:val="FootnoteReference"/>
          <w:sz w:val="20"/>
          <w:vertAlign w:val="superscript"/>
        </w:rPr>
        <w:footnoteReference w:id="24"/>
      </w:r>
      <w:r w:rsidRPr="005667CD">
        <w:t>, lo que ayudará a garantizar que las conclusiones de la evaluación sean de gran calidad y pertinentes para sus responsables políticos.</w:t>
      </w:r>
    </w:p>
    <w:p w:rsidR="00932C3E" w:rsidRPr="005667CD" w:rsidRDefault="003146E6" w:rsidP="00217482">
      <w:pPr>
        <w:pStyle w:val="HStandard"/>
      </w:pPr>
      <w:r w:rsidRPr="005667CD">
        <w:t>En el cuadro 2 figura una posible lista de control que contiene los pasos necesarios para la evaluación en 2019. También incluye algunos pasos preparatorios que, en caso de que aún no se hayan realizado, todavía pueden llevarse a cabo antes de iniciar las actividades de evaluación en 2019. En el cuadro 2 se indican las responsabilidades de los distintos agentes que pueden participar en las actividades de evaluación a nivel del Estado miembro: autoridad de gestión (AG), comité de seguimiento (CS), organismo pagador (OP), unidad de evaluación (</w:t>
      </w:r>
      <w:proofErr w:type="spellStart"/>
      <w:r w:rsidRPr="005667CD">
        <w:t>UEv</w:t>
      </w:r>
      <w:proofErr w:type="spellEnd"/>
      <w:r w:rsidRPr="005667CD">
        <w:t>) (si existe), grupo de dirección de la evaluación (GDE) (si existe), evaluadores (</w:t>
      </w:r>
      <w:proofErr w:type="spellStart"/>
      <w:r w:rsidRPr="005667CD">
        <w:t>Ev</w:t>
      </w:r>
      <w:proofErr w:type="spellEnd"/>
      <w:r w:rsidRPr="005667CD">
        <w:t xml:space="preserve">), proveedores de datos (PD) y otras partes interesadas de la evaluación (O). </w:t>
      </w:r>
    </w:p>
    <w:p w:rsidR="004773BB" w:rsidRPr="005667CD" w:rsidRDefault="00A75E50" w:rsidP="004A2938">
      <w:pPr>
        <w:pStyle w:val="HHeadingtables"/>
      </w:pPr>
      <w:r w:rsidRPr="005667CD">
        <w:br w:type="column"/>
      </w:r>
      <w:r w:rsidRPr="005667CD">
        <w:lastRenderedPageBreak/>
        <w:t>Lista de comprobación de los pasos recomendados para la evaluación en 2019</w:t>
      </w:r>
    </w:p>
    <w:tbl>
      <w:tblPr>
        <w:tblStyle w:val="Tabukasmriekou5tmavzvraznenie61"/>
        <w:tblW w:w="9492" w:type="dxa"/>
        <w:jc w:val="center"/>
        <w:tblLayout w:type="fixed"/>
        <w:tblLook w:val="04A0" w:firstRow="1" w:lastRow="0" w:firstColumn="1" w:lastColumn="0" w:noHBand="0" w:noVBand="1"/>
      </w:tblPr>
      <w:tblGrid>
        <w:gridCol w:w="562"/>
        <w:gridCol w:w="3151"/>
        <w:gridCol w:w="1312"/>
        <w:gridCol w:w="622"/>
        <w:gridCol w:w="549"/>
        <w:gridCol w:w="549"/>
        <w:gridCol w:w="550"/>
        <w:gridCol w:w="593"/>
        <w:gridCol w:w="505"/>
        <w:gridCol w:w="549"/>
        <w:gridCol w:w="550"/>
      </w:tblGrid>
      <w:tr w:rsidR="00055507" w:rsidRPr="005667CD" w:rsidTr="004C78EA">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single" w:sz="4" w:space="0" w:color="6E8967"/>
              <w:left w:val="single" w:sz="4" w:space="0" w:color="6E8967"/>
              <w:right w:val="single" w:sz="4" w:space="0" w:color="FFFFFF"/>
            </w:tcBorders>
            <w:textDirection w:val="btLr"/>
            <w:vAlign w:val="center"/>
          </w:tcPr>
          <w:p w:rsidR="00055507" w:rsidRPr="005667CD" w:rsidRDefault="00055507" w:rsidP="00DF22D0">
            <w:pPr>
              <w:spacing w:line="280" w:lineRule="atLeast"/>
              <w:ind w:left="113" w:right="113"/>
              <w:jc w:val="center"/>
              <w:rPr>
                <w:rFonts w:cs="Arial"/>
                <w:sz w:val="16"/>
                <w:szCs w:val="16"/>
              </w:rPr>
            </w:pPr>
            <w:r w:rsidRPr="005667CD">
              <w:rPr>
                <w:sz w:val="16"/>
              </w:rPr>
              <w:t>Fase</w:t>
            </w:r>
          </w:p>
        </w:tc>
        <w:tc>
          <w:tcPr>
            <w:tcW w:w="3151" w:type="dxa"/>
            <w:vMerge w:val="restart"/>
            <w:tcBorders>
              <w:top w:val="single" w:sz="4" w:space="0" w:color="6E8967"/>
              <w:left w:val="single" w:sz="4" w:space="0" w:color="FFFFFF"/>
              <w:right w:val="single" w:sz="4" w:space="0" w:color="FFFFFF"/>
            </w:tcBorders>
            <w:vAlign w:val="center"/>
          </w:tcPr>
          <w:p w:rsidR="00055507" w:rsidRPr="005667CD"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5667CD">
              <w:rPr>
                <w:sz w:val="16"/>
              </w:rPr>
              <w:t>Paso</w:t>
            </w:r>
          </w:p>
        </w:tc>
        <w:tc>
          <w:tcPr>
            <w:tcW w:w="1312" w:type="dxa"/>
            <w:vMerge w:val="restart"/>
            <w:tcBorders>
              <w:top w:val="single" w:sz="4" w:space="0" w:color="6E8967"/>
              <w:left w:val="single" w:sz="4" w:space="0" w:color="FFFFFF"/>
              <w:right w:val="single" w:sz="4" w:space="0" w:color="FFFFFF" w:themeColor="background1"/>
            </w:tcBorders>
            <w:vAlign w:val="center"/>
          </w:tcPr>
          <w:p w:rsidR="00055507" w:rsidRPr="005667CD"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5667CD">
              <w:rPr>
                <w:sz w:val="16"/>
              </w:rPr>
              <w:t>Calendario orientativo</w:t>
            </w:r>
          </w:p>
        </w:tc>
        <w:tc>
          <w:tcPr>
            <w:tcW w:w="4467" w:type="dxa"/>
            <w:gridSpan w:val="8"/>
            <w:tcBorders>
              <w:top w:val="single" w:sz="4" w:space="0" w:color="6E8967"/>
              <w:left w:val="single" w:sz="4" w:space="0" w:color="FFFFFF" w:themeColor="background1"/>
              <w:right w:val="single" w:sz="4" w:space="0" w:color="6E8967"/>
            </w:tcBorders>
            <w:vAlign w:val="center"/>
          </w:tcPr>
          <w:p w:rsidR="00055507" w:rsidRPr="005667CD"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5667CD">
              <w:rPr>
                <w:sz w:val="16"/>
              </w:rPr>
              <w:t>Responsabilidad (x) y participación (y)</w:t>
            </w:r>
            <w:r w:rsidRPr="005667CD">
              <w:rPr>
                <w:rStyle w:val="FootnoteReference"/>
                <w:color w:val="FFFFFF" w:themeColor="background1"/>
                <w:sz w:val="10"/>
              </w:rPr>
              <w:footnoteReference w:id="25"/>
            </w:r>
          </w:p>
        </w:tc>
      </w:tr>
      <w:tr w:rsidR="00BA1544" w:rsidRPr="005667CD" w:rsidTr="004C78EA">
        <w:trPr>
          <w:cnfStyle w:val="100000000000" w:firstRow="1" w:lastRow="0" w:firstColumn="0" w:lastColumn="0" w:oddVBand="0" w:evenVBand="0" w:oddHBand="0" w:evenHBand="0" w:firstRowFirstColumn="0" w:firstRowLastColumn="0" w:lastRowFirstColumn="0" w:lastRowLastColumn="0"/>
          <w:trHeight w:val="260"/>
          <w:tblHeader/>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right w:val="single" w:sz="4" w:space="0" w:color="FFFFFF"/>
            </w:tcBorders>
            <w:textDirection w:val="btLr"/>
          </w:tcPr>
          <w:p w:rsidR="00055507" w:rsidRPr="005667CD" w:rsidRDefault="00055507" w:rsidP="00DF22D0">
            <w:pPr>
              <w:spacing w:line="280" w:lineRule="atLeast"/>
              <w:ind w:left="113" w:right="113"/>
              <w:jc w:val="right"/>
              <w:rPr>
                <w:rFonts w:cs="Arial"/>
                <w:b w:val="0"/>
                <w:sz w:val="16"/>
                <w:szCs w:val="16"/>
              </w:rPr>
            </w:pPr>
          </w:p>
        </w:tc>
        <w:tc>
          <w:tcPr>
            <w:tcW w:w="3151" w:type="dxa"/>
            <w:vMerge/>
            <w:tcBorders>
              <w:top w:val="single" w:sz="4" w:space="0" w:color="FFFFFF"/>
              <w:left w:val="single" w:sz="4" w:space="0" w:color="FFFFFF"/>
              <w:right w:val="single" w:sz="4" w:space="0" w:color="FFFFFF"/>
            </w:tcBorders>
          </w:tcPr>
          <w:p w:rsidR="00055507" w:rsidRPr="005667CD"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1312" w:type="dxa"/>
            <w:vMerge/>
            <w:tcBorders>
              <w:top w:val="single" w:sz="4" w:space="0" w:color="FFFFFF"/>
              <w:left w:val="single" w:sz="4" w:space="0" w:color="FFFFFF"/>
              <w:right w:val="single" w:sz="4" w:space="0" w:color="FFFFFF" w:themeColor="background1"/>
            </w:tcBorders>
          </w:tcPr>
          <w:p w:rsidR="00055507" w:rsidRPr="005667CD" w:rsidRDefault="00055507" w:rsidP="00DA3493">
            <w:pPr>
              <w:spacing w:line="280" w:lineRule="atLeast"/>
              <w:jc w:val="lef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622"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5667CD"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5667CD">
              <w:rPr>
                <w:sz w:val="16"/>
              </w:rPr>
              <w:t>AG</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5667CD"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5667CD">
              <w:rPr>
                <w:sz w:val="16"/>
              </w:rPr>
              <w:t>OP</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5667CD"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5667CD">
              <w:rPr>
                <w:sz w:val="16"/>
              </w:rPr>
              <w:t>PD</w:t>
            </w:r>
          </w:p>
        </w:tc>
        <w:tc>
          <w:tcPr>
            <w:tcW w:w="550"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5667CD"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proofErr w:type="spellStart"/>
            <w:r w:rsidRPr="005667CD">
              <w:rPr>
                <w:sz w:val="16"/>
              </w:rPr>
              <w:t>UEv</w:t>
            </w:r>
            <w:proofErr w:type="spellEnd"/>
          </w:p>
        </w:tc>
        <w:tc>
          <w:tcPr>
            <w:tcW w:w="593"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5667CD"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5667CD">
              <w:rPr>
                <w:sz w:val="16"/>
              </w:rPr>
              <w:t>GDE</w:t>
            </w:r>
          </w:p>
        </w:tc>
        <w:tc>
          <w:tcPr>
            <w:tcW w:w="505"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5667CD"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proofErr w:type="spellStart"/>
            <w:r w:rsidRPr="005667CD">
              <w:rPr>
                <w:sz w:val="16"/>
              </w:rPr>
              <w:t>Ev</w:t>
            </w:r>
            <w:proofErr w:type="spellEnd"/>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5667CD"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5667CD">
              <w:rPr>
                <w:sz w:val="16"/>
              </w:rPr>
              <w:t>CS</w:t>
            </w:r>
          </w:p>
        </w:tc>
        <w:tc>
          <w:tcPr>
            <w:tcW w:w="550" w:type="dxa"/>
            <w:tcBorders>
              <w:top w:val="single" w:sz="4" w:space="0" w:color="FFFFFF"/>
              <w:left w:val="single" w:sz="4" w:space="0" w:color="FFFFFF" w:themeColor="background1"/>
              <w:bottom w:val="single" w:sz="4" w:space="0" w:color="FFFFFF"/>
              <w:right w:val="single" w:sz="4" w:space="0" w:color="6E8967"/>
            </w:tcBorders>
          </w:tcPr>
          <w:p w:rsidR="00055507" w:rsidRPr="005667CD"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5667CD">
              <w:rPr>
                <w:sz w:val="16"/>
              </w:rPr>
              <w:t>O</w:t>
            </w:r>
          </w:p>
        </w:tc>
      </w:tr>
      <w:tr w:rsidR="00810ED5" w:rsidRPr="005667CD" w:rsidTr="004C78EA">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5667CD" w:rsidRDefault="00055507" w:rsidP="004A2938">
            <w:pPr>
              <w:spacing w:line="280" w:lineRule="atLeast"/>
              <w:ind w:left="113" w:right="113"/>
              <w:jc w:val="center"/>
              <w:rPr>
                <w:rFonts w:cs="Arial"/>
                <w:b w:val="0"/>
                <w:i/>
                <w:sz w:val="16"/>
                <w:szCs w:val="16"/>
              </w:rPr>
            </w:pPr>
            <w:r w:rsidRPr="005667CD">
              <w:rPr>
                <w:i/>
                <w:sz w:val="16"/>
              </w:rPr>
              <w:t>Planificación</w:t>
            </w:r>
          </w:p>
        </w:tc>
        <w:tc>
          <w:tcPr>
            <w:tcW w:w="3151" w:type="dxa"/>
          </w:tcPr>
          <w:p w:rsidR="00055507" w:rsidRPr="005667CD"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Actualizar los valores de referencia de los indicadores de contexto comunes (en el PDR).</w:t>
            </w:r>
          </w:p>
        </w:tc>
        <w:tc>
          <w:tcPr>
            <w:tcW w:w="1312" w:type="dxa"/>
          </w:tcPr>
          <w:p w:rsidR="00055507" w:rsidRPr="005667CD"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Tan pronto como los datos estén disponibles</w:t>
            </w:r>
          </w:p>
        </w:tc>
        <w:tc>
          <w:tcPr>
            <w:tcW w:w="622" w:type="dxa"/>
            <w:tcBorders>
              <w:top w:val="single" w:sz="4" w:space="0" w:color="FFFFFF"/>
              <w:right w:val="single" w:sz="4" w:space="0" w:color="FFFFFF"/>
            </w:tcBorders>
            <w:shd w:val="clear" w:color="auto" w:fill="95B89B" w:themeFill="accent4" w:themeFillTint="99"/>
          </w:tcPr>
          <w:p w:rsidR="00055507" w:rsidRPr="005667CD"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x</w:t>
            </w:r>
          </w:p>
        </w:tc>
        <w:tc>
          <w:tcPr>
            <w:tcW w:w="549" w:type="dxa"/>
            <w:tcBorders>
              <w:top w:val="single" w:sz="4" w:space="0" w:color="FFFFFF"/>
              <w:left w:val="single" w:sz="4" w:space="0" w:color="FFFFFF"/>
            </w:tcBorders>
            <w:shd w:val="clear" w:color="auto" w:fill="auto"/>
          </w:tcPr>
          <w:p w:rsidR="00055507" w:rsidRPr="005667CD"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5667CD"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tcBorders>
          </w:tcPr>
          <w:p w:rsidR="00055507" w:rsidRPr="005667CD"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y</w:t>
            </w:r>
          </w:p>
        </w:tc>
        <w:tc>
          <w:tcPr>
            <w:tcW w:w="593" w:type="dxa"/>
            <w:tcBorders>
              <w:top w:val="single" w:sz="4" w:space="0" w:color="FFFFFF"/>
            </w:tcBorders>
            <w:shd w:val="clear" w:color="auto" w:fill="auto"/>
          </w:tcPr>
          <w:p w:rsidR="00055507" w:rsidRPr="005667CD"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top w:val="single" w:sz="4" w:space="0" w:color="FFFFFF"/>
            </w:tcBorders>
            <w:shd w:val="clear" w:color="auto" w:fill="auto"/>
          </w:tcPr>
          <w:p w:rsidR="00055507" w:rsidRPr="005667CD"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5667CD"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auto"/>
          </w:tcPr>
          <w:p w:rsidR="00055507" w:rsidRPr="005667CD"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5667CD" w:rsidTr="004C78EA">
        <w:trPr>
          <w:trHeight w:val="5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5667CD" w:rsidRDefault="00055507" w:rsidP="00DF22D0">
            <w:pPr>
              <w:spacing w:line="280" w:lineRule="atLeast"/>
              <w:ind w:left="113" w:right="113"/>
              <w:jc w:val="right"/>
              <w:rPr>
                <w:rFonts w:cs="Arial"/>
                <w:b w:val="0"/>
                <w:i/>
                <w:sz w:val="16"/>
                <w:szCs w:val="16"/>
              </w:rPr>
            </w:pPr>
          </w:p>
        </w:tc>
        <w:tc>
          <w:tcPr>
            <w:tcW w:w="3151" w:type="dxa"/>
          </w:tcPr>
          <w:p w:rsidR="00055507" w:rsidRPr="005667CD"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 xml:space="preserve">Planificar actividades de evaluación, temas, estudios y mecanismos de recogida de datos relacionados con los indicadores de impacto comunes en el plan de evaluación del PDR. </w:t>
            </w:r>
          </w:p>
        </w:tc>
        <w:tc>
          <w:tcPr>
            <w:tcW w:w="1312" w:type="dxa"/>
          </w:tcPr>
          <w:p w:rsidR="00055507" w:rsidRPr="005667CD"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 xml:space="preserve">A partir de 2013 </w:t>
            </w:r>
          </w:p>
        </w:tc>
        <w:tc>
          <w:tcPr>
            <w:tcW w:w="622" w:type="dxa"/>
            <w:tcBorders>
              <w:right w:val="single" w:sz="4" w:space="0" w:color="FFFFFF"/>
            </w:tcBorders>
            <w:shd w:val="clear" w:color="auto" w:fill="95B89B" w:themeFill="accent4" w:themeFillTint="99"/>
          </w:tcPr>
          <w:p w:rsidR="00055507" w:rsidRPr="005667CD"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x</w:t>
            </w:r>
          </w:p>
        </w:tc>
        <w:tc>
          <w:tcPr>
            <w:tcW w:w="549" w:type="dxa"/>
            <w:tcBorders>
              <w:left w:val="single" w:sz="4" w:space="0" w:color="FFFFFF"/>
            </w:tcBorders>
            <w:shd w:val="clear" w:color="auto" w:fill="auto"/>
          </w:tcPr>
          <w:p w:rsidR="00055507" w:rsidRPr="005667CD"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5667CD"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5667CD"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y</w:t>
            </w:r>
          </w:p>
        </w:tc>
        <w:tc>
          <w:tcPr>
            <w:tcW w:w="593" w:type="dxa"/>
            <w:shd w:val="clear" w:color="auto" w:fill="auto"/>
          </w:tcPr>
          <w:p w:rsidR="00055507" w:rsidRPr="005667CD"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5667CD"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5667CD"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5667CD"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5667CD" w:rsidTr="004C78EA">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5667CD" w:rsidRDefault="00055507" w:rsidP="00DF22D0">
            <w:pPr>
              <w:spacing w:line="280" w:lineRule="atLeast"/>
              <w:ind w:left="113" w:right="113"/>
              <w:jc w:val="right"/>
              <w:rPr>
                <w:rFonts w:cs="Arial"/>
                <w:b w:val="0"/>
                <w:i/>
                <w:sz w:val="16"/>
                <w:szCs w:val="16"/>
              </w:rPr>
            </w:pPr>
          </w:p>
        </w:tc>
        <w:tc>
          <w:tcPr>
            <w:tcW w:w="3151" w:type="dxa"/>
          </w:tcPr>
          <w:p w:rsidR="00055507" w:rsidRPr="005667CD" w:rsidRDefault="002A0D72" w:rsidP="004C3C30">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 xml:space="preserve">Elaborar / actualizar la planificación de la evaluación interna (documento) para especificar más detalladamente los temas y actividades de evaluación (incluidas las disposiciones en materia de datos para compensar los indicadores de impacto, recopilar otras pruebas y estudios relacionados). </w:t>
            </w:r>
          </w:p>
        </w:tc>
        <w:tc>
          <w:tcPr>
            <w:tcW w:w="1312" w:type="dxa"/>
          </w:tcPr>
          <w:p w:rsidR="00055507" w:rsidRPr="005667CD"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A partir de 2013</w:t>
            </w:r>
          </w:p>
        </w:tc>
        <w:tc>
          <w:tcPr>
            <w:tcW w:w="622" w:type="dxa"/>
            <w:shd w:val="clear" w:color="auto" w:fill="95B89B" w:themeFill="accent4" w:themeFillTint="99"/>
          </w:tcPr>
          <w:p w:rsidR="00055507" w:rsidRPr="005667CD"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x</w:t>
            </w:r>
          </w:p>
        </w:tc>
        <w:tc>
          <w:tcPr>
            <w:tcW w:w="549" w:type="dxa"/>
            <w:shd w:val="clear" w:color="auto" w:fill="auto"/>
          </w:tcPr>
          <w:p w:rsidR="00055507" w:rsidRPr="005667CD"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5667CD"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5667CD"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y</w:t>
            </w:r>
          </w:p>
        </w:tc>
        <w:tc>
          <w:tcPr>
            <w:tcW w:w="593" w:type="dxa"/>
            <w:shd w:val="clear" w:color="auto" w:fill="auto"/>
          </w:tcPr>
          <w:p w:rsidR="00055507" w:rsidRPr="005667CD"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auto"/>
          </w:tcPr>
          <w:p w:rsidR="00055507" w:rsidRPr="005667CD"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5667CD"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5667CD"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5667CD" w:rsidTr="004C78EA">
        <w:trPr>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5667CD" w:rsidRDefault="00055507" w:rsidP="004A2938">
            <w:pPr>
              <w:spacing w:line="280" w:lineRule="atLeast"/>
              <w:ind w:left="113" w:right="113"/>
              <w:jc w:val="center"/>
              <w:rPr>
                <w:rFonts w:cs="Arial"/>
                <w:b w:val="0"/>
                <w:i/>
                <w:sz w:val="16"/>
                <w:szCs w:val="16"/>
              </w:rPr>
            </w:pPr>
            <w:r w:rsidRPr="005667CD">
              <w:rPr>
                <w:i/>
                <w:sz w:val="16"/>
              </w:rPr>
              <w:t>Preparación</w:t>
            </w:r>
          </w:p>
        </w:tc>
        <w:tc>
          <w:tcPr>
            <w:tcW w:w="3151" w:type="dxa"/>
          </w:tcPr>
          <w:p w:rsidR="00055507" w:rsidRPr="005667CD"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Crear un grupo voluntario de dirección de la evaluación para dirigir el proceso de evaluación (reuniones periódicas).</w:t>
            </w:r>
          </w:p>
        </w:tc>
        <w:tc>
          <w:tcPr>
            <w:tcW w:w="1312" w:type="dxa"/>
          </w:tcPr>
          <w:p w:rsidR="00055507" w:rsidRPr="005667CD"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 xml:space="preserve">A principios del período de programación </w:t>
            </w:r>
          </w:p>
        </w:tc>
        <w:tc>
          <w:tcPr>
            <w:tcW w:w="622" w:type="dxa"/>
            <w:shd w:val="clear" w:color="auto" w:fill="95B89B" w:themeFill="accent4" w:themeFillTint="99"/>
          </w:tcPr>
          <w:p w:rsidR="00055507" w:rsidRPr="005667CD"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x</w:t>
            </w:r>
          </w:p>
        </w:tc>
        <w:tc>
          <w:tcPr>
            <w:tcW w:w="549" w:type="dxa"/>
            <w:shd w:val="clear" w:color="auto" w:fill="D0DDCC" w:themeFill="accent6" w:themeFillTint="66"/>
          </w:tcPr>
          <w:p w:rsidR="00055507" w:rsidRPr="005667CD"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y</w:t>
            </w:r>
          </w:p>
        </w:tc>
        <w:tc>
          <w:tcPr>
            <w:tcW w:w="549" w:type="dxa"/>
            <w:shd w:val="clear" w:color="auto" w:fill="D0DDCC" w:themeFill="accent6" w:themeFillTint="66"/>
          </w:tcPr>
          <w:p w:rsidR="00055507" w:rsidRPr="005667CD"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y</w:t>
            </w:r>
          </w:p>
        </w:tc>
        <w:tc>
          <w:tcPr>
            <w:tcW w:w="550" w:type="dxa"/>
            <w:shd w:val="clear" w:color="auto" w:fill="95B89B" w:themeFill="accent4" w:themeFillTint="99"/>
          </w:tcPr>
          <w:p w:rsidR="00055507" w:rsidRPr="005667CD"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x</w:t>
            </w:r>
          </w:p>
        </w:tc>
        <w:tc>
          <w:tcPr>
            <w:tcW w:w="593" w:type="dxa"/>
            <w:shd w:val="clear" w:color="auto" w:fill="95B89B" w:themeFill="accent4" w:themeFillTint="99"/>
          </w:tcPr>
          <w:p w:rsidR="00055507" w:rsidRPr="005667CD"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x</w:t>
            </w:r>
          </w:p>
        </w:tc>
        <w:tc>
          <w:tcPr>
            <w:tcW w:w="505" w:type="dxa"/>
            <w:shd w:val="clear" w:color="auto" w:fill="auto"/>
          </w:tcPr>
          <w:p w:rsidR="00055507" w:rsidRPr="005667CD"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5667CD"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5667CD"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y</w:t>
            </w:r>
          </w:p>
        </w:tc>
      </w:tr>
      <w:tr w:rsidR="00810ED5" w:rsidRPr="005667CD" w:rsidTr="004C78EA">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5667CD" w:rsidRDefault="00055507" w:rsidP="00DF22D0">
            <w:pPr>
              <w:spacing w:line="280" w:lineRule="atLeast"/>
              <w:ind w:left="113" w:right="113"/>
              <w:jc w:val="right"/>
              <w:rPr>
                <w:rFonts w:cs="Arial"/>
                <w:b w:val="0"/>
                <w:i/>
                <w:sz w:val="16"/>
                <w:szCs w:val="16"/>
              </w:rPr>
            </w:pPr>
          </w:p>
        </w:tc>
        <w:tc>
          <w:tcPr>
            <w:tcW w:w="3151" w:type="dxa"/>
          </w:tcPr>
          <w:p w:rsidR="00055507" w:rsidRPr="005667CD"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 xml:space="preserve">Revisar la lógica de intervención del programa (objetivos, prioridades y ámbitos de interés del DR, medidas). </w:t>
            </w:r>
          </w:p>
        </w:tc>
        <w:tc>
          <w:tcPr>
            <w:tcW w:w="1312" w:type="dxa"/>
          </w:tcPr>
          <w:p w:rsidR="00055507" w:rsidRPr="005667CD"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A principios del período de programación y antes de cada evaluación</w:t>
            </w:r>
          </w:p>
        </w:tc>
        <w:tc>
          <w:tcPr>
            <w:tcW w:w="622" w:type="dxa"/>
            <w:shd w:val="clear" w:color="auto" w:fill="95B89B" w:themeFill="accent4" w:themeFillTint="99"/>
          </w:tcPr>
          <w:p w:rsidR="00055507" w:rsidRPr="005667CD"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x</w:t>
            </w:r>
          </w:p>
        </w:tc>
        <w:tc>
          <w:tcPr>
            <w:tcW w:w="549" w:type="dxa"/>
            <w:shd w:val="clear" w:color="auto" w:fill="auto"/>
          </w:tcPr>
          <w:p w:rsidR="00055507" w:rsidRPr="005667CD"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5667CD"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5667CD"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x</w:t>
            </w:r>
          </w:p>
        </w:tc>
        <w:tc>
          <w:tcPr>
            <w:tcW w:w="593" w:type="dxa"/>
          </w:tcPr>
          <w:p w:rsidR="00055507" w:rsidRPr="005667CD"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y</w:t>
            </w:r>
          </w:p>
        </w:tc>
        <w:tc>
          <w:tcPr>
            <w:tcW w:w="505" w:type="dxa"/>
          </w:tcPr>
          <w:p w:rsidR="00055507" w:rsidRPr="005667CD" w:rsidRDefault="0095480A"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y</w:t>
            </w:r>
          </w:p>
        </w:tc>
        <w:tc>
          <w:tcPr>
            <w:tcW w:w="549" w:type="dxa"/>
            <w:shd w:val="clear" w:color="auto" w:fill="auto"/>
          </w:tcPr>
          <w:p w:rsidR="00055507" w:rsidRPr="005667CD"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5667CD"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5667CD" w:rsidTr="004C78EA">
        <w:trPr>
          <w:trHeight w:val="502"/>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5667CD" w:rsidRDefault="00055507" w:rsidP="00DF22D0">
            <w:pPr>
              <w:spacing w:line="280" w:lineRule="atLeast"/>
              <w:ind w:left="113" w:right="113"/>
              <w:jc w:val="right"/>
              <w:rPr>
                <w:rFonts w:cs="Arial"/>
                <w:b w:val="0"/>
                <w:i/>
                <w:sz w:val="16"/>
                <w:szCs w:val="16"/>
              </w:rPr>
            </w:pPr>
          </w:p>
        </w:tc>
        <w:tc>
          <w:tcPr>
            <w:tcW w:w="3151" w:type="dxa"/>
          </w:tcPr>
          <w:p w:rsidR="00055507" w:rsidRPr="005667CD" w:rsidRDefault="00055507" w:rsidP="0095134D">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 xml:space="preserve">Crear una interpretación común de las preguntas comunes de evaluación, elaborar criterios de valoración y vincularlos con indicadores comunes (y adicionales). Garantizar la coherencia al vincular los elementos de evaluación con la lógica de intervención del PDR. </w:t>
            </w:r>
          </w:p>
        </w:tc>
        <w:tc>
          <w:tcPr>
            <w:tcW w:w="1312" w:type="dxa"/>
          </w:tcPr>
          <w:p w:rsidR="00055507" w:rsidRPr="005667CD"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A principios del período de programación y antes de cada evaluación</w:t>
            </w:r>
          </w:p>
        </w:tc>
        <w:tc>
          <w:tcPr>
            <w:tcW w:w="622" w:type="dxa"/>
            <w:shd w:val="clear" w:color="auto" w:fill="95B89B" w:themeFill="accent4" w:themeFillTint="99"/>
          </w:tcPr>
          <w:p w:rsidR="00055507" w:rsidRPr="005667CD"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x</w:t>
            </w:r>
          </w:p>
        </w:tc>
        <w:tc>
          <w:tcPr>
            <w:tcW w:w="549" w:type="dxa"/>
            <w:shd w:val="clear" w:color="auto" w:fill="auto"/>
          </w:tcPr>
          <w:p w:rsidR="00055507" w:rsidRPr="005667CD"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5667CD"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5667CD"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x</w:t>
            </w:r>
          </w:p>
        </w:tc>
        <w:tc>
          <w:tcPr>
            <w:tcW w:w="593" w:type="dxa"/>
            <w:shd w:val="clear" w:color="auto" w:fill="D0DDCC" w:themeFill="accent6" w:themeFillTint="66"/>
          </w:tcPr>
          <w:p w:rsidR="00055507" w:rsidRPr="005667CD"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y</w:t>
            </w:r>
          </w:p>
        </w:tc>
        <w:tc>
          <w:tcPr>
            <w:tcW w:w="505" w:type="dxa"/>
            <w:shd w:val="clear" w:color="auto" w:fill="D0DDCC" w:themeFill="accent6" w:themeFillTint="66"/>
          </w:tcPr>
          <w:p w:rsidR="00055507" w:rsidRPr="005667CD" w:rsidRDefault="0095480A"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y</w:t>
            </w:r>
          </w:p>
        </w:tc>
        <w:tc>
          <w:tcPr>
            <w:tcW w:w="549" w:type="dxa"/>
            <w:shd w:val="clear" w:color="auto" w:fill="auto"/>
          </w:tcPr>
          <w:p w:rsidR="00055507" w:rsidRPr="005667CD"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5667CD"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5667CD" w:rsidTr="004C78EA">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5667CD" w:rsidRDefault="00055507" w:rsidP="00DF22D0">
            <w:pPr>
              <w:spacing w:line="280" w:lineRule="atLeast"/>
              <w:ind w:left="113" w:right="113"/>
              <w:jc w:val="right"/>
              <w:rPr>
                <w:rFonts w:cs="Arial"/>
                <w:b w:val="0"/>
                <w:i/>
                <w:sz w:val="16"/>
                <w:szCs w:val="16"/>
              </w:rPr>
            </w:pPr>
          </w:p>
        </w:tc>
        <w:tc>
          <w:tcPr>
            <w:tcW w:w="3151" w:type="dxa"/>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Elaborar preguntas de evaluación específicas del programa, en caso necesario. Dotarlas de criterios de valoración y de indicadores específicos del programa. Garantizar la coherencia al vincular los elementos de evaluación con la lógica de intervención del PDR.</w:t>
            </w:r>
          </w:p>
        </w:tc>
        <w:tc>
          <w:tcPr>
            <w:tcW w:w="1312" w:type="dxa"/>
          </w:tcPr>
          <w:p w:rsidR="00055507" w:rsidRPr="005667CD"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A principios del período de programación y antes de cada evaluación</w:t>
            </w:r>
          </w:p>
        </w:tc>
        <w:tc>
          <w:tcPr>
            <w:tcW w:w="622" w:type="dxa"/>
            <w:shd w:val="clear" w:color="auto" w:fill="95B89B" w:themeFill="accent4" w:themeFillTint="99"/>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x</w:t>
            </w:r>
          </w:p>
        </w:tc>
        <w:tc>
          <w:tcPr>
            <w:tcW w:w="549" w:type="dxa"/>
            <w:shd w:val="clear" w:color="auto" w:fill="auto"/>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x</w:t>
            </w:r>
          </w:p>
        </w:tc>
        <w:tc>
          <w:tcPr>
            <w:tcW w:w="593" w:type="dxa"/>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y</w:t>
            </w:r>
          </w:p>
        </w:tc>
        <w:tc>
          <w:tcPr>
            <w:tcW w:w="505" w:type="dxa"/>
          </w:tcPr>
          <w:p w:rsidR="00055507" w:rsidRPr="005667CD"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y</w:t>
            </w:r>
          </w:p>
        </w:tc>
        <w:tc>
          <w:tcPr>
            <w:tcW w:w="549" w:type="dxa"/>
            <w:shd w:val="clear" w:color="auto" w:fill="auto"/>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BA1544" w:rsidRPr="005667CD" w:rsidTr="004C78EA">
        <w:trPr>
          <w:trHeight w:val="1050"/>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tcBorders>
            <w:textDirection w:val="btLr"/>
          </w:tcPr>
          <w:p w:rsidR="00055507" w:rsidRPr="005667CD" w:rsidRDefault="00055507" w:rsidP="00DF22D0">
            <w:pPr>
              <w:spacing w:line="280" w:lineRule="atLeast"/>
              <w:ind w:left="113" w:right="113"/>
              <w:jc w:val="right"/>
              <w:rPr>
                <w:rFonts w:cs="Arial"/>
                <w:b w:val="0"/>
                <w:i/>
                <w:sz w:val="16"/>
                <w:szCs w:val="16"/>
              </w:rPr>
            </w:pPr>
          </w:p>
        </w:tc>
        <w:tc>
          <w:tcPr>
            <w:tcW w:w="3151" w:type="dxa"/>
            <w:tcBorders>
              <w:top w:val="single" w:sz="4" w:space="0" w:color="FFFFFF"/>
            </w:tcBorders>
          </w:tcPr>
          <w:p w:rsidR="00055507" w:rsidRPr="005667CD"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 xml:space="preserve">Filtrar los datos existentes para el cálculo de los indicadores comunes (y adicionales) con el fin de recoger las pruebas necesarias para responder a las PCE relacionadas con la Estrategia de la UE 2020. Identificar posibles carencias de datos en relación con los indicadores seleccionados. </w:t>
            </w:r>
          </w:p>
        </w:tc>
        <w:tc>
          <w:tcPr>
            <w:tcW w:w="1312" w:type="dxa"/>
            <w:tcBorders>
              <w:top w:val="single" w:sz="4" w:space="0" w:color="FFFFFF"/>
            </w:tcBorders>
          </w:tcPr>
          <w:p w:rsidR="00055507" w:rsidRPr="005667CD"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A principios del período de programación y antes de la evaluación</w:t>
            </w:r>
          </w:p>
        </w:tc>
        <w:tc>
          <w:tcPr>
            <w:tcW w:w="622" w:type="dxa"/>
            <w:tcBorders>
              <w:top w:val="single" w:sz="4" w:space="0" w:color="FFFFFF"/>
            </w:tcBorders>
            <w:shd w:val="clear" w:color="auto" w:fill="95B89B" w:themeFill="accent4" w:themeFillTint="99"/>
          </w:tcPr>
          <w:p w:rsidR="00055507" w:rsidRPr="005667CD"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x</w:t>
            </w:r>
          </w:p>
        </w:tc>
        <w:tc>
          <w:tcPr>
            <w:tcW w:w="549" w:type="dxa"/>
            <w:tcBorders>
              <w:top w:val="single" w:sz="4" w:space="0" w:color="FFFFFF"/>
            </w:tcBorders>
            <w:shd w:val="clear" w:color="auto" w:fill="D0DDCC" w:themeFill="accent6" w:themeFillTint="66"/>
          </w:tcPr>
          <w:p w:rsidR="00055507" w:rsidRPr="005667CD"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y</w:t>
            </w:r>
          </w:p>
        </w:tc>
        <w:tc>
          <w:tcPr>
            <w:tcW w:w="549" w:type="dxa"/>
            <w:tcBorders>
              <w:top w:val="single" w:sz="4" w:space="0" w:color="FFFFFF"/>
            </w:tcBorders>
            <w:shd w:val="clear" w:color="auto" w:fill="D0DDCC" w:themeFill="accent6" w:themeFillTint="66"/>
          </w:tcPr>
          <w:p w:rsidR="00055507" w:rsidRPr="005667CD"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y</w:t>
            </w:r>
          </w:p>
        </w:tc>
        <w:tc>
          <w:tcPr>
            <w:tcW w:w="550" w:type="dxa"/>
            <w:tcBorders>
              <w:top w:val="single" w:sz="4" w:space="0" w:color="FFFFFF"/>
            </w:tcBorders>
            <w:shd w:val="clear" w:color="auto" w:fill="95B89B" w:themeFill="accent4" w:themeFillTint="99"/>
          </w:tcPr>
          <w:p w:rsidR="00055507" w:rsidRPr="005667CD"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x</w:t>
            </w:r>
          </w:p>
        </w:tc>
        <w:tc>
          <w:tcPr>
            <w:tcW w:w="593" w:type="dxa"/>
            <w:tcBorders>
              <w:top w:val="single" w:sz="4" w:space="0" w:color="FFFFFF"/>
            </w:tcBorders>
            <w:shd w:val="clear" w:color="auto" w:fill="95B89B" w:themeFill="accent4" w:themeFillTint="99"/>
          </w:tcPr>
          <w:p w:rsidR="00055507" w:rsidRPr="005667CD"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x</w:t>
            </w:r>
          </w:p>
        </w:tc>
        <w:tc>
          <w:tcPr>
            <w:tcW w:w="505" w:type="dxa"/>
            <w:tcBorders>
              <w:top w:val="single" w:sz="4" w:space="0" w:color="FFFFFF"/>
            </w:tcBorders>
            <w:shd w:val="clear" w:color="auto" w:fill="D0DDCC" w:themeFill="accent6" w:themeFillTint="66"/>
          </w:tcPr>
          <w:p w:rsidR="00055507" w:rsidRPr="005667CD" w:rsidRDefault="0095480A"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y</w:t>
            </w:r>
          </w:p>
        </w:tc>
        <w:tc>
          <w:tcPr>
            <w:tcW w:w="549" w:type="dxa"/>
            <w:tcBorders>
              <w:top w:val="single" w:sz="4" w:space="0" w:color="FFFFFF"/>
            </w:tcBorders>
            <w:shd w:val="clear" w:color="auto" w:fill="auto"/>
          </w:tcPr>
          <w:p w:rsidR="00055507" w:rsidRPr="005667CD"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D0DDCC" w:themeFill="accent6" w:themeFillTint="66"/>
          </w:tcPr>
          <w:p w:rsidR="00055507" w:rsidRPr="005667CD"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y</w:t>
            </w:r>
          </w:p>
        </w:tc>
      </w:tr>
      <w:tr w:rsidR="00810ED5" w:rsidRPr="005667CD" w:rsidTr="004C78EA">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5667CD" w:rsidRDefault="00055507" w:rsidP="00DF22D0">
            <w:pPr>
              <w:spacing w:line="280" w:lineRule="atLeast"/>
              <w:ind w:left="113" w:right="113"/>
              <w:jc w:val="right"/>
              <w:rPr>
                <w:rFonts w:cs="Arial"/>
                <w:b w:val="0"/>
                <w:i/>
                <w:sz w:val="16"/>
                <w:szCs w:val="16"/>
              </w:rPr>
            </w:pPr>
          </w:p>
        </w:tc>
        <w:tc>
          <w:tcPr>
            <w:tcW w:w="3151" w:type="dxa"/>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 xml:space="preserve">Debatir los posibles enfoques de evaluación para valorar / calcular los indicadores de impacto en consonancia con los datos existentes. </w:t>
            </w:r>
          </w:p>
        </w:tc>
        <w:tc>
          <w:tcPr>
            <w:tcW w:w="1312" w:type="dxa"/>
          </w:tcPr>
          <w:p w:rsidR="00055507" w:rsidRPr="005667CD"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A principios del período de programación y antes de la evaluación</w:t>
            </w:r>
          </w:p>
        </w:tc>
        <w:tc>
          <w:tcPr>
            <w:tcW w:w="622" w:type="dxa"/>
            <w:shd w:val="clear" w:color="auto" w:fill="95B89B" w:themeFill="accent4" w:themeFillTint="99"/>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x</w:t>
            </w:r>
          </w:p>
        </w:tc>
        <w:tc>
          <w:tcPr>
            <w:tcW w:w="549" w:type="dxa"/>
            <w:shd w:val="clear" w:color="auto" w:fill="auto"/>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x</w:t>
            </w:r>
          </w:p>
        </w:tc>
        <w:tc>
          <w:tcPr>
            <w:tcW w:w="593" w:type="dxa"/>
            <w:shd w:val="clear" w:color="auto" w:fill="95B89B" w:themeFill="accent4" w:themeFillTint="99"/>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x</w:t>
            </w:r>
          </w:p>
        </w:tc>
        <w:tc>
          <w:tcPr>
            <w:tcW w:w="505" w:type="dxa"/>
          </w:tcPr>
          <w:p w:rsidR="00055507" w:rsidRPr="005667CD"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y</w:t>
            </w:r>
          </w:p>
        </w:tc>
        <w:tc>
          <w:tcPr>
            <w:tcW w:w="549" w:type="dxa"/>
            <w:shd w:val="clear" w:color="auto" w:fill="auto"/>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5667CD" w:rsidTr="004C78EA">
        <w:trPr>
          <w:trHeight w:val="24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5667CD" w:rsidRDefault="00055507" w:rsidP="00DF22D0">
            <w:pPr>
              <w:spacing w:line="280" w:lineRule="atLeast"/>
              <w:ind w:left="113" w:right="113"/>
              <w:jc w:val="right"/>
              <w:rPr>
                <w:rFonts w:cs="Arial"/>
                <w:b w:val="0"/>
                <w:i/>
                <w:sz w:val="16"/>
                <w:szCs w:val="16"/>
              </w:rPr>
            </w:pPr>
          </w:p>
        </w:tc>
        <w:tc>
          <w:tcPr>
            <w:tcW w:w="3151" w:type="dxa"/>
          </w:tcPr>
          <w:p w:rsidR="00055507" w:rsidRPr="005667CD"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 xml:space="preserve">Redactar el pliego de condiciones y licitar la evaluación (como evaluación continua o contratos de evaluación única para 2017 y 2019). </w:t>
            </w:r>
          </w:p>
        </w:tc>
        <w:tc>
          <w:tcPr>
            <w:tcW w:w="1312" w:type="dxa"/>
          </w:tcPr>
          <w:p w:rsidR="00055507" w:rsidRPr="005667CD"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A principios del período de programación, o 2016 y 2018</w:t>
            </w:r>
          </w:p>
        </w:tc>
        <w:tc>
          <w:tcPr>
            <w:tcW w:w="622" w:type="dxa"/>
            <w:shd w:val="clear" w:color="auto" w:fill="95B89B" w:themeFill="accent4" w:themeFillTint="99"/>
          </w:tcPr>
          <w:p w:rsidR="00055507" w:rsidRPr="005667CD"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x</w:t>
            </w:r>
          </w:p>
        </w:tc>
        <w:tc>
          <w:tcPr>
            <w:tcW w:w="549" w:type="dxa"/>
            <w:shd w:val="clear" w:color="auto" w:fill="auto"/>
          </w:tcPr>
          <w:p w:rsidR="00055507" w:rsidRPr="005667CD"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5667CD"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5667CD"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y</w:t>
            </w:r>
          </w:p>
        </w:tc>
        <w:tc>
          <w:tcPr>
            <w:tcW w:w="593" w:type="dxa"/>
            <w:shd w:val="clear" w:color="auto" w:fill="D0DDCC" w:themeFill="accent6" w:themeFillTint="66"/>
          </w:tcPr>
          <w:p w:rsidR="00055507" w:rsidRPr="005667CD"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y</w:t>
            </w:r>
          </w:p>
        </w:tc>
        <w:tc>
          <w:tcPr>
            <w:tcW w:w="505" w:type="dxa"/>
            <w:shd w:val="clear" w:color="auto" w:fill="auto"/>
          </w:tcPr>
          <w:p w:rsidR="00055507" w:rsidRPr="005667CD"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5667CD"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5667CD"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BA1544" w:rsidRPr="005667CD" w:rsidTr="004C78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5667CD" w:rsidRDefault="00055507" w:rsidP="00156043">
            <w:pPr>
              <w:spacing w:line="280" w:lineRule="atLeast"/>
              <w:ind w:left="113" w:right="113"/>
              <w:jc w:val="center"/>
              <w:rPr>
                <w:rFonts w:cs="Arial"/>
                <w:b w:val="0"/>
                <w:i/>
                <w:sz w:val="16"/>
                <w:szCs w:val="16"/>
              </w:rPr>
            </w:pPr>
            <w:r w:rsidRPr="005667CD">
              <w:rPr>
                <w:i/>
                <w:sz w:val="16"/>
              </w:rPr>
              <w:t>Estructuración</w:t>
            </w:r>
          </w:p>
        </w:tc>
        <w:tc>
          <w:tcPr>
            <w:tcW w:w="3151" w:type="dxa"/>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 xml:space="preserve">Debatir con los evaluadores las fuentes de datos y las carencias de datos existentes. Llegar a un acuerdo sobre cómo subsanar las carencias de datos. </w:t>
            </w:r>
          </w:p>
        </w:tc>
        <w:tc>
          <w:tcPr>
            <w:tcW w:w="1312" w:type="dxa"/>
          </w:tcPr>
          <w:p w:rsidR="00055507" w:rsidRPr="005667CD"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2016 y 2.º - 3.</w:t>
            </w:r>
            <w:r w:rsidRPr="005667CD">
              <w:rPr>
                <w:color w:val="373737"/>
                <w:sz w:val="16"/>
                <w:vertAlign w:val="superscript"/>
              </w:rPr>
              <w:t>er</w:t>
            </w:r>
            <w:r w:rsidRPr="005667CD">
              <w:rPr>
                <w:color w:val="373737"/>
                <w:sz w:val="16"/>
              </w:rPr>
              <w:t xml:space="preserve"> trimestres de 2018</w:t>
            </w:r>
          </w:p>
        </w:tc>
        <w:tc>
          <w:tcPr>
            <w:tcW w:w="622" w:type="dxa"/>
            <w:shd w:val="clear" w:color="auto" w:fill="95B89B" w:themeFill="accent4" w:themeFillTint="99"/>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x</w:t>
            </w:r>
          </w:p>
        </w:tc>
        <w:tc>
          <w:tcPr>
            <w:tcW w:w="549" w:type="dxa"/>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y</w:t>
            </w:r>
          </w:p>
        </w:tc>
        <w:tc>
          <w:tcPr>
            <w:tcW w:w="549" w:type="dxa"/>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y</w:t>
            </w:r>
          </w:p>
        </w:tc>
        <w:tc>
          <w:tcPr>
            <w:tcW w:w="550" w:type="dxa"/>
            <w:shd w:val="clear" w:color="auto" w:fill="95B89B" w:themeFill="accent4" w:themeFillTint="99"/>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x</w:t>
            </w:r>
          </w:p>
        </w:tc>
        <w:tc>
          <w:tcPr>
            <w:tcW w:w="593" w:type="dxa"/>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y</w:t>
            </w:r>
          </w:p>
        </w:tc>
        <w:tc>
          <w:tcPr>
            <w:tcW w:w="505" w:type="dxa"/>
            <w:shd w:val="clear" w:color="auto" w:fill="95B89B" w:themeFill="accent4" w:themeFillTint="99"/>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x</w:t>
            </w:r>
          </w:p>
        </w:tc>
        <w:tc>
          <w:tcPr>
            <w:tcW w:w="549" w:type="dxa"/>
            <w:shd w:val="clear" w:color="auto" w:fill="auto"/>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y</w:t>
            </w:r>
          </w:p>
        </w:tc>
      </w:tr>
      <w:tr w:rsidR="00810ED5" w:rsidRPr="005667CD" w:rsidTr="004C78EA">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5667CD" w:rsidRDefault="00055507" w:rsidP="00DF22D0">
            <w:pPr>
              <w:spacing w:line="280" w:lineRule="atLeast"/>
              <w:ind w:left="113" w:right="113"/>
              <w:jc w:val="right"/>
              <w:rPr>
                <w:rFonts w:cs="Arial"/>
                <w:b w:val="0"/>
                <w:i/>
                <w:sz w:val="16"/>
                <w:szCs w:val="16"/>
              </w:rPr>
            </w:pPr>
          </w:p>
        </w:tc>
        <w:tc>
          <w:tcPr>
            <w:tcW w:w="3151" w:type="dxa"/>
          </w:tcPr>
          <w:p w:rsidR="00055507" w:rsidRPr="005667CD"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 xml:space="preserve">Debatir con los evaluadores los enfoques metodológicos para la valoración de los impactos del PDR y para la compensación de los indicadores comunes (y adicionales) de impacto. </w:t>
            </w:r>
          </w:p>
        </w:tc>
        <w:tc>
          <w:tcPr>
            <w:tcW w:w="1312" w:type="dxa"/>
          </w:tcPr>
          <w:p w:rsidR="00055507" w:rsidRPr="005667CD"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2016 y 2.º - 3.</w:t>
            </w:r>
            <w:r w:rsidRPr="005667CD">
              <w:rPr>
                <w:color w:val="373737"/>
                <w:sz w:val="16"/>
                <w:vertAlign w:val="superscript"/>
              </w:rPr>
              <w:t>er</w:t>
            </w:r>
            <w:r w:rsidRPr="005667CD">
              <w:rPr>
                <w:color w:val="373737"/>
                <w:sz w:val="16"/>
              </w:rPr>
              <w:t xml:space="preserve"> trimestres de 2018</w:t>
            </w:r>
          </w:p>
        </w:tc>
        <w:tc>
          <w:tcPr>
            <w:tcW w:w="622" w:type="dxa"/>
            <w:shd w:val="clear" w:color="auto" w:fill="95B89B" w:themeFill="accent4" w:themeFillTint="99"/>
          </w:tcPr>
          <w:p w:rsidR="00055507" w:rsidRPr="005667CD"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x</w:t>
            </w:r>
          </w:p>
        </w:tc>
        <w:tc>
          <w:tcPr>
            <w:tcW w:w="549" w:type="dxa"/>
            <w:shd w:val="clear" w:color="auto" w:fill="auto"/>
          </w:tcPr>
          <w:p w:rsidR="00055507" w:rsidRPr="005667CD"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5667CD"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5667CD"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x</w:t>
            </w:r>
          </w:p>
        </w:tc>
        <w:tc>
          <w:tcPr>
            <w:tcW w:w="593" w:type="dxa"/>
            <w:shd w:val="clear" w:color="auto" w:fill="auto"/>
          </w:tcPr>
          <w:p w:rsidR="00055507" w:rsidRPr="005667CD"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5667CD"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x</w:t>
            </w:r>
          </w:p>
        </w:tc>
        <w:tc>
          <w:tcPr>
            <w:tcW w:w="549" w:type="dxa"/>
            <w:shd w:val="clear" w:color="auto" w:fill="auto"/>
          </w:tcPr>
          <w:p w:rsidR="00055507" w:rsidRPr="005667CD"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5667CD"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5667CD" w:rsidTr="004C78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5667CD" w:rsidRDefault="00055507" w:rsidP="00156043">
            <w:pPr>
              <w:spacing w:line="280" w:lineRule="atLeast"/>
              <w:ind w:left="113" w:right="113"/>
              <w:jc w:val="center"/>
              <w:rPr>
                <w:rFonts w:cs="Arial"/>
                <w:b w:val="0"/>
                <w:i/>
                <w:sz w:val="16"/>
                <w:szCs w:val="16"/>
              </w:rPr>
            </w:pPr>
            <w:r w:rsidRPr="005667CD">
              <w:rPr>
                <w:i/>
                <w:sz w:val="16"/>
              </w:rPr>
              <w:t>Observación</w:t>
            </w:r>
          </w:p>
        </w:tc>
        <w:tc>
          <w:tcPr>
            <w:tcW w:w="3151" w:type="dxa"/>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 xml:space="preserve">Recoger datos e información sobre los beneficiarios vinculados a los indicadores de impacto comunes (y adicionales) y en consonancia con los métodos propuestos. </w:t>
            </w:r>
          </w:p>
        </w:tc>
        <w:tc>
          <w:tcPr>
            <w:tcW w:w="1312" w:type="dxa"/>
          </w:tcPr>
          <w:p w:rsidR="00055507" w:rsidRPr="005667CD"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Desde el inicio del PDR hasta que concluya 2018</w:t>
            </w:r>
          </w:p>
        </w:tc>
        <w:tc>
          <w:tcPr>
            <w:tcW w:w="622" w:type="dxa"/>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y</w:t>
            </w:r>
          </w:p>
        </w:tc>
        <w:tc>
          <w:tcPr>
            <w:tcW w:w="549" w:type="dxa"/>
            <w:shd w:val="clear" w:color="auto" w:fill="95B89B" w:themeFill="accent4" w:themeFillTint="99"/>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x</w:t>
            </w:r>
          </w:p>
        </w:tc>
        <w:tc>
          <w:tcPr>
            <w:tcW w:w="549" w:type="dxa"/>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y</w:t>
            </w:r>
          </w:p>
        </w:tc>
        <w:tc>
          <w:tcPr>
            <w:tcW w:w="550" w:type="dxa"/>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y</w:t>
            </w:r>
          </w:p>
        </w:tc>
        <w:tc>
          <w:tcPr>
            <w:tcW w:w="593" w:type="dxa"/>
            <w:shd w:val="clear" w:color="auto" w:fill="auto"/>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x</w:t>
            </w:r>
          </w:p>
        </w:tc>
        <w:tc>
          <w:tcPr>
            <w:tcW w:w="549" w:type="dxa"/>
            <w:shd w:val="clear" w:color="auto" w:fill="auto"/>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5667CD"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y</w:t>
            </w:r>
          </w:p>
        </w:tc>
      </w:tr>
      <w:tr w:rsidR="00810ED5" w:rsidRPr="005667CD" w:rsidTr="004C78EA">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5667CD" w:rsidRDefault="00055507" w:rsidP="00DF22D0">
            <w:pPr>
              <w:spacing w:line="280" w:lineRule="atLeast"/>
              <w:ind w:left="113" w:right="113"/>
              <w:jc w:val="right"/>
              <w:rPr>
                <w:rFonts w:cs="Arial"/>
                <w:b w:val="0"/>
                <w:i/>
                <w:sz w:val="16"/>
                <w:szCs w:val="16"/>
              </w:rPr>
            </w:pPr>
          </w:p>
        </w:tc>
        <w:tc>
          <w:tcPr>
            <w:tcW w:w="3151" w:type="dxa"/>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 xml:space="preserve">Recoger datos e información sobre los no beneficiarios vinculados a los indicadores de impacto comunes (y adicionales) y en consonancia con los métodos propuestos. </w:t>
            </w:r>
          </w:p>
        </w:tc>
        <w:tc>
          <w:tcPr>
            <w:tcW w:w="1312" w:type="dxa"/>
          </w:tcPr>
          <w:p w:rsidR="00055507" w:rsidRPr="005667CD"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Desde el inicio del PDR hasta que concluya 2018</w:t>
            </w:r>
          </w:p>
        </w:tc>
        <w:tc>
          <w:tcPr>
            <w:tcW w:w="622" w:type="dxa"/>
            <w:shd w:val="clear" w:color="auto" w:fill="95B89B" w:themeFill="accent4" w:themeFillTint="99"/>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x</w:t>
            </w:r>
          </w:p>
        </w:tc>
        <w:tc>
          <w:tcPr>
            <w:tcW w:w="549" w:type="dxa"/>
            <w:shd w:val="clear" w:color="auto" w:fill="auto"/>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D0DDCC" w:themeFill="accent6" w:themeFillTint="66"/>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y</w:t>
            </w:r>
          </w:p>
        </w:tc>
        <w:tc>
          <w:tcPr>
            <w:tcW w:w="550" w:type="dxa"/>
            <w:shd w:val="clear" w:color="auto" w:fill="D0DDCC" w:themeFill="accent6" w:themeFillTint="66"/>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y</w:t>
            </w:r>
          </w:p>
        </w:tc>
        <w:tc>
          <w:tcPr>
            <w:tcW w:w="593" w:type="dxa"/>
            <w:shd w:val="clear" w:color="auto" w:fill="auto"/>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x</w:t>
            </w:r>
          </w:p>
        </w:tc>
        <w:tc>
          <w:tcPr>
            <w:tcW w:w="549" w:type="dxa"/>
            <w:shd w:val="clear" w:color="auto" w:fill="auto"/>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y</w:t>
            </w:r>
          </w:p>
        </w:tc>
      </w:tr>
      <w:tr w:rsidR="00810ED5" w:rsidRPr="005667CD" w:rsidTr="004C78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5667CD" w:rsidRDefault="00055507" w:rsidP="00DF22D0">
            <w:pPr>
              <w:spacing w:line="280" w:lineRule="atLeast"/>
              <w:ind w:left="113" w:right="113"/>
              <w:jc w:val="right"/>
              <w:rPr>
                <w:rFonts w:cs="Arial"/>
                <w:b w:val="0"/>
                <w:i/>
                <w:sz w:val="16"/>
                <w:szCs w:val="16"/>
              </w:rPr>
            </w:pPr>
          </w:p>
        </w:tc>
        <w:tc>
          <w:tcPr>
            <w:tcW w:w="3151" w:type="dxa"/>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 xml:space="preserve">Garantizar la calidad de los datos recogidos tanto de la base de datos de operaciones como de otras fuentes (por ejemplo, RICA, oficina estadística, seguimiento medioambiental, etc.). </w:t>
            </w:r>
          </w:p>
        </w:tc>
        <w:tc>
          <w:tcPr>
            <w:tcW w:w="1312" w:type="dxa"/>
          </w:tcPr>
          <w:p w:rsidR="00055507" w:rsidRPr="005667CD" w:rsidRDefault="00AF5B55" w:rsidP="00810ED5">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De forma continua</w:t>
            </w:r>
          </w:p>
        </w:tc>
        <w:tc>
          <w:tcPr>
            <w:tcW w:w="622" w:type="dxa"/>
            <w:shd w:val="clear" w:color="auto" w:fill="95B89B" w:themeFill="accent4" w:themeFillTint="99"/>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x</w:t>
            </w:r>
          </w:p>
        </w:tc>
        <w:tc>
          <w:tcPr>
            <w:tcW w:w="549" w:type="dxa"/>
            <w:shd w:val="clear" w:color="auto" w:fill="95B89B" w:themeFill="accent4" w:themeFillTint="99"/>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x</w:t>
            </w:r>
          </w:p>
        </w:tc>
        <w:tc>
          <w:tcPr>
            <w:tcW w:w="549" w:type="dxa"/>
            <w:shd w:val="clear" w:color="auto" w:fill="95B89B" w:themeFill="accent4" w:themeFillTint="99"/>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x</w:t>
            </w:r>
          </w:p>
        </w:tc>
        <w:tc>
          <w:tcPr>
            <w:tcW w:w="550" w:type="dxa"/>
            <w:shd w:val="clear" w:color="auto" w:fill="95B89B" w:themeFill="accent4" w:themeFillTint="99"/>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x</w:t>
            </w:r>
          </w:p>
        </w:tc>
        <w:tc>
          <w:tcPr>
            <w:tcW w:w="593" w:type="dxa"/>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y</w:t>
            </w:r>
          </w:p>
        </w:tc>
        <w:tc>
          <w:tcPr>
            <w:tcW w:w="505" w:type="dxa"/>
            <w:shd w:val="clear" w:color="auto" w:fill="95B89B" w:themeFill="accent4" w:themeFillTint="99"/>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x</w:t>
            </w:r>
          </w:p>
        </w:tc>
        <w:tc>
          <w:tcPr>
            <w:tcW w:w="549" w:type="dxa"/>
            <w:shd w:val="clear" w:color="auto" w:fill="auto"/>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5667CD" w:rsidTr="004C78EA">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5667CD" w:rsidRDefault="00055507" w:rsidP="00DF22D0">
            <w:pPr>
              <w:spacing w:line="280" w:lineRule="atLeast"/>
              <w:ind w:left="113" w:right="113"/>
              <w:jc w:val="right"/>
              <w:rPr>
                <w:rFonts w:cs="Arial"/>
                <w:b w:val="0"/>
                <w:i/>
                <w:sz w:val="16"/>
                <w:szCs w:val="16"/>
              </w:rPr>
            </w:pPr>
            <w:r w:rsidRPr="005667CD">
              <w:rPr>
                <w:i/>
                <w:sz w:val="16"/>
              </w:rPr>
              <w:t>Análisis</w:t>
            </w:r>
          </w:p>
        </w:tc>
        <w:tc>
          <w:tcPr>
            <w:tcW w:w="3151" w:type="dxa"/>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 xml:space="preserve">Llevar a cabo la evaluación y compensar los indicadores de impacto en consonancia con el enfoque de evaluación propuesto y los métodos de evaluación seleccionados. </w:t>
            </w:r>
          </w:p>
        </w:tc>
        <w:tc>
          <w:tcPr>
            <w:tcW w:w="1312" w:type="dxa"/>
          </w:tcPr>
          <w:p w:rsidR="00055507" w:rsidRPr="005667CD" w:rsidRDefault="0095480A" w:rsidP="0095480A">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1.</w:t>
            </w:r>
            <w:r w:rsidRPr="005667CD">
              <w:rPr>
                <w:color w:val="373737"/>
                <w:sz w:val="16"/>
                <w:vertAlign w:val="superscript"/>
              </w:rPr>
              <w:t>er</w:t>
            </w:r>
            <w:r w:rsidRPr="005667CD">
              <w:rPr>
                <w:color w:val="373737"/>
                <w:sz w:val="16"/>
              </w:rPr>
              <w:t xml:space="preserve"> trimestre de 2019</w:t>
            </w:r>
          </w:p>
        </w:tc>
        <w:tc>
          <w:tcPr>
            <w:tcW w:w="622" w:type="dxa"/>
            <w:shd w:val="clear" w:color="auto" w:fill="auto"/>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y</w:t>
            </w:r>
          </w:p>
        </w:tc>
        <w:tc>
          <w:tcPr>
            <w:tcW w:w="593" w:type="dxa"/>
            <w:shd w:val="clear" w:color="auto" w:fill="auto"/>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x</w:t>
            </w:r>
          </w:p>
        </w:tc>
        <w:tc>
          <w:tcPr>
            <w:tcW w:w="549" w:type="dxa"/>
            <w:shd w:val="clear" w:color="auto" w:fill="auto"/>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5667CD" w:rsidTr="004C78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5667CD" w:rsidRDefault="00055507" w:rsidP="00DF22D0">
            <w:pPr>
              <w:spacing w:line="280" w:lineRule="atLeast"/>
              <w:ind w:left="113" w:right="113"/>
              <w:jc w:val="right"/>
              <w:rPr>
                <w:rFonts w:cs="Arial"/>
                <w:b w:val="0"/>
                <w:i/>
                <w:sz w:val="16"/>
                <w:szCs w:val="16"/>
              </w:rPr>
            </w:pPr>
          </w:p>
        </w:tc>
        <w:tc>
          <w:tcPr>
            <w:tcW w:w="3151" w:type="dxa"/>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 xml:space="preserve">Garantizar la calidad del análisis. </w:t>
            </w:r>
          </w:p>
        </w:tc>
        <w:tc>
          <w:tcPr>
            <w:tcW w:w="1312" w:type="dxa"/>
          </w:tcPr>
          <w:p w:rsidR="00055507" w:rsidRPr="005667CD"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1.</w:t>
            </w:r>
            <w:r w:rsidRPr="005667CD">
              <w:rPr>
                <w:color w:val="373737"/>
                <w:sz w:val="16"/>
                <w:vertAlign w:val="superscript"/>
              </w:rPr>
              <w:t>er</w:t>
            </w:r>
            <w:r w:rsidRPr="005667CD">
              <w:rPr>
                <w:color w:val="373737"/>
                <w:sz w:val="16"/>
              </w:rPr>
              <w:t xml:space="preserve"> trimestre de 2019</w:t>
            </w:r>
          </w:p>
        </w:tc>
        <w:tc>
          <w:tcPr>
            <w:tcW w:w="622" w:type="dxa"/>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y</w:t>
            </w:r>
          </w:p>
        </w:tc>
        <w:tc>
          <w:tcPr>
            <w:tcW w:w="549" w:type="dxa"/>
            <w:shd w:val="clear" w:color="auto" w:fill="auto"/>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x</w:t>
            </w:r>
          </w:p>
        </w:tc>
        <w:tc>
          <w:tcPr>
            <w:tcW w:w="593" w:type="dxa"/>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y</w:t>
            </w:r>
          </w:p>
        </w:tc>
        <w:tc>
          <w:tcPr>
            <w:tcW w:w="505" w:type="dxa"/>
            <w:shd w:val="clear" w:color="auto" w:fill="95B89B" w:themeFill="accent4" w:themeFillTint="99"/>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x</w:t>
            </w:r>
          </w:p>
        </w:tc>
        <w:tc>
          <w:tcPr>
            <w:tcW w:w="549" w:type="dxa"/>
            <w:shd w:val="clear" w:color="auto" w:fill="auto"/>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5667CD" w:rsidTr="004C78EA">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5667CD" w:rsidRDefault="00055507" w:rsidP="00156043">
            <w:pPr>
              <w:spacing w:line="280" w:lineRule="atLeast"/>
              <w:ind w:left="113" w:right="113"/>
              <w:jc w:val="center"/>
              <w:rPr>
                <w:rFonts w:cs="Arial"/>
                <w:b w:val="0"/>
                <w:i/>
                <w:sz w:val="16"/>
                <w:szCs w:val="16"/>
              </w:rPr>
            </w:pPr>
            <w:r w:rsidRPr="005667CD">
              <w:rPr>
                <w:i/>
                <w:sz w:val="16"/>
              </w:rPr>
              <w:t>Valoración</w:t>
            </w:r>
          </w:p>
        </w:tc>
        <w:tc>
          <w:tcPr>
            <w:tcW w:w="3151" w:type="dxa"/>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 xml:space="preserve">Interpretar las conclusiones de la evaluación a partir del análisis, elaborar valoraciones sobre la base de los criterios de valoración y responder a las preguntas de evaluación. </w:t>
            </w:r>
          </w:p>
        </w:tc>
        <w:tc>
          <w:tcPr>
            <w:tcW w:w="1312" w:type="dxa"/>
          </w:tcPr>
          <w:p w:rsidR="00055507" w:rsidRPr="005667CD"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1.</w:t>
            </w:r>
            <w:r w:rsidRPr="005667CD">
              <w:rPr>
                <w:color w:val="373737"/>
                <w:sz w:val="16"/>
                <w:vertAlign w:val="superscript"/>
              </w:rPr>
              <w:t>er</w:t>
            </w:r>
            <w:r w:rsidRPr="005667CD">
              <w:rPr>
                <w:color w:val="373737"/>
                <w:sz w:val="16"/>
              </w:rPr>
              <w:t xml:space="preserve"> trimestre de 2019</w:t>
            </w:r>
          </w:p>
        </w:tc>
        <w:tc>
          <w:tcPr>
            <w:tcW w:w="622" w:type="dxa"/>
            <w:shd w:val="clear" w:color="auto" w:fill="auto"/>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y</w:t>
            </w:r>
          </w:p>
        </w:tc>
        <w:tc>
          <w:tcPr>
            <w:tcW w:w="593" w:type="dxa"/>
            <w:shd w:val="clear" w:color="auto" w:fill="auto"/>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x</w:t>
            </w:r>
          </w:p>
        </w:tc>
        <w:tc>
          <w:tcPr>
            <w:tcW w:w="549" w:type="dxa"/>
            <w:shd w:val="clear" w:color="auto" w:fill="auto"/>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5667CD" w:rsidTr="004C78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5667CD" w:rsidRDefault="00055507" w:rsidP="00DF22D0">
            <w:pPr>
              <w:spacing w:line="280" w:lineRule="atLeast"/>
              <w:ind w:left="113" w:right="113"/>
              <w:jc w:val="right"/>
              <w:rPr>
                <w:rFonts w:cs="Arial"/>
                <w:b w:val="0"/>
                <w:i/>
                <w:sz w:val="16"/>
                <w:szCs w:val="16"/>
              </w:rPr>
            </w:pPr>
          </w:p>
        </w:tc>
        <w:tc>
          <w:tcPr>
            <w:tcW w:w="3151" w:type="dxa"/>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Elaborar conclusiones vinculadas a las valoraciones y formular recomendaciones, en caso necesario.</w:t>
            </w:r>
          </w:p>
        </w:tc>
        <w:tc>
          <w:tcPr>
            <w:tcW w:w="1312" w:type="dxa"/>
          </w:tcPr>
          <w:p w:rsidR="00055507" w:rsidRPr="005667CD"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1.</w:t>
            </w:r>
            <w:r w:rsidRPr="005667CD">
              <w:rPr>
                <w:color w:val="373737"/>
                <w:sz w:val="16"/>
                <w:vertAlign w:val="superscript"/>
              </w:rPr>
              <w:t>er</w:t>
            </w:r>
            <w:r w:rsidRPr="005667CD">
              <w:rPr>
                <w:color w:val="373737"/>
                <w:sz w:val="16"/>
              </w:rPr>
              <w:t xml:space="preserve"> y 2.º trimestres de 2019</w:t>
            </w:r>
          </w:p>
        </w:tc>
        <w:tc>
          <w:tcPr>
            <w:tcW w:w="622" w:type="dxa"/>
            <w:shd w:val="clear" w:color="auto" w:fill="auto"/>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y</w:t>
            </w:r>
          </w:p>
        </w:tc>
        <w:tc>
          <w:tcPr>
            <w:tcW w:w="593" w:type="dxa"/>
            <w:shd w:val="clear" w:color="auto" w:fill="auto"/>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x</w:t>
            </w:r>
          </w:p>
        </w:tc>
        <w:tc>
          <w:tcPr>
            <w:tcW w:w="549" w:type="dxa"/>
            <w:shd w:val="clear" w:color="auto" w:fill="auto"/>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5667CD" w:rsidTr="004C78EA">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5667CD" w:rsidRDefault="00055507" w:rsidP="00DF22D0">
            <w:pPr>
              <w:spacing w:line="280" w:lineRule="atLeast"/>
              <w:ind w:left="113" w:right="113"/>
              <w:jc w:val="right"/>
              <w:rPr>
                <w:rFonts w:cs="Arial"/>
                <w:b w:val="0"/>
                <w:i/>
                <w:sz w:val="16"/>
                <w:szCs w:val="16"/>
              </w:rPr>
            </w:pPr>
          </w:p>
        </w:tc>
        <w:tc>
          <w:tcPr>
            <w:tcW w:w="3151" w:type="dxa"/>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 xml:space="preserve">Garantizar la calidad de las valoraciones. </w:t>
            </w:r>
          </w:p>
        </w:tc>
        <w:tc>
          <w:tcPr>
            <w:tcW w:w="1312" w:type="dxa"/>
          </w:tcPr>
          <w:p w:rsidR="00055507" w:rsidRPr="005667CD"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1.</w:t>
            </w:r>
            <w:r w:rsidRPr="005667CD">
              <w:rPr>
                <w:color w:val="373737"/>
                <w:sz w:val="16"/>
                <w:vertAlign w:val="superscript"/>
              </w:rPr>
              <w:t>er</w:t>
            </w:r>
            <w:r w:rsidRPr="005667CD">
              <w:rPr>
                <w:color w:val="373737"/>
                <w:sz w:val="16"/>
              </w:rPr>
              <w:t xml:space="preserve"> y 2.º </w:t>
            </w:r>
            <w:r w:rsidRPr="005667CD">
              <w:rPr>
                <w:color w:val="373737"/>
                <w:sz w:val="16"/>
              </w:rPr>
              <w:lastRenderedPageBreak/>
              <w:t>trimestres de 2019</w:t>
            </w:r>
          </w:p>
        </w:tc>
        <w:tc>
          <w:tcPr>
            <w:tcW w:w="622" w:type="dxa"/>
            <w:shd w:val="clear" w:color="auto" w:fill="D0DDCC" w:themeFill="accent6" w:themeFillTint="66"/>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lastRenderedPageBreak/>
              <w:t>y</w:t>
            </w:r>
          </w:p>
        </w:tc>
        <w:tc>
          <w:tcPr>
            <w:tcW w:w="549" w:type="dxa"/>
            <w:shd w:val="clear" w:color="auto" w:fill="auto"/>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x</w:t>
            </w:r>
          </w:p>
        </w:tc>
        <w:tc>
          <w:tcPr>
            <w:tcW w:w="593" w:type="dxa"/>
            <w:shd w:val="clear" w:color="auto" w:fill="D0DDCC" w:themeFill="accent6" w:themeFillTint="66"/>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y</w:t>
            </w:r>
          </w:p>
        </w:tc>
        <w:tc>
          <w:tcPr>
            <w:tcW w:w="505" w:type="dxa"/>
            <w:shd w:val="clear" w:color="auto" w:fill="95B89B" w:themeFill="accent4" w:themeFillTint="99"/>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x</w:t>
            </w:r>
          </w:p>
        </w:tc>
        <w:tc>
          <w:tcPr>
            <w:tcW w:w="549" w:type="dxa"/>
            <w:shd w:val="clear" w:color="auto" w:fill="auto"/>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5667CD" w:rsidTr="004C78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5667CD" w:rsidRDefault="00055507" w:rsidP="00156043">
            <w:pPr>
              <w:spacing w:line="280" w:lineRule="atLeast"/>
              <w:ind w:left="113" w:right="113"/>
              <w:jc w:val="center"/>
              <w:rPr>
                <w:rFonts w:cs="Arial"/>
                <w:b w:val="0"/>
                <w:i/>
                <w:sz w:val="16"/>
                <w:szCs w:val="16"/>
              </w:rPr>
            </w:pPr>
            <w:r w:rsidRPr="005667CD">
              <w:rPr>
                <w:i/>
                <w:sz w:val="16"/>
              </w:rPr>
              <w:t>Elaboración de informes</w:t>
            </w:r>
          </w:p>
        </w:tc>
        <w:tc>
          <w:tcPr>
            <w:tcW w:w="3151" w:type="dxa"/>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Redactar el informe de evaluación.</w:t>
            </w:r>
          </w:p>
        </w:tc>
        <w:tc>
          <w:tcPr>
            <w:tcW w:w="1312" w:type="dxa"/>
          </w:tcPr>
          <w:p w:rsidR="00055507" w:rsidRPr="005667CD"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2.º trimestre de 2019</w:t>
            </w:r>
          </w:p>
        </w:tc>
        <w:tc>
          <w:tcPr>
            <w:tcW w:w="622" w:type="dxa"/>
            <w:shd w:val="clear" w:color="auto" w:fill="95B89B" w:themeFill="accent4" w:themeFillTint="99"/>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x</w:t>
            </w:r>
          </w:p>
        </w:tc>
        <w:tc>
          <w:tcPr>
            <w:tcW w:w="549" w:type="dxa"/>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y</w:t>
            </w:r>
          </w:p>
        </w:tc>
        <w:tc>
          <w:tcPr>
            <w:tcW w:w="549" w:type="dxa"/>
            <w:shd w:val="clear" w:color="auto" w:fill="auto"/>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x</w:t>
            </w:r>
          </w:p>
        </w:tc>
        <w:tc>
          <w:tcPr>
            <w:tcW w:w="593" w:type="dxa"/>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y</w:t>
            </w:r>
          </w:p>
        </w:tc>
        <w:tc>
          <w:tcPr>
            <w:tcW w:w="505" w:type="dxa"/>
            <w:shd w:val="clear" w:color="auto" w:fill="95B89B" w:themeFill="accent4" w:themeFillTint="99"/>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x</w:t>
            </w:r>
          </w:p>
        </w:tc>
        <w:tc>
          <w:tcPr>
            <w:tcW w:w="549" w:type="dxa"/>
            <w:shd w:val="clear" w:color="auto" w:fill="auto"/>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5667CD" w:rsidTr="004C78EA">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5667CD" w:rsidRDefault="00055507" w:rsidP="00DF22D0">
            <w:pPr>
              <w:spacing w:line="280" w:lineRule="atLeast"/>
              <w:ind w:left="113" w:right="113"/>
              <w:jc w:val="right"/>
              <w:rPr>
                <w:rFonts w:cs="Arial"/>
                <w:b w:val="0"/>
                <w:i/>
                <w:sz w:val="16"/>
                <w:szCs w:val="16"/>
              </w:rPr>
            </w:pPr>
          </w:p>
        </w:tc>
        <w:tc>
          <w:tcPr>
            <w:tcW w:w="3151" w:type="dxa"/>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Presentar las conclusiones de la evaluación al Comité de seguimiento.</w:t>
            </w:r>
          </w:p>
        </w:tc>
        <w:tc>
          <w:tcPr>
            <w:tcW w:w="1312" w:type="dxa"/>
          </w:tcPr>
          <w:p w:rsidR="00055507" w:rsidRPr="005667CD"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2.º trimestre de 2019</w:t>
            </w:r>
          </w:p>
        </w:tc>
        <w:tc>
          <w:tcPr>
            <w:tcW w:w="622" w:type="dxa"/>
            <w:shd w:val="clear" w:color="auto" w:fill="95B89B" w:themeFill="accent4" w:themeFillTint="99"/>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x</w:t>
            </w:r>
          </w:p>
        </w:tc>
        <w:tc>
          <w:tcPr>
            <w:tcW w:w="549" w:type="dxa"/>
            <w:shd w:val="clear" w:color="auto" w:fill="auto"/>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y</w:t>
            </w:r>
          </w:p>
        </w:tc>
        <w:tc>
          <w:tcPr>
            <w:tcW w:w="593" w:type="dxa"/>
            <w:shd w:val="clear" w:color="auto" w:fill="D0DDCC" w:themeFill="accent6" w:themeFillTint="66"/>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y</w:t>
            </w:r>
          </w:p>
        </w:tc>
        <w:tc>
          <w:tcPr>
            <w:tcW w:w="505" w:type="dxa"/>
            <w:shd w:val="clear" w:color="auto" w:fill="95B89B" w:themeFill="accent4" w:themeFillTint="99"/>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x</w:t>
            </w:r>
          </w:p>
        </w:tc>
        <w:tc>
          <w:tcPr>
            <w:tcW w:w="549" w:type="dxa"/>
            <w:shd w:val="clear" w:color="auto" w:fill="D0DDCC" w:themeFill="accent6" w:themeFillTint="66"/>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y</w:t>
            </w:r>
          </w:p>
        </w:tc>
        <w:tc>
          <w:tcPr>
            <w:tcW w:w="550" w:type="dxa"/>
            <w:tcBorders>
              <w:right w:val="single" w:sz="4" w:space="0" w:color="6E8967"/>
            </w:tcBorders>
            <w:shd w:val="clear" w:color="auto" w:fill="auto"/>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5667CD" w:rsidTr="004C78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5667CD" w:rsidRDefault="00055507" w:rsidP="00DF22D0">
            <w:pPr>
              <w:spacing w:line="280" w:lineRule="atLeast"/>
              <w:ind w:left="113" w:right="113"/>
              <w:jc w:val="right"/>
              <w:rPr>
                <w:rFonts w:cs="Arial"/>
                <w:b w:val="0"/>
                <w:i/>
                <w:sz w:val="16"/>
                <w:szCs w:val="16"/>
              </w:rPr>
            </w:pPr>
          </w:p>
        </w:tc>
        <w:tc>
          <w:tcPr>
            <w:tcW w:w="3151" w:type="dxa"/>
          </w:tcPr>
          <w:p w:rsidR="00055507" w:rsidRPr="005667CD" w:rsidRDefault="00055507" w:rsidP="00CD67A7">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Cumplimentar el modelo del sistema común de gestión compartida del Fondo del IAE (incluidos los capítulos 2 y 7) y presentarlo a la CE.</w:t>
            </w:r>
          </w:p>
        </w:tc>
        <w:tc>
          <w:tcPr>
            <w:tcW w:w="1312" w:type="dxa"/>
          </w:tcPr>
          <w:p w:rsidR="00055507" w:rsidRPr="005667CD"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2.º trimestre de 2019</w:t>
            </w:r>
          </w:p>
        </w:tc>
        <w:tc>
          <w:tcPr>
            <w:tcW w:w="622" w:type="dxa"/>
            <w:shd w:val="clear" w:color="auto" w:fill="95B89B" w:themeFill="accent4" w:themeFillTint="99"/>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x</w:t>
            </w:r>
          </w:p>
        </w:tc>
        <w:tc>
          <w:tcPr>
            <w:tcW w:w="549" w:type="dxa"/>
            <w:shd w:val="clear" w:color="auto" w:fill="auto"/>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x</w:t>
            </w:r>
          </w:p>
        </w:tc>
        <w:tc>
          <w:tcPr>
            <w:tcW w:w="593" w:type="dxa"/>
            <w:shd w:val="clear" w:color="auto" w:fill="auto"/>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y</w:t>
            </w:r>
          </w:p>
        </w:tc>
        <w:tc>
          <w:tcPr>
            <w:tcW w:w="549" w:type="dxa"/>
            <w:shd w:val="clear" w:color="auto" w:fill="auto"/>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5667CD" w:rsidTr="004C78EA">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5667CD" w:rsidRDefault="00055507" w:rsidP="00DF22D0">
            <w:pPr>
              <w:spacing w:line="280" w:lineRule="atLeast"/>
              <w:ind w:left="113" w:right="113"/>
              <w:jc w:val="right"/>
              <w:rPr>
                <w:rFonts w:cs="Arial"/>
                <w:b w:val="0"/>
                <w:i/>
                <w:sz w:val="16"/>
                <w:szCs w:val="16"/>
              </w:rPr>
            </w:pPr>
          </w:p>
        </w:tc>
        <w:tc>
          <w:tcPr>
            <w:tcW w:w="3151" w:type="dxa"/>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Publicar el IAE y los informes de evaluación (no solo el capítulo 7 del IAE) en el sitio web público.</w:t>
            </w:r>
          </w:p>
        </w:tc>
        <w:tc>
          <w:tcPr>
            <w:tcW w:w="1312" w:type="dxa"/>
          </w:tcPr>
          <w:p w:rsidR="00055507" w:rsidRPr="005667CD" w:rsidRDefault="00025148"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2.º, 3.</w:t>
            </w:r>
            <w:r w:rsidRPr="005667CD">
              <w:rPr>
                <w:color w:val="373737"/>
                <w:sz w:val="16"/>
                <w:vertAlign w:val="superscript"/>
              </w:rPr>
              <w:t>er</w:t>
            </w:r>
            <w:r w:rsidRPr="005667CD">
              <w:rPr>
                <w:color w:val="373737"/>
                <w:sz w:val="16"/>
              </w:rPr>
              <w:t xml:space="preserve"> y 4.º trimestres de 2019</w:t>
            </w:r>
          </w:p>
        </w:tc>
        <w:tc>
          <w:tcPr>
            <w:tcW w:w="622" w:type="dxa"/>
            <w:shd w:val="clear" w:color="auto" w:fill="95B89B" w:themeFill="accent4" w:themeFillTint="99"/>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x</w:t>
            </w:r>
          </w:p>
        </w:tc>
        <w:tc>
          <w:tcPr>
            <w:tcW w:w="549" w:type="dxa"/>
            <w:shd w:val="clear" w:color="auto" w:fill="auto"/>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x</w:t>
            </w:r>
          </w:p>
        </w:tc>
        <w:tc>
          <w:tcPr>
            <w:tcW w:w="593" w:type="dxa"/>
            <w:shd w:val="clear" w:color="auto" w:fill="auto"/>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5667CD" w:rsidTr="004C78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5667CD" w:rsidRDefault="00055507" w:rsidP="00DF22D0">
            <w:pPr>
              <w:spacing w:line="280" w:lineRule="atLeast"/>
              <w:ind w:left="113" w:right="113"/>
              <w:jc w:val="right"/>
              <w:rPr>
                <w:rFonts w:cs="Arial"/>
                <w:b w:val="0"/>
                <w:i/>
                <w:sz w:val="16"/>
                <w:szCs w:val="16"/>
              </w:rPr>
            </w:pPr>
          </w:p>
        </w:tc>
        <w:tc>
          <w:tcPr>
            <w:tcW w:w="3151" w:type="dxa"/>
          </w:tcPr>
          <w:p w:rsidR="00055507" w:rsidRPr="005667CD" w:rsidRDefault="00434BEF"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Preparar las conclusiones de la evaluación en otros formatos apropiados (por ejemplo, resumen para los ciudadanos) para los distintos grupos destinatarios.</w:t>
            </w:r>
          </w:p>
        </w:tc>
        <w:tc>
          <w:tcPr>
            <w:tcW w:w="1312" w:type="dxa"/>
          </w:tcPr>
          <w:p w:rsidR="00055507" w:rsidRPr="005667CD"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3.</w:t>
            </w:r>
            <w:r w:rsidRPr="005667CD">
              <w:rPr>
                <w:color w:val="373737"/>
                <w:sz w:val="16"/>
                <w:vertAlign w:val="superscript"/>
              </w:rPr>
              <w:t>er</w:t>
            </w:r>
            <w:r w:rsidRPr="005667CD">
              <w:rPr>
                <w:color w:val="373737"/>
                <w:sz w:val="16"/>
              </w:rPr>
              <w:t xml:space="preserve"> y 4.º trimestres de 2019</w:t>
            </w:r>
          </w:p>
        </w:tc>
        <w:tc>
          <w:tcPr>
            <w:tcW w:w="622" w:type="dxa"/>
            <w:shd w:val="clear" w:color="auto" w:fill="95B89B" w:themeFill="accent4" w:themeFillTint="99"/>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x</w:t>
            </w:r>
          </w:p>
        </w:tc>
        <w:tc>
          <w:tcPr>
            <w:tcW w:w="549" w:type="dxa"/>
            <w:shd w:val="clear" w:color="auto" w:fill="auto"/>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x</w:t>
            </w:r>
          </w:p>
        </w:tc>
        <w:tc>
          <w:tcPr>
            <w:tcW w:w="593" w:type="dxa"/>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y</w:t>
            </w:r>
          </w:p>
        </w:tc>
        <w:tc>
          <w:tcPr>
            <w:tcW w:w="505" w:type="dxa"/>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y</w:t>
            </w:r>
          </w:p>
        </w:tc>
        <w:tc>
          <w:tcPr>
            <w:tcW w:w="549" w:type="dxa"/>
            <w:shd w:val="clear" w:color="auto" w:fill="auto"/>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5667CD" w:rsidTr="004C78EA">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5667CD" w:rsidRDefault="00055507" w:rsidP="00DF22D0">
            <w:pPr>
              <w:spacing w:line="280" w:lineRule="atLeast"/>
              <w:ind w:left="113" w:right="113"/>
              <w:jc w:val="right"/>
              <w:rPr>
                <w:rFonts w:cs="Arial"/>
                <w:b w:val="0"/>
                <w:i/>
                <w:sz w:val="16"/>
                <w:szCs w:val="16"/>
              </w:rPr>
            </w:pPr>
          </w:p>
        </w:tc>
        <w:tc>
          <w:tcPr>
            <w:tcW w:w="3151" w:type="dxa"/>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 xml:space="preserve">Comunicar las conclusiones de la evaluación a los grupos destinatarios. </w:t>
            </w:r>
          </w:p>
        </w:tc>
        <w:tc>
          <w:tcPr>
            <w:tcW w:w="1312" w:type="dxa"/>
          </w:tcPr>
          <w:p w:rsidR="00055507" w:rsidRPr="005667CD"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3.</w:t>
            </w:r>
            <w:r w:rsidRPr="005667CD">
              <w:rPr>
                <w:color w:val="373737"/>
                <w:sz w:val="16"/>
                <w:vertAlign w:val="superscript"/>
              </w:rPr>
              <w:t>er</w:t>
            </w:r>
            <w:r w:rsidRPr="005667CD">
              <w:rPr>
                <w:color w:val="373737"/>
                <w:sz w:val="16"/>
              </w:rPr>
              <w:t xml:space="preserve"> y 4.º trimestres de 2019</w:t>
            </w:r>
          </w:p>
        </w:tc>
        <w:tc>
          <w:tcPr>
            <w:tcW w:w="622" w:type="dxa"/>
            <w:shd w:val="clear" w:color="auto" w:fill="95B89B" w:themeFill="accent4" w:themeFillTint="99"/>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x</w:t>
            </w:r>
          </w:p>
        </w:tc>
        <w:tc>
          <w:tcPr>
            <w:tcW w:w="549" w:type="dxa"/>
            <w:shd w:val="clear" w:color="auto" w:fill="auto"/>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x</w:t>
            </w:r>
          </w:p>
        </w:tc>
        <w:tc>
          <w:tcPr>
            <w:tcW w:w="593" w:type="dxa"/>
            <w:shd w:val="clear" w:color="auto" w:fill="D0DDCC" w:themeFill="accent6" w:themeFillTint="66"/>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y</w:t>
            </w:r>
          </w:p>
        </w:tc>
        <w:tc>
          <w:tcPr>
            <w:tcW w:w="505" w:type="dxa"/>
            <w:shd w:val="clear" w:color="auto" w:fill="D0DDCC" w:themeFill="accent6" w:themeFillTint="66"/>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y</w:t>
            </w:r>
          </w:p>
        </w:tc>
        <w:tc>
          <w:tcPr>
            <w:tcW w:w="549" w:type="dxa"/>
            <w:shd w:val="clear" w:color="auto" w:fill="D0DDCC" w:themeFill="accent6" w:themeFillTint="66"/>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y</w:t>
            </w:r>
          </w:p>
        </w:tc>
        <w:tc>
          <w:tcPr>
            <w:tcW w:w="550" w:type="dxa"/>
            <w:tcBorders>
              <w:right w:val="single" w:sz="4" w:space="0" w:color="6E8967"/>
            </w:tcBorders>
            <w:shd w:val="clear" w:color="auto" w:fill="D0DDCC" w:themeFill="accent6" w:themeFillTint="66"/>
          </w:tcPr>
          <w:p w:rsidR="00055507" w:rsidRPr="005667CD"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5667CD">
              <w:rPr>
                <w:color w:val="373737"/>
                <w:sz w:val="16"/>
              </w:rPr>
              <w:t>y</w:t>
            </w:r>
          </w:p>
        </w:tc>
      </w:tr>
      <w:tr w:rsidR="00810ED5" w:rsidRPr="005667CD" w:rsidTr="004C78EA">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6E8967"/>
              <w:bottom w:val="single" w:sz="4" w:space="0" w:color="6E8967"/>
            </w:tcBorders>
            <w:textDirection w:val="btLr"/>
          </w:tcPr>
          <w:p w:rsidR="00055507" w:rsidRPr="005667CD" w:rsidRDefault="00055507" w:rsidP="00156043">
            <w:pPr>
              <w:spacing w:line="280" w:lineRule="atLeast"/>
              <w:ind w:left="113" w:right="113"/>
              <w:jc w:val="center"/>
              <w:rPr>
                <w:rFonts w:cs="Arial"/>
                <w:b w:val="0"/>
                <w:i/>
                <w:sz w:val="16"/>
                <w:szCs w:val="16"/>
              </w:rPr>
            </w:pPr>
            <w:r w:rsidRPr="005667CD">
              <w:rPr>
                <w:i/>
                <w:sz w:val="16"/>
              </w:rPr>
              <w:t>Seguimiento</w:t>
            </w:r>
          </w:p>
        </w:tc>
        <w:tc>
          <w:tcPr>
            <w:tcW w:w="3151" w:type="dxa"/>
            <w:tcBorders>
              <w:bottom w:val="single" w:sz="4" w:space="0" w:color="6E8967"/>
            </w:tcBorders>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 xml:space="preserve">Dirigir y hacer un seguimiento de las conclusiones y recomendaciones de la evaluación con el fin de mejorar la concepción y la ejecución del programa de desarrollo rural. </w:t>
            </w:r>
          </w:p>
        </w:tc>
        <w:tc>
          <w:tcPr>
            <w:tcW w:w="1312" w:type="dxa"/>
            <w:tcBorders>
              <w:bottom w:val="single" w:sz="4" w:space="0" w:color="6E8967"/>
            </w:tcBorders>
          </w:tcPr>
          <w:p w:rsidR="00055507" w:rsidRPr="005667CD" w:rsidRDefault="00055507" w:rsidP="00DF22D0">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 xml:space="preserve">A partir del 2.º trimestre de 2019 </w:t>
            </w:r>
          </w:p>
        </w:tc>
        <w:tc>
          <w:tcPr>
            <w:tcW w:w="622" w:type="dxa"/>
            <w:tcBorders>
              <w:bottom w:val="single" w:sz="4" w:space="0" w:color="6E8967"/>
            </w:tcBorders>
            <w:shd w:val="clear" w:color="auto" w:fill="95B89B" w:themeFill="accent4" w:themeFillTint="99"/>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x</w:t>
            </w:r>
          </w:p>
        </w:tc>
        <w:tc>
          <w:tcPr>
            <w:tcW w:w="549" w:type="dxa"/>
            <w:tcBorders>
              <w:bottom w:val="single" w:sz="4" w:space="0" w:color="6E8967"/>
            </w:tcBorders>
            <w:shd w:val="clear" w:color="auto" w:fill="auto"/>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shd w:val="clear" w:color="auto" w:fill="auto"/>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bottom w:val="single" w:sz="4" w:space="0" w:color="6E8967"/>
            </w:tcBorders>
            <w:shd w:val="clear" w:color="auto" w:fill="auto"/>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93" w:type="dxa"/>
            <w:tcBorders>
              <w:bottom w:val="single" w:sz="4" w:space="0" w:color="6E8967"/>
            </w:tcBorders>
            <w:shd w:val="clear" w:color="auto" w:fill="auto"/>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bottom w:val="single" w:sz="4" w:space="0" w:color="6E8967"/>
            </w:tcBorders>
            <w:shd w:val="clear" w:color="auto" w:fill="auto"/>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y</w:t>
            </w:r>
          </w:p>
        </w:tc>
        <w:tc>
          <w:tcPr>
            <w:tcW w:w="550" w:type="dxa"/>
            <w:tcBorders>
              <w:bottom w:val="single" w:sz="4" w:space="0" w:color="6E8967"/>
              <w:right w:val="single" w:sz="4" w:space="0" w:color="6E8967"/>
            </w:tcBorders>
          </w:tcPr>
          <w:p w:rsidR="00055507" w:rsidRPr="005667CD"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5667CD">
              <w:rPr>
                <w:color w:val="373737"/>
                <w:sz w:val="16"/>
              </w:rPr>
              <w:t>y</w:t>
            </w:r>
          </w:p>
        </w:tc>
      </w:tr>
    </w:tbl>
    <w:p w:rsidR="00C744FC" w:rsidRPr="005667CD" w:rsidRDefault="00C744FC" w:rsidP="001F25E0">
      <w:pPr>
        <w:pStyle w:val="HStandard"/>
      </w:pPr>
    </w:p>
    <w:p w:rsidR="00425D88" w:rsidRPr="005667CD" w:rsidRDefault="00425D88" w:rsidP="00425D88">
      <w:pPr>
        <w:pStyle w:val="HStandard"/>
        <w:sectPr w:rsidR="00425D88" w:rsidRPr="005667CD" w:rsidSect="00395FFD">
          <w:footerReference w:type="default" r:id="rId37"/>
          <w:footerReference w:type="first" r:id="rId38"/>
          <w:pgSz w:w="11906" w:h="16838" w:code="9"/>
          <w:pgMar w:top="1400" w:right="1400" w:bottom="1134" w:left="1400" w:header="360" w:footer="600" w:gutter="0"/>
          <w:pgNumType w:start="1"/>
          <w:cols w:space="708"/>
          <w:titlePg/>
          <w:docGrid w:linePitch="360"/>
        </w:sectPr>
      </w:pPr>
    </w:p>
    <w:p w:rsidR="00425D88" w:rsidRPr="005667CD" w:rsidRDefault="00425D88" w:rsidP="00E93BEA">
      <w:pPr>
        <w:pStyle w:val="HHeading1"/>
        <w:tabs>
          <w:tab w:val="clear" w:pos="474"/>
          <w:tab w:val="clear" w:pos="567"/>
        </w:tabs>
        <w:rPr>
          <w:sz w:val="28"/>
        </w:rPr>
      </w:pPr>
      <w:r w:rsidRPr="005667CD">
        <w:rPr>
          <w:sz w:val="28"/>
        </w:rPr>
        <w:lastRenderedPageBreak/>
        <w:t>Enfoques para valorar los impactos de los PDR en 2019 (PARTE II)</w:t>
      </w:r>
    </w:p>
    <w:p w:rsidR="00BB6B80" w:rsidRPr="005667CD" w:rsidRDefault="000B213F" w:rsidP="00B86C6A">
      <w:pPr>
        <w:pStyle w:val="HStandard"/>
      </w:pPr>
      <w:r w:rsidRPr="005667CD">
        <w:rPr>
          <w:b/>
          <w:noProof/>
          <w:lang w:bidi="ar-SA"/>
        </w:rPr>
        <mc:AlternateContent>
          <mc:Choice Requires="wps">
            <w:drawing>
              <wp:inline distT="0" distB="0" distL="0" distR="0" wp14:anchorId="3D07DA81" wp14:editId="71566D83">
                <wp:extent cx="5695950" cy="1562100"/>
                <wp:effectExtent l="0" t="0" r="19050" b="19050"/>
                <wp:docPr id="935" name="Rectangle: Diagonal Corners Rounded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0" cy="1562100"/>
                        </a:xfrm>
                        <a:custGeom>
                          <a:avLst/>
                          <a:gdLst>
                            <a:gd name="T0" fmla="*/ 254411 w 5695950"/>
                            <a:gd name="T1" fmla="*/ 0 h 1464319"/>
                            <a:gd name="T2" fmla="*/ 5695950 w 5695950"/>
                            <a:gd name="T3" fmla="*/ 0 h 1464319"/>
                            <a:gd name="T4" fmla="*/ 5695950 w 5695950"/>
                            <a:gd name="T5" fmla="*/ 0 h 1464319"/>
                            <a:gd name="T6" fmla="*/ 5695950 w 5695950"/>
                            <a:gd name="T7" fmla="*/ 1209908 h 1464319"/>
                            <a:gd name="T8" fmla="*/ 5441539 w 5695950"/>
                            <a:gd name="T9" fmla="*/ 1464319 h 1464319"/>
                            <a:gd name="T10" fmla="*/ 0 w 5695950"/>
                            <a:gd name="T11" fmla="*/ 1464319 h 1464319"/>
                            <a:gd name="T12" fmla="*/ 0 w 5695950"/>
                            <a:gd name="T13" fmla="*/ 1464319 h 1464319"/>
                            <a:gd name="T14" fmla="*/ 0 w 5695950"/>
                            <a:gd name="T15" fmla="*/ 254411 h 1464319"/>
                            <a:gd name="T16" fmla="*/ 254411 w 5695950"/>
                            <a:gd name="T17" fmla="*/ 0 h 14643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695950"/>
                            <a:gd name="T28" fmla="*/ 0 h 1464319"/>
                            <a:gd name="T29" fmla="*/ 5695950 w 5695950"/>
                            <a:gd name="T30" fmla="*/ 1464319 h 14643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695950" h="1464319">
                              <a:moveTo>
                                <a:pt x="254411" y="0"/>
                              </a:moveTo>
                              <a:lnTo>
                                <a:pt x="5695950" y="0"/>
                              </a:lnTo>
                              <a:lnTo>
                                <a:pt x="5695950" y="1209908"/>
                              </a:lnTo>
                              <a:cubicBezTo>
                                <a:pt x="5695950" y="1350415"/>
                                <a:pt x="5582046" y="1464319"/>
                                <a:pt x="5441539" y="1464319"/>
                              </a:cubicBezTo>
                              <a:lnTo>
                                <a:pt x="0" y="1464319"/>
                              </a:lnTo>
                              <a:lnTo>
                                <a:pt x="0" y="254411"/>
                              </a:lnTo>
                              <a:cubicBezTo>
                                <a:pt x="0" y="113904"/>
                                <a:pt x="113904" y="0"/>
                                <a:pt x="254411" y="0"/>
                              </a:cubicBezTo>
                              <a:close/>
                            </a:path>
                          </a:pathLst>
                        </a:custGeom>
                        <a:noFill/>
                        <a:ln w="25400">
                          <a:solidFill>
                            <a:srgbClr val="8BAB80"/>
                          </a:solidFill>
                          <a:miter lim="800000"/>
                          <a:headEnd/>
                          <a:tailEnd/>
                        </a:ln>
                        <a:extLst>
                          <a:ext uri="{909E8E84-426E-40DD-AFC4-6F175D3DCCD1}">
                            <a14:hiddenFill xmlns:a14="http://schemas.microsoft.com/office/drawing/2010/main">
                              <a:solidFill>
                                <a:srgbClr val="FFFFFF"/>
                              </a:solidFill>
                            </a14:hiddenFill>
                          </a:ext>
                        </a:extLst>
                      </wps:spPr>
                      <wps:txbx>
                        <w:txbxContent>
                          <w:p w:rsidR="0022740E" w:rsidRPr="00B86C6A" w:rsidRDefault="0022740E" w:rsidP="00BB6B80">
                            <w:pPr>
                              <w:pStyle w:val="Normal12PTcouleurgris"/>
                              <w:rPr>
                                <w:rStyle w:val="HStandardCar"/>
                                <w:color w:val="292929" w:themeColor="text1" w:themeShade="BF"/>
                              </w:rPr>
                            </w:pPr>
                            <w:r w:rsidRPr="00171202">
                              <w:rPr>
                                <w:noProof/>
                                <w:sz w:val="18"/>
                              </w:rPr>
                              <w:drawing>
                                <wp:inline distT="0" distB="0" distL="0" distR="0" wp14:anchorId="51FF669D" wp14:editId="4E10735F">
                                  <wp:extent cx="578362" cy="539115"/>
                                  <wp:effectExtent l="0" t="0" r="0" b="0"/>
                                  <wp:docPr id="903"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rotWithShape="1">
                                          <a:blip r:embed="rId39">
                                            <a:extLst>
                                              <a:ext uri="{28A0092B-C50C-407E-A947-70E740481C1C}">
                                                <a14:useLocalDpi xmlns:a14="http://schemas.microsoft.com/office/drawing/2010/main" val="0"/>
                                              </a:ext>
                                            </a:extLst>
                                          </a:blip>
                                          <a:srcRect l="12992" r="21270"/>
                                          <a:stretch/>
                                        </pic:blipFill>
                                        <pic:spPr bwMode="auto">
                                          <a:xfrm>
                                            <a:off x="0" y="0"/>
                                            <a:ext cx="579311" cy="540000"/>
                                          </a:xfrm>
                                          <a:prstGeom prst="rect">
                                            <a:avLst/>
                                          </a:prstGeom>
                                          <a:ln>
                                            <a:noFill/>
                                          </a:ln>
                                          <a:extLst>
                                            <a:ext uri="{53640926-AAD7-44D8-BBD7-CCE9431645EC}">
                                              <a14:shadowObscured xmlns:a14="http://schemas.microsoft.com/office/drawing/2010/main"/>
                                            </a:ext>
                                          </a:extLst>
                                        </pic:spPr>
                                      </pic:pic>
                                    </a:graphicData>
                                  </a:graphic>
                                </wp:inline>
                              </w:drawing>
                            </w:r>
                            <w:r>
                              <w:rPr>
                                <w:rStyle w:val="HStandardCar"/>
                                <w:b/>
                                <w:color w:val="F07E31"/>
                                <w:sz w:val="20"/>
                              </w:rPr>
                              <w:t>La PARTE II</w:t>
                            </w:r>
                            <w:r>
                              <w:rPr>
                                <w:rStyle w:val="HStandardCar"/>
                                <w:color w:val="F07E31"/>
                                <w:sz w:val="20"/>
                              </w:rPr>
                              <w:t xml:space="preserve"> </w:t>
                            </w:r>
                            <w:r>
                              <w:rPr>
                                <w:rStyle w:val="HStandardCar"/>
                                <w:color w:val="292929" w:themeColor="text1" w:themeShade="BF"/>
                                <w:sz w:val="20"/>
                              </w:rPr>
                              <w:t xml:space="preserve">de las Directrices no vinculantes «Valoración de los logros e impactos de los PDR en 2019» debe interpretarse en el contexto de la </w:t>
                            </w:r>
                            <w:r>
                              <w:rPr>
                                <w:rStyle w:val="HStandardCar"/>
                                <w:b/>
                                <w:color w:val="F07E31"/>
                                <w:sz w:val="20"/>
                              </w:rPr>
                              <w:t>PARTE III</w:t>
                            </w:r>
                            <w:r>
                              <w:rPr>
                                <w:rStyle w:val="HStandardCar"/>
                                <w:color w:val="F07E31"/>
                                <w:sz w:val="20"/>
                              </w:rPr>
                              <w:t xml:space="preserve"> </w:t>
                            </w:r>
                            <w:r>
                              <w:rPr>
                                <w:rStyle w:val="HStandardCar"/>
                                <w:color w:val="292929" w:themeColor="text1" w:themeShade="BF"/>
                                <w:sz w:val="20"/>
                              </w:rPr>
                              <w:t xml:space="preserve">(Fichas para responder a las PCE 22-30) y la </w:t>
                            </w:r>
                            <w:r>
                              <w:rPr>
                                <w:rStyle w:val="HStandardCar"/>
                                <w:b/>
                                <w:color w:val="F07E31"/>
                                <w:sz w:val="20"/>
                              </w:rPr>
                              <w:t xml:space="preserve">PARTE IV </w:t>
                            </w:r>
                            <w:r>
                              <w:rPr>
                                <w:rStyle w:val="HStandardCar"/>
                                <w:color w:val="292929" w:themeColor="text1" w:themeShade="BF"/>
                                <w:sz w:val="20"/>
                              </w:rPr>
                              <w:t>(Anexo técnico) que contienen información complementaria sobre los enfoques de evaluación propuestos, ejemplos de indicadores adicionales, descripción detallada de las fases del trabajo, adecuación de los enfoques de evaluación propuestos, qué hacer y qué no hacer, glosario).</w:t>
                            </w:r>
                          </w:p>
                        </w:txbxContent>
                      </wps:txbx>
                      <wps:bodyPr rot="0" vert="horz" wrap="square" lIns="91440" tIns="45720" rIns="91440" bIns="45720" anchor="ctr" anchorCtr="0" upright="1">
                        <a:noAutofit/>
                      </wps:bodyPr>
                    </wps:wsp>
                  </a:graphicData>
                </a:graphic>
              </wp:inline>
            </w:drawing>
          </mc:Choice>
          <mc:Fallback>
            <w:pict>
              <v:shape w14:anchorId="3D07DA81" id="Rectangle: Diagonal Corners Rounded 48" o:spid="_x0000_s1029" style="width:448.5pt;height:123pt;visibility:visible;mso-wrap-style:square;mso-left-percent:-10001;mso-top-percent:-10001;mso-position-horizontal:absolute;mso-position-horizontal-relative:char;mso-position-vertical:absolute;mso-position-vertical-relative:line;mso-left-percent:-10001;mso-top-percent:-10001;v-text-anchor:middle" coordsize="5695950,14643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" adj="-11796480,,5400" path="m254411,l5695950,r,1209908c5695950,1350415,5582046,1464319,5441539,1464319l,1464319,,254411c,113904,113904,,254411,xe" filled="f" strokecolor="#8bab80" strokeweight="2pt">
                <v:stroke joinstyle="miter"/>
                <v:formulas/>
                <v:path arrowok="t" o:connecttype="custom" o:connectlocs="254411,0;5695950,0;5695950,0;5695950,1290701;5441539,1562100;0,1562100;0,1562100;0,271399;254411,0" o:connectangles="0,0,0,0,0,0,0,0,0" textboxrect="0,0,5695950,1464319"/>
                <v:textbox>
                  <w:txbxContent>
                    <w:p w:rsidR="0022740E" w:rsidRPr="00B86C6A" w:rsidRDefault="0022740E" w:rsidP="00BB6B80">
                      <w:pPr>
                        <w:pStyle w:val="Normal12PTcouleurgris"/>
                        <w:rPr>
                          <w:rStyle w:val="HStandardCar"/>
                          <w:color w:val="292929" w:themeColor="text1" w:themeShade="BF"/>
                        </w:rPr>
                      </w:pPr>
                      <w:r w:rsidRPr="00171202">
                        <w:rPr>
                          <w:noProof/>
                          <w:sz w:val="18"/>
                        </w:rPr>
                        <w:drawing>
                          <wp:inline distT="0" distB="0" distL="0" distR="0" wp14:anchorId="51FF669D" wp14:editId="4E10735F">
                            <wp:extent cx="578362" cy="539115"/>
                            <wp:effectExtent l="0" t="0" r="0" b="0"/>
                            <wp:docPr id="903"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rotWithShape="1">
                                    <a:blip r:embed="rId39">
                                      <a:extLst>
                                        <a:ext uri="{28A0092B-C50C-407E-A947-70E740481C1C}">
                                          <a14:useLocalDpi xmlns:a14="http://schemas.microsoft.com/office/drawing/2010/main" val="0"/>
                                        </a:ext>
                                      </a:extLst>
                                    </a:blip>
                                    <a:srcRect l="12992" r="21270"/>
                                    <a:stretch/>
                                  </pic:blipFill>
                                  <pic:spPr bwMode="auto">
                                    <a:xfrm>
                                      <a:off x="0" y="0"/>
                                      <a:ext cx="579311" cy="540000"/>
                                    </a:xfrm>
                                    <a:prstGeom prst="rect">
                                      <a:avLst/>
                                    </a:prstGeom>
                                    <a:ln>
                                      <a:noFill/>
                                    </a:ln>
                                    <a:extLst>
                                      <a:ext uri="{53640926-AAD7-44D8-BBD7-CCE9431645EC}">
                                        <a14:shadowObscured xmlns:a14="http://schemas.microsoft.com/office/drawing/2010/main"/>
                                      </a:ext>
                                    </a:extLst>
                                  </pic:spPr>
                                </pic:pic>
                              </a:graphicData>
                            </a:graphic>
                          </wp:inline>
                        </w:drawing>
                      </w:r>
                      <w:r>
                        <w:rPr>
                          <w:rStyle w:val="HStandardCar"/>
                          <w:b/>
                          <w:color w:val="F07E31"/>
                          <w:sz w:val="20"/>
                        </w:rPr>
                        <w:t>La PARTE II</w:t>
                      </w:r>
                      <w:r>
                        <w:rPr>
                          <w:rStyle w:val="HStandardCar"/>
                          <w:color w:val="F07E31"/>
                          <w:sz w:val="20"/>
                        </w:rPr>
                        <w:t xml:space="preserve"> </w:t>
                      </w:r>
                      <w:r>
                        <w:rPr>
                          <w:rStyle w:val="HStandardCar"/>
                          <w:color w:val="292929" w:themeColor="text1" w:themeShade="BF"/>
                          <w:sz w:val="20"/>
                        </w:rPr>
                        <w:t xml:space="preserve">de las Directrices no vinculantes «Valoración de los logros e impactos de los PDR en 2019» debe interpretarse en el contexto de la </w:t>
                      </w:r>
                      <w:r>
                        <w:rPr>
                          <w:rStyle w:val="HStandardCar"/>
                          <w:b/>
                          <w:color w:val="F07E31"/>
                          <w:sz w:val="20"/>
                        </w:rPr>
                        <w:t>PARTE III</w:t>
                      </w:r>
                      <w:r>
                        <w:rPr>
                          <w:rStyle w:val="HStandardCar"/>
                          <w:color w:val="F07E31"/>
                          <w:sz w:val="20"/>
                        </w:rPr>
                        <w:t xml:space="preserve"> </w:t>
                      </w:r>
                      <w:r>
                        <w:rPr>
                          <w:rStyle w:val="HStandardCar"/>
                          <w:color w:val="292929" w:themeColor="text1" w:themeShade="BF"/>
                          <w:sz w:val="20"/>
                        </w:rPr>
                        <w:t xml:space="preserve">(Fichas para responder a las PCE 22-30) y la </w:t>
                      </w:r>
                      <w:r>
                        <w:rPr>
                          <w:rStyle w:val="HStandardCar"/>
                          <w:b/>
                          <w:color w:val="F07E31"/>
                          <w:sz w:val="20"/>
                        </w:rPr>
                        <w:t xml:space="preserve">PARTE IV </w:t>
                      </w:r>
                      <w:r>
                        <w:rPr>
                          <w:rStyle w:val="HStandardCar"/>
                          <w:color w:val="292929" w:themeColor="text1" w:themeShade="BF"/>
                          <w:sz w:val="20"/>
                        </w:rPr>
                        <w:t>(Anexo técnico) que contienen información complementaria sobre los enfoques de evaluación propuestos, ejemplos de indicadores adicionales, descripción detallada de las fases del trabajo, adecuación de los enfoques de evaluación propuestos, qué hacer y qué no hacer, glosario).</w:t>
                      </w:r>
                    </w:p>
                  </w:txbxContent>
                </v:textbox>
                <w10:anchorlock/>
              </v:shape>
            </w:pict>
          </mc:Fallback>
        </mc:AlternateContent>
      </w:r>
    </w:p>
    <w:p w:rsidR="00425D88" w:rsidRPr="005667CD" w:rsidRDefault="00425D88" w:rsidP="00002482">
      <w:pPr>
        <w:pStyle w:val="HHeading2"/>
        <w:tabs>
          <w:tab w:val="clear" w:pos="360"/>
          <w:tab w:val="clear" w:pos="567"/>
        </w:tabs>
      </w:pPr>
      <w:r w:rsidRPr="005667CD">
        <w:t>Elección de enfoques de evaluación adecuados para valorar los impactos de los PDR</w:t>
      </w:r>
    </w:p>
    <w:p w:rsidR="00E93BEA" w:rsidRPr="005667CD" w:rsidRDefault="00E93BEA" w:rsidP="00E93BEA">
      <w:pPr>
        <w:pStyle w:val="HStandard"/>
        <w:rPr>
          <w:rFonts w:cs="Arial"/>
        </w:rPr>
      </w:pPr>
      <w:r w:rsidRPr="005667CD">
        <w:t xml:space="preserve">La valoración y la compensación de los indicadores comunes de impacto del pilar II de la PAC en 2019 es una tarea exigente y suscita </w:t>
      </w:r>
      <w:r w:rsidRPr="005667CD">
        <w:rPr>
          <w:b/>
        </w:rPr>
        <w:t>varias cuestiones</w:t>
      </w:r>
      <w:r w:rsidRPr="005667CD">
        <w:t xml:space="preserve">: </w:t>
      </w:r>
    </w:p>
    <w:p w:rsidR="00E93BEA" w:rsidRPr="005667CD" w:rsidRDefault="00E93BEA" w:rsidP="00E93BEA">
      <w:pPr>
        <w:pStyle w:val="Hlistbullet"/>
      </w:pPr>
      <w:r w:rsidRPr="005667CD">
        <w:t xml:space="preserve">¿Cómo pueden atribuirse los cambios observados en las zonas rurales a las intervenciones del PDR y qué enfoques de evaluación deben utilizarse a tal fin? </w:t>
      </w:r>
    </w:p>
    <w:p w:rsidR="00E93BEA" w:rsidRPr="005667CD" w:rsidRDefault="00E93BEA" w:rsidP="00E93BEA">
      <w:pPr>
        <w:pStyle w:val="Hlistbullet"/>
      </w:pPr>
      <w:r w:rsidRPr="005667CD">
        <w:t xml:space="preserve">¿Qué datos de fuentes existentes (por ejemplo, bases de datos de seguimiento, de la UE, nacionales y regionales) deben utilizarse para informar acerca del enfoque de evaluación propuesto? </w:t>
      </w:r>
    </w:p>
    <w:p w:rsidR="00E93BEA" w:rsidRPr="005667CD" w:rsidRDefault="00E93BEA" w:rsidP="00E93BEA">
      <w:pPr>
        <w:pStyle w:val="Hlistbullet"/>
      </w:pPr>
      <w:r w:rsidRPr="005667CD">
        <w:t xml:space="preserve">¿Cómo se coordina con diversos proveedores de datos? </w:t>
      </w:r>
    </w:p>
    <w:p w:rsidR="00E93BEA" w:rsidRPr="005667CD" w:rsidRDefault="00E93BEA" w:rsidP="00E93BEA">
      <w:pPr>
        <w:pStyle w:val="Hlistbullet"/>
      </w:pPr>
      <w:r w:rsidRPr="005667CD">
        <w:t xml:space="preserve">¿Cómo puede garantizarse la calidad de los datos y subsanarse su carencia? </w:t>
      </w:r>
    </w:p>
    <w:p w:rsidR="009B0B1E" w:rsidRPr="005667CD" w:rsidRDefault="009B0B1E" w:rsidP="00B63445">
      <w:pPr>
        <w:pStyle w:val="HHeading3"/>
      </w:pPr>
      <w:r w:rsidRPr="005667CD">
        <w:t>¿Cómo pueden utilizarse los modelos lógicos para determinar qué enfoques de evaluación son adecuados?</w:t>
      </w:r>
    </w:p>
    <w:p w:rsidR="009B37D9" w:rsidRPr="005667CD" w:rsidRDefault="000B213F" w:rsidP="009B37D9">
      <w:pPr>
        <w:pStyle w:val="HStandard"/>
      </w:pPr>
      <w:r w:rsidRPr="005667CD">
        <w:rPr>
          <w:b/>
          <w:i/>
          <w:noProof/>
          <w:color w:val="F07E31" w:themeColor="accent1"/>
          <w:lang w:bidi="ar-SA"/>
        </w:rPr>
        <mc:AlternateContent>
          <mc:Choice Requires="wps">
            <w:drawing>
              <wp:anchor distT="0" distB="0" distL="114300" distR="114300" simplePos="0" relativeHeight="251728384" behindDoc="1" locked="0" layoutInCell="1" allowOverlap="1" wp14:anchorId="1BB434F3" wp14:editId="6B601994">
                <wp:simplePos x="0" y="0"/>
                <wp:positionH relativeFrom="margin">
                  <wp:align>right</wp:align>
                </wp:positionH>
                <wp:positionV relativeFrom="paragraph">
                  <wp:posOffset>35560</wp:posOffset>
                </wp:positionV>
                <wp:extent cx="2447925" cy="1882775"/>
                <wp:effectExtent l="0" t="0" r="28575" b="22225"/>
                <wp:wrapTight wrapText="bothSides">
                  <wp:wrapPolygon edited="0">
                    <wp:start x="504" y="0"/>
                    <wp:lineTo x="0" y="656"/>
                    <wp:lineTo x="0" y="21636"/>
                    <wp:lineTo x="21180" y="21636"/>
                    <wp:lineTo x="21348" y="21636"/>
                    <wp:lineTo x="21684" y="20762"/>
                    <wp:lineTo x="21684" y="0"/>
                    <wp:lineTo x="504" y="0"/>
                  </wp:wrapPolygon>
                </wp:wrapTight>
                <wp:docPr id="9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883229"/>
                        </a:xfrm>
                        <a:prstGeom prst="round2DiagRect">
                          <a:avLst>
                            <a:gd name="adj1" fmla="val 8733"/>
                            <a:gd name="adj2" fmla="val 0"/>
                          </a:avLst>
                        </a:prstGeom>
                        <a:noFill/>
                        <a:ln w="25400" cap="flat" cmpd="sng" algn="ctr">
                          <a:solidFill>
                            <a:srgbClr val="BE4A35"/>
                          </a:solidFill>
                          <a:prstDash val="solid"/>
                        </a:ln>
                        <a:effectLst/>
                      </wps:spPr>
                      <wps:txbx>
                        <w:txbxContent>
                          <w:p w:rsidR="0022740E" w:rsidRPr="00C545E7" w:rsidRDefault="0022740E" w:rsidP="005166F3">
                            <w:pPr>
                              <w:pStyle w:val="HHeading4"/>
                              <w:spacing w:before="0"/>
                              <w:jc w:val="both"/>
                              <w:rPr>
                                <w:i/>
                                <w:color w:val="F07E31" w:themeColor="accent1"/>
                                <w:sz w:val="18"/>
                              </w:rPr>
                            </w:pPr>
                            <w:r>
                              <w:rPr>
                                <w:noProof/>
                                <w:color w:val="373737"/>
                                <w:lang w:bidi="ar-SA"/>
                              </w:rPr>
                              <w:drawing>
                                <wp:inline distT="0" distB="0" distL="0" distR="0" wp14:anchorId="5BA13224" wp14:editId="520D6DB6">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Los modelos lógicos </w:t>
                            </w:r>
                            <w:r>
                              <w:rPr>
                                <w:b w:val="0"/>
                                <w:color w:val="373737" w:themeColor="text1"/>
                              </w:rPr>
                              <w:t>son árboles de decisión que pueden ayudar a las partes interesadas a diseñar un enfoque de evaluación (contrafactual) y a elegir los métodos más adecuados en función de los datos y la información disponibles.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B434F3" id="_x0000_s1030" style="position:absolute;left:0;text-align:left;margin-left:141.55pt;margin-top:2.8pt;width:192.75pt;height:148.25pt;z-index:-25158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2447925,18832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" adj="-11796480,,5400" path="m164462,l2447925,r,l2447925,1718767v,90830,-73632,164462,-164462,164462l,1883229r,l,164462c,73632,73632,,164462,xe" filled="f" strokecolor="#be4a35" strokeweight="2pt">
                <v:stroke joinstyle="miter"/>
                <v:formulas/>
                <v:path arrowok="t" o:connecttype="custom" o:connectlocs="164462,0;2447925,0;2447925,0;2447925,1718767;2283463,1883229;0,1883229;0,1883229;0,164462;164462,0" o:connectangles="0,0,0,0,0,0,0,0,0" textboxrect="0,0,2447925,1883229"/>
                <v:textbox>
                  <w:txbxContent>
                    <w:p w:rsidR="0022740E" w:rsidRPr="00C545E7" w:rsidRDefault="0022740E" w:rsidP="005166F3">
                      <w:pPr>
                        <w:pStyle w:val="HHeading4"/>
                        <w:spacing w:before="0"/>
                        <w:jc w:val="both"/>
                        <w:rPr>
                          <w:i/>
                          <w:color w:val="F07E31" w:themeColor="accent1"/>
                          <w:sz w:val="18"/>
                        </w:rPr>
                      </w:pPr>
                      <w:r>
                        <w:rPr>
                          <w:noProof/>
                          <w:color w:val="373737"/>
                          <w:lang w:bidi="ar-SA"/>
                        </w:rPr>
                        <w:drawing>
                          <wp:inline distT="0" distB="0" distL="0" distR="0" wp14:anchorId="5BA13224" wp14:editId="520D6DB6">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Los modelos lógicos </w:t>
                      </w:r>
                      <w:r>
                        <w:rPr>
                          <w:b w:val="0"/>
                          <w:color w:val="373737" w:themeColor="text1"/>
                        </w:rPr>
                        <w:t>son árboles de decisión que pueden ayudar a las partes interesadas a diseñar un enfoque de evaluación (contrafactual) y a elegir los métodos más adecuados en función de los datos y la información disponibles.</w:t>
                      </w:r>
                    </w:p>
                  </w:txbxContent>
                </v:textbox>
                <w10:wrap type="tight" anchorx="margin"/>
              </v:shape>
            </w:pict>
          </mc:Fallback>
        </mc:AlternateContent>
      </w:r>
      <w:r w:rsidRPr="005667CD">
        <w:t xml:space="preserve"> Los modelos lógicos pueden orientar al evaluador hacia nuevos enfoques, una mejor planificación de la recogida de datos y a iniciar un proceso de estudio de métodos que sean menos dependientes de la disponibilidad de datos (por ejemplo, métodos cualitativos). Los modelos lógicos también pueden ayudar a las autoridades de gestión a planificar y predecir mejor las conclusiones de la evaluación en el contexto determinado (datos, presupuesto de la evaluación y calendario de la misma). </w:t>
      </w:r>
    </w:p>
    <w:p w:rsidR="00FF13C7" w:rsidRPr="005667CD" w:rsidRDefault="00FF13C7" w:rsidP="00FF13C7">
      <w:pPr>
        <w:pStyle w:val="HStandard"/>
        <w:spacing w:after="0"/>
        <w:rPr>
          <w:rFonts w:cs="Arial"/>
          <w:color w:val="373737"/>
          <w:szCs w:val="18"/>
        </w:rPr>
      </w:pPr>
      <w:r w:rsidRPr="005667CD">
        <w:rPr>
          <w:color w:val="373737"/>
        </w:rPr>
        <w:t>Los modelos lógicos ofrecen una guía paso a paso para la concepción de los enfoques de evaluación que permitan una mejor comprensión de:</w:t>
      </w:r>
    </w:p>
    <w:p w:rsidR="00FF13C7" w:rsidRPr="005667CD" w:rsidRDefault="00FF13C7" w:rsidP="00FF13C7">
      <w:pPr>
        <w:pStyle w:val="Hlistbullet"/>
        <w:spacing w:before="0" w:after="0" w:line="280" w:lineRule="atLeast"/>
        <w:ind w:left="502"/>
        <w:rPr>
          <w:rFonts w:cs="Arial"/>
          <w:color w:val="373737"/>
          <w:szCs w:val="18"/>
        </w:rPr>
      </w:pPr>
      <w:r w:rsidRPr="005667CD">
        <w:rPr>
          <w:b/>
          <w:color w:val="373737"/>
        </w:rPr>
        <w:t>POSIBILIDADES:</w:t>
      </w:r>
      <w:r w:rsidRPr="005667CD">
        <w:rPr>
          <w:color w:val="373737"/>
        </w:rPr>
        <w:t xml:space="preserve"> qué combinaciones de datos / indicadores / métodos están disponibles y son adecuadas para responder a las preguntas de evaluación. </w:t>
      </w:r>
    </w:p>
    <w:p w:rsidR="00FF13C7" w:rsidRPr="005667CD" w:rsidRDefault="00FF13C7" w:rsidP="00FF13C7">
      <w:pPr>
        <w:pStyle w:val="Hlistbullet"/>
        <w:spacing w:before="0" w:after="0" w:line="280" w:lineRule="atLeast"/>
        <w:ind w:left="502"/>
        <w:rPr>
          <w:color w:val="373737"/>
          <w:sz w:val="22"/>
        </w:rPr>
      </w:pPr>
      <w:r w:rsidRPr="005667CD">
        <w:rPr>
          <w:b/>
          <w:color w:val="373737"/>
        </w:rPr>
        <w:t>REQUISITOS:</w:t>
      </w:r>
      <w:r w:rsidRPr="005667CD">
        <w:rPr>
          <w:color w:val="373737"/>
        </w:rPr>
        <w:t xml:space="preserve"> qué datos / indicadores / métodos / enfoques son necesarios para valorar los impactos netos y para responder a la pregunta de evaluación.</w:t>
      </w:r>
    </w:p>
    <w:p w:rsidR="00FF13C7" w:rsidRPr="005667CD" w:rsidRDefault="00FF13C7" w:rsidP="00FF13C7">
      <w:pPr>
        <w:pStyle w:val="Hlistbullet"/>
        <w:spacing w:before="0" w:after="0" w:line="280" w:lineRule="atLeast"/>
        <w:ind w:left="502"/>
        <w:rPr>
          <w:color w:val="373737"/>
          <w:sz w:val="22"/>
        </w:rPr>
      </w:pPr>
      <w:r w:rsidRPr="005667CD">
        <w:rPr>
          <w:b/>
          <w:color w:val="373737"/>
        </w:rPr>
        <w:t>CONSECUENCIAS:</w:t>
      </w:r>
      <w:r w:rsidRPr="005667CD">
        <w:rPr>
          <w:color w:val="373737"/>
        </w:rPr>
        <w:t xml:space="preserve"> qué implicaciones tienen las decisiones en las diferentes fases con respecto al coste y la eficacia de la evaluación.</w:t>
      </w:r>
    </w:p>
    <w:p w:rsidR="00E93BEA" w:rsidRPr="005667CD" w:rsidRDefault="009B37D9" w:rsidP="009B37D9">
      <w:pPr>
        <w:pStyle w:val="HStandard"/>
      </w:pPr>
      <w:r w:rsidRPr="005667CD">
        <w:lastRenderedPageBreak/>
        <w:t xml:space="preserve">Los modelos lógicos presentados en las presentes Directrices siguen el enfoque desarrollado por </w:t>
      </w:r>
      <w:hyperlink r:id="rId41">
        <w:r w:rsidRPr="005667CD">
          <w:rPr>
            <w:rStyle w:val="Hyperlink"/>
            <w:u w:val="none"/>
          </w:rPr>
          <w:t>ENVIEVAL</w:t>
        </w:r>
      </w:hyperlink>
      <w:r w:rsidRPr="005667CD">
        <w:rPr>
          <w:rStyle w:val="FootnoteReference"/>
        </w:rPr>
        <w:footnoteReference w:id="26"/>
      </w:r>
      <w:r w:rsidRPr="005667CD">
        <w:t xml:space="preserve"> en el </w:t>
      </w:r>
      <w:hyperlink r:id="rId42">
        <w:r w:rsidRPr="005667CD">
          <w:rPr>
            <w:rStyle w:val="Hyperlink"/>
            <w:i/>
            <w:u w:val="none"/>
          </w:rPr>
          <w:t>Manual metodológico para la evaluación de los impactos medioambientales de los PDR.</w:t>
        </w:r>
        <w:r w:rsidRPr="005667CD">
          <w:rPr>
            <w:rStyle w:val="Hyperlink"/>
            <w:u w:val="none"/>
          </w:rPr>
          <w:t xml:space="preserve"> </w:t>
        </w:r>
      </w:hyperlink>
      <w:r w:rsidRPr="005667CD">
        <w:t>ENVIEVAL desarrolló y probó estas herramientas mejoradas para la evaluación de los impactos medioambientales de las medidas y programas de desarrollo rural en los Estados miembros de la UE</w:t>
      </w:r>
      <w:r w:rsidRPr="005667CD">
        <w:rPr>
          <w:rStyle w:val="FootnoteReference"/>
        </w:rPr>
        <w:footnoteReference w:id="27"/>
      </w:r>
      <w:r w:rsidRPr="005667CD">
        <w:t xml:space="preserve">. </w:t>
      </w:r>
    </w:p>
    <w:p w:rsidR="00AE216A" w:rsidRPr="005667CD" w:rsidRDefault="00AE216A" w:rsidP="00AE216A">
      <w:pPr>
        <w:pStyle w:val="HHeading4"/>
      </w:pPr>
      <w:r w:rsidRPr="005667CD">
        <w:t>Estratos del modelo lógico</w:t>
      </w:r>
    </w:p>
    <w:p w:rsidR="00AE216A" w:rsidRPr="005667CD" w:rsidRDefault="00AE216A" w:rsidP="00AE216A">
      <w:pPr>
        <w:pStyle w:val="HStandard"/>
        <w:rPr>
          <w:rFonts w:cs="Arial"/>
        </w:rPr>
      </w:pPr>
      <w:r w:rsidRPr="005667CD">
        <w:t xml:space="preserve">En la figura 2 se presenta un resumen de los </w:t>
      </w:r>
      <w:r w:rsidRPr="005667CD">
        <w:rPr>
          <w:b/>
        </w:rPr>
        <w:t>cuatro estratos del modelo lógico</w:t>
      </w:r>
      <w:r w:rsidRPr="005667CD">
        <w:t xml:space="preserve">. Esta figura muestra en el </w:t>
      </w:r>
      <w:r w:rsidRPr="005667CD">
        <w:rPr>
          <w:b/>
        </w:rPr>
        <w:t>primer estrato</w:t>
      </w:r>
      <w:r w:rsidRPr="005667CD">
        <w:t xml:space="preserve"> cómo establecer el marco para la valoración. Esto requiere comprender la ubicación de los impactos en la lógica de la intervención, los indicadores disponibles y la unidad de la valoración. El </w:t>
      </w:r>
      <w:r w:rsidRPr="005667CD">
        <w:rPr>
          <w:b/>
        </w:rPr>
        <w:t>segundo estrato</w:t>
      </w:r>
      <w:r w:rsidRPr="005667CD">
        <w:t xml:space="preserve"> identifica las opciones para la hipótesis contrafactual, teniendo en cuenta los factores restrictivos. El </w:t>
      </w:r>
      <w:r w:rsidRPr="005667CD">
        <w:rPr>
          <w:b/>
        </w:rPr>
        <w:t>tercer estrato</w:t>
      </w:r>
      <w:r w:rsidRPr="005667CD">
        <w:t xml:space="preserve"> precisa las opciones en los niveles micro y macro para valorar los impactos netos. Por último, el </w:t>
      </w:r>
      <w:r w:rsidRPr="005667CD">
        <w:rPr>
          <w:b/>
        </w:rPr>
        <w:t>cuarto estrato</w:t>
      </w:r>
      <w:r w:rsidRPr="005667CD">
        <w:t xml:space="preserve"> verifica la coherencia del análisis a niveles micro y macro con el fin de validar las conclusiones. </w:t>
      </w:r>
    </w:p>
    <w:p w:rsidR="00E93BEA" w:rsidRPr="005667CD" w:rsidRDefault="00E93BEA" w:rsidP="00E52947">
      <w:pPr>
        <w:pStyle w:val="HHeadingfigures"/>
      </w:pPr>
      <w:r w:rsidRPr="005667CD">
        <w:t>Diagrama simplificado de los estratos del modelo lógico</w:t>
      </w:r>
    </w:p>
    <w:p w:rsidR="00E93BEA" w:rsidRPr="005667CD" w:rsidRDefault="00244515" w:rsidP="00244515">
      <w:pPr>
        <w:pStyle w:val="HStandard"/>
        <w:jc w:val="center"/>
      </w:pPr>
      <w:r w:rsidRPr="005667CD">
        <w:rPr>
          <w:noProof/>
        </w:rPr>
        <w:drawing>
          <wp:inline distT="0" distB="0" distL="0" distR="0" wp14:anchorId="60C231A8" wp14:editId="14F7F3A5">
            <wp:extent cx="5785327" cy="3260271"/>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93295" cy="3264761"/>
                    </a:xfrm>
                    <a:prstGeom prst="rect">
                      <a:avLst/>
                    </a:prstGeom>
                    <a:noFill/>
                    <a:ln>
                      <a:noFill/>
                    </a:ln>
                  </pic:spPr>
                </pic:pic>
              </a:graphicData>
            </a:graphic>
          </wp:inline>
        </w:drawing>
      </w:r>
    </w:p>
    <w:p w:rsidR="004F365B" w:rsidRPr="005667CD" w:rsidRDefault="004F365B" w:rsidP="004F365B">
      <w:pPr>
        <w:pStyle w:val="HSource"/>
        <w:rPr>
          <w:i w:val="0"/>
        </w:rPr>
      </w:pPr>
      <w:r w:rsidRPr="005667CD">
        <w:t xml:space="preserve">Fuente: Servicio de asistencia de evaluación para el desarrollo rural (2018), adaptado de ENVIEVAL (2015): Manual metodológico para la evaluación de los impactos medioambientales de los PDR: Informe D9.5. Bruselas: Comisión Europea. </w:t>
      </w:r>
    </w:p>
    <w:p w:rsidR="00B52943" w:rsidRPr="005667CD" w:rsidRDefault="00B52943" w:rsidP="00AE216A">
      <w:pPr>
        <w:pStyle w:val="HStandard"/>
        <w:rPr>
          <w:rFonts w:cs="Arial"/>
        </w:rPr>
      </w:pPr>
    </w:p>
    <w:p w:rsidR="00AE216A" w:rsidRPr="005667CD" w:rsidRDefault="00AE216A" w:rsidP="00AE216A">
      <w:pPr>
        <w:pStyle w:val="HStandard"/>
        <w:rPr>
          <w:rFonts w:cs="Arial"/>
        </w:rPr>
      </w:pPr>
      <w:r w:rsidRPr="005667CD">
        <w:t xml:space="preserve">Los estratos del modelo lógico se utilizan como punto de referencia para la descripción de los enfoques de evaluación propuestos para los indicadores de impacto de la PAC (véanse los capítulos 2.2 – 2.9). </w:t>
      </w:r>
    </w:p>
    <w:p w:rsidR="006B44E5" w:rsidRPr="005667CD" w:rsidRDefault="006B44E5">
      <w:pPr>
        <w:spacing w:before="0" w:after="0" w:line="240" w:lineRule="auto"/>
        <w:jc w:val="left"/>
        <w:rPr>
          <w:b/>
          <w:color w:val="57825E" w:themeColor="accent4"/>
          <w:sz w:val="20"/>
          <w:szCs w:val="20"/>
        </w:rPr>
      </w:pPr>
      <w:r w:rsidRPr="005667CD">
        <w:br w:type="page"/>
      </w:r>
    </w:p>
    <w:p w:rsidR="00E93BEA" w:rsidRPr="005667CD" w:rsidRDefault="00E93BEA" w:rsidP="00E93BEA">
      <w:pPr>
        <w:pStyle w:val="HHeading4"/>
      </w:pPr>
      <w:r w:rsidRPr="005667CD">
        <w:lastRenderedPageBreak/>
        <w:t>Creación del marco para la valoración (primer estrato)</w:t>
      </w:r>
    </w:p>
    <w:p w:rsidR="00E93BEA" w:rsidRPr="005667CD" w:rsidRDefault="000B213F" w:rsidP="00E93BEA">
      <w:pPr>
        <w:pStyle w:val="HStandard"/>
        <w:rPr>
          <w:rFonts w:cs="Arial"/>
        </w:rPr>
      </w:pPr>
      <w:r w:rsidRPr="005667CD">
        <w:rPr>
          <w:b/>
          <w:i/>
          <w:noProof/>
          <w:color w:val="F07E31" w:themeColor="accent1"/>
          <w:lang w:bidi="ar-SA"/>
        </w:rPr>
        <mc:AlternateContent>
          <mc:Choice Requires="wps">
            <w:drawing>
              <wp:anchor distT="0" distB="0" distL="114300" distR="114300" simplePos="0" relativeHeight="251729408" behindDoc="0" locked="0" layoutInCell="1" allowOverlap="1" wp14:anchorId="074AACDA" wp14:editId="56D5EB9B">
                <wp:simplePos x="0" y="0"/>
                <wp:positionH relativeFrom="margin">
                  <wp:posOffset>-40005</wp:posOffset>
                </wp:positionH>
                <wp:positionV relativeFrom="paragraph">
                  <wp:posOffset>86995</wp:posOffset>
                </wp:positionV>
                <wp:extent cx="2286000" cy="2786380"/>
                <wp:effectExtent l="0" t="0" r="19050" b="13970"/>
                <wp:wrapThrough wrapText="bothSides">
                  <wp:wrapPolygon edited="0">
                    <wp:start x="900" y="0"/>
                    <wp:lineTo x="0" y="738"/>
                    <wp:lineTo x="0" y="21561"/>
                    <wp:lineTo x="20880" y="21561"/>
                    <wp:lineTo x="21420" y="21265"/>
                    <wp:lineTo x="21600" y="20822"/>
                    <wp:lineTo x="21600" y="0"/>
                    <wp:lineTo x="900" y="0"/>
                  </wp:wrapPolygon>
                </wp:wrapThrough>
                <wp:docPr id="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786380"/>
                        </a:xfrm>
                        <a:prstGeom prst="round2DiagRect">
                          <a:avLst>
                            <a:gd name="adj1" fmla="val 8733"/>
                            <a:gd name="adj2" fmla="val 0"/>
                          </a:avLst>
                        </a:prstGeom>
                        <a:noFill/>
                        <a:ln w="25400" cap="flat" cmpd="sng" algn="ctr">
                          <a:solidFill>
                            <a:srgbClr val="BE4A35"/>
                          </a:solidFill>
                          <a:prstDash val="solid"/>
                        </a:ln>
                        <a:effectLst/>
                      </wps:spPr>
                      <wps:txbx>
                        <w:txbxContent>
                          <w:p w:rsidR="0022740E" w:rsidRPr="00044269" w:rsidRDefault="0022740E" w:rsidP="005166F3">
                            <w:pPr>
                              <w:pStyle w:val="HHeading4"/>
                              <w:spacing w:before="0"/>
                              <w:jc w:val="both"/>
                              <w:rPr>
                                <w:b w:val="0"/>
                                <w:i/>
                                <w:color w:val="F07E31" w:themeColor="accent1"/>
                                <w:sz w:val="18"/>
                              </w:rPr>
                            </w:pPr>
                            <w:r>
                              <w:rPr>
                                <w:noProof/>
                                <w:color w:val="373737"/>
                                <w:lang w:bidi="ar-SA"/>
                              </w:rPr>
                              <w:drawing>
                                <wp:inline distT="0" distB="0" distL="0" distR="0" wp14:anchorId="3B2CED2B" wp14:editId="45935B2B">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La valoración de una repercusión determinada </w:t>
                            </w:r>
                            <w:r>
                              <w:rPr>
                                <w:b w:val="0"/>
                                <w:color w:val="373737" w:themeColor="text1"/>
                              </w:rPr>
                              <w:t>(sectorial, medioambiental o socioeconómica) comienza con la creación de un marco de evaluación coherente. Esto ayuda a establecer claramente la ubicación de la repercusión dentro de la lógica de la intervención y muestra los indicadores disponibles y las unidades de análisis para su medición.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74AACDA" id="_x0000_s1031" style="position:absolute;left:0;text-align:left;margin-left:-3.15pt;margin-top:6.85pt;width:180pt;height:219.4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2286000,2786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" adj="-11796480,,5400" path="m199636,l2286000,r,l2286000,2586744v,110256,-89380,199636,-199636,199636l,2786380r,l,199636c,89380,89380,,199636,xe" filled="f" strokecolor="#be4a35" strokeweight="2pt">
                <v:stroke joinstyle="miter"/>
                <v:formulas/>
                <v:path arrowok="t" o:connecttype="custom" o:connectlocs="199636,0;2286000,0;2286000,0;2286000,2586744;2086364,2786380;0,2786380;0,2786380;0,199636;199636,0" o:connectangles="0,0,0,0,0,0,0,0,0" textboxrect="0,0,2286000,2786380"/>
                <v:textbox>
                  <w:txbxContent>
                    <w:p w:rsidR="0022740E" w:rsidRPr="00044269" w:rsidRDefault="0022740E" w:rsidP="005166F3">
                      <w:pPr>
                        <w:pStyle w:val="HHeading4"/>
                        <w:spacing w:before="0"/>
                        <w:jc w:val="both"/>
                        <w:rPr>
                          <w:b w:val="0"/>
                          <w:i/>
                          <w:color w:val="F07E31" w:themeColor="accent1"/>
                          <w:sz w:val="18"/>
                        </w:rPr>
                      </w:pPr>
                      <w:r>
                        <w:rPr>
                          <w:noProof/>
                          <w:color w:val="373737"/>
                          <w:lang w:bidi="ar-SA"/>
                        </w:rPr>
                        <w:drawing>
                          <wp:inline distT="0" distB="0" distL="0" distR="0" wp14:anchorId="3B2CED2B" wp14:editId="45935B2B">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La valoración de una repercusión determinada </w:t>
                      </w:r>
                      <w:r>
                        <w:rPr>
                          <w:b w:val="0"/>
                          <w:color w:val="373737" w:themeColor="text1"/>
                        </w:rPr>
                        <w:t>(sectorial, medioambiental o socioeconómica) comienza con la creación de un marco de evaluación coherente. Esto ayuda a establecer claramente la ubicación de la repercusión dentro de la lógica de la intervención y muestra los indicadores disponibles y las unidades de análisis para su medición.</w:t>
                      </w:r>
                    </w:p>
                  </w:txbxContent>
                </v:textbox>
                <w10:wrap type="through" anchorx="margin"/>
              </v:shape>
            </w:pict>
          </mc:Fallback>
        </mc:AlternateContent>
      </w:r>
      <w:r w:rsidRPr="005667CD">
        <w:t xml:space="preserve"> El marco para la valoración puede prepararse siguiendo estos pasos:</w:t>
      </w:r>
    </w:p>
    <w:p w:rsidR="00E93BEA" w:rsidRPr="005667CD" w:rsidRDefault="0084519A" w:rsidP="00E93BEA">
      <w:pPr>
        <w:pStyle w:val="HStandard"/>
        <w:rPr>
          <w:rFonts w:cs="Arial"/>
        </w:rPr>
      </w:pPr>
      <w:r w:rsidRPr="005667CD">
        <w:rPr>
          <w:b/>
          <w:color w:val="F07E31" w:themeColor="accent1"/>
        </w:rPr>
        <w:t>Primer paso - Explicar la lógica de intervención del sistema común de seguimiento y evaluación:</w:t>
      </w:r>
      <w:r w:rsidRPr="005667CD">
        <w:t xml:space="preserve"> La lógica de intervención muestra la jerarquía de los objetivos de las políticas en relación con las preguntas de evaluación, las medidas y los ámbitos de interés pertinentes, así como con </w:t>
      </w:r>
      <w:r w:rsidRPr="005667CD">
        <w:rPr>
          <w:b/>
        </w:rPr>
        <w:t>los indicadores de rendimiento, resultado e impacto del sistema común de seguimiento y evaluación</w:t>
      </w:r>
      <w:r w:rsidRPr="005667CD">
        <w:t>. Los indicadores se revisan en el contexto de los datos disponibles.</w:t>
      </w:r>
    </w:p>
    <w:p w:rsidR="000C2540" w:rsidRPr="005667CD" w:rsidRDefault="0084519A" w:rsidP="000C2540">
      <w:pPr>
        <w:pStyle w:val="HStandard"/>
        <w:rPr>
          <w:rFonts w:cs="Arial"/>
          <w:bCs/>
        </w:rPr>
      </w:pPr>
      <w:r w:rsidRPr="005667CD">
        <w:rPr>
          <w:b/>
          <w:color w:val="F07E31" w:themeColor="accent1"/>
        </w:rPr>
        <w:t xml:space="preserve">Segundo paso - Seleccionar indicadores adicionales (resultado y / o impacto): </w:t>
      </w:r>
      <w:r w:rsidRPr="005667CD">
        <w:t xml:space="preserve">Estos indicadores pueden complementar los indicadores obligatorios del sistema común de seguimiento e información. </w:t>
      </w:r>
      <w:r w:rsidRPr="005667CD">
        <w:rPr>
          <w:b/>
        </w:rPr>
        <w:t>La utilización de cualquier indicador adicional es voluntaria</w:t>
      </w:r>
      <w:r w:rsidRPr="005667CD">
        <w:t xml:space="preserve"> y debe considerarse cuidadosamente, teniendo en cuenta los costes, la disponibilidad de los datos, la idoneidad y el valor añadido para la valoración. Los indicadores adicionales pueden ser útiles para cuantificar los resultados e impactos netos si los datos de los indicadores comunes no son suficientes o si es necesario subsanar las lagunas en los indicadores comunes de resultados e impactos. Los indicadores adicionales también pueden ser de naturaleza cualitativa (por ejemplo, grado de cambio percibido por las partes interesadas sobre la base de una escala de Likert) para complementar las pruebas cuantitativas o en ausencia de cualquier evidencia cuantificable alternativa. </w:t>
      </w:r>
    </w:p>
    <w:p w:rsidR="00560A1E" w:rsidRPr="005667CD" w:rsidRDefault="0084519A" w:rsidP="00E93BEA">
      <w:pPr>
        <w:pStyle w:val="HStandard"/>
        <w:rPr>
          <w:rFonts w:cs="Arial"/>
        </w:rPr>
      </w:pPr>
      <w:r w:rsidRPr="005667CD">
        <w:rPr>
          <w:b/>
          <w:color w:val="F07E31" w:themeColor="accent1"/>
        </w:rPr>
        <w:t xml:space="preserve">Tercer paso - Definir la unidad de análisis (= la «parte más pequeña de un sistema organizado») para la valoración a niveles micro y macro (si procede): </w:t>
      </w:r>
      <w:r w:rsidRPr="005667CD">
        <w:t xml:space="preserve">Las unidades de análisis a nivel micro podrían ser las explotaciones, las parcelas, las comunidades o las regiones, mientras que a nivel macro podrían ser una cuenca, una unidad regional o todo el territorio del PDR. Una vez definida la unidad de análisis, el indicador puede medir los cambios en la gestión de las tierras y los cambios medioambientales, sectoriales o socioeconómicos causados por las intervenciones del PDR. Los datos </w:t>
      </w:r>
      <w:r w:rsidR="005667CD" w:rsidRPr="005667CD">
        <w:t>correspondientes</w:t>
      </w:r>
      <w:r w:rsidRPr="005667CD">
        <w:t xml:space="preserve"> deben recopilarse para la misma categoría de unidad e incluir a los beneficiarios y no beneficiarios del programa.</w:t>
      </w:r>
    </w:p>
    <w:p w:rsidR="00E93BEA" w:rsidRPr="005667CD" w:rsidRDefault="00E93BEA" w:rsidP="00E93BEA">
      <w:pPr>
        <w:pStyle w:val="HHeading4"/>
      </w:pPr>
      <w:r w:rsidRPr="005667CD">
        <w:t>Elaboración de la hipótesis contrafactual (segundo estrato)</w:t>
      </w:r>
    </w:p>
    <w:p w:rsidR="00391ECD" w:rsidRPr="005667CD" w:rsidRDefault="000B213F" w:rsidP="002D4AB7">
      <w:pPr>
        <w:pStyle w:val="HStandard"/>
        <w:rPr>
          <w:rFonts w:cs="Arial"/>
        </w:rPr>
      </w:pPr>
      <w:r w:rsidRPr="005667CD">
        <w:rPr>
          <w:b/>
          <w:i/>
          <w:noProof/>
          <w:color w:val="F07E31" w:themeColor="accent1"/>
          <w:lang w:bidi="ar-SA"/>
        </w:rPr>
        <mc:AlternateContent>
          <mc:Choice Requires="wps">
            <w:drawing>
              <wp:anchor distT="0" distB="0" distL="114300" distR="114300" simplePos="0" relativeHeight="251730432" behindDoc="0" locked="0" layoutInCell="1" allowOverlap="1" wp14:anchorId="67BC6CED" wp14:editId="42ABB536">
                <wp:simplePos x="0" y="0"/>
                <wp:positionH relativeFrom="column">
                  <wp:posOffset>3236595</wp:posOffset>
                </wp:positionH>
                <wp:positionV relativeFrom="paragraph">
                  <wp:posOffset>41275</wp:posOffset>
                </wp:positionV>
                <wp:extent cx="2447925" cy="1676400"/>
                <wp:effectExtent l="0" t="0" r="28575" b="19050"/>
                <wp:wrapThrough wrapText="bothSides">
                  <wp:wrapPolygon edited="0">
                    <wp:start x="504" y="0"/>
                    <wp:lineTo x="0" y="736"/>
                    <wp:lineTo x="0" y="21600"/>
                    <wp:lineTo x="21348" y="21600"/>
                    <wp:lineTo x="21684" y="20864"/>
                    <wp:lineTo x="21684" y="0"/>
                    <wp:lineTo x="504" y="0"/>
                  </wp:wrapPolygon>
                </wp:wrapThrough>
                <wp:docPr id="38"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676400"/>
                        </a:xfrm>
                        <a:prstGeom prst="round2DiagRect">
                          <a:avLst>
                            <a:gd name="adj1" fmla="val 8733"/>
                            <a:gd name="adj2" fmla="val 0"/>
                          </a:avLst>
                        </a:prstGeom>
                        <a:noFill/>
                        <a:ln w="25400" cap="flat" cmpd="sng" algn="ctr">
                          <a:solidFill>
                            <a:srgbClr val="BE4A35"/>
                          </a:solidFill>
                          <a:prstDash val="solid"/>
                        </a:ln>
                        <a:effectLst/>
                      </wps:spPr>
                      <wps:txbx>
                        <w:txbxContent>
                          <w:p w:rsidR="0022740E" w:rsidRPr="00044269" w:rsidRDefault="0022740E" w:rsidP="005166F3">
                            <w:pPr>
                              <w:pStyle w:val="HHeading4"/>
                              <w:spacing w:before="0"/>
                              <w:jc w:val="both"/>
                              <w:rPr>
                                <w:b w:val="0"/>
                                <w:i/>
                                <w:color w:val="373737" w:themeColor="text1"/>
                                <w:sz w:val="18"/>
                              </w:rPr>
                            </w:pPr>
                            <w:r>
                              <w:rPr>
                                <w:noProof/>
                                <w:color w:val="373737" w:themeColor="text1"/>
                                <w:lang w:bidi="ar-SA"/>
                              </w:rPr>
                              <w:drawing>
                                <wp:inline distT="0" distB="0" distL="0" distR="0" wp14:anchorId="14D588C4" wp14:editId="5EEC7B47">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Los efectos del programa</w:t>
                            </w:r>
                            <w:r>
                              <w:rPr>
                                <w:b w:val="0"/>
                                <w:color w:val="373737" w:themeColor="text1"/>
                              </w:rPr>
                              <w:t xml:space="preserve"> nunca pueden observarse directamente debido a la intervención de otros factores y, por lo tanto, su valoración requiere el uso de un análisis contrafactual.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BC6CED" id="_x0000_s1032" style="position:absolute;left:0;text-align:left;margin-left:254.85pt;margin-top:3.25pt;width:192.75pt;height:132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47925,167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" adj="-11796480,,5400" path="m146400,l2447925,r,l2447925,1530000v,80854,-65546,146400,-146400,146400l,1676400r,l,146400c,65546,65546,,146400,xe" filled="f" strokecolor="#be4a35" strokeweight="2pt">
                <v:stroke joinstyle="miter"/>
                <v:formulas/>
                <v:path arrowok="t" o:connecttype="custom" o:connectlocs="146400,0;2447925,0;2447925,0;2447925,1530000;2301525,1676400;0,1676400;0,1676400;0,146400;146400,0" o:connectangles="0,0,0,0,0,0,0,0,0" textboxrect="0,0,2447925,1676400"/>
                <v:textbox>
                  <w:txbxContent>
                    <w:p w:rsidR="0022740E" w:rsidRPr="00044269" w:rsidRDefault="0022740E" w:rsidP="005166F3">
                      <w:pPr>
                        <w:pStyle w:val="HHeading4"/>
                        <w:spacing w:before="0"/>
                        <w:jc w:val="both"/>
                        <w:rPr>
                          <w:b w:val="0"/>
                          <w:i/>
                          <w:color w:val="373737" w:themeColor="text1"/>
                          <w:sz w:val="18"/>
                        </w:rPr>
                      </w:pPr>
                      <w:r>
                        <w:rPr>
                          <w:noProof/>
                          <w:color w:val="373737" w:themeColor="text1"/>
                          <w:lang w:bidi="ar-SA"/>
                        </w:rPr>
                        <w:drawing>
                          <wp:inline distT="0" distB="0" distL="0" distR="0" wp14:anchorId="14D588C4" wp14:editId="5EEC7B47">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Los efectos del programa</w:t>
                      </w:r>
                      <w:r>
                        <w:rPr>
                          <w:b w:val="0"/>
                          <w:color w:val="373737" w:themeColor="text1"/>
                        </w:rPr>
                        <w:t xml:space="preserve"> nunca pueden observarse directamente debido a la intervención de otros factores y, por lo tanto, su valoración requiere el uso de un análisis contrafactual.</w:t>
                      </w:r>
                    </w:p>
                  </w:txbxContent>
                </v:textbox>
                <w10:wrap type="through"/>
              </v:shape>
            </w:pict>
          </mc:Fallback>
        </mc:AlternateContent>
      </w:r>
      <w:r w:rsidRPr="005667CD">
        <w:t xml:space="preserve"> El efecto del programa es la diferencia en el valor del resultado específico (por ejemplo, valor bruto añadido o productividad laboral) para la misma unidad con el programa y sin el programa. Esta definición es válida para cualquier unidad de análisis (por ejemplo, persona, explotación, empresa, superficie de tierra, comunidad, población, región, área de programación o país) y cualquier resultado (expresado en términos de indicadores sectoriales, medioambientales o socioeconómicos) que pueda vincularse verosímilmente al programa.</w:t>
      </w:r>
    </w:p>
    <w:p w:rsidR="00156043" w:rsidRPr="005667CD" w:rsidRDefault="00156043" w:rsidP="002D4AB7">
      <w:pPr>
        <w:pStyle w:val="HStandard"/>
      </w:pPr>
    </w:p>
    <w:p w:rsidR="002D4AB7" w:rsidRPr="005667CD" w:rsidRDefault="002D4AB7" w:rsidP="002D4AB7">
      <w:pPr>
        <w:pStyle w:val="HStandard"/>
        <w:rPr>
          <w:rFonts w:cs="Arial"/>
        </w:rPr>
      </w:pPr>
      <w:r w:rsidRPr="005667CD">
        <w:lastRenderedPageBreak/>
        <w:t xml:space="preserve">El segundo estrato ayuda al evaluador a identificar el tipo o tipos de hipótesis contrafactuales que pueden elaborarse con los datos disponibles. Tiene en cuenta varios factores restrictivos (por ejemplo, escasa disponibilidad de datos, contratos de evaluación a corto plazo, capacidad de evaluación limitada) y también contribuye a identificar segundas opciones de soluciones viables (por ejemplo, para la valoración de los impactos medioambientales). Es importante proceder a una exploración sistemática de las posibles opciones para diseñar una hipótesis contrafactual, aunque haya escasez de datos. La exploración ofrece información valiosa acerca de las condiciones que deben cumplirse para aplicar una hipótesis contrafactual sólida y muestra opciones alternativas (por ejemplo, comparaciones de grupo creíbles, valoraciones cualitativas). </w:t>
      </w:r>
    </w:p>
    <w:p w:rsidR="00A41C7D" w:rsidRPr="005667CD" w:rsidRDefault="00E93BEA" w:rsidP="000B6372">
      <w:pPr>
        <w:pStyle w:val="HStandard"/>
      </w:pPr>
      <w:r w:rsidRPr="005667CD">
        <w:t xml:space="preserve">En el modelo lógico, el estrato contrafactual es aplicable tanto a las valoraciones a nivel micro como a nivel macro y está vinculado a la elección del enfoque y los métodos de evaluación. </w:t>
      </w:r>
      <w:r w:rsidRPr="005667CD">
        <w:rPr>
          <w:b/>
        </w:rPr>
        <w:t>Corresponde al evaluador del programa decidir a qué escala (micro/macro) se realiza el análisis de los efectos del programa.</w:t>
      </w:r>
      <w:r w:rsidRPr="005667CD">
        <w:t xml:space="preserve"> Esta decisión dependerá de los datos disponibles y precederá a la elección de la unidad de análisis para la que se recogen datos (económicos, medioambientales o socioeconómicos). </w:t>
      </w:r>
    </w:p>
    <w:p w:rsidR="00A41C7D" w:rsidRPr="005667CD" w:rsidRDefault="00C87859">
      <w:pPr>
        <w:spacing w:before="0" w:after="0" w:line="240" w:lineRule="auto"/>
        <w:jc w:val="left"/>
        <w:rPr>
          <w:color w:val="373737" w:themeColor="text1"/>
          <w:sz w:val="20"/>
          <w:szCs w:val="20"/>
        </w:rPr>
      </w:pPr>
      <w:r w:rsidRPr="005667CD">
        <w:rPr>
          <w:noProof/>
          <w:lang w:bidi="ar-SA"/>
        </w:rPr>
        <mc:AlternateContent>
          <mc:Choice Requires="wps">
            <w:drawing>
              <wp:anchor distT="0" distB="0" distL="114300" distR="114300" simplePos="0" relativeHeight="251732480" behindDoc="0" locked="0" layoutInCell="1" allowOverlap="1" wp14:anchorId="5053AEC9" wp14:editId="35652A84">
                <wp:simplePos x="0" y="0"/>
                <wp:positionH relativeFrom="margin">
                  <wp:align>right</wp:align>
                </wp:positionH>
                <wp:positionV relativeFrom="paragraph">
                  <wp:posOffset>86360</wp:posOffset>
                </wp:positionV>
                <wp:extent cx="5731510" cy="1725386"/>
                <wp:effectExtent l="0" t="0" r="21590" b="27305"/>
                <wp:wrapNone/>
                <wp:docPr id="46"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725386"/>
                        </a:xfrm>
                        <a:prstGeom prst="round2DiagRect">
                          <a:avLst>
                            <a:gd name="adj1" fmla="val 8733"/>
                            <a:gd name="adj2" fmla="val 0"/>
                          </a:avLst>
                        </a:prstGeom>
                        <a:noFill/>
                        <a:ln w="25400" cap="flat" cmpd="sng" algn="ctr">
                          <a:solidFill>
                            <a:srgbClr val="BE4A35"/>
                          </a:solidFill>
                          <a:prstDash val="solid"/>
                        </a:ln>
                        <a:effectLst/>
                      </wps:spPr>
                      <wps:txbx>
                        <w:txbxContent>
                          <w:p w:rsidR="0022740E" w:rsidRPr="009B4B57" w:rsidRDefault="0022740E" w:rsidP="005166F3">
                            <w:pPr>
                              <w:pStyle w:val="HHeading4"/>
                              <w:spacing w:before="0"/>
                              <w:jc w:val="both"/>
                              <w:rPr>
                                <w:rFonts w:cs="Arial"/>
                                <w:b w:val="0"/>
                                <w:color w:val="373737" w:themeColor="text1"/>
                              </w:rPr>
                            </w:pPr>
                            <w:r>
                              <w:rPr>
                                <w:noProof/>
                                <w:color w:val="373737" w:themeColor="text1"/>
                                <w:lang w:bidi="ar-SA"/>
                              </w:rPr>
                              <w:drawing>
                                <wp:inline distT="0" distB="0" distL="0" distR="0" wp14:anchorId="5070129F" wp14:editId="768733B4">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Los Estados miembros con varios PDR </w:t>
                            </w:r>
                            <w:r>
                              <w:rPr>
                                <w:b w:val="0"/>
                                <w:color w:val="373737" w:themeColor="text1"/>
                              </w:rPr>
                              <w:t>pueden hacer frente al hecho de que las fuentes de datos de la UE (por ejemplo, Eurostat) no proporcionen valores para los indicadores comunes de impacto de la PAC al nivel de cada uno de los PDR regionales. En tal caso, el valor regional del indicador (NUTS 2) podrá calcularse a partir de los datos nacionales o, si es posible, sumando los datos basados en las unidades recogidas en cada región respectiva (I.01, I.02, I.03).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53AEC9" id="_x0000_s1033" style="position:absolute;margin-left:400.1pt;margin-top:6.8pt;width:451.3pt;height:135.85pt;z-index:25173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5731510,17253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" adj="-11796480,,5400" path="m150678,l5731510,r,l5731510,1574708v,83217,-67461,150678,-150678,150678l,1725386r,l,150678c,67461,67461,,150678,xe" filled="f" strokecolor="#be4a35" strokeweight="2pt">
                <v:stroke joinstyle="miter"/>
                <v:formulas/>
                <v:path arrowok="t" o:connecttype="custom" o:connectlocs="150678,0;5731510,0;5731510,0;5731510,1574708;5580832,1725386;0,1725386;0,1725386;0,150678;150678,0" o:connectangles="0,0,0,0,0,0,0,0,0" textboxrect="0,0,5731510,1725386"/>
                <v:textbox>
                  <w:txbxContent>
                    <w:p w:rsidR="0022740E" w:rsidRPr="009B4B57" w:rsidRDefault="0022740E" w:rsidP="005166F3">
                      <w:pPr>
                        <w:pStyle w:val="HHeading4"/>
                        <w:spacing w:before="0"/>
                        <w:jc w:val="both"/>
                        <w:rPr>
                          <w:rFonts w:cs="Arial"/>
                          <w:b w:val="0"/>
                          <w:color w:val="373737" w:themeColor="text1"/>
                        </w:rPr>
                      </w:pPr>
                      <w:r>
                        <w:rPr>
                          <w:noProof/>
                          <w:color w:val="373737" w:themeColor="text1"/>
                          <w:lang w:bidi="ar-SA"/>
                        </w:rPr>
                        <w:drawing>
                          <wp:inline distT="0" distB="0" distL="0" distR="0" wp14:anchorId="5070129F" wp14:editId="768733B4">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Los Estados miembros con varios PDR </w:t>
                      </w:r>
                      <w:r>
                        <w:rPr>
                          <w:b w:val="0"/>
                          <w:color w:val="373737" w:themeColor="text1"/>
                        </w:rPr>
                        <w:t>pueden hacer frente al hecho de que las fuentes de datos de la UE (por ejemplo, Eurostat) no proporcionen valores para los indicadores comunes de impacto de la PAC al nivel de cada uno de los PDR regionales. En tal caso, el valor regional del indicador (NUTS 2) podrá calcularse a partir de los datos nacionales o, si es posible, sumando los datos basados en las unidades recogidas en cada región respectiva (I.01, I.02, I.03).</w:t>
                      </w:r>
                    </w:p>
                  </w:txbxContent>
                </v:textbox>
                <w10:wrap anchorx="margin"/>
              </v:shape>
            </w:pict>
          </mc:Fallback>
        </mc:AlternateContent>
      </w:r>
      <w:r w:rsidRPr="005667CD">
        <w:br w:type="page"/>
      </w:r>
    </w:p>
    <w:p w:rsidR="00A41C7D" w:rsidRPr="005667CD" w:rsidRDefault="000B213F" w:rsidP="000B6372">
      <w:pPr>
        <w:pStyle w:val="HStandard"/>
        <w:rPr>
          <w:rFonts w:cs="Arial"/>
        </w:rPr>
      </w:pPr>
      <w:r w:rsidRPr="005667CD">
        <w:rPr>
          <w:b/>
          <w:i/>
          <w:noProof/>
          <w:color w:val="F07E31" w:themeColor="accent1"/>
          <w:lang w:bidi="ar-SA"/>
        </w:rPr>
        <w:lastRenderedPageBreak/>
        <mc:AlternateContent>
          <mc:Choice Requires="wps">
            <w:drawing>
              <wp:anchor distT="0" distB="0" distL="114300" distR="114300" simplePos="0" relativeHeight="251733504" behindDoc="0" locked="0" layoutInCell="1" allowOverlap="1" wp14:anchorId="051CC719" wp14:editId="3C0EC5F3">
                <wp:simplePos x="0" y="0"/>
                <wp:positionH relativeFrom="column">
                  <wp:posOffset>-116114</wp:posOffset>
                </wp:positionH>
                <wp:positionV relativeFrom="paragraph">
                  <wp:posOffset>-105228</wp:posOffset>
                </wp:positionV>
                <wp:extent cx="6229350" cy="8556172"/>
                <wp:effectExtent l="0" t="0" r="19050" b="16510"/>
                <wp:wrapNone/>
                <wp:docPr id="946" name="Rectangle: Rounded Corners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0" cy="8556172"/>
                        </a:xfrm>
                        <a:prstGeom prst="roundRect">
                          <a:avLst>
                            <a:gd name="adj" fmla="val 456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21812" id="Rectangle: Rounded Corners 946" o:spid="_x0000_s1026" style="position:absolute;margin-left:-9.15pt;margin-top:-8.3pt;width:490.5pt;height:673.7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" filled="f" strokecolor="#be4a35 [3205]" strokeweight="2pt">
                <v:path arrowok="t"/>
              </v:roundrect>
            </w:pict>
          </mc:Fallback>
        </mc:AlternateContent>
      </w:r>
      <w:r w:rsidRPr="005667CD">
        <w:rPr>
          <w:b/>
          <w:i/>
          <w:noProof/>
          <w:color w:val="F07E31" w:themeColor="accent1"/>
          <w:lang w:bidi="ar-SA"/>
        </w:rPr>
        <mc:AlternateContent>
          <mc:Choice Requires="wps">
            <w:drawing>
              <wp:inline distT="0" distB="0" distL="0" distR="0" wp14:anchorId="1DCCDA24" wp14:editId="56D948E8">
                <wp:extent cx="6093460" cy="2609850"/>
                <wp:effectExtent l="0" t="0" r="2540" b="0"/>
                <wp:docPr id="909"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3460" cy="2609850"/>
                        </a:xfrm>
                        <a:custGeom>
                          <a:avLst/>
                          <a:gdLst>
                            <a:gd name="T0" fmla="*/ 150406 w 6093460"/>
                            <a:gd name="T1" fmla="*/ 0 h 2609850"/>
                            <a:gd name="T2" fmla="*/ 6093460 w 6093460"/>
                            <a:gd name="T3" fmla="*/ 0 h 2609850"/>
                            <a:gd name="T4" fmla="*/ 6093460 w 6093460"/>
                            <a:gd name="T5" fmla="*/ 0 h 2609850"/>
                            <a:gd name="T6" fmla="*/ 6093460 w 6093460"/>
                            <a:gd name="T7" fmla="*/ 2459444 h 2609850"/>
                            <a:gd name="T8" fmla="*/ 5943054 w 6093460"/>
                            <a:gd name="T9" fmla="*/ 2609850 h 2609850"/>
                            <a:gd name="T10" fmla="*/ 0 w 6093460"/>
                            <a:gd name="T11" fmla="*/ 2609850 h 2609850"/>
                            <a:gd name="T12" fmla="*/ 0 w 6093460"/>
                            <a:gd name="T13" fmla="*/ 2609850 h 2609850"/>
                            <a:gd name="T14" fmla="*/ 0 w 6093460"/>
                            <a:gd name="T15" fmla="*/ 150406 h 2609850"/>
                            <a:gd name="T16" fmla="*/ 150406 w 6093460"/>
                            <a:gd name="T17" fmla="*/ 0 h 2609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093460"/>
                            <a:gd name="T28" fmla="*/ 0 h 2609850"/>
                            <a:gd name="T29" fmla="*/ 6093460 w 6093460"/>
                            <a:gd name="T30" fmla="*/ 2609850 h 2609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093460" h="2609850">
                              <a:moveTo>
                                <a:pt x="150406" y="0"/>
                              </a:moveTo>
                              <a:lnTo>
                                <a:pt x="6093460" y="0"/>
                              </a:lnTo>
                              <a:lnTo>
                                <a:pt x="6093460" y="2459444"/>
                              </a:lnTo>
                              <a:cubicBezTo>
                                <a:pt x="6093460" y="2542511"/>
                                <a:pt x="6026121" y="2609850"/>
                                <a:pt x="5943054" y="2609850"/>
                              </a:cubicBezTo>
                              <a:lnTo>
                                <a:pt x="0" y="2609850"/>
                              </a:lnTo>
                              <a:lnTo>
                                <a:pt x="0" y="150406"/>
                              </a:lnTo>
                              <a:cubicBezTo>
                                <a:pt x="0" y="67339"/>
                                <a:pt x="67339" y="0"/>
                                <a:pt x="150406" y="0"/>
                              </a:cubicBez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2740E" w:rsidRDefault="0022740E" w:rsidP="005166F3">
                            <w:pPr>
                              <w:pStyle w:val="HHeading4"/>
                              <w:spacing w:before="0"/>
                              <w:jc w:val="both"/>
                              <w:rPr>
                                <w:rFonts w:cs="Arial"/>
                                <w:color w:val="373737"/>
                                <w:sz w:val="18"/>
                                <w:szCs w:val="18"/>
                              </w:rPr>
                            </w:pPr>
                            <w:r>
                              <w:rPr>
                                <w:noProof/>
                                <w:color w:val="373737"/>
                                <w:lang w:bidi="ar-SA"/>
                              </w:rPr>
                              <w:drawing>
                                <wp:inline distT="0" distB="0" distL="0" distR="0" wp14:anchorId="76E232AE" wp14:editId="5EBF262F">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GUÍA RÁPIDA #1: ¿Cómo aplicar el modelo lógico para identificar las diferentes opciones para la creación del diseño contrafactual y decidir sobre el enfoque de la evaluación?</w:t>
                            </w:r>
                          </w:p>
                          <w:p w:rsidR="0022740E" w:rsidRPr="005D575A" w:rsidRDefault="0022740E" w:rsidP="005166F3">
                            <w:pPr>
                              <w:pStyle w:val="HStandard"/>
                              <w:spacing w:after="0"/>
                              <w:rPr>
                                <w:rFonts w:cs="Arial"/>
                                <w:sz w:val="18"/>
                              </w:rPr>
                            </w:pPr>
                            <w:r>
                              <w:rPr>
                                <w:sz w:val="18"/>
                              </w:rPr>
                              <w:t xml:space="preserve">Seguir los pasos del árbol de decisiones en el estrato contrafactual ofrece orientaciones para responder a las siguientes preguntas clave a la hora de diseñar la hipótesis contrafactual: </w:t>
                            </w:r>
                          </w:p>
                          <w:p w:rsidR="0022740E" w:rsidRPr="005D575A" w:rsidRDefault="0022740E" w:rsidP="005166F3">
                            <w:pPr>
                              <w:pStyle w:val="Hlistbullet"/>
                              <w:rPr>
                                <w:sz w:val="18"/>
                              </w:rPr>
                            </w:pPr>
                            <w:r>
                              <w:rPr>
                                <w:sz w:val="18"/>
                              </w:rPr>
                              <w:t>¿Qué opciones existen para elaborar una hipótesis contrafactual?</w:t>
                            </w:r>
                          </w:p>
                          <w:p w:rsidR="0022740E" w:rsidRPr="005D575A" w:rsidRDefault="0022740E" w:rsidP="005166F3">
                            <w:pPr>
                              <w:pStyle w:val="Hlistbullet"/>
                              <w:rPr>
                                <w:sz w:val="18"/>
                              </w:rPr>
                            </w:pPr>
                            <w:r>
                              <w:rPr>
                                <w:sz w:val="18"/>
                              </w:rPr>
                              <w:t>¿La ejecución y la adopción de las medidas permite la construcción de un grupo de control?</w:t>
                            </w:r>
                          </w:p>
                          <w:p w:rsidR="0022740E" w:rsidRPr="005D575A" w:rsidRDefault="0022740E" w:rsidP="005166F3">
                            <w:pPr>
                              <w:pStyle w:val="Hlistbullet"/>
                              <w:rPr>
                                <w:sz w:val="18"/>
                              </w:rPr>
                            </w:pPr>
                            <w:r>
                              <w:rPr>
                                <w:sz w:val="18"/>
                              </w:rPr>
                              <w:t>¿En qué medida dispongo de datos sobre otros factores que influyen en los indicadores seleccionados?</w:t>
                            </w:r>
                          </w:p>
                          <w:p w:rsidR="0022740E" w:rsidRPr="005D575A" w:rsidRDefault="0022740E" w:rsidP="005166F3">
                            <w:pPr>
                              <w:pStyle w:val="Hlistbullet"/>
                              <w:rPr>
                                <w:sz w:val="18"/>
                              </w:rPr>
                            </w:pPr>
                            <w:r>
                              <w:rPr>
                                <w:sz w:val="18"/>
                              </w:rPr>
                              <w:t>¿Dispongo de datos relativos a los indicadores seleccionados en distintos puntos temporales (antes y después) con respecto a los beneficiarios y no beneficiarios?</w:t>
                            </w:r>
                          </w:p>
                          <w:p w:rsidR="0022740E" w:rsidRPr="00A41C7D" w:rsidRDefault="0022740E" w:rsidP="005166F3">
                            <w:pPr>
                              <w:pStyle w:val="Hlistbullet"/>
                              <w:rPr>
                                <w:sz w:val="18"/>
                              </w:rPr>
                            </w:pPr>
                            <w:r>
                              <w:rPr>
                                <w:sz w:val="18"/>
                              </w:rPr>
                              <w:t>¿Puedo utilizar métodos fiables basados en estadísticas para cuantificar los efectos netos de las medidas evaluadas de una manera rentable?</w:t>
                            </w:r>
                          </w:p>
                          <w:p w:rsidR="0022740E" w:rsidRPr="00C545E7" w:rsidRDefault="0022740E" w:rsidP="00010B08">
                            <w:pPr>
                              <w:pStyle w:val="Hlistbullet"/>
                              <w:numPr>
                                <w:ilvl w:val="0"/>
                                <w:numId w:val="0"/>
                              </w:numPr>
                              <w:spacing w:before="0" w:after="0" w:line="280" w:lineRule="atLeast"/>
                              <w:jc w:val="right"/>
                              <w:rPr>
                                <w:i/>
                                <w:color w:val="F07E31" w:themeColor="accent1"/>
                                <w:sz w:val="18"/>
                              </w:rPr>
                            </w:pPr>
                          </w:p>
                        </w:txbxContent>
                      </wps:txbx>
                      <wps:bodyPr rot="0" vert="horz" wrap="square" lIns="91440" tIns="45720" rIns="91440" bIns="45720" anchor="ctr" anchorCtr="0" upright="1">
                        <a:noAutofit/>
                      </wps:bodyPr>
                    </wps:wsp>
                  </a:graphicData>
                </a:graphic>
              </wp:inline>
            </w:drawing>
          </mc:Choice>
          <mc:Fallback>
            <w:pict>
              <v:shape w14:anchorId="1DCCDA24" id="Rectangle: Diagonal Corners Rounded 90" o:spid="_x0000_s1034" style="width:479.8pt;height:205.5pt;visibility:visible;mso-wrap-style:square;mso-left-percent:-10001;mso-top-percent:-10001;mso-position-horizontal:absolute;mso-position-horizontal-relative:char;mso-position-vertical:absolute;mso-position-vertical-relative:line;mso-left-percent:-10001;mso-top-percent:-10001;v-text-anchor:middle" coordsize="6093460,2609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" adj="-11796480,,5400" path="m150406,l6093460,r,2459444c6093460,2542511,6026121,2609850,5943054,2609850l,2609850,,150406c,67339,67339,,150406,xe" filled="f" stroked="f" strokeweight="2pt">
                <v:stroke joinstyle="miter"/>
                <v:formulas/>
                <v:path arrowok="t" o:connecttype="custom" o:connectlocs="150406,0;6093460,0;6093460,0;6093460,2459444;5943054,2609850;0,2609850;0,2609850;0,150406;150406,0" o:connectangles="0,0,0,0,0,0,0,0,0" textboxrect="0,0,6093460,2609850"/>
                <v:textbox>
                  <w:txbxContent>
                    <w:p w:rsidR="0022740E" w:rsidRDefault="0022740E" w:rsidP="005166F3">
                      <w:pPr>
                        <w:pStyle w:val="HHeading4"/>
                        <w:spacing w:before="0"/>
                        <w:jc w:val="both"/>
                        <w:rPr>
                          <w:rFonts w:cs="Arial"/>
                          <w:color w:val="373737"/>
                          <w:sz w:val="18"/>
                          <w:szCs w:val="18"/>
                        </w:rPr>
                      </w:pPr>
                      <w:r>
                        <w:rPr>
                          <w:noProof/>
                          <w:color w:val="373737"/>
                          <w:lang w:bidi="ar-SA"/>
                        </w:rPr>
                        <w:drawing>
                          <wp:inline distT="0" distB="0" distL="0" distR="0" wp14:anchorId="76E232AE" wp14:editId="5EBF262F">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GUÍA RÁPIDA #1: ¿Cómo aplicar el modelo lógico para identificar las diferentes opciones para la creación del diseño contrafactual y decidir sobre el enfoque de la evaluación?</w:t>
                      </w:r>
                    </w:p>
                    <w:p w:rsidR="0022740E" w:rsidRPr="005D575A" w:rsidRDefault="0022740E" w:rsidP="005166F3">
                      <w:pPr>
                        <w:pStyle w:val="HStandard"/>
                        <w:spacing w:after="0"/>
                        <w:rPr>
                          <w:rFonts w:cs="Arial"/>
                          <w:sz w:val="18"/>
                        </w:rPr>
                      </w:pPr>
                      <w:r>
                        <w:rPr>
                          <w:sz w:val="18"/>
                        </w:rPr>
                        <w:t xml:space="preserve">Seguir los pasos del árbol de decisiones en el estrato contrafactual ofrece orientaciones para responder a las siguientes preguntas clave a la hora de diseñar la hipótesis contrafactual: </w:t>
                      </w:r>
                    </w:p>
                    <w:p w:rsidR="0022740E" w:rsidRPr="005D575A" w:rsidRDefault="0022740E" w:rsidP="005166F3">
                      <w:pPr>
                        <w:pStyle w:val="Hlistbullet"/>
                        <w:rPr>
                          <w:sz w:val="18"/>
                        </w:rPr>
                      </w:pPr>
                      <w:r>
                        <w:rPr>
                          <w:sz w:val="18"/>
                        </w:rPr>
                        <w:t>¿Qué opciones existen para elaborar una hipótesis contrafactual?</w:t>
                      </w:r>
                    </w:p>
                    <w:p w:rsidR="0022740E" w:rsidRPr="005D575A" w:rsidRDefault="0022740E" w:rsidP="005166F3">
                      <w:pPr>
                        <w:pStyle w:val="Hlistbullet"/>
                        <w:rPr>
                          <w:sz w:val="18"/>
                        </w:rPr>
                      </w:pPr>
                      <w:r>
                        <w:rPr>
                          <w:sz w:val="18"/>
                        </w:rPr>
                        <w:t>¿La ejecución y la adopción de las medidas permite la construcción de un grupo de control?</w:t>
                      </w:r>
                    </w:p>
                    <w:p w:rsidR="0022740E" w:rsidRPr="005D575A" w:rsidRDefault="0022740E" w:rsidP="005166F3">
                      <w:pPr>
                        <w:pStyle w:val="Hlistbullet"/>
                        <w:rPr>
                          <w:sz w:val="18"/>
                        </w:rPr>
                      </w:pPr>
                      <w:r>
                        <w:rPr>
                          <w:sz w:val="18"/>
                        </w:rPr>
                        <w:t>¿En qué medida dispongo de datos sobre otros factores que influyen en los indicadores seleccionados?</w:t>
                      </w:r>
                    </w:p>
                    <w:p w:rsidR="0022740E" w:rsidRPr="005D575A" w:rsidRDefault="0022740E" w:rsidP="005166F3">
                      <w:pPr>
                        <w:pStyle w:val="Hlistbullet"/>
                        <w:rPr>
                          <w:sz w:val="18"/>
                        </w:rPr>
                      </w:pPr>
                      <w:r>
                        <w:rPr>
                          <w:sz w:val="18"/>
                        </w:rPr>
                        <w:t>¿Dispongo de datos relativos a los indicadores seleccionados en distintos puntos temporales (antes y después) con respecto a los beneficiarios y no beneficiarios?</w:t>
                      </w:r>
                    </w:p>
                    <w:p w:rsidR="0022740E" w:rsidRPr="00A41C7D" w:rsidRDefault="0022740E" w:rsidP="005166F3">
                      <w:pPr>
                        <w:pStyle w:val="Hlistbullet"/>
                        <w:rPr>
                          <w:sz w:val="18"/>
                        </w:rPr>
                      </w:pPr>
                      <w:r>
                        <w:rPr>
                          <w:sz w:val="18"/>
                        </w:rPr>
                        <w:t>¿Puedo utilizar métodos fiables basados en estadísticas para cuantificar los efectos netos de las medidas evaluadas de una manera rentable?</w:t>
                      </w:r>
                    </w:p>
                    <w:p w:rsidR="0022740E" w:rsidRPr="00C545E7" w:rsidRDefault="0022740E" w:rsidP="00010B08">
                      <w:pPr>
                        <w:pStyle w:val="Hlistbullet"/>
                        <w:numPr>
                          <w:ilvl w:val="0"/>
                          <w:numId w:val="0"/>
                        </w:numPr>
                        <w:spacing w:before="0" w:after="0" w:line="280" w:lineRule="atLeast"/>
                        <w:jc w:val="right"/>
                        <w:rPr>
                          <w:i/>
                          <w:color w:val="F07E31" w:themeColor="accent1"/>
                          <w:sz w:val="18"/>
                        </w:rPr>
                      </w:pPr>
                    </w:p>
                  </w:txbxContent>
                </v:textbox>
                <w10:anchorlock/>
              </v:shape>
            </w:pict>
          </mc:Fallback>
        </mc:AlternateContent>
      </w:r>
    </w:p>
    <w:p w:rsidR="00EB120C" w:rsidRPr="005667CD" w:rsidRDefault="00EC01C3" w:rsidP="00156043">
      <w:pPr>
        <w:pStyle w:val="HHeadingfigures"/>
      </w:pPr>
      <w:r w:rsidRPr="005667CD">
        <w:t>Modelo lógico para identificar opciones para la creación de la hipótesis contrafactual</w:t>
      </w:r>
    </w:p>
    <w:p w:rsidR="00727DDF" w:rsidRPr="005667CD" w:rsidRDefault="00244515" w:rsidP="00727DDF">
      <w:pPr>
        <w:pStyle w:val="HStandard"/>
      </w:pPr>
      <w:r w:rsidRPr="005667CD">
        <w:rPr>
          <w:noProof/>
        </w:rPr>
        <w:drawing>
          <wp:inline distT="0" distB="0" distL="0" distR="0" wp14:anchorId="68CEBE1A" wp14:editId="5E5FD2C5">
            <wp:extent cx="5782310" cy="325857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82310" cy="3258573"/>
                    </a:xfrm>
                    <a:prstGeom prst="rect">
                      <a:avLst/>
                    </a:prstGeom>
                    <a:noFill/>
                    <a:ln>
                      <a:noFill/>
                    </a:ln>
                  </pic:spPr>
                </pic:pic>
              </a:graphicData>
            </a:graphic>
          </wp:inline>
        </w:drawing>
      </w:r>
    </w:p>
    <w:p w:rsidR="00EB120C" w:rsidRPr="005667CD" w:rsidRDefault="00EB120C" w:rsidP="00B42D5D">
      <w:pPr>
        <w:pStyle w:val="HSource"/>
      </w:pPr>
      <w:r w:rsidRPr="005667CD">
        <w:t>Fuente: adaptado de ENVIEVAL (2015)</w:t>
      </w:r>
    </w:p>
    <w:p w:rsidR="00EB120C" w:rsidRPr="005667CD" w:rsidRDefault="00EB120C" w:rsidP="00EB120C">
      <w:pPr>
        <w:pStyle w:val="Hlistbullet"/>
        <w:numPr>
          <w:ilvl w:val="0"/>
          <w:numId w:val="0"/>
        </w:numPr>
        <w:spacing w:before="0" w:after="0" w:line="280" w:lineRule="atLeast"/>
        <w:rPr>
          <w:rFonts w:cs="Arial"/>
          <w:sz w:val="18"/>
        </w:rPr>
      </w:pPr>
      <w:r w:rsidRPr="005667CD">
        <w:rPr>
          <w:sz w:val="18"/>
        </w:rPr>
        <w:t xml:space="preserve">El modelo lógico comienza con la descripción de la utilización del PDR y la situación de los datos en términos de indicadores de impacto (y de resultado) disponibles del SCSE, pero también de los indicadores adicionales, si se seleccionan (casillas con fondo gris oscuro). Una serie de preguntas sobre decisiones (casillas rojas) lleva a las posibles opciones para establecer la hipótesis contrafactual (casillas con fondo rojo). </w:t>
      </w:r>
    </w:p>
    <w:p w:rsidR="00EB120C" w:rsidRPr="005667CD" w:rsidRDefault="00EB120C" w:rsidP="00B42D5D">
      <w:pPr>
        <w:pStyle w:val="Hlistbullet"/>
        <w:numPr>
          <w:ilvl w:val="0"/>
          <w:numId w:val="0"/>
        </w:numPr>
        <w:spacing w:before="0" w:after="0" w:line="280" w:lineRule="atLeast"/>
        <w:jc w:val="center"/>
        <w:rPr>
          <w:i/>
          <w:color w:val="F07E31" w:themeColor="accent1"/>
          <w:sz w:val="18"/>
        </w:rPr>
      </w:pPr>
      <w:r w:rsidRPr="005667CD">
        <w:rPr>
          <w:i/>
          <w:color w:val="F07E31" w:themeColor="accent1"/>
          <w:sz w:val="18"/>
        </w:rPr>
        <w:t xml:space="preserve">Para obtener más información sobre el uso de modelos lógicos véase el </w:t>
      </w:r>
      <w:hyperlink r:id="rId45">
        <w:r w:rsidRPr="005667CD">
          <w:rPr>
            <w:rStyle w:val="Hyperlink"/>
            <w:i/>
            <w:sz w:val="18"/>
          </w:rPr>
          <w:t>Proyecto de investigación ENVIEVAL del 7.º PM</w:t>
        </w:r>
      </w:hyperlink>
      <w:r w:rsidRPr="005667CD">
        <w:t xml:space="preserve"> </w:t>
      </w:r>
      <w:r w:rsidRPr="005667CD">
        <w:rPr>
          <w:rStyle w:val="Hyperlink"/>
          <w:i/>
          <w:sz w:val="18"/>
        </w:rPr>
        <w:t>y su</w:t>
      </w:r>
      <w:r w:rsidRPr="005667CD">
        <w:t xml:space="preserve"> </w:t>
      </w:r>
      <w:hyperlink r:id="rId46">
        <w:r w:rsidRPr="005667CD">
          <w:rPr>
            <w:rStyle w:val="Hyperlink"/>
            <w:i/>
            <w:sz w:val="18"/>
          </w:rPr>
          <w:t>Manual metodológico para la evaluación de los impactos medioambientales de los PDR</w:t>
        </w:r>
      </w:hyperlink>
    </w:p>
    <w:p w:rsidR="00EB120C" w:rsidRPr="005667CD" w:rsidRDefault="00EB120C" w:rsidP="00EB120C">
      <w:pPr>
        <w:pStyle w:val="HStandard"/>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D4194" w:rsidRPr="005667CD" w:rsidTr="00F74B7E">
        <w:tc>
          <w:tcPr>
            <w:tcW w:w="9026" w:type="dxa"/>
            <w:shd w:val="clear" w:color="auto" w:fill="auto"/>
          </w:tcPr>
          <w:p w:rsidR="006D4194" w:rsidRPr="005667CD" w:rsidRDefault="006D4194" w:rsidP="00010B08">
            <w:pPr>
              <w:pStyle w:val="Hlistbullet"/>
              <w:numPr>
                <w:ilvl w:val="0"/>
                <w:numId w:val="0"/>
              </w:numPr>
              <w:spacing w:before="0" w:after="0" w:line="280" w:lineRule="atLeast"/>
              <w:rPr>
                <w:sz w:val="18"/>
                <w:szCs w:val="18"/>
              </w:rPr>
            </w:pPr>
            <w:r w:rsidRPr="005667CD">
              <w:lastRenderedPageBreak/>
              <w:br w:type="column"/>
            </w:r>
            <w:r w:rsidRPr="005667CD">
              <w:rPr>
                <w:b/>
                <w:i/>
                <w:noProof/>
                <w:color w:val="F07E31" w:themeColor="accent1"/>
                <w:lang w:bidi="ar-SA"/>
              </w:rPr>
              <mc:AlternateContent>
                <mc:Choice Requires="wps">
                  <w:drawing>
                    <wp:inline distT="0" distB="0" distL="0" distR="0" wp14:anchorId="1D25BBEA" wp14:editId="4BA6CC82">
                      <wp:extent cx="5567045" cy="8969828"/>
                      <wp:effectExtent l="0" t="0" r="14605" b="22225"/>
                      <wp:docPr id="90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7045" cy="8969828"/>
                              </a:xfrm>
                              <a:custGeom>
                                <a:avLst/>
                                <a:gdLst>
                                  <a:gd name="T0" fmla="*/ 276626 w 5567045"/>
                                  <a:gd name="T1" fmla="*/ 0 h 8401050"/>
                                  <a:gd name="T2" fmla="*/ 5567045 w 5567045"/>
                                  <a:gd name="T3" fmla="*/ 0 h 8401050"/>
                                  <a:gd name="T4" fmla="*/ 5567045 w 5567045"/>
                                  <a:gd name="T5" fmla="*/ 0 h 8401050"/>
                                  <a:gd name="T6" fmla="*/ 5567045 w 5567045"/>
                                  <a:gd name="T7" fmla="*/ 8124424 h 8401050"/>
                                  <a:gd name="T8" fmla="*/ 5290419 w 5567045"/>
                                  <a:gd name="T9" fmla="*/ 8401050 h 8401050"/>
                                  <a:gd name="T10" fmla="*/ 0 w 5567045"/>
                                  <a:gd name="T11" fmla="*/ 8401050 h 8401050"/>
                                  <a:gd name="T12" fmla="*/ 0 w 5567045"/>
                                  <a:gd name="T13" fmla="*/ 8401050 h 8401050"/>
                                  <a:gd name="T14" fmla="*/ 0 w 5567045"/>
                                  <a:gd name="T15" fmla="*/ 276626 h 8401050"/>
                                  <a:gd name="T16" fmla="*/ 276626 w 5567045"/>
                                  <a:gd name="T17" fmla="*/ 0 h 84010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67045"/>
                                  <a:gd name="T28" fmla="*/ 0 h 8401050"/>
                                  <a:gd name="T29" fmla="*/ 5567045 w 5567045"/>
                                  <a:gd name="T30" fmla="*/ 8401050 h 84010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67045" h="8401050">
                                    <a:moveTo>
                                      <a:pt x="276626" y="0"/>
                                    </a:moveTo>
                                    <a:lnTo>
                                      <a:pt x="5567045" y="0"/>
                                    </a:lnTo>
                                    <a:lnTo>
                                      <a:pt x="5567045" y="8124424"/>
                                    </a:lnTo>
                                    <a:cubicBezTo>
                                      <a:pt x="5567045" y="8277200"/>
                                      <a:pt x="5443195" y="8401050"/>
                                      <a:pt x="5290419" y="8401050"/>
                                    </a:cubicBezTo>
                                    <a:lnTo>
                                      <a:pt x="0" y="8401050"/>
                                    </a:lnTo>
                                    <a:lnTo>
                                      <a:pt x="0" y="276626"/>
                                    </a:lnTo>
                                    <a:cubicBezTo>
                                      <a:pt x="0" y="123850"/>
                                      <a:pt x="123850" y="0"/>
                                      <a:pt x="276626"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22740E" w:rsidRPr="00391ECD" w:rsidRDefault="0022740E" w:rsidP="005C7C25">
                                  <w:pPr>
                                    <w:pStyle w:val="HHeading4"/>
                                  </w:pPr>
                                  <w:r>
                                    <w:rPr>
                                      <w:noProof/>
                                      <w:color w:val="373737"/>
                                      <w:lang w:bidi="ar-SA"/>
                                    </w:rPr>
                                    <w:drawing>
                                      <wp:inline distT="0" distB="0" distL="0" distR="0" wp14:anchorId="092DFC5B" wp14:editId="4436DB1E">
                                        <wp:extent cx="609600" cy="487680"/>
                                        <wp:effectExtent l="0" t="0" r="0" b="7620"/>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9600" cy="487680"/>
                                                </a:xfrm>
                                                <a:prstGeom prst="rect">
                                                  <a:avLst/>
                                                </a:prstGeom>
                                              </pic:spPr>
                                            </pic:pic>
                                          </a:graphicData>
                                        </a:graphic>
                                      </wp:inline>
                                    </w:drawing>
                                  </w:r>
                                  <w:r>
                                    <w:t xml:space="preserve"> GUÍA RÁPIDA #2: ¿Cómo construir un grupo de control a nivel micro? (en relación con el segundo estrato)</w:t>
                                  </w:r>
                                </w:p>
                                <w:p w:rsidR="0022740E" w:rsidRPr="007008C0" w:rsidRDefault="0022740E" w:rsidP="005C7C25">
                                  <w:pPr>
                                    <w:pStyle w:val="HStandard"/>
                                    <w:spacing w:after="0"/>
                                    <w:rPr>
                                      <w:rFonts w:cs="Arial"/>
                                      <w:color w:val="373737"/>
                                      <w:sz w:val="18"/>
                                      <w:szCs w:val="18"/>
                                    </w:rPr>
                                  </w:pPr>
                                  <w:r>
                                    <w:rPr>
                                      <w:color w:val="373737"/>
                                      <w:sz w:val="18"/>
                                    </w:rPr>
                                    <w:t>El análisis contrafactual a nivel micro debe basarse en comparaciones entre grupos de control de beneficiarios y no beneficiarios del programa, que sean lo más similares posible (en dimensiones observables y no observables). Si los dos grupos son suficientemente similares desde el punto de vista estadístico (presentan características similares), se puede suponer que cualquier diferencia en los resultados se debe al programa. El análisis contrafactual permite el establecimiento de la causalidad, es decir, atribuir los cambios observados en los resultados al programa, eliminando al mismo tiempo factores de confusión.</w:t>
                                  </w:r>
                                </w:p>
                                <w:p w:rsidR="0022740E" w:rsidRPr="007008C0" w:rsidRDefault="0022740E" w:rsidP="005C7C25">
                                  <w:pPr>
                                    <w:pStyle w:val="HStandard"/>
                                    <w:spacing w:after="0"/>
                                    <w:rPr>
                                      <w:rFonts w:cs="Arial"/>
                                      <w:color w:val="373737"/>
                                      <w:sz w:val="18"/>
                                      <w:szCs w:val="18"/>
                                    </w:rPr>
                                  </w:pPr>
                                </w:p>
                                <w:p w:rsidR="0022740E" w:rsidRPr="007008C0" w:rsidRDefault="0022740E" w:rsidP="005C7C25">
                                  <w:pPr>
                                    <w:pStyle w:val="HStandard"/>
                                    <w:spacing w:after="0"/>
                                    <w:rPr>
                                      <w:rFonts w:cs="Arial"/>
                                      <w:color w:val="373737"/>
                                      <w:sz w:val="18"/>
                                      <w:szCs w:val="18"/>
                                    </w:rPr>
                                  </w:pPr>
                                  <w:r>
                                    <w:rPr>
                                      <w:color w:val="373737"/>
                                      <w:sz w:val="18"/>
                                    </w:rPr>
                                    <w:t xml:space="preserve">La construcción de un grupo de control adecuado puede ser una tarea exigente debido a una sólida autoselección del programa y a las estrictas condiciones de </w:t>
                                  </w:r>
                                  <w:proofErr w:type="spellStart"/>
                                  <w:r>
                                    <w:rPr>
                                      <w:color w:val="373737"/>
                                      <w:sz w:val="18"/>
                                    </w:rPr>
                                    <w:t>subvencionabilidad</w:t>
                                  </w:r>
                                  <w:proofErr w:type="spellEnd"/>
                                  <w:r>
                                    <w:rPr>
                                      <w:color w:val="373737"/>
                                      <w:sz w:val="18"/>
                                    </w:rPr>
                                    <w:t xml:space="preserve"> del programa. Los beneficiarios del programa de la valoración, que recibieron apoyo del programa, pueden diferir en gran medida de los no beneficiarios tanto en términos de características estructurales como de rendimiento económico, medioambiental y socioeconómico. </w:t>
                                  </w:r>
                                </w:p>
                                <w:p w:rsidR="0022740E" w:rsidRPr="007008C0" w:rsidRDefault="0022740E" w:rsidP="005C7C25">
                                  <w:pPr>
                                    <w:pStyle w:val="HStandard"/>
                                    <w:spacing w:after="0"/>
                                    <w:rPr>
                                      <w:rFonts w:cs="Arial"/>
                                      <w:color w:val="373737"/>
                                      <w:sz w:val="18"/>
                                      <w:szCs w:val="18"/>
                                    </w:rPr>
                                  </w:pPr>
                                </w:p>
                                <w:p w:rsidR="0022740E" w:rsidRPr="007008C0" w:rsidRDefault="0022740E" w:rsidP="005C7C25">
                                  <w:pPr>
                                    <w:pStyle w:val="HStandard"/>
                                    <w:spacing w:after="0"/>
                                    <w:rPr>
                                      <w:rFonts w:cs="Arial"/>
                                      <w:color w:val="373737"/>
                                      <w:sz w:val="18"/>
                                      <w:szCs w:val="18"/>
                                    </w:rPr>
                                  </w:pPr>
                                  <w:r>
                                    <w:rPr>
                                      <w:color w:val="373737"/>
                                      <w:sz w:val="18"/>
                                    </w:rPr>
                                    <w:t>La construcción de un grupo de control adecuado conlleva los siguientes pasos:</w:t>
                                  </w:r>
                                </w:p>
                                <w:p w:rsidR="0022740E" w:rsidRPr="007008C0" w:rsidRDefault="0022740E" w:rsidP="005C7C25">
                                  <w:pPr>
                                    <w:pStyle w:val="Hlistbullet"/>
                                    <w:spacing w:before="0" w:after="0" w:line="280" w:lineRule="atLeast"/>
                                    <w:ind w:left="604" w:hanging="604"/>
                                    <w:rPr>
                                      <w:color w:val="373737"/>
                                      <w:sz w:val="18"/>
                                      <w:szCs w:val="18"/>
                                    </w:rPr>
                                  </w:pPr>
                                  <w:r>
                                    <w:rPr>
                                      <w:b/>
                                      <w:color w:val="F07E31" w:themeColor="accent1"/>
                                      <w:sz w:val="18"/>
                                    </w:rPr>
                                    <w:t>Primer paso:</w:t>
                                  </w:r>
                                  <w:r>
                                    <w:rPr>
                                      <w:color w:val="373737"/>
                                      <w:sz w:val="18"/>
                                    </w:rPr>
                                    <w:t xml:space="preserve"> Encontrar una muestra de beneficiarios del PDR (por ejemplo: explotaciones / agricultores / empresas no agrarias / comunidades / zonas / regiones) en una base de datos disponible (por ejemplo, RICA) y utilizar el sistema de seguimiento del PDR como punto de referencia (por ejemplo, base de datos del organismo pagador). </w:t>
                                  </w:r>
                                </w:p>
                                <w:p w:rsidR="0022740E" w:rsidRPr="00AF5661" w:rsidRDefault="0022740E" w:rsidP="005C7C25">
                                  <w:pPr>
                                    <w:pStyle w:val="Hlistbullet"/>
                                    <w:spacing w:before="0" w:after="0" w:line="280" w:lineRule="atLeast"/>
                                    <w:ind w:left="604" w:hanging="604"/>
                                    <w:rPr>
                                      <w:color w:val="373737"/>
                                      <w:sz w:val="18"/>
                                      <w:szCs w:val="18"/>
                                    </w:rPr>
                                  </w:pPr>
                                  <w:r>
                                    <w:rPr>
                                      <w:b/>
                                      <w:color w:val="F07E31" w:themeColor="accent1"/>
                                      <w:sz w:val="18"/>
                                    </w:rPr>
                                    <w:t>Segundo paso:</w:t>
                                  </w:r>
                                  <w:r>
                                    <w:rPr>
                                      <w:color w:val="373737"/>
                                      <w:sz w:val="18"/>
                                    </w:rPr>
                                    <w:t xml:space="preserve"> Seleccionar entre todas las unidades pertinentes incluidas en la base de datos aquellas que en el mismo período no recibieron ayuda de las medidas del PDR («no beneficiarios»).</w:t>
                                  </w:r>
                                </w:p>
                                <w:p w:rsidR="0022740E" w:rsidRPr="00AF5661" w:rsidRDefault="0022740E" w:rsidP="005C7C25">
                                  <w:pPr>
                                    <w:pStyle w:val="Hlistbullet"/>
                                    <w:spacing w:before="0" w:after="0" w:line="280" w:lineRule="atLeast"/>
                                    <w:ind w:left="604" w:hanging="604"/>
                                    <w:rPr>
                                      <w:color w:val="373737"/>
                                      <w:sz w:val="18"/>
                                      <w:szCs w:val="18"/>
                                    </w:rPr>
                                  </w:pPr>
                                  <w:r>
                                    <w:rPr>
                                      <w:b/>
                                      <w:color w:val="F07E31" w:themeColor="accent1"/>
                                      <w:sz w:val="18"/>
                                    </w:rPr>
                                    <w:t>Tercer paso:</w:t>
                                  </w:r>
                                  <w:r>
                                    <w:rPr>
                                      <w:color w:val="373737"/>
                                      <w:sz w:val="18"/>
                                    </w:rPr>
                                    <w:t xml:space="preserve"> Preseleccionar del grupo de no beneficiarios aquellas unidades que NO cumplían las condiciones de </w:t>
                                  </w:r>
                                  <w:proofErr w:type="spellStart"/>
                                  <w:r>
                                    <w:rPr>
                                      <w:color w:val="373737"/>
                                      <w:sz w:val="18"/>
                                    </w:rPr>
                                    <w:t>subvencionabilidad</w:t>
                                  </w:r>
                                  <w:proofErr w:type="spellEnd"/>
                                  <w:r>
                                    <w:rPr>
                                      <w:color w:val="373737"/>
                                      <w:sz w:val="18"/>
                                    </w:rPr>
                                    <w:t xml:space="preserve"> del programa (debido a ingresos elevados, tamaño, ubicación, etc.) y eliminarlas del análisis. </w:t>
                                  </w:r>
                                </w:p>
                                <w:p w:rsidR="0022740E" w:rsidRPr="007008C0" w:rsidRDefault="0022740E" w:rsidP="005C7C25">
                                  <w:pPr>
                                    <w:pStyle w:val="Hlistbullet"/>
                                    <w:spacing w:before="0" w:after="0" w:line="280" w:lineRule="atLeast"/>
                                    <w:ind w:left="604" w:hanging="604"/>
                                    <w:rPr>
                                      <w:color w:val="373737"/>
                                      <w:sz w:val="18"/>
                                      <w:szCs w:val="18"/>
                                    </w:rPr>
                                  </w:pPr>
                                  <w:r>
                                    <w:rPr>
                                      <w:b/>
                                      <w:color w:val="F07E31" w:themeColor="accent1"/>
                                      <w:sz w:val="18"/>
                                    </w:rPr>
                                    <w:t>Cuarto paso:</w:t>
                                  </w:r>
                                  <w:r>
                                    <w:rPr>
                                      <w:color w:val="373737"/>
                                      <w:sz w:val="18"/>
                                    </w:rPr>
                                    <w:t xml:space="preserve"> Recoger datos de todas las unidades de ambos grupos (beneficiarios y no beneficiarios) sobre sus características principales (variables) correspondientes a 2013 (es decir, antes del programa). Téngase en cuenta que las variables incluidas en el análisis deben afectar tanto a la selección de una unidad como a los indicadores computados a nivel micro (indicadores de impacto comunes y adicionales). Una de las variables propuestas (utilizada como una variable de control importante) puede ser: i) el nivel de apoyo recibido por una unidad determinada («beneficiario» y «no beneficiario» durante el anterior período de programación 2007-2013), y/o ii) el nivel de apoyo recibido por una unidad determinada («beneficiario» y «no beneficiario») de otras fuentes públicas (por ejemplo, fondos estructurales de la UE, pilar I) en el período analizado.</w:t>
                                  </w:r>
                                </w:p>
                                <w:p w:rsidR="0022740E" w:rsidRPr="00AF5661" w:rsidRDefault="0022740E" w:rsidP="005C7C25">
                                  <w:pPr>
                                    <w:pStyle w:val="Hlistbullet"/>
                                    <w:spacing w:before="0" w:after="0" w:line="280" w:lineRule="atLeast"/>
                                    <w:ind w:left="604" w:hanging="604"/>
                                    <w:rPr>
                                      <w:color w:val="373737"/>
                                      <w:sz w:val="18"/>
                                      <w:szCs w:val="18"/>
                                    </w:rPr>
                                  </w:pPr>
                                  <w:r>
                                    <w:rPr>
                                      <w:b/>
                                      <w:color w:val="F07E31" w:themeColor="accent1"/>
                                      <w:sz w:val="18"/>
                                    </w:rPr>
                                    <w:t>Quinto paso:</w:t>
                                  </w:r>
                                  <w:r>
                                    <w:rPr>
                                      <w:color w:val="373737"/>
                                      <w:sz w:val="18"/>
                                    </w:rPr>
                                    <w:t xml:space="preserve"> Aplicar técnicas adecuadas (por ejemplo, correlación) que permitan identificar de la muestra de «no beneficiarios» (véanse el segundo y tercer pasos) un «grupo de control» adecuado (se suprimirán del análisis algunos «no beneficiarios» y/o «beneficiarios» debido a la falta de unidades de control adecuadas).</w:t>
                                  </w:r>
                                </w:p>
                                <w:p w:rsidR="0022740E" w:rsidRPr="0025164E" w:rsidRDefault="0022740E" w:rsidP="005C7C25">
                                  <w:pPr>
                                    <w:pStyle w:val="Hlistbullet"/>
                                    <w:spacing w:before="0" w:after="0" w:line="280" w:lineRule="atLeast"/>
                                    <w:ind w:left="604" w:hanging="604"/>
                                  </w:pPr>
                                  <w:r>
                                    <w:rPr>
                                      <w:b/>
                                      <w:color w:val="F07E31" w:themeColor="accent1"/>
                                      <w:sz w:val="18"/>
                                    </w:rPr>
                                    <w:t>Sexto paso:</w:t>
                                  </w:r>
                                  <w:r>
                                    <w:rPr>
                                      <w:color w:val="373737"/>
                                      <w:sz w:val="18"/>
                                    </w:rPr>
                                    <w:t xml:space="preserve"> Controlar estadísticamente la «similitud» de ambos grupos antes de recibir la ayuda del programa (por ejemplo, realizando pruebas estadísticas sobre las covariables incluidas en el análisis). El valor medio de una unidad del grupo de «beneficiarios» no debe diferir significativamente de la unidad respectiva del «grupo de control».</w:t>
                                  </w:r>
                                </w:p>
                                <w:p w:rsidR="0022740E" w:rsidRPr="0025164E" w:rsidRDefault="0022740E" w:rsidP="00735F08">
                                  <w:pPr>
                                    <w:pStyle w:val="Hlistbullet"/>
                                    <w:numPr>
                                      <w:ilvl w:val="0"/>
                                      <w:numId w:val="0"/>
                                    </w:numPr>
                                    <w:jc w:val="center"/>
                                    <w:rPr>
                                      <w:i/>
                                      <w:color w:val="F07E31" w:themeColor="accent1"/>
                                      <w:sz w:val="18"/>
                                      <w:szCs w:val="18"/>
                                    </w:rPr>
                                  </w:pPr>
                                  <w:r>
                                    <w:rPr>
                                      <w:i/>
                                      <w:color w:val="F07E31" w:themeColor="accent1"/>
                                      <w:sz w:val="18"/>
                                    </w:rPr>
                                    <w:t xml:space="preserve">Para obtener más información acerca del diseño de grupos de control, correlación, etc. véanse las </w:t>
                                  </w:r>
                                  <w:hyperlink r:id="rId47" w:history="1">
                                    <w:r>
                                      <w:rPr>
                                        <w:rStyle w:val="Hyperlink"/>
                                        <w:i/>
                                        <w:color w:val="F07E31" w:themeColor="accent1"/>
                                        <w:sz w:val="18"/>
                                      </w:rPr>
                                      <w:t>Directrices para la evaluación posterior de los PDR 2007-2013</w:t>
                                    </w:r>
                                  </w:hyperlink>
                                  <w:r>
                                    <w:rPr>
                                      <w:rStyle w:val="Hyperlink"/>
                                      <w:i/>
                                      <w:color w:val="F07E31" w:themeColor="accent1"/>
                                      <w:sz w:val="18"/>
                                    </w:rPr>
                                    <w:t>, capítulo 4</w:t>
                                  </w:r>
                                </w:p>
                              </w:txbxContent>
                            </wps:txbx>
                            <wps:bodyPr rot="0" vert="horz" wrap="square" lIns="91440" tIns="45720" rIns="91440" bIns="45720" anchor="ctr" anchorCtr="0" upright="1">
                              <a:noAutofit/>
                            </wps:bodyPr>
                          </wps:wsp>
                        </a:graphicData>
                      </a:graphic>
                    </wp:inline>
                  </w:drawing>
                </mc:Choice>
                <mc:Fallback>
                  <w:pict>
                    <v:shape w14:anchorId="1D25BBEA" id="AutoShape 67" o:spid="_x0000_s1035" style="width:438.35pt;height:706.3pt;visibility:visible;mso-wrap-style:square;mso-left-percent:-10001;mso-top-percent:-10001;mso-position-horizontal:absolute;mso-position-horizontal-relative:char;mso-position-vertical:absolute;mso-position-vertical-relative:line;mso-left-percent:-10001;mso-top-percent:-10001;v-text-anchor:middle" coordsize="5567045,8401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" adj="-11796480,,5400" path="m276626,l5567045,r,8124424c5567045,8277200,5443195,8401050,5290419,8401050l,8401050,,276626c,123850,123850,,276626,xe" filled="f" strokecolor="#be4a35" strokeweight="2pt">
                      <v:stroke joinstyle="miter"/>
                      <v:formulas/>
                      <v:path arrowok="t" o:connecttype="custom" o:connectlocs="276626,0;5567045,0;5567045,0;5567045,8674474;5290419,8969828;0,8969828;0,8969828;0,295354;276626,0" o:connectangles="0,0,0,0,0,0,0,0,0" textboxrect="0,0,5567045,8401050"/>
                      <v:textbox>
                        <w:txbxContent>
                          <w:p w:rsidR="0022740E" w:rsidRPr="00391ECD" w:rsidRDefault="0022740E" w:rsidP="005C7C25">
                            <w:pPr>
                              <w:pStyle w:val="HHeading4"/>
                            </w:pPr>
                            <w:r>
                              <w:rPr>
                                <w:noProof/>
                                <w:color w:val="373737"/>
                                <w:lang w:bidi="ar-SA"/>
                              </w:rPr>
                              <w:drawing>
                                <wp:inline distT="0" distB="0" distL="0" distR="0" wp14:anchorId="092DFC5B" wp14:editId="4436DB1E">
                                  <wp:extent cx="609600" cy="487680"/>
                                  <wp:effectExtent l="0" t="0" r="0" b="7620"/>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9600" cy="487680"/>
                                          </a:xfrm>
                                          <a:prstGeom prst="rect">
                                            <a:avLst/>
                                          </a:prstGeom>
                                        </pic:spPr>
                                      </pic:pic>
                                    </a:graphicData>
                                  </a:graphic>
                                </wp:inline>
                              </w:drawing>
                            </w:r>
                            <w:r>
                              <w:t xml:space="preserve"> GUÍA RÁPIDA #2: ¿Cómo construir un grupo de control a nivel micro? (en relación con el segundo estrato)</w:t>
                            </w:r>
                          </w:p>
                          <w:p w:rsidR="0022740E" w:rsidRPr="007008C0" w:rsidRDefault="0022740E" w:rsidP="005C7C25">
                            <w:pPr>
                              <w:pStyle w:val="HStandard"/>
                              <w:spacing w:after="0"/>
                              <w:rPr>
                                <w:rFonts w:cs="Arial"/>
                                <w:color w:val="373737"/>
                                <w:sz w:val="18"/>
                                <w:szCs w:val="18"/>
                              </w:rPr>
                            </w:pPr>
                            <w:r>
                              <w:rPr>
                                <w:color w:val="373737"/>
                                <w:sz w:val="18"/>
                              </w:rPr>
                              <w:t>El análisis contrafactual a nivel micro debe basarse en comparaciones entre grupos de control de beneficiarios y no beneficiarios del programa, que sean lo más similares posible (en dimensiones observables y no observables). Si los dos grupos son suficientemente similares desde el punto de vista estadístico (presentan características similares), se puede suponer que cualquier diferencia en los resultados se debe al programa. El análisis contrafactual permite el establecimiento de la causalidad, es decir, atribuir los cambios observados en los resultados al programa, eliminando al mismo tiempo factores de confusión.</w:t>
                            </w:r>
                          </w:p>
                          <w:p w:rsidR="0022740E" w:rsidRPr="007008C0" w:rsidRDefault="0022740E" w:rsidP="005C7C25">
                            <w:pPr>
                              <w:pStyle w:val="HStandard"/>
                              <w:spacing w:after="0"/>
                              <w:rPr>
                                <w:rFonts w:cs="Arial"/>
                                <w:color w:val="373737"/>
                                <w:sz w:val="18"/>
                                <w:szCs w:val="18"/>
                              </w:rPr>
                            </w:pPr>
                          </w:p>
                          <w:p w:rsidR="0022740E" w:rsidRPr="007008C0" w:rsidRDefault="0022740E" w:rsidP="005C7C25">
                            <w:pPr>
                              <w:pStyle w:val="HStandard"/>
                              <w:spacing w:after="0"/>
                              <w:rPr>
                                <w:rFonts w:cs="Arial"/>
                                <w:color w:val="373737"/>
                                <w:sz w:val="18"/>
                                <w:szCs w:val="18"/>
                              </w:rPr>
                            </w:pPr>
                            <w:r>
                              <w:rPr>
                                <w:color w:val="373737"/>
                                <w:sz w:val="18"/>
                              </w:rPr>
                              <w:t xml:space="preserve">La construcción de un grupo de control adecuado puede ser una tarea exigente debido a una sólida autoselección del programa y a las estrictas condiciones de </w:t>
                            </w:r>
                            <w:proofErr w:type="spellStart"/>
                            <w:r>
                              <w:rPr>
                                <w:color w:val="373737"/>
                                <w:sz w:val="18"/>
                              </w:rPr>
                              <w:t>subvencionabilidad</w:t>
                            </w:r>
                            <w:proofErr w:type="spellEnd"/>
                            <w:r>
                              <w:rPr>
                                <w:color w:val="373737"/>
                                <w:sz w:val="18"/>
                              </w:rPr>
                              <w:t xml:space="preserve"> del programa. Los beneficiarios del programa de la valoración, que recibieron apoyo del programa, pueden diferir en gran medida de los no beneficiarios tanto en términos de características estructurales como de rendimiento económico, medioambiental y socioeconómico. </w:t>
                            </w:r>
                          </w:p>
                          <w:p w:rsidR="0022740E" w:rsidRPr="007008C0" w:rsidRDefault="0022740E" w:rsidP="005C7C25">
                            <w:pPr>
                              <w:pStyle w:val="HStandard"/>
                              <w:spacing w:after="0"/>
                              <w:rPr>
                                <w:rFonts w:cs="Arial"/>
                                <w:color w:val="373737"/>
                                <w:sz w:val="18"/>
                                <w:szCs w:val="18"/>
                              </w:rPr>
                            </w:pPr>
                          </w:p>
                          <w:p w:rsidR="0022740E" w:rsidRPr="007008C0" w:rsidRDefault="0022740E" w:rsidP="005C7C25">
                            <w:pPr>
                              <w:pStyle w:val="HStandard"/>
                              <w:spacing w:after="0"/>
                              <w:rPr>
                                <w:rFonts w:cs="Arial"/>
                                <w:color w:val="373737"/>
                                <w:sz w:val="18"/>
                                <w:szCs w:val="18"/>
                              </w:rPr>
                            </w:pPr>
                            <w:r>
                              <w:rPr>
                                <w:color w:val="373737"/>
                                <w:sz w:val="18"/>
                              </w:rPr>
                              <w:t>La construcción de un grupo de control adecuado conlleva los siguientes pasos:</w:t>
                            </w:r>
                          </w:p>
                          <w:p w:rsidR="0022740E" w:rsidRPr="007008C0" w:rsidRDefault="0022740E" w:rsidP="005C7C25">
                            <w:pPr>
                              <w:pStyle w:val="Hlistbullet"/>
                              <w:spacing w:before="0" w:after="0" w:line="280" w:lineRule="atLeast"/>
                              <w:ind w:left="604" w:hanging="604"/>
                              <w:rPr>
                                <w:color w:val="373737"/>
                                <w:sz w:val="18"/>
                                <w:szCs w:val="18"/>
                              </w:rPr>
                            </w:pPr>
                            <w:r>
                              <w:rPr>
                                <w:b/>
                                <w:color w:val="F07E31" w:themeColor="accent1"/>
                                <w:sz w:val="18"/>
                              </w:rPr>
                              <w:t>Primer paso:</w:t>
                            </w:r>
                            <w:r>
                              <w:rPr>
                                <w:color w:val="373737"/>
                                <w:sz w:val="18"/>
                              </w:rPr>
                              <w:t xml:space="preserve"> Encontrar una muestra de beneficiarios del PDR (por ejemplo: explotaciones / agricultores / empresas no agrarias / comunidades / zonas / regiones) en una base de datos disponible (por ejemplo, RICA) y utilizar el sistema de seguimiento del PDR como punto de referencia (por ejemplo, base de datos del organismo pagador). </w:t>
                            </w:r>
                          </w:p>
                          <w:p w:rsidR="0022740E" w:rsidRPr="00AF5661" w:rsidRDefault="0022740E" w:rsidP="005C7C25">
                            <w:pPr>
                              <w:pStyle w:val="Hlistbullet"/>
                              <w:spacing w:before="0" w:after="0" w:line="280" w:lineRule="atLeast"/>
                              <w:ind w:left="604" w:hanging="604"/>
                              <w:rPr>
                                <w:color w:val="373737"/>
                                <w:sz w:val="18"/>
                                <w:szCs w:val="18"/>
                              </w:rPr>
                            </w:pPr>
                            <w:r>
                              <w:rPr>
                                <w:b/>
                                <w:color w:val="F07E31" w:themeColor="accent1"/>
                                <w:sz w:val="18"/>
                              </w:rPr>
                              <w:t>Segundo paso:</w:t>
                            </w:r>
                            <w:r>
                              <w:rPr>
                                <w:color w:val="373737"/>
                                <w:sz w:val="18"/>
                              </w:rPr>
                              <w:t xml:space="preserve"> Seleccionar entre todas las unidades pertinentes incluidas en la base de datos aquellas que en el mismo período no recibieron ayuda de las medidas del PDR («no beneficiarios»).</w:t>
                            </w:r>
                          </w:p>
                          <w:p w:rsidR="0022740E" w:rsidRPr="00AF5661" w:rsidRDefault="0022740E" w:rsidP="005C7C25">
                            <w:pPr>
                              <w:pStyle w:val="Hlistbullet"/>
                              <w:spacing w:before="0" w:after="0" w:line="280" w:lineRule="atLeast"/>
                              <w:ind w:left="604" w:hanging="604"/>
                              <w:rPr>
                                <w:color w:val="373737"/>
                                <w:sz w:val="18"/>
                                <w:szCs w:val="18"/>
                              </w:rPr>
                            </w:pPr>
                            <w:r>
                              <w:rPr>
                                <w:b/>
                                <w:color w:val="F07E31" w:themeColor="accent1"/>
                                <w:sz w:val="18"/>
                              </w:rPr>
                              <w:t>Tercer paso:</w:t>
                            </w:r>
                            <w:r>
                              <w:rPr>
                                <w:color w:val="373737"/>
                                <w:sz w:val="18"/>
                              </w:rPr>
                              <w:t xml:space="preserve"> Preseleccionar del grupo de no beneficiarios aquellas unidades que NO cumplían las condiciones de </w:t>
                            </w:r>
                            <w:proofErr w:type="spellStart"/>
                            <w:r>
                              <w:rPr>
                                <w:color w:val="373737"/>
                                <w:sz w:val="18"/>
                              </w:rPr>
                              <w:t>subvencionabilidad</w:t>
                            </w:r>
                            <w:proofErr w:type="spellEnd"/>
                            <w:r>
                              <w:rPr>
                                <w:color w:val="373737"/>
                                <w:sz w:val="18"/>
                              </w:rPr>
                              <w:t xml:space="preserve"> del programa (debido a ingresos elevados, tamaño, ubicación, etc.) y eliminarlas del análisis. </w:t>
                            </w:r>
                          </w:p>
                          <w:p w:rsidR="0022740E" w:rsidRPr="007008C0" w:rsidRDefault="0022740E" w:rsidP="005C7C25">
                            <w:pPr>
                              <w:pStyle w:val="Hlistbullet"/>
                              <w:spacing w:before="0" w:after="0" w:line="280" w:lineRule="atLeast"/>
                              <w:ind w:left="604" w:hanging="604"/>
                              <w:rPr>
                                <w:color w:val="373737"/>
                                <w:sz w:val="18"/>
                                <w:szCs w:val="18"/>
                              </w:rPr>
                            </w:pPr>
                            <w:r>
                              <w:rPr>
                                <w:b/>
                                <w:color w:val="F07E31" w:themeColor="accent1"/>
                                <w:sz w:val="18"/>
                              </w:rPr>
                              <w:t>Cuarto paso:</w:t>
                            </w:r>
                            <w:r>
                              <w:rPr>
                                <w:color w:val="373737"/>
                                <w:sz w:val="18"/>
                              </w:rPr>
                              <w:t xml:space="preserve"> Recoger datos de todas las unidades de ambos grupos (beneficiarios y no beneficiarios) sobre sus características principales (variables) correspondientes a 2013 (es decir, antes del programa). Téngase en cuenta que las variables incluidas en el análisis deben afectar tanto a la selección de una unidad como a los indicadores computados a nivel micro (indicadores de impacto comunes y adicionales). Una de las variables propuestas (utilizada como una variable de control importante) puede ser: i) el nivel de apoyo recibido por una unidad determinada («beneficiario» y «no beneficiario» durante el anterior período de programación 2007-2013), y/o ii) el nivel de apoyo recibido por una unidad determinada («beneficiario» y «no beneficiario») de otras fuentes públicas (por ejemplo, fondos estructurales de la UE, pilar I) en el período analizado.</w:t>
                            </w:r>
                          </w:p>
                          <w:p w:rsidR="0022740E" w:rsidRPr="00AF5661" w:rsidRDefault="0022740E" w:rsidP="005C7C25">
                            <w:pPr>
                              <w:pStyle w:val="Hlistbullet"/>
                              <w:spacing w:before="0" w:after="0" w:line="280" w:lineRule="atLeast"/>
                              <w:ind w:left="604" w:hanging="604"/>
                              <w:rPr>
                                <w:color w:val="373737"/>
                                <w:sz w:val="18"/>
                                <w:szCs w:val="18"/>
                              </w:rPr>
                            </w:pPr>
                            <w:r>
                              <w:rPr>
                                <w:b/>
                                <w:color w:val="F07E31" w:themeColor="accent1"/>
                                <w:sz w:val="18"/>
                              </w:rPr>
                              <w:t>Quinto paso:</w:t>
                            </w:r>
                            <w:r>
                              <w:rPr>
                                <w:color w:val="373737"/>
                                <w:sz w:val="18"/>
                              </w:rPr>
                              <w:t xml:space="preserve"> Aplicar técnicas adecuadas (por ejemplo, correlación) que permitan identificar de la muestra de «no beneficiarios» (véanse el segundo y tercer pasos) un «grupo de control» adecuado (se suprimirán del análisis algunos «no beneficiarios» y/o «beneficiarios» debido a la falta de unidades de control adecuadas).</w:t>
                            </w:r>
                          </w:p>
                          <w:p w:rsidR="0022740E" w:rsidRPr="0025164E" w:rsidRDefault="0022740E" w:rsidP="005C7C25">
                            <w:pPr>
                              <w:pStyle w:val="Hlistbullet"/>
                              <w:spacing w:before="0" w:after="0" w:line="280" w:lineRule="atLeast"/>
                              <w:ind w:left="604" w:hanging="604"/>
                            </w:pPr>
                            <w:r>
                              <w:rPr>
                                <w:b/>
                                <w:color w:val="F07E31" w:themeColor="accent1"/>
                                <w:sz w:val="18"/>
                              </w:rPr>
                              <w:t>Sexto paso:</w:t>
                            </w:r>
                            <w:r>
                              <w:rPr>
                                <w:color w:val="373737"/>
                                <w:sz w:val="18"/>
                              </w:rPr>
                              <w:t xml:space="preserve"> Controlar estadísticamente la «similitud» de ambos grupos antes de recibir la ayuda del programa (por ejemplo, realizando pruebas estadísticas sobre las covariables incluidas en el análisis). El valor medio de una unidad del grupo de «beneficiarios» no debe diferir significativamente de la unidad respectiva del «grupo de control».</w:t>
                            </w:r>
                          </w:p>
                          <w:p w:rsidR="0022740E" w:rsidRPr="0025164E" w:rsidRDefault="0022740E" w:rsidP="00735F08">
                            <w:pPr>
                              <w:pStyle w:val="Hlistbullet"/>
                              <w:numPr>
                                <w:ilvl w:val="0"/>
                                <w:numId w:val="0"/>
                              </w:numPr>
                              <w:jc w:val="center"/>
                              <w:rPr>
                                <w:i/>
                                <w:color w:val="F07E31" w:themeColor="accent1"/>
                                <w:sz w:val="18"/>
                                <w:szCs w:val="18"/>
                              </w:rPr>
                            </w:pPr>
                            <w:r>
                              <w:rPr>
                                <w:i/>
                                <w:color w:val="F07E31" w:themeColor="accent1"/>
                                <w:sz w:val="18"/>
                              </w:rPr>
                              <w:t xml:space="preserve">Para obtener más información acerca del diseño de grupos de control, correlación, etc. véanse las </w:t>
                            </w:r>
                            <w:hyperlink r:id="rId48" w:history="1">
                              <w:r>
                                <w:rPr>
                                  <w:rStyle w:val="Hyperlink"/>
                                  <w:i/>
                                  <w:color w:val="F07E31" w:themeColor="accent1"/>
                                  <w:sz w:val="18"/>
                                </w:rPr>
                                <w:t>Directrices para la evaluación posterior de los PDR 2007-2013</w:t>
                              </w:r>
                            </w:hyperlink>
                            <w:r>
                              <w:rPr>
                                <w:rStyle w:val="Hyperlink"/>
                                <w:i/>
                                <w:color w:val="F07E31" w:themeColor="accent1"/>
                                <w:sz w:val="18"/>
                              </w:rPr>
                              <w:t>, capítulo 4</w:t>
                            </w:r>
                          </w:p>
                        </w:txbxContent>
                      </v:textbox>
                      <w10:anchorlock/>
                    </v:shape>
                  </w:pict>
                </mc:Fallback>
              </mc:AlternateContent>
            </w:r>
          </w:p>
        </w:tc>
      </w:tr>
    </w:tbl>
    <w:p w:rsidR="00560A1E" w:rsidRPr="005667CD" w:rsidRDefault="000B213F" w:rsidP="00560A1E">
      <w:pPr>
        <w:pStyle w:val="HStandard"/>
      </w:pPr>
      <w:r w:rsidRPr="005667CD">
        <w:rPr>
          <w:b/>
          <w:i/>
          <w:noProof/>
          <w:color w:val="F07E31" w:themeColor="accent1"/>
          <w:lang w:bidi="ar-SA"/>
        </w:rPr>
        <w:lastRenderedPageBreak/>
        <mc:AlternateContent>
          <mc:Choice Requires="wps">
            <w:drawing>
              <wp:inline distT="0" distB="0" distL="0" distR="0" wp14:anchorId="59008286" wp14:editId="039C2CB8">
                <wp:extent cx="5731510" cy="8888185"/>
                <wp:effectExtent l="0" t="0" r="21590" b="27305"/>
                <wp:docPr id="90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8888185"/>
                        </a:xfrm>
                        <a:custGeom>
                          <a:avLst/>
                          <a:gdLst>
                            <a:gd name="T0" fmla="*/ 290989 w 5731510"/>
                            <a:gd name="T1" fmla="*/ 0 h 8451850"/>
                            <a:gd name="T2" fmla="*/ 5731510 w 5731510"/>
                            <a:gd name="T3" fmla="*/ 0 h 8451850"/>
                            <a:gd name="T4" fmla="*/ 5731510 w 5731510"/>
                            <a:gd name="T5" fmla="*/ 0 h 8451850"/>
                            <a:gd name="T6" fmla="*/ 5731510 w 5731510"/>
                            <a:gd name="T7" fmla="*/ 8160861 h 8451850"/>
                            <a:gd name="T8" fmla="*/ 5440521 w 5731510"/>
                            <a:gd name="T9" fmla="*/ 8451850 h 8451850"/>
                            <a:gd name="T10" fmla="*/ 0 w 5731510"/>
                            <a:gd name="T11" fmla="*/ 8451850 h 8451850"/>
                            <a:gd name="T12" fmla="*/ 0 w 5731510"/>
                            <a:gd name="T13" fmla="*/ 8451850 h 8451850"/>
                            <a:gd name="T14" fmla="*/ 0 w 5731510"/>
                            <a:gd name="T15" fmla="*/ 290989 h 8451850"/>
                            <a:gd name="T16" fmla="*/ 290989 w 5731510"/>
                            <a:gd name="T17" fmla="*/ 0 h 8451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8451850"/>
                            <a:gd name="T29" fmla="*/ 5731510 w 5731510"/>
                            <a:gd name="T30" fmla="*/ 8451850 h 8451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8451850">
                              <a:moveTo>
                                <a:pt x="290989" y="0"/>
                              </a:moveTo>
                              <a:lnTo>
                                <a:pt x="5731510" y="0"/>
                              </a:lnTo>
                              <a:lnTo>
                                <a:pt x="5731510" y="8160861"/>
                              </a:lnTo>
                              <a:cubicBezTo>
                                <a:pt x="5731510" y="8321570"/>
                                <a:pt x="5601230" y="8451850"/>
                                <a:pt x="5440521" y="8451850"/>
                              </a:cubicBezTo>
                              <a:lnTo>
                                <a:pt x="0" y="8451850"/>
                              </a:lnTo>
                              <a:lnTo>
                                <a:pt x="0" y="290989"/>
                              </a:lnTo>
                              <a:cubicBezTo>
                                <a:pt x="0" y="130280"/>
                                <a:pt x="130280" y="0"/>
                                <a:pt x="290989"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22740E" w:rsidRPr="00DD36A9" w:rsidRDefault="0022740E" w:rsidP="006D4194">
                            <w:pPr>
                              <w:pStyle w:val="HHeading4"/>
                            </w:pPr>
                            <w:r>
                              <w:rPr>
                                <w:noProof/>
                                <w:lang w:bidi="ar-SA"/>
                              </w:rPr>
                              <w:drawing>
                                <wp:inline distT="0" distB="0" distL="0" distR="0" wp14:anchorId="7AA3A6B2" wp14:editId="733EE2E3">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GUÍA RÁPIDA #3: Compensaciones en la elección de los métodos de evaluación</w:t>
                            </w:r>
                          </w:p>
                          <w:p w:rsidR="0022740E" w:rsidRDefault="0022740E" w:rsidP="006D4194">
                            <w:pPr>
                              <w:pStyle w:val="HStandard"/>
                              <w:spacing w:after="0"/>
                              <w:rPr>
                                <w:rFonts w:cs="Arial"/>
                                <w:color w:val="373737"/>
                                <w:sz w:val="18"/>
                                <w:szCs w:val="18"/>
                              </w:rPr>
                            </w:pPr>
                            <w:r>
                              <w:rPr>
                                <w:color w:val="373737"/>
                                <w:sz w:val="18"/>
                              </w:rPr>
                              <w:t>En las evaluaciones se suele considerar que los datos no disponibles constituyen la principal restricción que limita la elección de los métodos de evaluación. Sin embargo, la aplicación de técnicas de evaluación «creíbles» (sin hipótesis contrafactual) en tales casos ocasiona deficiencias significativas en el rigor metodológico, la credibilidad, la solidez y la validez. Por lo tanto, se anima a las partes interesadas a que consideren las compensaciones entre la demanda de datos y la distorsión potencial en los resultados generados por métodos más débiles. Los métodos de evaluación que garantizan una mayor calidad de los resultados tienden a ser más exigentes en términos de datos.</w:t>
                            </w:r>
                          </w:p>
                          <w:p w:rsidR="0022740E" w:rsidRPr="006D4194" w:rsidRDefault="0022740E" w:rsidP="006D4194">
                            <w:pPr>
                              <w:pStyle w:val="HStandard"/>
                              <w:spacing w:after="0"/>
                              <w:rPr>
                                <w:rFonts w:cs="Arial"/>
                                <w:color w:val="373737"/>
                                <w:sz w:val="18"/>
                                <w:szCs w:val="18"/>
                              </w:rPr>
                            </w:pPr>
                          </w:p>
                          <w:p w:rsidR="0022740E" w:rsidRPr="009866F7" w:rsidRDefault="0022740E" w:rsidP="006D4194">
                            <w:pPr>
                              <w:spacing w:before="0" w:after="0" w:line="240" w:lineRule="auto"/>
                              <w:rPr>
                                <w:rFonts w:cs="Arial"/>
                                <w:color w:val="373737"/>
                                <w:szCs w:val="18"/>
                                <w:highlight w:val="yellow"/>
                              </w:rPr>
                            </w:pPr>
                            <w:r>
                              <w:rPr>
                                <w:b/>
                              </w:rPr>
                              <w:t>Métodos de comparación</w:t>
                            </w:r>
                            <w:r>
                              <w:t xml:space="preserve"> (Leyenda:</w:t>
                            </w:r>
                            <w:r>
                              <w:rPr>
                                <w:color w:val="373737"/>
                              </w:rPr>
                              <w:t xml:space="preserve"> +++++ = la puntuación más elevada; + = la puntuación más baja):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22740E" w:rsidTr="00284F8D">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22740E" w:rsidRPr="0025164E" w:rsidRDefault="0022740E" w:rsidP="009811C2">
                                  <w:pPr>
                                    <w:jc w:val="center"/>
                                    <w:rPr>
                                      <w:rFonts w:cs="Arial"/>
                                      <w:szCs w:val="18"/>
                                    </w:rPr>
                                  </w:pPr>
                                  <w:r>
                                    <w:t>Método</w:t>
                                  </w:r>
                                </w:p>
                              </w:tc>
                              <w:tc>
                                <w:tcPr>
                                  <w:tcW w:w="1701" w:type="dxa"/>
                                </w:tcPr>
                                <w:p w:rsidR="0022740E" w:rsidRPr="0025164E" w:rsidRDefault="0022740E"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Credibilidad / Rigor, fiabilidad, etc.</w:t>
                                  </w:r>
                                </w:p>
                              </w:tc>
                              <w:tc>
                                <w:tcPr>
                                  <w:tcW w:w="1701" w:type="dxa"/>
                                </w:tcPr>
                                <w:p w:rsidR="0022740E" w:rsidRPr="0025164E" w:rsidRDefault="0022740E"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Capacidad para reducir la selección y otros sesgos</w:t>
                                  </w:r>
                                </w:p>
                              </w:tc>
                              <w:tc>
                                <w:tcPr>
                                  <w:tcW w:w="1417" w:type="dxa"/>
                                </w:tcPr>
                                <w:p w:rsidR="0022740E" w:rsidRPr="0025164E" w:rsidRDefault="0022740E"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Calidad de la evaluación</w:t>
                                  </w:r>
                                </w:p>
                              </w:tc>
                              <w:tc>
                                <w:tcPr>
                                  <w:tcW w:w="1418" w:type="dxa"/>
                                </w:tcPr>
                                <w:p w:rsidR="0022740E" w:rsidRPr="0025164E" w:rsidRDefault="0022740E"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Demanda de datos</w:t>
                                  </w:r>
                                </w:p>
                              </w:tc>
                            </w:tr>
                            <w:tr w:rsidR="0022740E" w:rsidTr="00284F8D">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22740E" w:rsidRPr="009811C2" w:rsidRDefault="0022740E" w:rsidP="00365997">
                                  <w:pPr>
                                    <w:jc w:val="left"/>
                                    <w:rPr>
                                      <w:rFonts w:cs="Arial"/>
                                      <w:szCs w:val="18"/>
                                    </w:rPr>
                                  </w:pPr>
                                  <w:r>
                                    <w:t>Enfoque experimental</w:t>
                                  </w:r>
                                </w:p>
                              </w:tc>
                              <w:tc>
                                <w:tcPr>
                                  <w:tcW w:w="1701"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22740E" w:rsidTr="00284F8D">
                              <w:tc>
                                <w:tcPr>
                                  <w:cnfStyle w:val="001000000000" w:firstRow="0" w:lastRow="0" w:firstColumn="1" w:lastColumn="0" w:oddVBand="0" w:evenVBand="0" w:oddHBand="0" w:evenHBand="0" w:firstRowFirstColumn="0" w:firstRowLastColumn="0" w:lastRowFirstColumn="0" w:lastRowLastColumn="0"/>
                                  <w:tcW w:w="2093" w:type="dxa"/>
                                </w:tcPr>
                                <w:p w:rsidR="0022740E" w:rsidRPr="009811C2" w:rsidRDefault="0022740E" w:rsidP="00365997">
                                  <w:pPr>
                                    <w:jc w:val="left"/>
                                    <w:rPr>
                                      <w:rFonts w:cs="Arial"/>
                                      <w:szCs w:val="18"/>
                                    </w:rPr>
                                  </w:pPr>
                                  <w:r>
                                    <w:t>Enfoques cuasiexperimentales</w:t>
                                  </w:r>
                                </w:p>
                              </w:tc>
                              <w:tc>
                                <w:tcPr>
                                  <w:tcW w:w="1701" w:type="dxa"/>
                                </w:tcPr>
                                <w:p w:rsidR="0022740E" w:rsidRPr="00B9614C" w:rsidRDefault="002274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2740E" w:rsidRPr="00B9614C" w:rsidRDefault="002274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2740E" w:rsidRPr="00B9614C" w:rsidRDefault="002274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2740E" w:rsidRPr="00B9614C" w:rsidRDefault="002274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22740E" w:rsidTr="00284F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22740E" w:rsidRPr="009811C2" w:rsidRDefault="0022740E" w:rsidP="00365997">
                                  <w:pPr>
                                    <w:jc w:val="left"/>
                                    <w:rPr>
                                      <w:rFonts w:cs="Arial"/>
                                      <w:szCs w:val="18"/>
                                    </w:rPr>
                                  </w:pPr>
                                  <w:r>
                                    <w:t>Enfoques de correlación (combinados con DID)</w:t>
                                  </w:r>
                                </w:p>
                              </w:tc>
                              <w:tc>
                                <w:tcPr>
                                  <w:tcW w:w="1701"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22740E" w:rsidTr="00284F8D">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22740E" w:rsidRPr="009811C2" w:rsidRDefault="0022740E" w:rsidP="00365997">
                                  <w:pPr>
                                    <w:jc w:val="left"/>
                                    <w:rPr>
                                      <w:rFonts w:cs="Arial"/>
                                      <w:szCs w:val="18"/>
                                    </w:rPr>
                                  </w:pPr>
                                  <w:r>
                                    <w:t>IDD</w:t>
                                  </w:r>
                                </w:p>
                              </w:tc>
                              <w:tc>
                                <w:tcPr>
                                  <w:tcW w:w="1701" w:type="dxa"/>
                                </w:tcPr>
                                <w:p w:rsidR="0022740E" w:rsidRPr="00B9614C" w:rsidRDefault="002274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2740E" w:rsidRPr="00B9614C" w:rsidRDefault="002274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2740E" w:rsidRPr="00B9614C" w:rsidRDefault="002274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2740E" w:rsidRPr="00B9614C" w:rsidRDefault="002274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22740E" w:rsidTr="00284F8D">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22740E" w:rsidRPr="009811C2" w:rsidRDefault="0022740E" w:rsidP="00365997">
                                  <w:pPr>
                                    <w:jc w:val="left"/>
                                    <w:rPr>
                                      <w:rFonts w:cs="Arial"/>
                                      <w:szCs w:val="18"/>
                                    </w:rPr>
                                  </w:pPr>
                                  <w:r>
                                    <w:t>Método de variables instrumentales</w:t>
                                  </w:r>
                                </w:p>
                              </w:tc>
                              <w:tc>
                                <w:tcPr>
                                  <w:tcW w:w="1701"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22740E" w:rsidTr="00284F8D">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22740E" w:rsidRPr="009811C2" w:rsidRDefault="0022740E" w:rsidP="00365997">
                                  <w:pPr>
                                    <w:jc w:val="left"/>
                                    <w:rPr>
                                      <w:rFonts w:cs="Arial"/>
                                      <w:szCs w:val="18"/>
                                    </w:rPr>
                                  </w:pPr>
                                  <w:r>
                                    <w:t>Método DID</w:t>
                                  </w:r>
                                </w:p>
                              </w:tc>
                              <w:tc>
                                <w:tcPr>
                                  <w:tcW w:w="1701" w:type="dxa"/>
                                </w:tcPr>
                                <w:p w:rsidR="0022740E" w:rsidRPr="00B9614C" w:rsidRDefault="002274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2740E" w:rsidRPr="00B9614C" w:rsidRDefault="002274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2740E" w:rsidRPr="00B9614C" w:rsidRDefault="002274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2740E" w:rsidRPr="00B9614C" w:rsidRDefault="002274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22740E" w:rsidTr="00284F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22740E" w:rsidRPr="009811C2" w:rsidRDefault="0022740E" w:rsidP="00365997">
                                  <w:pPr>
                                    <w:jc w:val="left"/>
                                    <w:rPr>
                                      <w:rFonts w:cs="Arial"/>
                                      <w:szCs w:val="18"/>
                                    </w:rPr>
                                  </w:pPr>
                                  <w:r>
                                    <w:t>Comparaciones con no beneficiarios en un determinado período de tiempo (enfoque creíble)</w:t>
                                  </w:r>
                                </w:p>
                              </w:tc>
                              <w:tc>
                                <w:tcPr>
                                  <w:tcW w:w="1701"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22740E" w:rsidTr="00284F8D">
                              <w:tc>
                                <w:tcPr>
                                  <w:cnfStyle w:val="001000000000" w:firstRow="0" w:lastRow="0" w:firstColumn="1" w:lastColumn="0" w:oddVBand="0" w:evenVBand="0" w:oddHBand="0" w:evenHBand="0" w:firstRowFirstColumn="0" w:firstRowLastColumn="0" w:lastRowFirstColumn="0" w:lastRowLastColumn="0"/>
                                  <w:tcW w:w="2093" w:type="dxa"/>
                                </w:tcPr>
                                <w:p w:rsidR="0022740E" w:rsidRPr="009811C2" w:rsidRDefault="0022740E" w:rsidP="00365997">
                                  <w:pPr>
                                    <w:jc w:val="left"/>
                                    <w:rPr>
                                      <w:rFonts w:cs="Arial"/>
                                      <w:szCs w:val="18"/>
                                    </w:rPr>
                                  </w:pPr>
                                  <w:r>
                                    <w:t>Comparación antes-después de los beneficiarios del programa (enfoque creíble)</w:t>
                                  </w:r>
                                </w:p>
                              </w:tc>
                              <w:tc>
                                <w:tcPr>
                                  <w:tcW w:w="1701" w:type="dxa"/>
                                </w:tcPr>
                                <w:p w:rsidR="0022740E" w:rsidRPr="00B9614C" w:rsidRDefault="002274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2740E" w:rsidRPr="00B9614C" w:rsidRDefault="002274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2740E" w:rsidRPr="00B9614C" w:rsidRDefault="002274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2740E" w:rsidRPr="00B9614C" w:rsidRDefault="002274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22740E" w:rsidTr="00284F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22740E" w:rsidRPr="009811C2" w:rsidRDefault="0022740E" w:rsidP="00365997">
                                  <w:pPr>
                                    <w:jc w:val="left"/>
                                    <w:rPr>
                                      <w:rFonts w:cs="Arial"/>
                                      <w:szCs w:val="18"/>
                                    </w:rPr>
                                  </w:pPr>
                                  <w:r>
                                    <w:t>Enfoques cualitativos aplicados a la estimación de los resultados / impactos del programa</w:t>
                                  </w:r>
                                </w:p>
                              </w:tc>
                              <w:tc>
                                <w:tcPr>
                                  <w:tcW w:w="1701"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22740E" w:rsidRPr="00742E07" w:rsidRDefault="0022740E" w:rsidP="00735F08">
                            <w:pPr>
                              <w:pStyle w:val="HStandard"/>
                              <w:jc w:val="center"/>
                              <w:rPr>
                                <w:i/>
                                <w:color w:val="F07E31" w:themeColor="accent1"/>
                              </w:rPr>
                            </w:pPr>
                            <w:r>
                              <w:rPr>
                                <w:i/>
                                <w:color w:val="F07E31" w:themeColor="accent1"/>
                                <w:sz w:val="18"/>
                              </w:rPr>
                              <w:t xml:space="preserve">Para obtener más información acerca de los criterios para elegir los enfoques de evaluación, véanse las </w:t>
                            </w:r>
                            <w:hyperlink r:id="rId49">
                              <w:r>
                                <w:rPr>
                                  <w:rStyle w:val="Hyperlink"/>
                                  <w:i/>
                                  <w:color w:val="F07E31" w:themeColor="accent1"/>
                                  <w:sz w:val="18"/>
                                </w:rPr>
                                <w:t>Directrices para la evaluación posterior de los PDR 2007-2013</w:t>
                              </w:r>
                            </w:hyperlink>
                            <w:r>
                              <w:rPr>
                                <w:rStyle w:val="Hyperlink"/>
                                <w:i/>
                                <w:color w:val="F07E31" w:themeColor="accent1"/>
                                <w:sz w:val="18"/>
                              </w:rPr>
                              <w:t>. Capítulo 4.3.4.2</w:t>
                            </w:r>
                          </w:p>
                        </w:txbxContent>
                      </wps:txbx>
                      <wps:bodyPr rot="0" vert="horz" wrap="square" lIns="91440" tIns="45720" rIns="91440" bIns="45720" anchor="ctr" anchorCtr="0" upright="1">
                        <a:noAutofit/>
                      </wps:bodyPr>
                    </wps:wsp>
                  </a:graphicData>
                </a:graphic>
              </wp:inline>
            </w:drawing>
          </mc:Choice>
          <mc:Fallback>
            <w:pict>
              <v:shape w14:anchorId="59008286" id="AutoShape 66" o:spid="_x0000_s1036" style="width:451.3pt;height:699.85pt;visibility:visible;mso-wrap-style:square;mso-left-percent:-10001;mso-top-percent:-10001;mso-position-horizontal:absolute;mso-position-horizontal-relative:char;mso-position-vertical:absolute;mso-position-vertical-relative:line;mso-left-percent:-10001;mso-top-percent:-10001;v-text-anchor:middle" coordsize="5731510,8451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" adj="-11796480,,5400" path="m290989,l5731510,r,8160861c5731510,8321570,5601230,8451850,5440521,8451850l,8451850,,290989c,130280,130280,,290989,xe" filled="f" strokecolor="#be4a35" strokeweight="2pt">
                <v:stroke joinstyle="miter"/>
                <v:formulas/>
                <v:path arrowok="t" o:connecttype="custom" o:connectlocs="290989,0;5731510,0;5731510,0;5731510,8582173;5440521,8888185;0,8888185;0,8888185;0,306012;290989,0" o:connectangles="0,0,0,0,0,0,0,0,0" textboxrect="0,0,5731510,8451850"/>
                <v:textbox>
                  <w:txbxContent>
                    <w:p w:rsidR="0022740E" w:rsidRPr="00DD36A9" w:rsidRDefault="0022740E" w:rsidP="006D4194">
                      <w:pPr>
                        <w:pStyle w:val="HHeading4"/>
                      </w:pPr>
                      <w:r>
                        <w:rPr>
                          <w:noProof/>
                          <w:lang w:bidi="ar-SA"/>
                        </w:rPr>
                        <w:drawing>
                          <wp:inline distT="0" distB="0" distL="0" distR="0" wp14:anchorId="7AA3A6B2" wp14:editId="733EE2E3">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GUÍA RÁPIDA #3: Compensaciones en la elección de los métodos de evaluación</w:t>
                      </w:r>
                    </w:p>
                    <w:p w:rsidR="0022740E" w:rsidRDefault="0022740E" w:rsidP="006D4194">
                      <w:pPr>
                        <w:pStyle w:val="HStandard"/>
                        <w:spacing w:after="0"/>
                        <w:rPr>
                          <w:rFonts w:cs="Arial"/>
                          <w:color w:val="373737"/>
                          <w:sz w:val="18"/>
                          <w:szCs w:val="18"/>
                        </w:rPr>
                      </w:pPr>
                      <w:r>
                        <w:rPr>
                          <w:color w:val="373737"/>
                          <w:sz w:val="18"/>
                        </w:rPr>
                        <w:t>En las evaluaciones se suele considerar que los datos no disponibles constituyen la principal restricción que limita la elección de los métodos de evaluación. Sin embargo, la aplicación de técnicas de evaluación «creíbles» (sin hipótesis contrafactual) en tales casos ocasiona deficiencias significativas en el rigor metodológico, la credibilidad, la solidez y la validez. Por lo tanto, se anima a las partes interesadas a que consideren las compensaciones entre la demanda de datos y la distorsión potencial en los resultados generados por métodos más débiles. Los métodos de evaluación que garantizan una mayor calidad de los resultados tienden a ser más exigentes en términos de datos.</w:t>
                      </w:r>
                    </w:p>
                    <w:p w:rsidR="0022740E" w:rsidRPr="006D4194" w:rsidRDefault="0022740E" w:rsidP="006D4194">
                      <w:pPr>
                        <w:pStyle w:val="HStandard"/>
                        <w:spacing w:after="0"/>
                        <w:rPr>
                          <w:rFonts w:cs="Arial"/>
                          <w:color w:val="373737"/>
                          <w:sz w:val="18"/>
                          <w:szCs w:val="18"/>
                        </w:rPr>
                      </w:pPr>
                    </w:p>
                    <w:p w:rsidR="0022740E" w:rsidRPr="009866F7" w:rsidRDefault="0022740E" w:rsidP="006D4194">
                      <w:pPr>
                        <w:spacing w:before="0" w:after="0" w:line="240" w:lineRule="auto"/>
                        <w:rPr>
                          <w:rFonts w:cs="Arial"/>
                          <w:color w:val="373737"/>
                          <w:szCs w:val="18"/>
                          <w:highlight w:val="yellow"/>
                        </w:rPr>
                      </w:pPr>
                      <w:r>
                        <w:rPr>
                          <w:b/>
                        </w:rPr>
                        <w:t>Métodos de comparación</w:t>
                      </w:r>
                      <w:r>
                        <w:t xml:space="preserve"> (Leyenda:</w:t>
                      </w:r>
                      <w:r>
                        <w:rPr>
                          <w:color w:val="373737"/>
                        </w:rPr>
                        <w:t xml:space="preserve"> +++++ = la puntuación más elevada; + = la puntuación más baja):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22740E" w:rsidTr="00284F8D">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22740E" w:rsidRPr="0025164E" w:rsidRDefault="0022740E" w:rsidP="009811C2">
                            <w:pPr>
                              <w:jc w:val="center"/>
                              <w:rPr>
                                <w:rFonts w:cs="Arial"/>
                                <w:szCs w:val="18"/>
                              </w:rPr>
                            </w:pPr>
                            <w:r>
                              <w:t>Método</w:t>
                            </w:r>
                          </w:p>
                        </w:tc>
                        <w:tc>
                          <w:tcPr>
                            <w:tcW w:w="1701" w:type="dxa"/>
                          </w:tcPr>
                          <w:p w:rsidR="0022740E" w:rsidRPr="0025164E" w:rsidRDefault="0022740E"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Credibilidad / Rigor, fiabilidad, etc.</w:t>
                            </w:r>
                          </w:p>
                        </w:tc>
                        <w:tc>
                          <w:tcPr>
                            <w:tcW w:w="1701" w:type="dxa"/>
                          </w:tcPr>
                          <w:p w:rsidR="0022740E" w:rsidRPr="0025164E" w:rsidRDefault="0022740E"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Capacidad para reducir la selección y otros sesgos</w:t>
                            </w:r>
                          </w:p>
                        </w:tc>
                        <w:tc>
                          <w:tcPr>
                            <w:tcW w:w="1417" w:type="dxa"/>
                          </w:tcPr>
                          <w:p w:rsidR="0022740E" w:rsidRPr="0025164E" w:rsidRDefault="0022740E"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Calidad de la evaluación</w:t>
                            </w:r>
                          </w:p>
                        </w:tc>
                        <w:tc>
                          <w:tcPr>
                            <w:tcW w:w="1418" w:type="dxa"/>
                          </w:tcPr>
                          <w:p w:rsidR="0022740E" w:rsidRPr="0025164E" w:rsidRDefault="0022740E"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Demanda de datos</w:t>
                            </w:r>
                          </w:p>
                        </w:tc>
                      </w:tr>
                      <w:tr w:rsidR="0022740E" w:rsidTr="00284F8D">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22740E" w:rsidRPr="009811C2" w:rsidRDefault="0022740E" w:rsidP="00365997">
                            <w:pPr>
                              <w:jc w:val="left"/>
                              <w:rPr>
                                <w:rFonts w:cs="Arial"/>
                                <w:szCs w:val="18"/>
                              </w:rPr>
                            </w:pPr>
                            <w:r>
                              <w:t>Enfoque experimental</w:t>
                            </w:r>
                          </w:p>
                        </w:tc>
                        <w:tc>
                          <w:tcPr>
                            <w:tcW w:w="1701"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22740E" w:rsidTr="00284F8D">
                        <w:tc>
                          <w:tcPr>
                            <w:cnfStyle w:val="001000000000" w:firstRow="0" w:lastRow="0" w:firstColumn="1" w:lastColumn="0" w:oddVBand="0" w:evenVBand="0" w:oddHBand="0" w:evenHBand="0" w:firstRowFirstColumn="0" w:firstRowLastColumn="0" w:lastRowFirstColumn="0" w:lastRowLastColumn="0"/>
                            <w:tcW w:w="2093" w:type="dxa"/>
                          </w:tcPr>
                          <w:p w:rsidR="0022740E" w:rsidRPr="009811C2" w:rsidRDefault="0022740E" w:rsidP="00365997">
                            <w:pPr>
                              <w:jc w:val="left"/>
                              <w:rPr>
                                <w:rFonts w:cs="Arial"/>
                                <w:szCs w:val="18"/>
                              </w:rPr>
                            </w:pPr>
                            <w:r>
                              <w:t>Enfoques cuasiexperimentales</w:t>
                            </w:r>
                          </w:p>
                        </w:tc>
                        <w:tc>
                          <w:tcPr>
                            <w:tcW w:w="1701" w:type="dxa"/>
                          </w:tcPr>
                          <w:p w:rsidR="0022740E" w:rsidRPr="00B9614C" w:rsidRDefault="002274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2740E" w:rsidRPr="00B9614C" w:rsidRDefault="002274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2740E" w:rsidRPr="00B9614C" w:rsidRDefault="002274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2740E" w:rsidRPr="00B9614C" w:rsidRDefault="002274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22740E" w:rsidTr="00284F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22740E" w:rsidRPr="009811C2" w:rsidRDefault="0022740E" w:rsidP="00365997">
                            <w:pPr>
                              <w:jc w:val="left"/>
                              <w:rPr>
                                <w:rFonts w:cs="Arial"/>
                                <w:szCs w:val="18"/>
                              </w:rPr>
                            </w:pPr>
                            <w:r>
                              <w:t>Enfoques de correlación (combinados con DID)</w:t>
                            </w:r>
                          </w:p>
                        </w:tc>
                        <w:tc>
                          <w:tcPr>
                            <w:tcW w:w="1701"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22740E" w:rsidTr="00284F8D">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22740E" w:rsidRPr="009811C2" w:rsidRDefault="0022740E" w:rsidP="00365997">
                            <w:pPr>
                              <w:jc w:val="left"/>
                              <w:rPr>
                                <w:rFonts w:cs="Arial"/>
                                <w:szCs w:val="18"/>
                              </w:rPr>
                            </w:pPr>
                            <w:r>
                              <w:t>IDD</w:t>
                            </w:r>
                          </w:p>
                        </w:tc>
                        <w:tc>
                          <w:tcPr>
                            <w:tcW w:w="1701" w:type="dxa"/>
                          </w:tcPr>
                          <w:p w:rsidR="0022740E" w:rsidRPr="00B9614C" w:rsidRDefault="002274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2740E" w:rsidRPr="00B9614C" w:rsidRDefault="002274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2740E" w:rsidRPr="00B9614C" w:rsidRDefault="002274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2740E" w:rsidRPr="00B9614C" w:rsidRDefault="002274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22740E" w:rsidTr="00284F8D">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22740E" w:rsidRPr="009811C2" w:rsidRDefault="0022740E" w:rsidP="00365997">
                            <w:pPr>
                              <w:jc w:val="left"/>
                              <w:rPr>
                                <w:rFonts w:cs="Arial"/>
                                <w:szCs w:val="18"/>
                              </w:rPr>
                            </w:pPr>
                            <w:r>
                              <w:t>Método de variables instrumentales</w:t>
                            </w:r>
                          </w:p>
                        </w:tc>
                        <w:tc>
                          <w:tcPr>
                            <w:tcW w:w="1701"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22740E" w:rsidTr="00284F8D">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22740E" w:rsidRPr="009811C2" w:rsidRDefault="0022740E" w:rsidP="00365997">
                            <w:pPr>
                              <w:jc w:val="left"/>
                              <w:rPr>
                                <w:rFonts w:cs="Arial"/>
                                <w:szCs w:val="18"/>
                              </w:rPr>
                            </w:pPr>
                            <w:r>
                              <w:t>Método DID</w:t>
                            </w:r>
                          </w:p>
                        </w:tc>
                        <w:tc>
                          <w:tcPr>
                            <w:tcW w:w="1701" w:type="dxa"/>
                          </w:tcPr>
                          <w:p w:rsidR="0022740E" w:rsidRPr="00B9614C" w:rsidRDefault="002274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2740E" w:rsidRPr="00B9614C" w:rsidRDefault="002274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2740E" w:rsidRPr="00B9614C" w:rsidRDefault="002274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2740E" w:rsidRPr="00B9614C" w:rsidRDefault="002274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22740E" w:rsidTr="00284F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22740E" w:rsidRPr="009811C2" w:rsidRDefault="0022740E" w:rsidP="00365997">
                            <w:pPr>
                              <w:jc w:val="left"/>
                              <w:rPr>
                                <w:rFonts w:cs="Arial"/>
                                <w:szCs w:val="18"/>
                              </w:rPr>
                            </w:pPr>
                            <w:r>
                              <w:t>Comparaciones con no beneficiarios en un determinado período de tiempo (enfoque creíble)</w:t>
                            </w:r>
                          </w:p>
                        </w:tc>
                        <w:tc>
                          <w:tcPr>
                            <w:tcW w:w="1701"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22740E" w:rsidTr="00284F8D">
                        <w:tc>
                          <w:tcPr>
                            <w:cnfStyle w:val="001000000000" w:firstRow="0" w:lastRow="0" w:firstColumn="1" w:lastColumn="0" w:oddVBand="0" w:evenVBand="0" w:oddHBand="0" w:evenHBand="0" w:firstRowFirstColumn="0" w:firstRowLastColumn="0" w:lastRowFirstColumn="0" w:lastRowLastColumn="0"/>
                            <w:tcW w:w="2093" w:type="dxa"/>
                          </w:tcPr>
                          <w:p w:rsidR="0022740E" w:rsidRPr="009811C2" w:rsidRDefault="0022740E" w:rsidP="00365997">
                            <w:pPr>
                              <w:jc w:val="left"/>
                              <w:rPr>
                                <w:rFonts w:cs="Arial"/>
                                <w:szCs w:val="18"/>
                              </w:rPr>
                            </w:pPr>
                            <w:r>
                              <w:t>Comparación antes-después de los beneficiarios del programa (enfoque creíble)</w:t>
                            </w:r>
                          </w:p>
                        </w:tc>
                        <w:tc>
                          <w:tcPr>
                            <w:tcW w:w="1701" w:type="dxa"/>
                          </w:tcPr>
                          <w:p w:rsidR="0022740E" w:rsidRPr="00B9614C" w:rsidRDefault="002274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2740E" w:rsidRPr="00B9614C" w:rsidRDefault="002274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2740E" w:rsidRPr="00B9614C" w:rsidRDefault="002274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2740E" w:rsidRPr="00B9614C" w:rsidRDefault="002274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22740E" w:rsidTr="00284F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22740E" w:rsidRPr="009811C2" w:rsidRDefault="0022740E" w:rsidP="00365997">
                            <w:pPr>
                              <w:jc w:val="left"/>
                              <w:rPr>
                                <w:rFonts w:cs="Arial"/>
                                <w:szCs w:val="18"/>
                              </w:rPr>
                            </w:pPr>
                            <w:r>
                              <w:t>Enfoques cualitativos aplicados a la estimación de los resultados / impactos del programa</w:t>
                            </w:r>
                          </w:p>
                        </w:tc>
                        <w:tc>
                          <w:tcPr>
                            <w:tcW w:w="1701"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2740E" w:rsidRPr="00B9614C" w:rsidRDefault="002274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22740E" w:rsidRPr="00742E07" w:rsidRDefault="0022740E" w:rsidP="00735F08">
                      <w:pPr>
                        <w:pStyle w:val="HStandard"/>
                        <w:jc w:val="center"/>
                        <w:rPr>
                          <w:i/>
                          <w:color w:val="F07E31" w:themeColor="accent1"/>
                        </w:rPr>
                      </w:pPr>
                      <w:r>
                        <w:rPr>
                          <w:i/>
                          <w:color w:val="F07E31" w:themeColor="accent1"/>
                          <w:sz w:val="18"/>
                        </w:rPr>
                        <w:t xml:space="preserve">Para obtener más información acerca de los criterios para elegir los enfoques de evaluación, véanse las </w:t>
                      </w:r>
                      <w:hyperlink r:id="rId50">
                        <w:r>
                          <w:rPr>
                            <w:rStyle w:val="Hyperlink"/>
                            <w:i/>
                            <w:color w:val="F07E31" w:themeColor="accent1"/>
                            <w:sz w:val="18"/>
                          </w:rPr>
                          <w:t>Directrices para la evaluación posterior de los PDR 2007-2013</w:t>
                        </w:r>
                      </w:hyperlink>
                      <w:r>
                        <w:rPr>
                          <w:rStyle w:val="Hyperlink"/>
                          <w:i/>
                          <w:color w:val="F07E31" w:themeColor="accent1"/>
                          <w:sz w:val="18"/>
                        </w:rPr>
                        <w:t>. Capítulo 4.3.4.2</w:t>
                      </w:r>
                    </w:p>
                  </w:txbxContent>
                </v:textbox>
                <w10:anchorlock/>
              </v:shape>
            </w:pict>
          </mc:Fallback>
        </mc:AlternateContent>
      </w:r>
    </w:p>
    <w:p w:rsidR="00820050" w:rsidRPr="005667CD" w:rsidRDefault="004A3547" w:rsidP="00820050">
      <w:pPr>
        <w:pStyle w:val="HHeading4"/>
      </w:pPr>
      <w:r w:rsidRPr="005667CD">
        <w:br w:type="column"/>
      </w:r>
      <w:r w:rsidRPr="005667CD">
        <w:lastRenderedPageBreak/>
        <w:t>Valoración a niveles micro y macro y compensación de los impactos (tercer estrato)</w:t>
      </w:r>
    </w:p>
    <w:p w:rsidR="00820050" w:rsidRPr="005667CD" w:rsidRDefault="00820050" w:rsidP="00820050">
      <w:pPr>
        <w:pStyle w:val="HStandard"/>
        <w:rPr>
          <w:rFonts w:cs="Arial"/>
        </w:rPr>
      </w:pPr>
      <w:r w:rsidRPr="005667CD">
        <w:t xml:space="preserve">Para perfeccionar las opciones de evaluación, en el modelo lógico se aplica el </w:t>
      </w:r>
      <w:r w:rsidRPr="005667CD">
        <w:rPr>
          <w:b/>
        </w:rPr>
        <w:t>estrato micro o macro</w:t>
      </w:r>
      <w:r w:rsidRPr="005667CD">
        <w:t>. El flujo de trabajo de los estratos micro y macro conduce al evaluador a métodos que contribuyen a una valoración coherente de los impactos</w:t>
      </w:r>
      <w:r w:rsidRPr="005667CD">
        <w:rPr>
          <w:b/>
        </w:rPr>
        <w:t xml:space="preserve"> netos en los niveles micro y macro</w:t>
      </w:r>
      <w:r w:rsidRPr="005667CD">
        <w:rPr>
          <w:rStyle w:val="FootnoteReference"/>
          <w:b/>
        </w:rPr>
        <w:footnoteReference w:id="28"/>
      </w:r>
      <w:r w:rsidRPr="005667CD">
        <w:t xml:space="preserve">. Para cada uno de los posibles diseños contrafactuales, se crea un modelo lógico individual a nivel micro. En algunos diseños de evaluación, el ajuste de las conclusiones a nivel micro es la base para la valoración a nivel macro. En otros diseños de evaluación, las valoraciones a niveles micro y macro se complementan mutuamente, lo cual requiere un control coherente. </w:t>
      </w:r>
    </w:p>
    <w:p w:rsidR="00C545E7" w:rsidRPr="005667CD" w:rsidRDefault="000B213F" w:rsidP="00820050">
      <w:pPr>
        <w:pStyle w:val="HStandard"/>
        <w:spacing w:after="0"/>
        <w:rPr>
          <w:rFonts w:cs="Arial"/>
        </w:rPr>
      </w:pPr>
      <w:r w:rsidRPr="005667CD">
        <w:rPr>
          <w:b/>
          <w:i/>
          <w:noProof/>
          <w:color w:val="F07E31" w:themeColor="accent1"/>
          <w:lang w:bidi="ar-SA"/>
        </w:rPr>
        <mc:AlternateContent>
          <mc:Choice Requires="wps">
            <w:drawing>
              <wp:inline distT="0" distB="0" distL="0" distR="0" wp14:anchorId="196C40C0" wp14:editId="68FCB82D">
                <wp:extent cx="5731510" cy="1507671"/>
                <wp:effectExtent l="0" t="0" r="21590" b="16510"/>
                <wp:docPr id="90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507671"/>
                        </a:xfrm>
                        <a:custGeom>
                          <a:avLst/>
                          <a:gdLst>
                            <a:gd name="T0" fmla="*/ 126364 w 5731510"/>
                            <a:gd name="T1" fmla="*/ 0 h 1446971"/>
                            <a:gd name="T2" fmla="*/ 5731510 w 5731510"/>
                            <a:gd name="T3" fmla="*/ 0 h 1446971"/>
                            <a:gd name="T4" fmla="*/ 5731510 w 5731510"/>
                            <a:gd name="T5" fmla="*/ 0 h 1446971"/>
                            <a:gd name="T6" fmla="*/ 5731510 w 5731510"/>
                            <a:gd name="T7" fmla="*/ 1320607 h 1446971"/>
                            <a:gd name="T8" fmla="*/ 5605146 w 5731510"/>
                            <a:gd name="T9" fmla="*/ 1446971 h 1446971"/>
                            <a:gd name="T10" fmla="*/ 0 w 5731510"/>
                            <a:gd name="T11" fmla="*/ 1446971 h 1446971"/>
                            <a:gd name="T12" fmla="*/ 0 w 5731510"/>
                            <a:gd name="T13" fmla="*/ 1446971 h 1446971"/>
                            <a:gd name="T14" fmla="*/ 0 w 5731510"/>
                            <a:gd name="T15" fmla="*/ 126364 h 1446971"/>
                            <a:gd name="T16" fmla="*/ 126364 w 5731510"/>
                            <a:gd name="T17" fmla="*/ 0 h 14469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446971"/>
                            <a:gd name="T29" fmla="*/ 5731510 w 5731510"/>
                            <a:gd name="T30" fmla="*/ 1446971 h 144697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446971">
                              <a:moveTo>
                                <a:pt x="126364" y="0"/>
                              </a:moveTo>
                              <a:lnTo>
                                <a:pt x="5731510" y="0"/>
                              </a:lnTo>
                              <a:lnTo>
                                <a:pt x="5731510" y="1320607"/>
                              </a:lnTo>
                              <a:cubicBezTo>
                                <a:pt x="5731510" y="1390396"/>
                                <a:pt x="5674935" y="1446971"/>
                                <a:pt x="5605146" y="1446971"/>
                              </a:cubicBezTo>
                              <a:lnTo>
                                <a:pt x="0" y="1446971"/>
                              </a:lnTo>
                              <a:lnTo>
                                <a:pt x="0" y="126364"/>
                              </a:lnTo>
                              <a:cubicBezTo>
                                <a:pt x="0" y="56575"/>
                                <a:pt x="56575" y="0"/>
                                <a:pt x="126364"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22740E" w:rsidRPr="00044269" w:rsidRDefault="0022740E" w:rsidP="00EC01C3">
                            <w:pPr>
                              <w:pStyle w:val="HHeading4"/>
                              <w:spacing w:before="0"/>
                              <w:jc w:val="both"/>
                              <w:rPr>
                                <w:b w:val="0"/>
                                <w:i/>
                                <w:color w:val="373737" w:themeColor="text1"/>
                                <w:sz w:val="18"/>
                              </w:rPr>
                            </w:pPr>
                            <w:r>
                              <w:rPr>
                                <w:noProof/>
                                <w:color w:val="373737" w:themeColor="text1"/>
                                <w:lang w:bidi="ar-SA"/>
                              </w:rPr>
                              <w:drawing>
                                <wp:inline distT="0" distB="0" distL="0" distR="0" wp14:anchorId="46449AD0" wp14:editId="50F3F3F4">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Las pruebas cuantitativas deben interpretarse de forma crítica</w:t>
                            </w:r>
                            <w:r>
                              <w:rPr>
                                <w:rStyle w:val="CommentReference"/>
                                <w:color w:val="373737" w:themeColor="text1"/>
                              </w:rPr>
                              <w:t xml:space="preserve"> </w:t>
                            </w:r>
                            <w:r>
                              <w:rPr>
                                <w:color w:val="373737" w:themeColor="text1"/>
                              </w:rPr>
                              <w:t>con una valoración cualitativa.</w:t>
                            </w:r>
                            <w:r>
                              <w:rPr>
                                <w:b w:val="0"/>
                                <w:color w:val="373737" w:themeColor="text1"/>
                              </w:rPr>
                              <w:t xml:space="preserve"> Además, la valoración cualitativa también puede ayudar a complementar la valoración cuantitativa con vistas a: a) valorar la representatividad de los datos disponibles, b) realizar una validación cruzada de las conclusiones, c) captar diferentes dimensiones del mismo fenómeno.</w:t>
                            </w:r>
                          </w:p>
                        </w:txbxContent>
                      </wps:txbx>
                      <wps:bodyPr rot="0" vert="horz" wrap="square" lIns="91440" tIns="45720" rIns="91440" bIns="45720" anchor="ctr" anchorCtr="0" upright="1">
                        <a:noAutofit/>
                      </wps:bodyPr>
                    </wps:wsp>
                  </a:graphicData>
                </a:graphic>
              </wp:inline>
            </w:drawing>
          </mc:Choice>
          <mc:Fallback>
            <w:pict>
              <v:shape w14:anchorId="196C40C0" id="AutoShape 65" o:spid="_x0000_s1037" style="width:451.3pt;height:118.7pt;visibility:visible;mso-wrap-style:square;mso-left-percent:-10001;mso-top-percent:-10001;mso-position-horizontal:absolute;mso-position-horizontal-relative:char;mso-position-vertical:absolute;mso-position-vertical-relative:line;mso-left-percent:-10001;mso-top-percent:-10001;v-text-anchor:middle" coordsize="5731510,14469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" adj="-11796480,,5400" path="m126364,l5731510,r,1320607c5731510,1390396,5674935,1446971,5605146,1446971l,1446971,,126364c,56575,56575,,126364,xe" filled="f" strokecolor="#be4a35" strokeweight="2pt">
                <v:stroke joinstyle="miter"/>
                <v:formulas/>
                <v:path arrowok="t" o:connecttype="custom" o:connectlocs="126364,0;5731510,0;5731510,0;5731510,1376006;5605146,1507671;0,1507671;0,1507671;0,131665;126364,0" o:connectangles="0,0,0,0,0,0,0,0,0" textboxrect="0,0,5731510,1446971"/>
                <v:textbox>
                  <w:txbxContent>
                    <w:p w:rsidR="0022740E" w:rsidRPr="00044269" w:rsidRDefault="0022740E" w:rsidP="00EC01C3">
                      <w:pPr>
                        <w:pStyle w:val="HHeading4"/>
                        <w:spacing w:before="0"/>
                        <w:jc w:val="both"/>
                        <w:rPr>
                          <w:b w:val="0"/>
                          <w:i/>
                          <w:color w:val="373737" w:themeColor="text1"/>
                          <w:sz w:val="18"/>
                        </w:rPr>
                      </w:pPr>
                      <w:r>
                        <w:rPr>
                          <w:noProof/>
                          <w:color w:val="373737" w:themeColor="text1"/>
                          <w:lang w:bidi="ar-SA"/>
                        </w:rPr>
                        <w:drawing>
                          <wp:inline distT="0" distB="0" distL="0" distR="0" wp14:anchorId="46449AD0" wp14:editId="50F3F3F4">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Las pruebas cuantitativas deben interpretarse de forma crítica</w:t>
                      </w:r>
                      <w:r>
                        <w:rPr>
                          <w:rStyle w:val="CommentReference"/>
                          <w:color w:val="373737" w:themeColor="text1"/>
                        </w:rPr>
                        <w:t xml:space="preserve"> </w:t>
                      </w:r>
                      <w:r>
                        <w:rPr>
                          <w:color w:val="373737" w:themeColor="text1"/>
                        </w:rPr>
                        <w:t>con una valoración cualitativa.</w:t>
                      </w:r>
                      <w:r>
                        <w:rPr>
                          <w:b w:val="0"/>
                          <w:color w:val="373737" w:themeColor="text1"/>
                        </w:rPr>
                        <w:t xml:space="preserve"> Además, la valoración cualitativa también puede ayudar a complementar la valoración cuantitativa con vistas a: a) valorar la representatividad de los datos disponibles, b) realizar una validación cruzada de las conclusiones, c) captar diferentes dimensiones del mismo fenómeno.</w:t>
                      </w:r>
                    </w:p>
                  </w:txbxContent>
                </v:textbox>
                <w10:anchorlock/>
              </v:shape>
            </w:pict>
          </mc:Fallback>
        </mc:AlternateContent>
      </w:r>
    </w:p>
    <w:p w:rsidR="00820050" w:rsidRPr="005667CD" w:rsidRDefault="00820050" w:rsidP="00820050">
      <w:pPr>
        <w:pStyle w:val="HStandard"/>
        <w:spacing w:after="0"/>
        <w:rPr>
          <w:rFonts w:cs="Arial"/>
        </w:rPr>
      </w:pPr>
      <w:r w:rsidRPr="005667CD">
        <w:t>Seguir los pasos del árbol de decisiones en los estratos micro y macro ayuda a responder a las siguientes preguntas a la hora de diseñar el enfoque de evaluación:</w:t>
      </w:r>
    </w:p>
    <w:p w:rsidR="00820050" w:rsidRPr="005667CD" w:rsidRDefault="00820050" w:rsidP="00C42303">
      <w:pPr>
        <w:pStyle w:val="Hlistbullet"/>
      </w:pPr>
      <w:r w:rsidRPr="005667CD">
        <w:t>¿Tengo que aplicar un método medioambiental, sectorial (economía de la explotación agraria) o socioeconómico específico para cuantificar los cambios en los valores de los indicadores o puedo utilizar directamente los valores de los indicadores aunque utilice los métodos contrafactuales?</w:t>
      </w:r>
    </w:p>
    <w:p w:rsidR="00820050" w:rsidRPr="005667CD" w:rsidRDefault="00820050" w:rsidP="00C42303">
      <w:pPr>
        <w:pStyle w:val="Hlistbullet"/>
      </w:pPr>
      <w:r w:rsidRPr="005667CD">
        <w:t>En caso de que deba aplicarse un método específico, ¿son adecuados los datos para aplicar uno de los métodos disponibles para una evaluación de impacto medioambiental, sectorial o socioeconómica?</w:t>
      </w:r>
    </w:p>
    <w:p w:rsidR="00820050" w:rsidRPr="005667CD" w:rsidRDefault="00820050" w:rsidP="00C42303">
      <w:pPr>
        <w:pStyle w:val="Hlistbullet"/>
      </w:pPr>
      <w:r w:rsidRPr="005667CD">
        <w:t>¿Tengo que recopilar nuevos datos primarios a través de un muestreo estadístico y cuánto costará?</w:t>
      </w:r>
    </w:p>
    <w:p w:rsidR="00820050" w:rsidRPr="005667CD" w:rsidRDefault="00820050" w:rsidP="00C42303">
      <w:pPr>
        <w:pStyle w:val="Hlistbullet"/>
      </w:pPr>
      <w:r w:rsidRPr="005667CD">
        <w:t>¿Es necesario realizar tareas específicas de tratamiento para mejorar la calidad de los datos de la encuesta/del seguimiento?</w:t>
      </w:r>
    </w:p>
    <w:p w:rsidR="00820050" w:rsidRPr="005667CD" w:rsidRDefault="00820050" w:rsidP="00C42303">
      <w:pPr>
        <w:pStyle w:val="Hlistbullet"/>
      </w:pPr>
      <w:r w:rsidRPr="005667CD">
        <w:t>Si no puedo cuantificar los cambios en los valores de los indicadores o si el coste de hacerlo es muy elevado, ¿qué métodos alternativos (cualitativos) existen para valorar los cambios en los valores de los indicadores?</w:t>
      </w:r>
    </w:p>
    <w:p w:rsidR="00B00451" w:rsidRPr="005667CD" w:rsidRDefault="00B00451" w:rsidP="003708EA">
      <w:pPr>
        <w:pStyle w:val="Hlistbullet"/>
        <w:numPr>
          <w:ilvl w:val="0"/>
          <w:numId w:val="0"/>
        </w:numPr>
      </w:pPr>
    </w:p>
    <w:p w:rsidR="006D6205" w:rsidRPr="005667CD" w:rsidRDefault="006D6205" w:rsidP="003708EA">
      <w:pPr>
        <w:pStyle w:val="Hlistbullet"/>
        <w:numPr>
          <w:ilvl w:val="0"/>
          <w:numId w:val="0"/>
        </w:numPr>
      </w:pPr>
    </w:p>
    <w:p w:rsidR="006D6205" w:rsidRPr="005667CD" w:rsidRDefault="006D6205" w:rsidP="003708EA">
      <w:pPr>
        <w:pStyle w:val="Hlistbullet"/>
        <w:numPr>
          <w:ilvl w:val="0"/>
          <w:numId w:val="0"/>
        </w:numPr>
      </w:pPr>
      <w:r w:rsidRPr="005667CD">
        <w:br w:type="column"/>
      </w:r>
      <w:r w:rsidRPr="005667CD">
        <w:rPr>
          <w:b/>
          <w:i/>
          <w:noProof/>
          <w:color w:val="F07E31" w:themeColor="accent1"/>
          <w:lang w:bidi="ar-SA"/>
        </w:rPr>
        <w:lastRenderedPageBreak/>
        <mc:AlternateContent>
          <mc:Choice Requires="wps">
            <w:drawing>
              <wp:inline distT="0" distB="0" distL="0" distR="0" wp14:anchorId="4232798E" wp14:editId="256E02F2">
                <wp:extent cx="5931535" cy="8969828"/>
                <wp:effectExtent l="0" t="0" r="12065" b="22225"/>
                <wp:docPr id="90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1535" cy="8969828"/>
                        </a:xfrm>
                        <a:custGeom>
                          <a:avLst/>
                          <a:gdLst>
                            <a:gd name="T0" fmla="*/ 518013 w 5931673"/>
                            <a:gd name="T1" fmla="*/ 0 h 8670814"/>
                            <a:gd name="T2" fmla="*/ 5931673 w 5931673"/>
                            <a:gd name="T3" fmla="*/ 0 h 8670814"/>
                            <a:gd name="T4" fmla="*/ 5931673 w 5931673"/>
                            <a:gd name="T5" fmla="*/ 0 h 8670814"/>
                            <a:gd name="T6" fmla="*/ 5931673 w 5931673"/>
                            <a:gd name="T7" fmla="*/ 8152801 h 8670814"/>
                            <a:gd name="T8" fmla="*/ 5413660 w 5931673"/>
                            <a:gd name="T9" fmla="*/ 8670814 h 8670814"/>
                            <a:gd name="T10" fmla="*/ 0 w 5931673"/>
                            <a:gd name="T11" fmla="*/ 8670814 h 8670814"/>
                            <a:gd name="T12" fmla="*/ 0 w 5931673"/>
                            <a:gd name="T13" fmla="*/ 8670814 h 8670814"/>
                            <a:gd name="T14" fmla="*/ 0 w 5931673"/>
                            <a:gd name="T15" fmla="*/ 518013 h 8670814"/>
                            <a:gd name="T16" fmla="*/ 518013 w 5931673"/>
                            <a:gd name="T17" fmla="*/ 0 h 86708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931673"/>
                            <a:gd name="T28" fmla="*/ 0 h 8670814"/>
                            <a:gd name="T29" fmla="*/ 5931673 w 5931673"/>
                            <a:gd name="T30" fmla="*/ 8670814 h 867081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931673" h="8670814">
                              <a:moveTo>
                                <a:pt x="518013" y="0"/>
                              </a:moveTo>
                              <a:lnTo>
                                <a:pt x="5931673" y="0"/>
                              </a:lnTo>
                              <a:lnTo>
                                <a:pt x="5931673" y="8152801"/>
                              </a:lnTo>
                              <a:cubicBezTo>
                                <a:pt x="5931673" y="8438892"/>
                                <a:pt x="5699751" y="8670814"/>
                                <a:pt x="5413660" y="8670814"/>
                              </a:cubicBezTo>
                              <a:lnTo>
                                <a:pt x="0" y="8670814"/>
                              </a:lnTo>
                              <a:lnTo>
                                <a:pt x="0" y="518013"/>
                              </a:lnTo>
                              <a:cubicBezTo>
                                <a:pt x="0" y="231922"/>
                                <a:pt x="231922" y="0"/>
                                <a:pt x="518013"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22740E" w:rsidRPr="00DD36A9" w:rsidRDefault="0022740E" w:rsidP="006D6205">
                            <w:pPr>
                              <w:pStyle w:val="HHeading4"/>
                            </w:pPr>
                            <w:r>
                              <w:rPr>
                                <w:noProof/>
                                <w:lang w:bidi="ar-SA"/>
                              </w:rPr>
                              <w:drawing>
                                <wp:inline distT="0" distB="0" distL="0" distR="0" wp14:anchorId="1D6BAE73" wp14:editId="471036C9">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GUÍA RÁPIDA #4: ¿Cómo valorar los efectos netos del PDR? (en relación con el tercer estrato)</w:t>
                            </w:r>
                          </w:p>
                          <w:p w:rsidR="0022740E" w:rsidRPr="00553149" w:rsidRDefault="0022740E" w:rsidP="00AC0E3D">
                            <w:pPr>
                              <w:pStyle w:val="HStandard"/>
                              <w:spacing w:after="0"/>
                              <w:rPr>
                                <w:rFonts w:cs="Arial"/>
                                <w:szCs w:val="16"/>
                              </w:rPr>
                            </w:pPr>
                            <w:r>
                              <w:t xml:space="preserve">La valoración de los efectos netos del programa </w:t>
                            </w:r>
                            <w:r>
                              <w:rPr>
                                <w:b/>
                              </w:rPr>
                              <w:t>a nivel macro o a nivel de la zona del programa</w:t>
                            </w:r>
                            <w:r>
                              <w:t xml:space="preserve">, aunque utilice la hipótesis contrafactual, puede realizarse utilizando dos enfoques principales: El </w:t>
                            </w:r>
                            <w:r>
                              <w:rPr>
                                <w:b/>
                              </w:rPr>
                              <w:t>primer enfoque</w:t>
                            </w:r>
                            <w:r>
                              <w:t xml:space="preserve"> se basa en un análisis a nivel micro y una extrapolación de sus resultados al nivel macro (ampliación). El </w:t>
                            </w:r>
                            <w:r>
                              <w:rPr>
                                <w:b/>
                              </w:rPr>
                              <w:t>segundo enfoque</w:t>
                            </w:r>
                            <w:r>
                              <w:t xml:space="preserve"> utiliza instrumentos analíticos, como el </w:t>
                            </w:r>
                            <w:hyperlink r:id="rId51">
                              <w:r>
                                <w:rPr>
                                  <w:rStyle w:val="Hyperlink"/>
                                </w:rPr>
                                <w:t>equilibrio general calculable</w:t>
                              </w:r>
                            </w:hyperlink>
                            <w:r>
                              <w:t xml:space="preserve">, el equilibrio parcial y modelos econométricos espaciales u otras técnicas de modelización – en los casos en que los correspondientes parámetros del modelo (por ejemplo, coeficientes de productividad o emisión) se estimen desde el punto de vista econométrico de tal modo que </w:t>
                            </w:r>
                            <w:r>
                              <w:rPr>
                                <w:b/>
                              </w:rPr>
                              <w:t>se tengan en cuenta</w:t>
                            </w:r>
                            <w:r>
                              <w:t xml:space="preserve"> sólidos vínculos causales, posibles distorsiones de la selección, la endogeneidad y las dependencias espaciales. Este enfoque también incluye la combinación de un enfoque a nivel macro «descendente» (por ejemplo, modelos con cobertura nacional o regional) para evaluar los impactos del programa con un enfoque a nivel micro «ascendente» que valore los efectos netos de diferentes medidas o combinaciones de medidas.</w:t>
                            </w:r>
                          </w:p>
                          <w:p w:rsidR="0022740E" w:rsidRPr="00553149" w:rsidRDefault="0022740E" w:rsidP="00AC0E3D">
                            <w:pPr>
                              <w:pStyle w:val="HStandard"/>
                              <w:spacing w:after="0"/>
                              <w:rPr>
                                <w:rFonts w:cs="Arial"/>
                                <w:szCs w:val="16"/>
                              </w:rPr>
                            </w:pPr>
                            <w:r>
                              <w:t xml:space="preserve">Es importante señalar que, independientemente del enfoque elegido, el análisis de los efectos netos de un PDR solo es posible si se dispone de datos cuantitativos suficientes y si se aplican técnicas metodológicas avanzadas. El consiguiente uso de opciones de evaluación cuantitativa creíbles (por ejemplo, antes-después, uso de controles no adecuados, etc.) puede influir notablemente en los conclusiones obtenidos de los «impactos netos» en ambas direcciones (positiva o negativa). </w:t>
                            </w:r>
                          </w:p>
                          <w:p w:rsidR="0022740E" w:rsidRPr="00502017" w:rsidRDefault="0022740E" w:rsidP="00AC0E3D">
                            <w:pPr>
                              <w:pStyle w:val="HStandard"/>
                              <w:spacing w:after="0"/>
                              <w:rPr>
                                <w:rFonts w:cs="Arial"/>
                                <w:szCs w:val="16"/>
                              </w:rPr>
                            </w:pPr>
                            <w:r>
                              <w:t xml:space="preserve">Si bien el </w:t>
                            </w:r>
                            <w:r>
                              <w:rPr>
                                <w:b/>
                              </w:rPr>
                              <w:t>primer enfoque</w:t>
                            </w:r>
                            <w:r>
                              <w:t xml:space="preserve"> (extrapolación del análisis a nivel micro a un nivel macro de la zona del programa) es el más fácil y el más prometedor, a continuación se describen los pasos más importantes. El enfoque se compone de cinco pasos principales aplicables tanto a los indicadores de impacto sectoriales como a los medioambientales y socioeconómicos. La diferencia básica entre el análisis del impacto neto del PDR efectuado en estos tres ámbitos es la definición de las unidades en las que se basa el análisis: por ejemplo, explotaciones (empresas) o regiones administrativas (por ejemplo, NUTS 4, NUTS 5, etc.) en el caso de indicadores sectoriales; parcelas de terreno o pequeñas regiones geográficas (datos espaciales regionales) en el caso de indicadores medioambientales; y regiones administrativas (por ejemplo, NUTS 3, NUTS 4 o NUTS 5) en el caso de indicadores socioeconómicos. Los pasos son los siguientes:</w:t>
                            </w:r>
                          </w:p>
                          <w:p w:rsidR="0022740E" w:rsidRPr="00502017" w:rsidRDefault="0022740E" w:rsidP="00AC0E3D">
                            <w:pPr>
                              <w:pStyle w:val="HStandard"/>
                              <w:spacing w:after="0"/>
                              <w:rPr>
                                <w:rFonts w:cs="Arial"/>
                                <w:szCs w:val="16"/>
                              </w:rPr>
                            </w:pPr>
                          </w:p>
                          <w:p w:rsidR="0022740E" w:rsidRPr="00735F08" w:rsidRDefault="0022740E" w:rsidP="00AC0E3D">
                            <w:pPr>
                              <w:pStyle w:val="Hlistbullet"/>
                              <w:numPr>
                                <w:ilvl w:val="0"/>
                                <w:numId w:val="0"/>
                              </w:numPr>
                              <w:jc w:val="left"/>
                              <w:rPr>
                                <w:szCs w:val="16"/>
                              </w:rPr>
                            </w:pPr>
                            <w:r>
                              <w:rPr>
                                <w:b/>
                                <w:color w:val="F07E31" w:themeColor="accent1"/>
                              </w:rPr>
                              <w:t>Primer paso:</w:t>
                            </w:r>
                            <w:r>
                              <w:t xml:space="preserve"> Estimar los </w:t>
                            </w:r>
                            <w:r>
                              <w:rPr>
                                <w:b/>
                              </w:rPr>
                              <w:t>efectos directos del PDR sobre los beneficiarios a nivel micro</w:t>
                            </w:r>
                            <w:r>
                              <w:t>:</w:t>
                            </w:r>
                          </w:p>
                          <w:p w:rsidR="0022740E" w:rsidRPr="00553149" w:rsidRDefault="0022740E" w:rsidP="00EC01C3">
                            <w:pPr>
                              <w:pStyle w:val="HStandard"/>
                              <w:numPr>
                                <w:ilvl w:val="1"/>
                                <w:numId w:val="13"/>
                              </w:numPr>
                              <w:spacing w:after="0"/>
                              <w:ind w:left="924" w:hanging="357"/>
                              <w:rPr>
                                <w:rFonts w:cs="Arial"/>
                                <w:szCs w:val="16"/>
                              </w:rPr>
                            </w:pPr>
                            <w:r>
                              <w:t>Calcular a nivel micro, para el grupo de beneficiarios y el grupo de control, el valor medio de los indicadores de impacto comunes o adicionales antes de la ayuda (por ejemplo, en 2013) y después de la ayuda (por ejemplo, en 2018 o 2019).</w:t>
                            </w:r>
                          </w:p>
                          <w:p w:rsidR="0022740E" w:rsidRPr="00553149" w:rsidRDefault="0022740E" w:rsidP="00EC01C3">
                            <w:pPr>
                              <w:pStyle w:val="HStandard"/>
                              <w:numPr>
                                <w:ilvl w:val="1"/>
                                <w:numId w:val="13"/>
                              </w:numPr>
                              <w:spacing w:after="0"/>
                              <w:ind w:left="924" w:hanging="357"/>
                              <w:rPr>
                                <w:rFonts w:cs="Arial"/>
                                <w:szCs w:val="16"/>
                              </w:rPr>
                            </w:pPr>
                            <w:r>
                              <w:t xml:space="preserve">Calcular indicadores políticos específicos [por ejemplo, efecto medio del tratamiento sobre los tratados (EMTT)], utilizando como resultado los indicadores de impacto comunes o adicionales pertinentes. Computar los </w:t>
                            </w:r>
                            <w:r>
                              <w:rPr>
                                <w:b/>
                              </w:rPr>
                              <w:t>efectos directos netos del PDR en los indicadores antes mencionados</w:t>
                            </w:r>
                            <w:r>
                              <w:t xml:space="preserve"> combinando los EMTT calculados con el método diferencia en diferencias.</w:t>
                            </w:r>
                          </w:p>
                          <w:p w:rsidR="0022740E" w:rsidRPr="00553149" w:rsidRDefault="0022740E" w:rsidP="00EC01C3">
                            <w:pPr>
                              <w:pStyle w:val="HStandard"/>
                              <w:numPr>
                                <w:ilvl w:val="1"/>
                                <w:numId w:val="13"/>
                              </w:numPr>
                              <w:spacing w:after="0"/>
                              <w:ind w:left="924" w:hanging="357"/>
                              <w:rPr>
                                <w:rFonts w:cs="Arial"/>
                                <w:szCs w:val="16"/>
                              </w:rPr>
                            </w:pPr>
                            <w:r>
                              <w:t>Realizar un análisis de sensibilidad de los resultados obtenidos.</w:t>
                            </w:r>
                          </w:p>
                          <w:p w:rsidR="0022740E" w:rsidRPr="00027601" w:rsidRDefault="0022740E" w:rsidP="00027601">
                            <w:pPr>
                              <w:pStyle w:val="Hlistbullet"/>
                              <w:numPr>
                                <w:ilvl w:val="0"/>
                                <w:numId w:val="0"/>
                              </w:numPr>
                              <w:spacing w:before="0" w:after="120" w:line="280" w:lineRule="atLeast"/>
                              <w:rPr>
                                <w:i/>
                                <w:color w:val="F07E31" w:themeColor="accent1"/>
                                <w:sz w:val="16"/>
                                <w:szCs w:val="16"/>
                              </w:rPr>
                            </w:pPr>
                            <w:r>
                              <w:rPr>
                                <w:b/>
                                <w:color w:val="F07E31" w:themeColor="accent1"/>
                              </w:rPr>
                              <w:t xml:space="preserve">Segundo paso: </w:t>
                            </w:r>
                            <w:r>
                              <w:t xml:space="preserve">Estimar los </w:t>
                            </w:r>
                            <w:r>
                              <w:rPr>
                                <w:b/>
                              </w:rPr>
                              <w:t>efectos indirectos del PDR sobre los beneficiarios a nivel micro</w:t>
                            </w:r>
                            <w:r>
                              <w:t>. Una vez más, el cambio observado en el valor de los indicadores debe dividirse en cambios debidos al programa (efecto total de las contribuciones de carácter principal y secundario) y cambios causados por otros factores.</w:t>
                            </w:r>
                            <w:r>
                              <w:rPr>
                                <w:color w:val="auto"/>
                              </w:rPr>
                              <w:t xml:space="preserve"> </w:t>
                            </w:r>
                            <w:r>
                              <w:t xml:space="preserve">Los efectos indirectos del programa (por ejemplo, sustitución, desplazamiento, multiplicador) del PDR deben calcularse e indicarse por separado. </w:t>
                            </w:r>
                          </w:p>
                        </w:txbxContent>
                      </wps:txbx>
                      <wps:bodyPr rot="0" vert="horz" wrap="square" lIns="91440" tIns="45720" rIns="91440" bIns="45720" anchor="ctr" anchorCtr="0" upright="1">
                        <a:noAutofit/>
                      </wps:bodyPr>
                    </wps:wsp>
                  </a:graphicData>
                </a:graphic>
              </wp:inline>
            </w:drawing>
          </mc:Choice>
          <mc:Fallback>
            <w:pict>
              <v:shape w14:anchorId="4232798E" id="AutoShape 64" o:spid="_x0000_s1038" style="width:467.05pt;height:706.3pt;visibility:visible;mso-wrap-style:square;mso-left-percent:-10001;mso-top-percent:-10001;mso-position-horizontal:absolute;mso-position-horizontal-relative:char;mso-position-vertical:absolute;mso-position-vertical-relative:line;mso-left-percent:-10001;mso-top-percent:-10001;v-text-anchor:middle" coordsize="5931673,8670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" adj="-11796480,,5400" path="m518013,l5931673,r,8152801c5931673,8438892,5699751,8670814,5413660,8670814l,8670814,,518013c,231922,231922,,518013,xe" filled="f" strokecolor="#be4a35" strokeweight="2pt">
                <v:stroke joinstyle="miter"/>
                <v:formulas/>
                <v:path arrowok="t" o:connecttype="custom" o:connectlocs="518001,0;5931535,0;5931535,0;5931535,8433951;5413534,8969828;0,8969828;0,8969828;0,535877;518001,0" o:connectangles="0,0,0,0,0,0,0,0,0" textboxrect="0,0,5931673,8670814"/>
                <v:textbox>
                  <w:txbxContent>
                    <w:p w:rsidR="0022740E" w:rsidRPr="00DD36A9" w:rsidRDefault="0022740E" w:rsidP="006D6205">
                      <w:pPr>
                        <w:pStyle w:val="HHeading4"/>
                      </w:pPr>
                      <w:r>
                        <w:rPr>
                          <w:noProof/>
                          <w:lang w:bidi="ar-SA"/>
                        </w:rPr>
                        <w:drawing>
                          <wp:inline distT="0" distB="0" distL="0" distR="0" wp14:anchorId="1D6BAE73" wp14:editId="471036C9">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GUÍA RÁPIDA #4: ¿Cómo valorar los efectos netos del PDR? (en relación con el tercer estrato)</w:t>
                      </w:r>
                    </w:p>
                    <w:p w:rsidR="0022740E" w:rsidRPr="00553149" w:rsidRDefault="0022740E" w:rsidP="00AC0E3D">
                      <w:pPr>
                        <w:pStyle w:val="HStandard"/>
                        <w:spacing w:after="0"/>
                        <w:rPr>
                          <w:rFonts w:cs="Arial"/>
                          <w:szCs w:val="16"/>
                        </w:rPr>
                      </w:pPr>
                      <w:r>
                        <w:t xml:space="preserve">La valoración de los efectos netos del programa </w:t>
                      </w:r>
                      <w:r>
                        <w:rPr>
                          <w:b/>
                        </w:rPr>
                        <w:t>a nivel macro o a nivel de la zona del programa</w:t>
                      </w:r>
                      <w:r>
                        <w:t xml:space="preserve">, aunque utilice la hipótesis contrafactual, puede realizarse utilizando dos enfoques principales: El </w:t>
                      </w:r>
                      <w:r>
                        <w:rPr>
                          <w:b/>
                        </w:rPr>
                        <w:t>primer enfoque</w:t>
                      </w:r>
                      <w:r>
                        <w:t xml:space="preserve"> se basa en un análisis a nivel micro y una extrapolación de sus resultados al nivel macro (ampliación). El </w:t>
                      </w:r>
                      <w:r>
                        <w:rPr>
                          <w:b/>
                        </w:rPr>
                        <w:t>segundo enfoque</w:t>
                      </w:r>
                      <w:r>
                        <w:t xml:space="preserve"> utiliza instrumentos analíticos, como el </w:t>
                      </w:r>
                      <w:hyperlink r:id="rId52">
                        <w:r>
                          <w:rPr>
                            <w:rStyle w:val="Hyperlink"/>
                          </w:rPr>
                          <w:t>equilibrio general calculable</w:t>
                        </w:r>
                      </w:hyperlink>
                      <w:r>
                        <w:t xml:space="preserve">, el equilibrio parcial y modelos econométricos espaciales u otras técnicas de modelización – en los casos en que los correspondientes parámetros del modelo (por ejemplo, coeficientes de productividad o emisión) se estimen desde el punto de vista econométrico de tal modo que </w:t>
                      </w:r>
                      <w:r>
                        <w:rPr>
                          <w:b/>
                        </w:rPr>
                        <w:t>se tengan en cuenta</w:t>
                      </w:r>
                      <w:r>
                        <w:t xml:space="preserve"> sólidos vínculos causales, posibles distorsiones de la selección, la endogeneidad y las dependencias espaciales. Este enfoque también incluye la combinación de un enfoque a nivel macro «descendente» (por ejemplo, modelos con cobertura nacional o regional) para evaluar los impactos del programa con un enfoque a nivel micro «ascendente» que valore los efectos netos de diferentes medidas o combinaciones de medidas.</w:t>
                      </w:r>
                    </w:p>
                    <w:p w:rsidR="0022740E" w:rsidRPr="00553149" w:rsidRDefault="0022740E" w:rsidP="00AC0E3D">
                      <w:pPr>
                        <w:pStyle w:val="HStandard"/>
                        <w:spacing w:after="0"/>
                        <w:rPr>
                          <w:rFonts w:cs="Arial"/>
                          <w:szCs w:val="16"/>
                        </w:rPr>
                      </w:pPr>
                      <w:r>
                        <w:t xml:space="preserve">Es importante señalar que, independientemente del enfoque elegido, el análisis de los efectos netos de un PDR solo es posible si se dispone de datos cuantitativos suficientes y si se aplican técnicas metodológicas avanzadas. El consiguiente uso de opciones de evaluación cuantitativa creíbles (por ejemplo, antes-después, uso de controles no adecuados, etc.) puede influir notablemente en los conclusiones obtenidos de los «impactos netos» en ambas direcciones (positiva o negativa). </w:t>
                      </w:r>
                    </w:p>
                    <w:p w:rsidR="0022740E" w:rsidRPr="00502017" w:rsidRDefault="0022740E" w:rsidP="00AC0E3D">
                      <w:pPr>
                        <w:pStyle w:val="HStandard"/>
                        <w:spacing w:after="0"/>
                        <w:rPr>
                          <w:rFonts w:cs="Arial"/>
                          <w:szCs w:val="16"/>
                        </w:rPr>
                      </w:pPr>
                      <w:r>
                        <w:t xml:space="preserve">Si bien el </w:t>
                      </w:r>
                      <w:r>
                        <w:rPr>
                          <w:b/>
                        </w:rPr>
                        <w:t>primer enfoque</w:t>
                      </w:r>
                      <w:r>
                        <w:t xml:space="preserve"> (extrapolación del análisis a nivel micro a un nivel macro de la zona del programa) es el más fácil y el más prometedor, a continuación se describen los pasos más importantes. El enfoque se compone de cinco pasos principales aplicables tanto a los indicadores de impacto sectoriales como a los medioambientales y socioeconómicos. La diferencia básica entre el análisis del impacto neto del PDR efectuado en estos tres ámbitos es la definición de las unidades en las que se basa el análisis: por ejemplo, explotaciones (empresas) o regiones administrativas (por ejemplo, NUTS 4, NUTS 5, etc.) en el caso de indicadores sectoriales; parcelas de terreno o pequeñas regiones geográficas (datos espaciales regionales) en el caso de indicadores medioambientales; y regiones administrativas (por ejemplo, NUTS 3, NUTS 4 o NUTS 5) en el caso de indicadores socioeconómicos. Los pasos son los siguientes:</w:t>
                      </w:r>
                    </w:p>
                    <w:p w:rsidR="0022740E" w:rsidRPr="00502017" w:rsidRDefault="0022740E" w:rsidP="00AC0E3D">
                      <w:pPr>
                        <w:pStyle w:val="HStandard"/>
                        <w:spacing w:after="0"/>
                        <w:rPr>
                          <w:rFonts w:cs="Arial"/>
                          <w:szCs w:val="16"/>
                        </w:rPr>
                      </w:pPr>
                    </w:p>
                    <w:p w:rsidR="0022740E" w:rsidRPr="00735F08" w:rsidRDefault="0022740E" w:rsidP="00AC0E3D">
                      <w:pPr>
                        <w:pStyle w:val="Hlistbullet"/>
                        <w:numPr>
                          <w:ilvl w:val="0"/>
                          <w:numId w:val="0"/>
                        </w:numPr>
                        <w:jc w:val="left"/>
                        <w:rPr>
                          <w:szCs w:val="16"/>
                        </w:rPr>
                      </w:pPr>
                      <w:r>
                        <w:rPr>
                          <w:b/>
                          <w:color w:val="F07E31" w:themeColor="accent1"/>
                        </w:rPr>
                        <w:t>Primer paso:</w:t>
                      </w:r>
                      <w:r>
                        <w:t xml:space="preserve"> Estimar los </w:t>
                      </w:r>
                      <w:r>
                        <w:rPr>
                          <w:b/>
                        </w:rPr>
                        <w:t>efectos directos del PDR sobre los beneficiarios a nivel micro</w:t>
                      </w:r>
                      <w:r>
                        <w:t>:</w:t>
                      </w:r>
                    </w:p>
                    <w:p w:rsidR="0022740E" w:rsidRPr="00553149" w:rsidRDefault="0022740E" w:rsidP="00EC01C3">
                      <w:pPr>
                        <w:pStyle w:val="HStandard"/>
                        <w:numPr>
                          <w:ilvl w:val="1"/>
                          <w:numId w:val="13"/>
                        </w:numPr>
                        <w:spacing w:after="0"/>
                        <w:ind w:left="924" w:hanging="357"/>
                        <w:rPr>
                          <w:rFonts w:cs="Arial"/>
                          <w:szCs w:val="16"/>
                        </w:rPr>
                      </w:pPr>
                      <w:r>
                        <w:t>Calcular a nivel micro, para el grupo de beneficiarios y el grupo de control, el valor medio de los indicadores de impacto comunes o adicionales antes de la ayuda (por ejemplo, en 2013) y después de la ayuda (por ejemplo, en 2018 o 2019).</w:t>
                      </w:r>
                    </w:p>
                    <w:p w:rsidR="0022740E" w:rsidRPr="00553149" w:rsidRDefault="0022740E" w:rsidP="00EC01C3">
                      <w:pPr>
                        <w:pStyle w:val="HStandard"/>
                        <w:numPr>
                          <w:ilvl w:val="1"/>
                          <w:numId w:val="13"/>
                        </w:numPr>
                        <w:spacing w:after="0"/>
                        <w:ind w:left="924" w:hanging="357"/>
                        <w:rPr>
                          <w:rFonts w:cs="Arial"/>
                          <w:szCs w:val="16"/>
                        </w:rPr>
                      </w:pPr>
                      <w:r>
                        <w:t xml:space="preserve">Calcular indicadores políticos específicos [por ejemplo, efecto medio del tratamiento sobre los tratados (EMTT)], utilizando como resultado los indicadores de impacto comunes o adicionales pertinentes. Computar los </w:t>
                      </w:r>
                      <w:r>
                        <w:rPr>
                          <w:b/>
                        </w:rPr>
                        <w:t>efectos directos netos del PDR en los indicadores antes mencionados</w:t>
                      </w:r>
                      <w:r>
                        <w:t xml:space="preserve"> combinando los EMTT calculados con el método diferencia en diferencias.</w:t>
                      </w:r>
                    </w:p>
                    <w:p w:rsidR="0022740E" w:rsidRPr="00553149" w:rsidRDefault="0022740E" w:rsidP="00EC01C3">
                      <w:pPr>
                        <w:pStyle w:val="HStandard"/>
                        <w:numPr>
                          <w:ilvl w:val="1"/>
                          <w:numId w:val="13"/>
                        </w:numPr>
                        <w:spacing w:after="0"/>
                        <w:ind w:left="924" w:hanging="357"/>
                        <w:rPr>
                          <w:rFonts w:cs="Arial"/>
                          <w:szCs w:val="16"/>
                        </w:rPr>
                      </w:pPr>
                      <w:r>
                        <w:t>Realizar un análisis de sensibilidad de los resultados obtenidos.</w:t>
                      </w:r>
                    </w:p>
                    <w:p w:rsidR="0022740E" w:rsidRPr="00027601" w:rsidRDefault="0022740E" w:rsidP="00027601">
                      <w:pPr>
                        <w:pStyle w:val="Hlistbullet"/>
                        <w:numPr>
                          <w:ilvl w:val="0"/>
                          <w:numId w:val="0"/>
                        </w:numPr>
                        <w:spacing w:before="0" w:after="120" w:line="280" w:lineRule="atLeast"/>
                        <w:rPr>
                          <w:i/>
                          <w:color w:val="F07E31" w:themeColor="accent1"/>
                          <w:sz w:val="16"/>
                          <w:szCs w:val="16"/>
                        </w:rPr>
                      </w:pPr>
                      <w:r>
                        <w:rPr>
                          <w:b/>
                          <w:color w:val="F07E31" w:themeColor="accent1"/>
                        </w:rPr>
                        <w:t xml:space="preserve">Segundo paso: </w:t>
                      </w:r>
                      <w:r>
                        <w:t xml:space="preserve">Estimar los </w:t>
                      </w:r>
                      <w:r>
                        <w:rPr>
                          <w:b/>
                        </w:rPr>
                        <w:t>efectos indirectos del PDR sobre los beneficiarios a nivel micro</w:t>
                      </w:r>
                      <w:r>
                        <w:t>. Una vez más, el cambio observado en el valor de los indicadores debe dividirse en cambios debidos al programa (efecto total de las contribuciones de carácter principal y secundario) y cambios causados por otros factores.</w:t>
                      </w:r>
                      <w:r>
                        <w:rPr>
                          <w:color w:val="auto"/>
                        </w:rPr>
                        <w:t xml:space="preserve"> </w:t>
                      </w:r>
                      <w:r>
                        <w:t xml:space="preserve">Los efectos indirectos del programa (por ejemplo, sustitución, desplazamiento, multiplicador) del PDR deben calcularse e indicarse por separado. </w:t>
                      </w:r>
                    </w:p>
                  </w:txbxContent>
                </v:textbox>
                <w10:anchorlock/>
              </v:shape>
            </w:pict>
          </mc:Fallback>
        </mc:AlternateContent>
      </w:r>
    </w:p>
    <w:p w:rsidR="00AC0E3D" w:rsidRPr="005667CD" w:rsidRDefault="00AC0E3D" w:rsidP="000B6372">
      <w:pPr>
        <w:pStyle w:val="HStandard"/>
      </w:pPr>
    </w:p>
    <w:p w:rsidR="00FC012D" w:rsidRPr="005667CD" w:rsidRDefault="000B213F" w:rsidP="00FC012D">
      <w:pPr>
        <w:pStyle w:val="HHeading4"/>
      </w:pPr>
      <w:r w:rsidRPr="005667CD">
        <w:rPr>
          <w:b w:val="0"/>
          <w:i/>
          <w:noProof/>
          <w:color w:val="F07E31" w:themeColor="accent1"/>
          <w:lang w:bidi="ar-SA"/>
        </w:rPr>
        <mc:AlternateContent>
          <mc:Choice Requires="wps">
            <w:drawing>
              <wp:inline distT="0" distB="0" distL="0" distR="0" wp14:anchorId="0873C6E6" wp14:editId="5CA215E2">
                <wp:extent cx="5731510" cy="4969329"/>
                <wp:effectExtent l="0" t="0" r="21590" b="22225"/>
                <wp:docPr id="90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4969329"/>
                        </a:xfrm>
                        <a:custGeom>
                          <a:avLst/>
                          <a:gdLst>
                            <a:gd name="T0" fmla="*/ 335330 w 5731510"/>
                            <a:gd name="T1" fmla="*/ 0 h 4712335"/>
                            <a:gd name="T2" fmla="*/ 5731510 w 5731510"/>
                            <a:gd name="T3" fmla="*/ 0 h 4712335"/>
                            <a:gd name="T4" fmla="*/ 5731510 w 5731510"/>
                            <a:gd name="T5" fmla="*/ 0 h 4712335"/>
                            <a:gd name="T6" fmla="*/ 5731510 w 5731510"/>
                            <a:gd name="T7" fmla="*/ 4377005 h 4712335"/>
                            <a:gd name="T8" fmla="*/ 5396180 w 5731510"/>
                            <a:gd name="T9" fmla="*/ 4712335 h 4712335"/>
                            <a:gd name="T10" fmla="*/ 0 w 5731510"/>
                            <a:gd name="T11" fmla="*/ 4712335 h 4712335"/>
                            <a:gd name="T12" fmla="*/ 0 w 5731510"/>
                            <a:gd name="T13" fmla="*/ 4712335 h 4712335"/>
                            <a:gd name="T14" fmla="*/ 0 w 5731510"/>
                            <a:gd name="T15" fmla="*/ 335330 h 4712335"/>
                            <a:gd name="T16" fmla="*/ 335330 w 5731510"/>
                            <a:gd name="T17" fmla="*/ 0 h 47123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4712335"/>
                            <a:gd name="T29" fmla="*/ 5731510 w 5731510"/>
                            <a:gd name="T30" fmla="*/ 4712335 h 471233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4712335">
                              <a:moveTo>
                                <a:pt x="335330" y="0"/>
                              </a:moveTo>
                              <a:lnTo>
                                <a:pt x="5731510" y="0"/>
                              </a:lnTo>
                              <a:lnTo>
                                <a:pt x="5731510" y="4377005"/>
                              </a:lnTo>
                              <a:cubicBezTo>
                                <a:pt x="5731510" y="4562203"/>
                                <a:pt x="5581378" y="4712335"/>
                                <a:pt x="5396180" y="4712335"/>
                              </a:cubicBezTo>
                              <a:lnTo>
                                <a:pt x="0" y="4712335"/>
                              </a:lnTo>
                              <a:lnTo>
                                <a:pt x="0" y="335330"/>
                              </a:lnTo>
                              <a:cubicBezTo>
                                <a:pt x="0" y="150132"/>
                                <a:pt x="150132" y="0"/>
                                <a:pt x="335330"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22740E" w:rsidRPr="005945BB" w:rsidRDefault="0022740E" w:rsidP="00AC0E3D">
                            <w:pPr>
                              <w:pStyle w:val="Hlistbullet"/>
                              <w:numPr>
                                <w:ilvl w:val="0"/>
                                <w:numId w:val="0"/>
                              </w:numPr>
                              <w:spacing w:before="0" w:after="120" w:line="280" w:lineRule="atLeast"/>
                              <w:rPr>
                                <w:rFonts w:cs="Arial"/>
                                <w:szCs w:val="16"/>
                              </w:rPr>
                            </w:pPr>
                            <w:r>
                              <w:rPr>
                                <w:b/>
                                <w:color w:val="F07E31" w:themeColor="accent1"/>
                              </w:rPr>
                              <w:t xml:space="preserve">Tercer paso: </w:t>
                            </w:r>
                            <w:r>
                              <w:t xml:space="preserve">Calcular los </w:t>
                            </w:r>
                            <w:r>
                              <w:rPr>
                                <w:b/>
                              </w:rPr>
                              <w:t>efectos indirectos sobre los no beneficiarios a nivel micro</w:t>
                            </w:r>
                            <w:r>
                              <w:t xml:space="preserve">. En este punto, el cambio observado en el valor de los indicadores también debe dividirse en dos componentes: cambios debidos al programa (efecto total de las contribuciones de carácter principal y secundario) y cambios causados por otros factores. Esta fase se refiere a la expectativa de que la ayuda obtenida por los beneficiarios de las medidas del PDR pueda tener efectos de equilibrio general «esperados / inesperados» (por ejemplo, efectos negativos en los no beneficiarios situados en una localidad cercana a los beneficiarios del programa). </w:t>
                            </w:r>
                          </w:p>
                          <w:p w:rsidR="0022740E" w:rsidRPr="005945BB" w:rsidRDefault="0022740E" w:rsidP="00AC0E3D">
                            <w:pPr>
                              <w:pStyle w:val="HStandard"/>
                              <w:rPr>
                                <w:rFonts w:cs="Arial"/>
                                <w:szCs w:val="16"/>
                              </w:rPr>
                            </w:pPr>
                            <w:r>
                              <w:t>En esta fase de la evaluación, una valoración cualitativa preliminar resulta esencial ya que puede ofrecer perspectivas internas de gran utilidad y conllevar la formulación de importantes preguntas de evaluación específicas del programa (PEEP) centradas en el rendimiento del programa, especialmente en sus efectos positivos, negativos, intencionados y no intencionados sobre los no beneficiarios. El uso de preguntas de evaluación específicas del programa es voluntario, pero en caso de que se formule alguna de estas preguntas, debe responderse. Para un análisis preliminar de las sinergias o de los posibles efectos transversales negativos, los evaluadores también pueden utilizar herramientas de evaluación cualitativas.</w:t>
                            </w:r>
                          </w:p>
                          <w:p w:rsidR="0022740E" w:rsidRPr="005945BB" w:rsidRDefault="0022740E" w:rsidP="00AC0E3D">
                            <w:pPr>
                              <w:pStyle w:val="Hlistbullet"/>
                              <w:numPr>
                                <w:ilvl w:val="0"/>
                                <w:numId w:val="0"/>
                              </w:numPr>
                              <w:spacing w:before="0" w:after="120" w:line="280" w:lineRule="atLeast"/>
                              <w:rPr>
                                <w:rFonts w:cs="Arial"/>
                                <w:szCs w:val="16"/>
                              </w:rPr>
                            </w:pPr>
                            <w:r>
                              <w:rPr>
                                <w:b/>
                                <w:color w:val="F07E31" w:themeColor="accent1"/>
                              </w:rPr>
                              <w:t xml:space="preserve">Cuarto paso: </w:t>
                            </w:r>
                            <w:r>
                              <w:rPr>
                                <w:b/>
                              </w:rPr>
                              <w:t>Sumar las conclusiones y calcular los efectos del PDR en los indicadores de impacto analizados a nivel macro y a nivel de zona de programación.</w:t>
                            </w:r>
                            <w:r>
                              <w:t xml:space="preserve"> En este paso, el evaluador debe calcular los efectos directos netos del PDR en los indicadores de impacto a nivel de la zona del programa aplicando técnicas de extrapolación (es decir, multiplicando la media de los resultados micro calculados al nivel micro por el número de beneficiarios / no beneficiarios).</w:t>
                            </w:r>
                          </w:p>
                          <w:p w:rsidR="0022740E" w:rsidRPr="005945BB" w:rsidRDefault="0022740E" w:rsidP="00AC0E3D">
                            <w:pPr>
                              <w:pStyle w:val="HStandard"/>
                              <w:rPr>
                                <w:color w:val="auto"/>
                                <w:szCs w:val="16"/>
                              </w:rPr>
                            </w:pPr>
                            <w:r>
                              <w:rPr>
                                <w:b/>
                                <w:color w:val="F07E31" w:themeColor="accent1"/>
                              </w:rPr>
                              <w:t xml:space="preserve">Quinto paso: </w:t>
                            </w:r>
                            <w:r>
                              <w:rPr>
                                <w:b/>
                              </w:rPr>
                              <w:t>Aplicar métodos cualitativos</w:t>
                            </w:r>
                            <w:r>
                              <w:t xml:space="preserve"> para controlar y verificar los resultados obtenidos (triangulación).</w:t>
                            </w:r>
                          </w:p>
                          <w:p w:rsidR="0022740E" w:rsidRPr="005945BB" w:rsidRDefault="0022740E" w:rsidP="00735F08">
                            <w:pPr>
                              <w:pStyle w:val="Hlistbullet"/>
                              <w:numPr>
                                <w:ilvl w:val="0"/>
                                <w:numId w:val="0"/>
                              </w:numPr>
                              <w:jc w:val="center"/>
                              <w:rPr>
                                <w:i/>
                                <w:color w:val="F07E31" w:themeColor="accent1"/>
                                <w:szCs w:val="18"/>
                              </w:rPr>
                            </w:pPr>
                            <w:r>
                              <w:rPr>
                                <w:i/>
                                <w:color w:val="F07E31" w:themeColor="accent1"/>
                              </w:rPr>
                              <w:t xml:space="preserve">Para obtener más información acerca de la compensación de los efectos del programa véanse las </w:t>
                            </w:r>
                            <w:hyperlink r:id="rId53" w:history="1">
                              <w:r>
                                <w:rPr>
                                  <w:rStyle w:val="Hyperlink"/>
                                  <w:i/>
                                  <w:color w:val="F07E31" w:themeColor="accent1"/>
                                </w:rPr>
                                <w:t>Directrices para la evaluación posterior de los PDR 2007-2013</w:t>
                              </w:r>
                            </w:hyperlink>
                            <w:r>
                              <w:t xml:space="preserve"> , </w:t>
                            </w:r>
                            <w:r>
                              <w:rPr>
                                <w:rStyle w:val="Hyperlink"/>
                                <w:i/>
                                <w:color w:val="F07E31" w:themeColor="accent1"/>
                              </w:rPr>
                              <w:t>capítulo 4.2 y sobre el EGC en el capítulo 4.3.3</w:t>
                            </w:r>
                          </w:p>
                        </w:txbxContent>
                      </wps:txbx>
                      <wps:bodyPr rot="0" vert="horz" wrap="square" lIns="91440" tIns="45720" rIns="91440" bIns="45720" anchor="t" anchorCtr="0" upright="1">
                        <a:noAutofit/>
                      </wps:bodyPr>
                    </wps:wsp>
                  </a:graphicData>
                </a:graphic>
              </wp:inline>
            </w:drawing>
          </mc:Choice>
          <mc:Fallback>
            <w:pict>
              <v:shape w14:anchorId="0873C6E6" id="AutoShape 63" o:spid="_x0000_s1039" style="width:451.3pt;height:391.3pt;visibility:visible;mso-wrap-style:square;mso-left-percent:-10001;mso-top-percent:-10001;mso-position-horizontal:absolute;mso-position-horizontal-relative:char;mso-position-vertical:absolute;mso-position-vertical-relative:line;mso-left-percent:-10001;mso-top-percent:-10001;v-text-anchor:top" coordsize="5731510,4712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" adj="-11796480,,5400" path="m335330,l5731510,r,4377005c5731510,4562203,5581378,4712335,5396180,4712335l,4712335,,335330c,150132,150132,,335330,xe" filled="f" strokecolor="#be4a35" strokeweight="2pt">
                <v:stroke joinstyle="miter"/>
                <v:formulas/>
                <v:path arrowok="t" o:connecttype="custom" o:connectlocs="335330,0;5731510,0;5731510,0;5731510,4615711;5396180,4969329;0,4969329;0,4969329;0,353618;335330,0" o:connectangles="0,0,0,0,0,0,0,0,0" textboxrect="0,0,5731510,4712335"/>
                <v:textbox>
                  <w:txbxContent>
                    <w:p w:rsidR="0022740E" w:rsidRPr="005945BB" w:rsidRDefault="0022740E" w:rsidP="00AC0E3D">
                      <w:pPr>
                        <w:pStyle w:val="Hlistbullet"/>
                        <w:numPr>
                          <w:ilvl w:val="0"/>
                          <w:numId w:val="0"/>
                        </w:numPr>
                        <w:spacing w:before="0" w:after="120" w:line="280" w:lineRule="atLeast"/>
                        <w:rPr>
                          <w:rFonts w:cs="Arial"/>
                          <w:szCs w:val="16"/>
                        </w:rPr>
                      </w:pPr>
                      <w:r>
                        <w:rPr>
                          <w:b/>
                          <w:color w:val="F07E31" w:themeColor="accent1"/>
                        </w:rPr>
                        <w:t xml:space="preserve">Tercer paso: </w:t>
                      </w:r>
                      <w:r>
                        <w:t xml:space="preserve">Calcular los </w:t>
                      </w:r>
                      <w:r>
                        <w:rPr>
                          <w:b/>
                        </w:rPr>
                        <w:t>efectos indirectos sobre los no beneficiarios a nivel micro</w:t>
                      </w:r>
                      <w:r>
                        <w:t xml:space="preserve">. En este punto, el cambio observado en el valor de los indicadores también debe dividirse en dos componentes: cambios debidos al programa (efecto total de las contribuciones de carácter principal y secundario) y cambios causados por otros factores. Esta fase se refiere a la expectativa de que la ayuda obtenida por los beneficiarios de las medidas del PDR pueda tener efectos de equilibrio general «esperados / inesperados» (por ejemplo, efectos negativos en los no beneficiarios situados en una localidad cercana a los beneficiarios del programa). </w:t>
                      </w:r>
                    </w:p>
                    <w:p w:rsidR="0022740E" w:rsidRPr="005945BB" w:rsidRDefault="0022740E" w:rsidP="00AC0E3D">
                      <w:pPr>
                        <w:pStyle w:val="HStandard"/>
                        <w:rPr>
                          <w:rFonts w:cs="Arial"/>
                          <w:szCs w:val="16"/>
                        </w:rPr>
                      </w:pPr>
                      <w:r>
                        <w:t>En esta fase de la evaluación, una valoración cualitativa preliminar resulta esencial ya que puede ofrecer perspectivas internas de gran utilidad y conllevar la formulación de importantes preguntas de evaluación específicas del programa (PEEP) centradas en el rendimiento del programa, especialmente en sus efectos positivos, negativos, intencionados y no intencionados sobre los no beneficiarios. El uso de preguntas de evaluación específicas del programa es voluntario, pero en caso de que se formule alguna de estas preguntas, debe responderse. Para un análisis preliminar de las sinergias o de los posibles efectos transversales negativos, los evaluadores también pueden utilizar herramientas de evaluación cualitativas.</w:t>
                      </w:r>
                    </w:p>
                    <w:p w:rsidR="0022740E" w:rsidRPr="005945BB" w:rsidRDefault="0022740E" w:rsidP="00AC0E3D">
                      <w:pPr>
                        <w:pStyle w:val="Hlistbullet"/>
                        <w:numPr>
                          <w:ilvl w:val="0"/>
                          <w:numId w:val="0"/>
                        </w:numPr>
                        <w:spacing w:before="0" w:after="120" w:line="280" w:lineRule="atLeast"/>
                        <w:rPr>
                          <w:rFonts w:cs="Arial"/>
                          <w:szCs w:val="16"/>
                        </w:rPr>
                      </w:pPr>
                      <w:r>
                        <w:rPr>
                          <w:b/>
                          <w:color w:val="F07E31" w:themeColor="accent1"/>
                        </w:rPr>
                        <w:t xml:space="preserve">Cuarto paso: </w:t>
                      </w:r>
                      <w:r>
                        <w:rPr>
                          <w:b/>
                        </w:rPr>
                        <w:t>Sumar las conclusiones y calcular los efectos del PDR en los indicadores de impacto analizados a nivel macro y a nivel de zona de programación.</w:t>
                      </w:r>
                      <w:r>
                        <w:t xml:space="preserve"> En este paso, el evaluador debe calcular los efectos directos netos del PDR en los indicadores de impacto a nivel de la zona del programa aplicando técnicas de extrapolación (es decir, multiplicando la media de los resultados micro calculados al nivel micro por el número de beneficiarios / no beneficiarios).</w:t>
                      </w:r>
                    </w:p>
                    <w:p w:rsidR="0022740E" w:rsidRPr="005945BB" w:rsidRDefault="0022740E" w:rsidP="00AC0E3D">
                      <w:pPr>
                        <w:pStyle w:val="HStandard"/>
                        <w:rPr>
                          <w:color w:val="auto"/>
                          <w:szCs w:val="16"/>
                        </w:rPr>
                      </w:pPr>
                      <w:r>
                        <w:rPr>
                          <w:b/>
                          <w:color w:val="F07E31" w:themeColor="accent1"/>
                        </w:rPr>
                        <w:t xml:space="preserve">Quinto paso: </w:t>
                      </w:r>
                      <w:r>
                        <w:rPr>
                          <w:b/>
                        </w:rPr>
                        <w:t>Aplicar métodos cualitativos</w:t>
                      </w:r>
                      <w:r>
                        <w:t xml:space="preserve"> para controlar y verificar los resultados obtenidos (triangulación).</w:t>
                      </w:r>
                    </w:p>
                    <w:p w:rsidR="0022740E" w:rsidRPr="005945BB" w:rsidRDefault="0022740E" w:rsidP="00735F08">
                      <w:pPr>
                        <w:pStyle w:val="Hlistbullet"/>
                        <w:numPr>
                          <w:ilvl w:val="0"/>
                          <w:numId w:val="0"/>
                        </w:numPr>
                        <w:jc w:val="center"/>
                        <w:rPr>
                          <w:i/>
                          <w:color w:val="F07E31" w:themeColor="accent1"/>
                          <w:szCs w:val="18"/>
                        </w:rPr>
                      </w:pPr>
                      <w:r>
                        <w:rPr>
                          <w:i/>
                          <w:color w:val="F07E31" w:themeColor="accent1"/>
                        </w:rPr>
                        <w:t xml:space="preserve">Para obtener más información acerca de la compensación de los efectos del programa véanse las </w:t>
                      </w:r>
                      <w:hyperlink r:id="rId54" w:history="1">
                        <w:r>
                          <w:rPr>
                            <w:rStyle w:val="Hyperlink"/>
                            <w:i/>
                            <w:color w:val="F07E31" w:themeColor="accent1"/>
                          </w:rPr>
                          <w:t>Directrices para la evaluación posterior de los PDR 2007-2013</w:t>
                        </w:r>
                      </w:hyperlink>
                      <w:r>
                        <w:t xml:space="preserve"> , </w:t>
                      </w:r>
                      <w:r>
                        <w:rPr>
                          <w:rStyle w:val="Hyperlink"/>
                          <w:i/>
                          <w:color w:val="F07E31" w:themeColor="accent1"/>
                        </w:rPr>
                        <w:t>capítulo 4.2 y sobre el EGC en el capítulo 4.3.3</w:t>
                      </w:r>
                    </w:p>
                  </w:txbxContent>
                </v:textbox>
                <w10:anchorlock/>
              </v:shape>
            </w:pict>
          </mc:Fallback>
        </mc:AlternateContent>
      </w:r>
      <w:r w:rsidRPr="005667CD">
        <w:br w:type="column"/>
      </w:r>
      <w:r w:rsidRPr="005667CD">
        <w:lastRenderedPageBreak/>
        <w:t>Control y validación de la coherencia micro-macro (cuarto estrato)</w:t>
      </w:r>
    </w:p>
    <w:p w:rsidR="00FC012D" w:rsidRPr="005667CD" w:rsidRDefault="000B213F" w:rsidP="00FC012D">
      <w:pPr>
        <w:pStyle w:val="HStandard"/>
        <w:rPr>
          <w:rFonts w:cs="Arial"/>
        </w:rPr>
      </w:pPr>
      <w:r w:rsidRPr="005667CD">
        <w:rPr>
          <w:b/>
          <w:i/>
          <w:noProof/>
          <w:color w:val="F07E31" w:themeColor="accent1"/>
          <w:lang w:bidi="ar-SA"/>
        </w:rPr>
        <mc:AlternateContent>
          <mc:Choice Requires="wps">
            <w:drawing>
              <wp:inline distT="0" distB="0" distL="0" distR="0" wp14:anchorId="512E5F02" wp14:editId="7AFFBCBE">
                <wp:extent cx="5731510" cy="1126672"/>
                <wp:effectExtent l="0" t="0" r="21590" b="16510"/>
                <wp:docPr id="89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126672"/>
                        </a:xfrm>
                        <a:custGeom>
                          <a:avLst/>
                          <a:gdLst>
                            <a:gd name="T0" fmla="*/ 106671 w 5731510"/>
                            <a:gd name="T1" fmla="*/ 0 h 1221469"/>
                            <a:gd name="T2" fmla="*/ 5731510 w 5731510"/>
                            <a:gd name="T3" fmla="*/ 0 h 1221469"/>
                            <a:gd name="T4" fmla="*/ 5731510 w 5731510"/>
                            <a:gd name="T5" fmla="*/ 0 h 1221469"/>
                            <a:gd name="T6" fmla="*/ 5731510 w 5731510"/>
                            <a:gd name="T7" fmla="*/ 1114798 h 1221469"/>
                            <a:gd name="T8" fmla="*/ 5624839 w 5731510"/>
                            <a:gd name="T9" fmla="*/ 1221469 h 1221469"/>
                            <a:gd name="T10" fmla="*/ 0 w 5731510"/>
                            <a:gd name="T11" fmla="*/ 1221469 h 1221469"/>
                            <a:gd name="T12" fmla="*/ 0 w 5731510"/>
                            <a:gd name="T13" fmla="*/ 1221469 h 1221469"/>
                            <a:gd name="T14" fmla="*/ 0 w 5731510"/>
                            <a:gd name="T15" fmla="*/ 106671 h 1221469"/>
                            <a:gd name="T16" fmla="*/ 106671 w 5731510"/>
                            <a:gd name="T17" fmla="*/ 0 h 122146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221469"/>
                            <a:gd name="T29" fmla="*/ 5731510 w 5731510"/>
                            <a:gd name="T30" fmla="*/ 1221469 h 122146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221469">
                              <a:moveTo>
                                <a:pt x="106671" y="0"/>
                              </a:moveTo>
                              <a:lnTo>
                                <a:pt x="5731510" y="0"/>
                              </a:lnTo>
                              <a:lnTo>
                                <a:pt x="5731510" y="1114798"/>
                              </a:lnTo>
                              <a:cubicBezTo>
                                <a:pt x="5731510" y="1173711"/>
                                <a:pt x="5683752" y="1221469"/>
                                <a:pt x="5624839" y="1221469"/>
                              </a:cubicBezTo>
                              <a:lnTo>
                                <a:pt x="0" y="1221469"/>
                              </a:lnTo>
                              <a:lnTo>
                                <a:pt x="0" y="106671"/>
                              </a:lnTo>
                              <a:cubicBezTo>
                                <a:pt x="0" y="47758"/>
                                <a:pt x="47758" y="0"/>
                                <a:pt x="106671"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22740E" w:rsidRPr="00044269" w:rsidRDefault="0022740E" w:rsidP="00EC01C3">
                            <w:pPr>
                              <w:pStyle w:val="HHeading4"/>
                              <w:spacing w:before="0"/>
                              <w:jc w:val="both"/>
                              <w:rPr>
                                <w:b w:val="0"/>
                                <w:i/>
                                <w:color w:val="373737" w:themeColor="text1"/>
                                <w:sz w:val="18"/>
                              </w:rPr>
                            </w:pPr>
                            <w:r>
                              <w:rPr>
                                <w:noProof/>
                                <w:color w:val="373737" w:themeColor="text1"/>
                                <w:lang w:bidi="ar-SA"/>
                              </w:rPr>
                              <w:drawing>
                                <wp:inline distT="0" distB="0" distL="0" distR="0" wp14:anchorId="45057CF5" wp14:editId="7E979D5D">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Para la valoración del impacto neto</w:t>
                            </w:r>
                            <w:r>
                              <w:rPr>
                                <w:b w:val="0"/>
                                <w:color w:val="373737" w:themeColor="text1"/>
                              </w:rPr>
                              <w:t>, es importante comprobar la coherencia de los resultados a partir de la valoración a nivel micro y a nivel macro, con el fin de validarlos. La coherencia se consigue cuando las conclusiones de ambos niveles no se contradicen entre sí.</w:t>
                            </w:r>
                          </w:p>
                        </w:txbxContent>
                      </wps:txbx>
                      <wps:bodyPr rot="0" vert="horz" wrap="square" lIns="91440" tIns="45720" rIns="91440" bIns="45720" anchor="ctr" anchorCtr="0" upright="1">
                        <a:noAutofit/>
                      </wps:bodyPr>
                    </wps:wsp>
                  </a:graphicData>
                </a:graphic>
              </wp:inline>
            </w:drawing>
          </mc:Choice>
          <mc:Fallback>
            <w:pict>
              <v:shape w14:anchorId="512E5F02" id="AutoShape 62" o:spid="_x0000_s1040" style="width:451.3pt;height:88.7pt;visibility:visible;mso-wrap-style:square;mso-left-percent:-10001;mso-top-percent:-10001;mso-position-horizontal:absolute;mso-position-horizontal-relative:char;mso-position-vertical:absolute;mso-position-vertical-relative:line;mso-left-percent:-10001;mso-top-percent:-10001;v-text-anchor:middle" coordsize="5731510,12214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" adj="-11796480,,5400" path="m106671,l5731510,r,1114798c5731510,1173711,5683752,1221469,5624839,1221469l,1221469,,106671c,47758,47758,,106671,xe" filled="f" strokecolor="#be4a35" strokeweight="2pt">
                <v:stroke joinstyle="miter"/>
                <v:formulas/>
                <v:path arrowok="t" o:connecttype="custom" o:connectlocs="106671,0;5731510,0;5731510,0;5731510,1028280;5624839,1126672;0,1126672;0,1126672;0,98392;106671,0" o:connectangles="0,0,0,0,0,0,0,0,0" textboxrect="0,0,5731510,1221469"/>
                <v:textbox>
                  <w:txbxContent>
                    <w:p w:rsidR="0022740E" w:rsidRPr="00044269" w:rsidRDefault="0022740E" w:rsidP="00EC01C3">
                      <w:pPr>
                        <w:pStyle w:val="HHeading4"/>
                        <w:spacing w:before="0"/>
                        <w:jc w:val="both"/>
                        <w:rPr>
                          <w:b w:val="0"/>
                          <w:i/>
                          <w:color w:val="373737" w:themeColor="text1"/>
                          <w:sz w:val="18"/>
                        </w:rPr>
                      </w:pPr>
                      <w:r>
                        <w:rPr>
                          <w:noProof/>
                          <w:color w:val="373737" w:themeColor="text1"/>
                          <w:lang w:bidi="ar-SA"/>
                        </w:rPr>
                        <w:drawing>
                          <wp:inline distT="0" distB="0" distL="0" distR="0" wp14:anchorId="45057CF5" wp14:editId="7E979D5D">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Para la valoración del impacto neto</w:t>
                      </w:r>
                      <w:r>
                        <w:rPr>
                          <w:b w:val="0"/>
                          <w:color w:val="373737" w:themeColor="text1"/>
                        </w:rPr>
                        <w:t>, es importante comprobar la coherencia de los resultados a partir de la valoración a nivel micro y a nivel macro, con el fin de validarlos. La coherencia se consigue cuando las conclusiones de ambos niveles no se contradicen entre sí.</w:t>
                      </w:r>
                    </w:p>
                  </w:txbxContent>
                </v:textbox>
                <w10:anchorlock/>
              </v:shape>
            </w:pict>
          </mc:Fallback>
        </mc:AlternateContent>
      </w:r>
      <w:r w:rsidRPr="005667CD">
        <w:t xml:space="preserve"> En el caso de una evaluación cuantitativa ascendente, la coherencia se garantiza mediante la ampliación de los datos desde el nivel micro al nivel macro. </w:t>
      </w:r>
    </w:p>
    <w:p w:rsidR="00FC012D" w:rsidRPr="005667CD" w:rsidRDefault="00FC012D" w:rsidP="001E5FC4">
      <w:pPr>
        <w:spacing w:after="120" w:line="280" w:lineRule="atLeast"/>
        <w:rPr>
          <w:rFonts w:cs="Arial"/>
          <w:color w:val="373737"/>
          <w:sz w:val="20"/>
          <w:szCs w:val="20"/>
        </w:rPr>
      </w:pPr>
      <w:r w:rsidRPr="005667CD">
        <w:rPr>
          <w:color w:val="373737" w:themeColor="text1"/>
          <w:sz w:val="20"/>
        </w:rPr>
        <w:t xml:space="preserve">En cuanto a los efectos </w:t>
      </w:r>
      <w:r w:rsidRPr="005667CD">
        <w:rPr>
          <w:i/>
          <w:color w:val="373737" w:themeColor="text1"/>
          <w:sz w:val="20"/>
        </w:rPr>
        <w:t>directos</w:t>
      </w:r>
      <w:r w:rsidRPr="005667CD">
        <w:rPr>
          <w:color w:val="373737" w:themeColor="text1"/>
          <w:sz w:val="20"/>
        </w:rPr>
        <w:t xml:space="preserve"> del programa en las unidades subvencionadas, los efectos directos netos del programa calculados utilizando los </w:t>
      </w:r>
      <w:r w:rsidRPr="005667CD">
        <w:rPr>
          <w:b/>
          <w:color w:val="373737" w:themeColor="text1"/>
          <w:sz w:val="20"/>
        </w:rPr>
        <w:t>indicadores de resultados</w:t>
      </w:r>
      <w:r w:rsidRPr="005667CD">
        <w:rPr>
          <w:color w:val="373737" w:themeColor="text1"/>
          <w:sz w:val="20"/>
        </w:rPr>
        <w:t xml:space="preserve"> deben ser, en principio, coherentes y mostrar la misma tendencia que los efectos netos del programa calculados utilizando indicadores de </w:t>
      </w:r>
      <w:r w:rsidRPr="005667CD">
        <w:rPr>
          <w:b/>
          <w:color w:val="373737" w:themeColor="text1"/>
          <w:sz w:val="20"/>
        </w:rPr>
        <w:t>impacto</w:t>
      </w:r>
      <w:r w:rsidRPr="005667CD">
        <w:rPr>
          <w:color w:val="373737" w:themeColor="text1"/>
          <w:sz w:val="20"/>
        </w:rPr>
        <w:t>. Sin embargo, en función del tamaño y de la dirección de los efectos indirectos, los resultados a nivel macro pueden, en principio, mostrar también la dirección de impacto opuesta a la de los efectos a nivel micro. Pero en tales casos, las direcciones opuestas de los efectos deben explicarse mediante datos probatorios causales y/o cuantificados de los efectos indirectos. Un control de la coherencia de los resultados a nivel micro y macro requiere una buena comprensión de los factores fundamentales que afectan a cada indicador.</w:t>
      </w:r>
    </w:p>
    <w:p w:rsidR="00FC012D" w:rsidRPr="005667CD" w:rsidRDefault="00FC012D" w:rsidP="00FC012D">
      <w:pPr>
        <w:pStyle w:val="HStandard"/>
        <w:rPr>
          <w:rFonts w:cs="Arial"/>
        </w:rPr>
      </w:pPr>
      <w:r w:rsidRPr="005667CD">
        <w:t xml:space="preserve">En cuanto a los efectos </w:t>
      </w:r>
      <w:r w:rsidRPr="005667CD">
        <w:rPr>
          <w:i/>
        </w:rPr>
        <w:t>indirectos</w:t>
      </w:r>
      <w:r w:rsidRPr="005667CD">
        <w:t xml:space="preserve"> del programa en las explotaciones subvencionadas y no subvencionadas, las conclusiones microeconómicas después de su agregación solo pueden aproximarse más o menos a la escala de todos los posibles efectos indirectos del PDR (incluidos los efectos calculados utilizando modelos sectoriales). La razón principal de esta aproximación se debe a la difícil modelización de </w:t>
      </w:r>
      <w:r w:rsidRPr="005667CD">
        <w:rPr>
          <w:b/>
        </w:rPr>
        <w:t>todos</w:t>
      </w:r>
      <w:r w:rsidRPr="005667CD">
        <w:t xml:space="preserve"> los posibles efectos indirectos, a los que las unidades subvencionadas y no subvencionadas podrían haberse enfrentado «al menos en teoría». </w:t>
      </w:r>
    </w:p>
    <w:p w:rsidR="00FC012D" w:rsidRPr="005667CD" w:rsidRDefault="00FC012D" w:rsidP="00FC012D">
      <w:pPr>
        <w:pStyle w:val="HStandard"/>
        <w:rPr>
          <w:rFonts w:cs="Arial"/>
        </w:rPr>
      </w:pPr>
      <w:r w:rsidRPr="005667CD">
        <w:t>La evaluación ascendente basada en la suma de diferentes fuentes de datos con parámetros y terminología diferentes puede causar ambigüedades. Uno de los principales desafíos del control de la coherencia para los niveles macro y micro es determinar la causalidad entre los cambios y los impactos medidos en el ámbito de la explotación o la parcela, así como los cambios y los impactos más allá del cambio del límite de la explotación (por ejemplo, a nivel NUTS 3 y a nivel de programa).</w:t>
      </w:r>
      <w:r w:rsidRPr="005667CD">
        <w:rPr>
          <w:color w:val="373737"/>
        </w:rPr>
        <w:t xml:space="preserve"> En este contexto, es importante que las unidades de análisis y escalas aplicadas tengan en cuenta a qué escala y nivel es probable que se produzcan los efectos. La simple aplicación de límites administrativos fijos puede distorsionar los resultados. </w:t>
      </w:r>
      <w:r w:rsidRPr="005667CD">
        <w:t>Se puede realizar algún esfuerzo para aplicar métodos de muestreo de forma coherente en las escalas de campo, explotación y paisaje, a fin de tener en cuenta los diferentes tipos de taxonomía estudiados y las interacciones entre las variables que describen el clima, la topografía, el uso del suelo y las condiciones socioeconómicas y del suelo</w:t>
      </w:r>
      <w:r w:rsidRPr="005667CD">
        <w:rPr>
          <w:rStyle w:val="FootnoteReference"/>
        </w:rPr>
        <w:footnoteReference w:id="29"/>
      </w:r>
      <w:r w:rsidRPr="005667CD">
        <w:t>. El «enfoque ascendente», con una zona de estudio a nivel de parcela o campo, permite obtener resultados a través de la recogida de datos procedentes de estudios específicos de lugares siguiendo protocolos experimentales, y extrapolarlos del nivel micro al nivel macro a través de sistemas de información geográfica (SIG), imágenes por satélite o análisis espacial</w:t>
      </w:r>
      <w:r w:rsidRPr="005667CD">
        <w:rPr>
          <w:rStyle w:val="FootnoteReference"/>
        </w:rPr>
        <w:footnoteReference w:id="30"/>
      </w:r>
      <w:r w:rsidRPr="005667CD">
        <w:t>.</w:t>
      </w:r>
    </w:p>
    <w:p w:rsidR="00FC012D" w:rsidRPr="005667CD" w:rsidRDefault="00535279" w:rsidP="00FC012D">
      <w:pPr>
        <w:pStyle w:val="HStandard"/>
        <w:rPr>
          <w:rFonts w:cs="Arial"/>
        </w:rPr>
      </w:pPr>
      <w:r w:rsidRPr="005667CD">
        <w:br w:type="column"/>
      </w:r>
      <w:r w:rsidRPr="005667CD">
        <w:rPr>
          <w:noProof/>
          <w:lang w:bidi="ar-SA"/>
        </w:rPr>
        <w:lastRenderedPageBreak/>
        <mc:AlternateContent>
          <mc:Choice Requires="wps">
            <w:drawing>
              <wp:anchor distT="0" distB="0" distL="114300" distR="114300" simplePos="0" relativeHeight="251673088" behindDoc="0" locked="0" layoutInCell="1" allowOverlap="1" wp14:anchorId="3FF8D03E" wp14:editId="4759A0BB">
                <wp:simplePos x="0" y="0"/>
                <wp:positionH relativeFrom="column">
                  <wp:posOffset>-121557</wp:posOffset>
                </wp:positionH>
                <wp:positionV relativeFrom="paragraph">
                  <wp:posOffset>199571</wp:posOffset>
                </wp:positionV>
                <wp:extent cx="6038850" cy="4261758"/>
                <wp:effectExtent l="0" t="0" r="19050" b="24765"/>
                <wp:wrapNone/>
                <wp:docPr id="898" name="Rectangle: Diagonal Corners Rounded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4261758"/>
                        </a:xfrm>
                        <a:prstGeom prst="round2DiagRect">
                          <a:avLst>
                            <a:gd name="adj1" fmla="val 8203"/>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D01F2" id="Rectangle: Diagonal Corners Rounded 15" o:spid="_x0000_s1026" style="position:absolute;margin-left:-9.55pt;margin-top:15.7pt;width:475.5pt;height:335.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426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" path="m349592,l6038850,r,l6038850,3912166v,193074,-156518,349592,-349592,349592l,4261758r,l,349592c,156518,156518,,349592,xe" filled="f" strokecolor="#be4a35 [3205]" strokeweight="2pt">
                <v:path arrowok="t" o:connecttype="custom" o:connectlocs="349592,0;6038850,0;6038850,0;6038850,3912166;5689258,4261758;0,4261758;0,4261758;0,349592;349592,0" o:connectangles="0,0,0,0,0,0,0,0,0"/>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C012D" w:rsidRPr="005667CD" w:rsidTr="00FC012D">
        <w:tc>
          <w:tcPr>
            <w:tcW w:w="9016" w:type="dxa"/>
          </w:tcPr>
          <w:p w:rsidR="00FC012D" w:rsidRPr="005667CD" w:rsidRDefault="00FC012D" w:rsidP="00EC01C3">
            <w:pPr>
              <w:pStyle w:val="HHeading4"/>
              <w:jc w:val="both"/>
              <w:rPr>
                <w:rFonts w:cs="Arial"/>
              </w:rPr>
            </w:pPr>
            <w:r w:rsidRPr="005667CD">
              <w:rPr>
                <w:noProof/>
                <w:color w:val="373737"/>
                <w:lang w:bidi="ar-SA"/>
              </w:rPr>
              <w:drawing>
                <wp:inline distT="0" distB="0" distL="0" distR="0" wp14:anchorId="54780757" wp14:editId="1BBE738B">
                  <wp:extent cx="664845" cy="487680"/>
                  <wp:effectExtent l="0" t="0" r="0" b="7620"/>
                  <wp:docPr id="1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5667CD">
              <w:t xml:space="preserve"> GUÍA RÁPIDA #5: ¿Cómo hacer el mejor uso posible de los enfoques cualitativos?</w:t>
            </w:r>
          </w:p>
        </w:tc>
      </w:tr>
    </w:tbl>
    <w:p w:rsidR="00696B10" w:rsidRPr="005667CD" w:rsidRDefault="00696B10" w:rsidP="00EC01C3">
      <w:pPr>
        <w:pStyle w:val="HStandard"/>
        <w:spacing w:after="0"/>
        <w:ind w:left="709" w:hanging="709"/>
        <w:rPr>
          <w:rFonts w:cs="Arial"/>
          <w:sz w:val="18"/>
          <w:szCs w:val="18"/>
        </w:rPr>
      </w:pPr>
      <w:r w:rsidRPr="005667CD">
        <w:rPr>
          <w:b/>
        </w:rPr>
        <w:t>Los enfoques cualitativos</w:t>
      </w:r>
      <w:r w:rsidRPr="005667CD">
        <w:t xml:space="preserve"> pueden aplicarse con un triple objetivo:</w:t>
      </w:r>
    </w:p>
    <w:p w:rsidR="00310B39" w:rsidRPr="005667CD" w:rsidRDefault="00310B39" w:rsidP="00EC01C3">
      <w:pPr>
        <w:pStyle w:val="HStandard"/>
        <w:spacing w:after="0"/>
        <w:ind w:left="709" w:hanging="709"/>
        <w:rPr>
          <w:rFonts w:cs="Arial"/>
          <w:sz w:val="18"/>
          <w:szCs w:val="18"/>
        </w:rPr>
      </w:pPr>
    </w:p>
    <w:p w:rsidR="00696B10" w:rsidRPr="005667CD"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sidRPr="005667CD">
        <w:rPr>
          <w:rFonts w:ascii="Arial" w:hAnsi="Arial"/>
          <w:b/>
          <w:color w:val="373737" w:themeColor="text1"/>
          <w:sz w:val="18"/>
        </w:rPr>
        <w:t>Como alternativa a los métodos cuantitativos</w:t>
      </w:r>
      <w:r w:rsidRPr="005667CD">
        <w:rPr>
          <w:rFonts w:ascii="Arial" w:hAnsi="Arial"/>
          <w:color w:val="373737" w:themeColor="text1"/>
          <w:sz w:val="18"/>
        </w:rPr>
        <w:t xml:space="preserve"> cuando no se disponga de datos. Por ejemplo, la evaluación cualitativa basada en la teoría puede utilizarse para mostrar cómo y por qué el programa funcionará y se espera que produzca los resultados previstos. La evaluación cualitativa basada en la teoría sigue cada paso de la lógica de intervención del programa, identificando los vínculos causales y los mecanismos de cambio, dando lugar a resultados e impactos. Los diversos vínculos en la lógica de la intervención pueden analizarse utilizando una serie de métodos. En las presentes Directrices proponemos grupos de interés (en particular, el método para la evaluación de impacto de programas y proyectos) o entrevistas con partes interesadas/expertos. </w:t>
      </w:r>
    </w:p>
    <w:p w:rsidR="00310B39" w:rsidRPr="005667CD" w:rsidRDefault="00310B39" w:rsidP="00EC01C3">
      <w:pPr>
        <w:pStyle w:val="ListParagraph"/>
        <w:autoSpaceDE w:val="0"/>
        <w:autoSpaceDN w:val="0"/>
        <w:adjustRightInd w:val="0"/>
        <w:spacing w:after="0" w:line="280" w:lineRule="atLeast"/>
        <w:ind w:left="426"/>
        <w:jc w:val="both"/>
        <w:rPr>
          <w:rFonts w:ascii="Arial" w:hAnsi="Arial" w:cs="Arial"/>
          <w:color w:val="373737" w:themeColor="text1"/>
          <w:sz w:val="18"/>
          <w:szCs w:val="18"/>
        </w:rPr>
      </w:pPr>
    </w:p>
    <w:p w:rsidR="00310B39" w:rsidRPr="005667CD"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sidRPr="005667CD">
        <w:rPr>
          <w:rFonts w:ascii="Arial" w:hAnsi="Arial"/>
          <w:b/>
          <w:color w:val="373737" w:themeColor="text1"/>
          <w:sz w:val="18"/>
        </w:rPr>
        <w:t>Como un complemento a la evaluación cuantitativa contrafactual</w:t>
      </w:r>
      <w:r w:rsidRPr="005667CD">
        <w:rPr>
          <w:rFonts w:ascii="Arial" w:hAnsi="Arial"/>
          <w:color w:val="373737" w:themeColor="text1"/>
          <w:sz w:val="18"/>
        </w:rPr>
        <w:t xml:space="preserve"> para identificar mejor cómo se han generado los impactos y por qué. Cabe señalar que la evaluación cualitativa basada en la teoría no puede examinar el «impacto neto» (es decir, en qué medida el cambio observado en la zona del programa puede atribuirse al programa) ni disociar los efectos del programa de la contribución de otros factores.</w:t>
      </w:r>
    </w:p>
    <w:p w:rsidR="00310B39" w:rsidRPr="005667CD" w:rsidRDefault="00310B39" w:rsidP="00EC01C3">
      <w:pPr>
        <w:pStyle w:val="ListParagraph"/>
        <w:jc w:val="both"/>
        <w:rPr>
          <w:rFonts w:ascii="Arial" w:hAnsi="Arial" w:cs="Arial"/>
          <w:color w:val="373737" w:themeColor="text1"/>
          <w:sz w:val="18"/>
          <w:szCs w:val="18"/>
        </w:rPr>
      </w:pPr>
    </w:p>
    <w:p w:rsidR="00696B10" w:rsidRPr="005667CD"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sidRPr="005667CD">
        <w:rPr>
          <w:rFonts w:ascii="Arial" w:hAnsi="Arial"/>
          <w:b/>
          <w:color w:val="373737" w:themeColor="text1"/>
          <w:sz w:val="18"/>
        </w:rPr>
        <w:t>Como parte de la triangulación</w:t>
      </w:r>
      <w:r w:rsidRPr="005667CD">
        <w:rPr>
          <w:rFonts w:ascii="Arial" w:hAnsi="Arial"/>
          <w:color w:val="373737" w:themeColor="text1"/>
          <w:sz w:val="18"/>
        </w:rPr>
        <w:t xml:space="preserve"> para validar las conclusiones de los métodos cuantitativos.</w:t>
      </w:r>
    </w:p>
    <w:p w:rsidR="00310B39" w:rsidRPr="005667CD" w:rsidRDefault="00310B39" w:rsidP="00310B39">
      <w:pPr>
        <w:pStyle w:val="ListParagraph"/>
        <w:autoSpaceDE w:val="0"/>
        <w:autoSpaceDN w:val="0"/>
        <w:adjustRightInd w:val="0"/>
        <w:spacing w:after="0" w:line="280" w:lineRule="atLeast"/>
        <w:ind w:left="426"/>
        <w:rPr>
          <w:rFonts w:ascii="Arial" w:hAnsi="Arial" w:cs="Arial"/>
          <w:color w:val="373737" w:themeColor="text1"/>
          <w:sz w:val="18"/>
          <w:szCs w:val="18"/>
        </w:rPr>
      </w:pPr>
    </w:p>
    <w:p w:rsidR="004517DA" w:rsidRPr="005667CD" w:rsidRDefault="004517DA" w:rsidP="006A6A61">
      <w:pPr>
        <w:pStyle w:val="HStandard"/>
        <w:jc w:val="center"/>
        <w:rPr>
          <w:i/>
          <w:color w:val="F07E31" w:themeColor="accent1"/>
          <w:sz w:val="18"/>
        </w:rPr>
      </w:pPr>
    </w:p>
    <w:p w:rsidR="0050142E" w:rsidRPr="005667CD" w:rsidRDefault="0050142E" w:rsidP="006A6A61">
      <w:pPr>
        <w:pStyle w:val="HStandard"/>
        <w:jc w:val="center"/>
        <w:rPr>
          <w:i/>
          <w:color w:val="F07E31" w:themeColor="accent1"/>
          <w:sz w:val="18"/>
        </w:rPr>
      </w:pPr>
      <w:r w:rsidRPr="005667CD">
        <w:rPr>
          <w:i/>
          <w:color w:val="F07E31" w:themeColor="accent1"/>
          <w:sz w:val="18"/>
        </w:rPr>
        <w:t>Para obtener más información sobre la evaluación basada en la teoría véase</w:t>
      </w:r>
      <w:r w:rsidRPr="005667CD">
        <w:t xml:space="preserve"> </w:t>
      </w:r>
      <w:hyperlink r:id="rId55">
        <w:r w:rsidRPr="005667CD">
          <w:rPr>
            <w:rStyle w:val="Hyperlink"/>
            <w:i/>
            <w:sz w:val="18"/>
          </w:rPr>
          <w:t>«</w:t>
        </w:r>
        <w:proofErr w:type="spellStart"/>
        <w:r w:rsidRPr="005667CD">
          <w:rPr>
            <w:rStyle w:val="Hyperlink"/>
            <w:i/>
            <w:sz w:val="18"/>
          </w:rPr>
          <w:t>Investment</w:t>
        </w:r>
        <w:proofErr w:type="spellEnd"/>
        <w:r w:rsidRPr="005667CD">
          <w:rPr>
            <w:rStyle w:val="Hyperlink"/>
            <w:i/>
            <w:sz w:val="18"/>
          </w:rPr>
          <w:t xml:space="preserve"> </w:t>
        </w:r>
        <w:proofErr w:type="spellStart"/>
        <w:r w:rsidRPr="005667CD">
          <w:rPr>
            <w:rStyle w:val="Hyperlink"/>
            <w:i/>
            <w:sz w:val="18"/>
          </w:rPr>
          <w:t>Support</w:t>
        </w:r>
        <w:proofErr w:type="spellEnd"/>
        <w:r w:rsidRPr="005667CD">
          <w:rPr>
            <w:rStyle w:val="Hyperlink"/>
            <w:i/>
            <w:sz w:val="18"/>
          </w:rPr>
          <w:t xml:space="preserve"> </w:t>
        </w:r>
        <w:proofErr w:type="spellStart"/>
        <w:r w:rsidRPr="005667CD">
          <w:rPr>
            <w:rStyle w:val="Hyperlink"/>
            <w:i/>
            <w:sz w:val="18"/>
          </w:rPr>
          <w:t>under</w:t>
        </w:r>
        <w:proofErr w:type="spellEnd"/>
        <w:r w:rsidRPr="005667CD">
          <w:rPr>
            <w:rStyle w:val="Hyperlink"/>
            <w:i/>
            <w:sz w:val="18"/>
          </w:rPr>
          <w:t xml:space="preserve"> Rural </w:t>
        </w:r>
        <w:proofErr w:type="spellStart"/>
        <w:r w:rsidRPr="005667CD">
          <w:rPr>
            <w:rStyle w:val="Hyperlink"/>
            <w:i/>
            <w:sz w:val="18"/>
          </w:rPr>
          <w:t>Development</w:t>
        </w:r>
        <w:proofErr w:type="spellEnd"/>
        <w:r w:rsidRPr="005667CD">
          <w:rPr>
            <w:rStyle w:val="Hyperlink"/>
            <w:i/>
            <w:sz w:val="18"/>
          </w:rPr>
          <w:t xml:space="preserve"> </w:t>
        </w:r>
        <w:proofErr w:type="spellStart"/>
        <w:r w:rsidRPr="005667CD">
          <w:rPr>
            <w:rStyle w:val="Hyperlink"/>
            <w:i/>
            <w:sz w:val="18"/>
          </w:rPr>
          <w:t>Policy</w:t>
        </w:r>
        <w:proofErr w:type="spellEnd"/>
        <w:r w:rsidRPr="005667CD">
          <w:rPr>
            <w:rStyle w:val="Hyperlink"/>
            <w:i/>
            <w:sz w:val="18"/>
          </w:rPr>
          <w:t>»</w:t>
        </w:r>
      </w:hyperlink>
      <w:r w:rsidRPr="005667CD">
        <w:rPr>
          <w:i/>
          <w:color w:val="F07E31" w:themeColor="accent1"/>
          <w:sz w:val="18"/>
        </w:rPr>
        <w:t>, capítulo 3.3.4 (CE, 2014) y para obtener más información sobre cómo pueden utilizarse métodos cualitativos para recoger datos cuantitativos véase</w:t>
      </w:r>
      <w:r w:rsidRPr="005667CD">
        <w:t xml:space="preserve"> </w:t>
      </w:r>
      <w:hyperlink r:id="rId56" w:anchor="v=onepage&amp;amp;q=distinguishing%20between%20types%20of%20data%20and%20methods%20of%20collecting%20them%2C&amp;amp;f=false">
        <w:r w:rsidRPr="005667CD">
          <w:rPr>
            <w:rStyle w:val="Hyperlink"/>
            <w:i/>
            <w:sz w:val="18"/>
          </w:rPr>
          <w:t>«</w:t>
        </w:r>
        <w:proofErr w:type="spellStart"/>
        <w:r w:rsidRPr="005667CD">
          <w:rPr>
            <w:rStyle w:val="Hyperlink"/>
            <w:i/>
            <w:sz w:val="18"/>
          </w:rPr>
          <w:t>Distinguishing</w:t>
        </w:r>
        <w:proofErr w:type="spellEnd"/>
        <w:r w:rsidRPr="005667CD">
          <w:rPr>
            <w:rStyle w:val="Hyperlink"/>
            <w:i/>
            <w:sz w:val="18"/>
          </w:rPr>
          <w:t xml:space="preserve"> Between </w:t>
        </w:r>
        <w:proofErr w:type="spellStart"/>
        <w:r w:rsidRPr="005667CD">
          <w:rPr>
            <w:rStyle w:val="Hyperlink"/>
            <w:i/>
            <w:sz w:val="18"/>
          </w:rPr>
          <w:t>Types</w:t>
        </w:r>
        <w:proofErr w:type="spellEnd"/>
        <w:r w:rsidRPr="005667CD">
          <w:rPr>
            <w:rStyle w:val="Hyperlink"/>
            <w:i/>
            <w:sz w:val="18"/>
          </w:rPr>
          <w:t xml:space="preserve"> </w:t>
        </w:r>
        <w:proofErr w:type="spellStart"/>
        <w:r w:rsidRPr="005667CD">
          <w:rPr>
            <w:rStyle w:val="Hyperlink"/>
            <w:i/>
            <w:sz w:val="18"/>
          </w:rPr>
          <w:t>of</w:t>
        </w:r>
        <w:proofErr w:type="spellEnd"/>
        <w:r w:rsidRPr="005667CD">
          <w:rPr>
            <w:rStyle w:val="Hyperlink"/>
            <w:i/>
            <w:sz w:val="18"/>
          </w:rPr>
          <w:t xml:space="preserve"> Data and </w:t>
        </w:r>
        <w:proofErr w:type="spellStart"/>
        <w:r w:rsidRPr="005667CD">
          <w:rPr>
            <w:rStyle w:val="Hyperlink"/>
            <w:i/>
            <w:sz w:val="18"/>
          </w:rPr>
          <w:t>Methods</w:t>
        </w:r>
        <w:proofErr w:type="spellEnd"/>
        <w:r w:rsidRPr="005667CD">
          <w:rPr>
            <w:rStyle w:val="Hyperlink"/>
            <w:i/>
            <w:sz w:val="18"/>
          </w:rPr>
          <w:t xml:space="preserve"> </w:t>
        </w:r>
        <w:proofErr w:type="spellStart"/>
        <w:r w:rsidRPr="005667CD">
          <w:rPr>
            <w:rStyle w:val="Hyperlink"/>
            <w:i/>
            <w:sz w:val="18"/>
          </w:rPr>
          <w:t>of</w:t>
        </w:r>
        <w:proofErr w:type="spellEnd"/>
        <w:r w:rsidRPr="005667CD">
          <w:rPr>
            <w:rStyle w:val="Hyperlink"/>
            <w:i/>
            <w:sz w:val="18"/>
          </w:rPr>
          <w:t xml:space="preserve"> </w:t>
        </w:r>
        <w:proofErr w:type="spellStart"/>
        <w:r w:rsidRPr="005667CD">
          <w:rPr>
            <w:rStyle w:val="Hyperlink"/>
            <w:i/>
            <w:sz w:val="18"/>
          </w:rPr>
          <w:t>Collecting</w:t>
        </w:r>
        <w:proofErr w:type="spellEnd"/>
        <w:r w:rsidRPr="005667CD">
          <w:rPr>
            <w:rStyle w:val="Hyperlink"/>
            <w:i/>
            <w:sz w:val="18"/>
          </w:rPr>
          <w:t xml:space="preserve"> Them»</w:t>
        </w:r>
      </w:hyperlink>
      <w:r w:rsidRPr="005667CD">
        <w:rPr>
          <w:i/>
          <w:color w:val="F07E31" w:themeColor="accent1"/>
          <w:sz w:val="18"/>
        </w:rPr>
        <w:t xml:space="preserve"> (</w:t>
      </w:r>
      <w:proofErr w:type="spellStart"/>
      <w:r w:rsidRPr="005667CD">
        <w:rPr>
          <w:i/>
          <w:color w:val="F07E31" w:themeColor="accent1"/>
          <w:sz w:val="18"/>
        </w:rPr>
        <w:t>Hentschel</w:t>
      </w:r>
      <w:proofErr w:type="spellEnd"/>
      <w:r w:rsidRPr="005667CD">
        <w:rPr>
          <w:i/>
          <w:color w:val="F07E31" w:themeColor="accent1"/>
          <w:sz w:val="18"/>
        </w:rPr>
        <w:t xml:space="preserve">, 1998). </w:t>
      </w:r>
    </w:p>
    <w:p w:rsidR="006D4194" w:rsidRPr="005667CD" w:rsidRDefault="006D4194" w:rsidP="006D4194">
      <w:pPr>
        <w:pStyle w:val="HStandard"/>
        <w:rPr>
          <w:sz w:val="22"/>
        </w:rPr>
      </w:pPr>
    </w:p>
    <w:p w:rsidR="00A24D39" w:rsidRPr="005667CD" w:rsidRDefault="00714E32" w:rsidP="00714E32">
      <w:pPr>
        <w:pStyle w:val="HHeading3"/>
      </w:pPr>
      <w:r w:rsidRPr="005667CD">
        <w:t xml:space="preserve">Descripción de los enfoques de evaluación recomendados para valorar los indicadores de impacto de la PAC </w:t>
      </w:r>
    </w:p>
    <w:p w:rsidR="00186FCF" w:rsidRPr="005667CD" w:rsidRDefault="00186FCF" w:rsidP="00186FCF">
      <w:pPr>
        <w:pStyle w:val="HStandard"/>
        <w:rPr>
          <w:rFonts w:cs="Arial"/>
        </w:rPr>
      </w:pPr>
      <w:r w:rsidRPr="005667CD">
        <w:t>En el período de programación 2014-2020, la valoración de los impactos de los PDR se llevará a cabo por primera vez en 2019, en un momento en el que las carencias de datos pueden seguir constituyendo un problema para varios PDR, debido a la escasa o tardía adopción de determinadas medidas, o a la falta de datos estadísticos para la evaluación. Dado que las carencias de datos dificultan enormemente observar los impactos de los PDR, las presentes Directrices sugieren al menos dos enfoques diferentes para calcular cada uno de los indicadores comunes de impacto del pilar II de la PAC:</w:t>
      </w:r>
    </w:p>
    <w:p w:rsidR="00186FCF" w:rsidRPr="005667CD" w:rsidRDefault="00186FCF" w:rsidP="00C42303">
      <w:pPr>
        <w:pStyle w:val="Hlistbullet"/>
      </w:pPr>
      <w:r w:rsidRPr="005667CD">
        <w:t xml:space="preserve">El </w:t>
      </w:r>
      <w:r w:rsidRPr="005667CD">
        <w:rPr>
          <w:b/>
        </w:rPr>
        <w:t>enfoque A</w:t>
      </w:r>
      <w:r w:rsidRPr="005667CD">
        <w:t xml:space="preserve"> es un ejemplo de </w:t>
      </w:r>
      <w:r w:rsidRPr="005667CD">
        <w:rPr>
          <w:b/>
        </w:rPr>
        <w:t>enfoque de evaluación en una situación de datos óptima</w:t>
      </w:r>
      <w:r w:rsidRPr="005667CD">
        <w:t>.</w:t>
      </w:r>
      <w:r w:rsidRPr="005667CD">
        <w:rPr>
          <w:b/>
        </w:rPr>
        <w:t xml:space="preserve"> </w:t>
      </w:r>
      <w:r w:rsidRPr="005667CD">
        <w:t xml:space="preserve">Puede utilizarse en 2019 y/o puede tener como objetivo la evaluación </w:t>
      </w:r>
      <w:r w:rsidRPr="005667CD">
        <w:rPr>
          <w:i/>
        </w:rPr>
        <w:t>a posteriori</w:t>
      </w:r>
      <w:r w:rsidRPr="005667CD">
        <w:t xml:space="preserve">. El enfoque A es más avanzado que el enfoque B y es también más riguroso. </w:t>
      </w:r>
    </w:p>
    <w:p w:rsidR="00186FCF" w:rsidRPr="005667CD" w:rsidRDefault="00186FCF" w:rsidP="00C42303">
      <w:pPr>
        <w:pStyle w:val="Hlistbullet"/>
      </w:pPr>
      <w:r w:rsidRPr="005667CD">
        <w:t xml:space="preserve">El </w:t>
      </w:r>
      <w:r w:rsidRPr="005667CD">
        <w:rPr>
          <w:b/>
        </w:rPr>
        <w:t>enfoque B</w:t>
      </w:r>
      <w:r w:rsidRPr="005667CD">
        <w:t xml:space="preserve"> es un ejemplo de </w:t>
      </w:r>
      <w:r w:rsidRPr="005667CD">
        <w:rPr>
          <w:b/>
        </w:rPr>
        <w:t>enfoque de evaluación alternativo en caso de carencias de datos</w:t>
      </w:r>
      <w:r w:rsidRPr="005667CD">
        <w:t xml:space="preserve"> (por ejemplo, debido a la lentitud de la ejecución del programa, que no permite observar los impactos del PDR) o si otros factores (recursos, tiempo, competencias) obstaculizan la aplicación de un enfoque más avanzado. En varios casos el enfoque B contiene un componente cualitativo. </w:t>
      </w:r>
    </w:p>
    <w:p w:rsidR="00186FCF" w:rsidRPr="005667CD" w:rsidRDefault="00CB3881" w:rsidP="00186FCF">
      <w:pPr>
        <w:pStyle w:val="HStandard"/>
        <w:rPr>
          <w:rFonts w:cs="Arial"/>
        </w:rPr>
      </w:pPr>
      <w:r w:rsidRPr="005667CD">
        <w:rPr>
          <w:b/>
        </w:rPr>
        <w:lastRenderedPageBreak/>
        <w:t>Tanto el enfoque A como el B satisfacen las normas en materia de evaluación.</w:t>
      </w:r>
      <w:r w:rsidRPr="005667CD">
        <w:t xml:space="preserve"> El enfoque A se define como el enfoque que proporciona los resultados de evaluación más sólidos en una situación de datos ideal. Teniendo en cuenta la situación de los datos en 2019, cabe reconocer que para muchos PDR el enfoque A tal vez no sea aún el más práctico (véanse: cuadros sobre la adecuación de los enfoques de evaluación propuestos en los capítulos 4.1 - 4.7 del anexo técnico). En las figuras respectivas del modelo lógico para cada indicador de impacto se enumeran más ejemplos de métodos de evaluación. </w:t>
      </w:r>
    </w:p>
    <w:p w:rsidR="0095652F" w:rsidRPr="005667CD" w:rsidRDefault="008F39E9" w:rsidP="004517DA">
      <w:pPr>
        <w:pStyle w:val="HHeadingtables"/>
      </w:pPr>
      <w:r w:rsidRPr="005667CD">
        <w:br w:type="column"/>
      </w:r>
      <w:r w:rsidRPr="005667CD">
        <w:lastRenderedPageBreak/>
        <w:t xml:space="preserve">Ejemplos de los enfoques de evaluación recomendados para valorar los indicadores de impacto de </w:t>
      </w:r>
      <w:r w:rsidR="003227CC">
        <w:t xml:space="preserve">  </w:t>
      </w:r>
      <w:r w:rsidRPr="005667CD">
        <w:t xml:space="preserve">la PAC </w:t>
      </w: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417"/>
        <w:gridCol w:w="1701"/>
        <w:gridCol w:w="1701"/>
        <w:gridCol w:w="1701"/>
        <w:gridCol w:w="1701"/>
      </w:tblGrid>
      <w:tr w:rsidR="00515FD4" w:rsidRPr="005667CD" w:rsidTr="005F69E8">
        <w:trPr>
          <w:trHeight w:val="289"/>
          <w:tblHeader/>
        </w:trPr>
        <w:tc>
          <w:tcPr>
            <w:tcW w:w="98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5667CD" w:rsidRDefault="00647A13" w:rsidP="00C202D0">
            <w:pPr>
              <w:pStyle w:val="HStandard"/>
              <w:jc w:val="center"/>
              <w:rPr>
                <w:b/>
                <w:bCs/>
                <w:color w:val="FFFFFF" w:themeColor="background1"/>
              </w:rPr>
            </w:pPr>
            <w:r w:rsidRPr="005667CD">
              <w:rPr>
                <w:b/>
                <w:color w:val="FFFFFF" w:themeColor="background1"/>
                <w:sz w:val="16"/>
              </w:rPr>
              <w:t>Código</w:t>
            </w:r>
          </w:p>
        </w:tc>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5667CD" w:rsidRDefault="00647A13" w:rsidP="00C202D0">
            <w:pPr>
              <w:pStyle w:val="HStandard"/>
              <w:jc w:val="center"/>
              <w:rPr>
                <w:b/>
                <w:bCs/>
                <w:color w:val="FFFFFF" w:themeColor="background1"/>
                <w:sz w:val="16"/>
              </w:rPr>
            </w:pPr>
            <w:r w:rsidRPr="005667CD">
              <w:rPr>
                <w:b/>
                <w:color w:val="FFFFFF" w:themeColor="background1"/>
                <w:sz w:val="16"/>
              </w:rPr>
              <w:t>Indicador</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5667CD" w:rsidRDefault="002D74F7" w:rsidP="008D4934">
            <w:pPr>
              <w:pStyle w:val="HStandard"/>
              <w:spacing w:line="240" w:lineRule="atLeast"/>
              <w:jc w:val="center"/>
              <w:rPr>
                <w:color w:val="FFFFFF" w:themeColor="background1"/>
                <w:sz w:val="16"/>
              </w:rPr>
            </w:pPr>
            <w:r w:rsidRPr="005667CD">
              <w:t>Enfoque A</w:t>
            </w:r>
            <w:r w:rsidRPr="005667CD">
              <w:rPr>
                <w:color w:val="FFFFFF" w:themeColor="background1"/>
              </w:rPr>
              <w:t xml:space="preserve"> </w:t>
            </w:r>
            <w:r w:rsidRPr="005667CD">
              <w:rPr>
                <w:color w:val="FFFFFF" w:themeColor="background1"/>
                <w:sz w:val="16"/>
              </w:rPr>
              <w:br/>
              <w:t>Ejemplo de enfoque en situación de datos óptima</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5667CD" w:rsidRDefault="002D74F7" w:rsidP="0089010B">
            <w:pPr>
              <w:pStyle w:val="HStandard"/>
              <w:spacing w:line="240" w:lineRule="atLeast"/>
              <w:jc w:val="center"/>
              <w:rPr>
                <w:color w:val="FFFFFF" w:themeColor="background1"/>
                <w:sz w:val="16"/>
              </w:rPr>
            </w:pPr>
            <w:r w:rsidRPr="005667CD">
              <w:rPr>
                <w:b/>
                <w:color w:val="FFFFFF" w:themeColor="background1"/>
              </w:rPr>
              <w:t>Enfoque B</w:t>
            </w:r>
            <w:r w:rsidRPr="005667CD">
              <w:rPr>
                <w:color w:val="FFFFFF" w:themeColor="background1"/>
              </w:rPr>
              <w:t xml:space="preserve"> </w:t>
            </w:r>
            <w:r w:rsidRPr="005667CD">
              <w:rPr>
                <w:color w:val="FFFFFF" w:themeColor="background1"/>
              </w:rPr>
              <w:br/>
            </w:r>
            <w:r w:rsidRPr="005667CD">
              <w:rPr>
                <w:color w:val="FFFFFF" w:themeColor="background1"/>
                <w:sz w:val="16"/>
              </w:rPr>
              <w:t>Ejemplo de enfoque alternativo en caso de carencias de datos</w:t>
            </w:r>
          </w:p>
        </w:tc>
      </w:tr>
      <w:tr w:rsidR="00515FD4" w:rsidRPr="005667CD" w:rsidTr="005F69E8">
        <w:trPr>
          <w:trHeight w:val="289"/>
          <w:tblHeader/>
        </w:trPr>
        <w:tc>
          <w:tcPr>
            <w:tcW w:w="9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5667CD" w:rsidRDefault="00515FD4" w:rsidP="00C202D0">
            <w:pPr>
              <w:pStyle w:val="HStandard"/>
              <w:jc w:val="center"/>
              <w:rPr>
                <w:b/>
                <w:bCs/>
                <w:color w:val="FFFFFF" w:themeColor="background1"/>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5667CD" w:rsidRDefault="00515FD4" w:rsidP="00C202D0">
            <w:pPr>
              <w:pStyle w:val="HStandard"/>
              <w:jc w:val="center"/>
              <w:rPr>
                <w:b/>
                <w:bCs/>
                <w:color w:val="FFFFFF" w:themeColor="background1"/>
                <w:sz w:val="16"/>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5667CD" w:rsidRDefault="00515FD4" w:rsidP="008D4934">
            <w:pPr>
              <w:pStyle w:val="HStandard"/>
              <w:spacing w:line="240" w:lineRule="atLeast"/>
              <w:jc w:val="center"/>
              <w:rPr>
                <w:i/>
                <w:iCs/>
                <w:color w:val="FFFFFF" w:themeColor="background1"/>
                <w:sz w:val="16"/>
              </w:rPr>
            </w:pPr>
            <w:r w:rsidRPr="005667CD">
              <w:rPr>
                <w:i/>
                <w:color w:val="FFFFFF" w:themeColor="background1"/>
                <w:sz w:val="16"/>
              </w:rPr>
              <w:t>Nivel micro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5667CD" w:rsidRDefault="00515FD4" w:rsidP="008D4934">
            <w:pPr>
              <w:pStyle w:val="HStandard"/>
              <w:spacing w:line="240" w:lineRule="atLeast"/>
              <w:jc w:val="center"/>
              <w:rPr>
                <w:i/>
                <w:iCs/>
                <w:color w:val="FFFFFF" w:themeColor="background1"/>
                <w:sz w:val="16"/>
              </w:rPr>
            </w:pPr>
            <w:r w:rsidRPr="005667CD">
              <w:rPr>
                <w:i/>
                <w:color w:val="FFFFFF" w:themeColor="background1"/>
                <w:sz w:val="16"/>
              </w:rPr>
              <w:t>Nivel macro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5667CD" w:rsidRDefault="00515FD4" w:rsidP="008D4934">
            <w:pPr>
              <w:pStyle w:val="HStandard"/>
              <w:spacing w:line="240" w:lineRule="atLeast"/>
              <w:jc w:val="center"/>
              <w:rPr>
                <w:i/>
                <w:iCs/>
                <w:color w:val="FFFFFF" w:themeColor="background1"/>
                <w:sz w:val="16"/>
              </w:rPr>
            </w:pPr>
            <w:r w:rsidRPr="005667CD">
              <w:rPr>
                <w:i/>
                <w:color w:val="FFFFFF" w:themeColor="background1"/>
                <w:sz w:val="16"/>
              </w:rPr>
              <w:t>Nivel micro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5667CD" w:rsidRDefault="00515FD4" w:rsidP="008D4934">
            <w:pPr>
              <w:pStyle w:val="HStandard"/>
              <w:spacing w:line="240" w:lineRule="atLeast"/>
              <w:jc w:val="center"/>
              <w:rPr>
                <w:i/>
                <w:iCs/>
                <w:color w:val="FFFFFF" w:themeColor="background1"/>
                <w:sz w:val="16"/>
              </w:rPr>
            </w:pPr>
            <w:r w:rsidRPr="005667CD">
              <w:rPr>
                <w:i/>
                <w:color w:val="FFFFFF" w:themeColor="background1"/>
                <w:sz w:val="16"/>
              </w:rPr>
              <w:t>Nivel macro</w:t>
            </w:r>
          </w:p>
        </w:tc>
      </w:tr>
      <w:tr w:rsidR="00515FD4" w:rsidRPr="005667CD" w:rsidTr="00670F92">
        <w:trPr>
          <w:trHeight w:val="255"/>
        </w:trPr>
        <w:tc>
          <w:tcPr>
            <w:tcW w:w="9209" w:type="dxa"/>
            <w:gridSpan w:val="6"/>
            <w:tcBorders>
              <w:top w:val="single" w:sz="4" w:space="0" w:color="FFFFFF" w:themeColor="background1"/>
            </w:tcBorders>
            <w:shd w:val="clear" w:color="auto" w:fill="BE4A35" w:themeFill="accent2"/>
            <w:hideMark/>
          </w:tcPr>
          <w:p w:rsidR="00515FD4" w:rsidRPr="005667CD" w:rsidRDefault="00515FD4" w:rsidP="008D4934">
            <w:pPr>
              <w:pStyle w:val="HStandard"/>
              <w:spacing w:line="240" w:lineRule="atLeast"/>
              <w:rPr>
                <w:b/>
                <w:bCs/>
                <w:color w:val="FFFFFF" w:themeColor="background1"/>
                <w:sz w:val="16"/>
              </w:rPr>
            </w:pPr>
            <w:r w:rsidRPr="005667CD">
              <w:rPr>
                <w:b/>
                <w:color w:val="FFFFFF" w:themeColor="background1"/>
                <w:sz w:val="16"/>
              </w:rPr>
              <w:t>Impactos relacionados con el sector</w:t>
            </w:r>
          </w:p>
        </w:tc>
      </w:tr>
      <w:tr w:rsidR="00515FD4" w:rsidRPr="005667CD" w:rsidTr="005F69E8">
        <w:trPr>
          <w:trHeight w:val="1193"/>
        </w:trPr>
        <w:tc>
          <w:tcPr>
            <w:tcW w:w="988" w:type="dxa"/>
            <w:tcBorders>
              <w:bottom w:val="single" w:sz="4" w:space="0" w:color="808080" w:themeColor="background1" w:themeShade="80"/>
              <w:right w:val="nil"/>
            </w:tcBorders>
            <w:hideMark/>
          </w:tcPr>
          <w:p w:rsidR="00515FD4" w:rsidRPr="005667CD" w:rsidRDefault="00515FD4" w:rsidP="00887886">
            <w:pPr>
              <w:pStyle w:val="HStandard"/>
              <w:jc w:val="center"/>
              <w:rPr>
                <w:b/>
                <w:bCs/>
                <w:color w:val="BE4A35" w:themeColor="accent2"/>
              </w:rPr>
            </w:pPr>
            <w:r w:rsidRPr="005667CD">
              <w:rPr>
                <w:b/>
                <w:bCs/>
                <w:noProof/>
                <w:color w:val="BE4A35" w:themeColor="accent2"/>
                <w:lang w:bidi="ar-SA"/>
              </w:rPr>
              <w:drawing>
                <wp:anchor distT="0" distB="0" distL="114300" distR="114300" simplePos="0" relativeHeight="251713024" behindDoc="1" locked="0" layoutInCell="1" allowOverlap="1" wp14:anchorId="7463544A" wp14:editId="21A58EF3">
                  <wp:simplePos x="0" y="0"/>
                  <wp:positionH relativeFrom="column">
                    <wp:posOffset>-233</wp:posOffset>
                  </wp:positionH>
                  <wp:positionV relativeFrom="paragraph">
                    <wp:posOffset>185115</wp:posOffset>
                  </wp:positionV>
                  <wp:extent cx="489585" cy="489585"/>
                  <wp:effectExtent l="0" t="0" r="0" b="5715"/>
                  <wp:wrapTight wrapText="bothSides">
                    <wp:wrapPolygon edited="0">
                      <wp:start x="5043" y="0"/>
                      <wp:lineTo x="2521" y="2521"/>
                      <wp:lineTo x="840" y="8405"/>
                      <wp:lineTo x="1681" y="15969"/>
                      <wp:lineTo x="5883" y="21012"/>
                      <wp:lineTo x="8405" y="21012"/>
                      <wp:lineTo x="14288" y="21012"/>
                      <wp:lineTo x="15128" y="21012"/>
                      <wp:lineTo x="18490" y="13447"/>
                      <wp:lineTo x="19331" y="10926"/>
                      <wp:lineTo x="17650" y="3362"/>
                      <wp:lineTo x="14288" y="0"/>
                      <wp:lineTo x="5043"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0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5667CD">
              <w:rPr>
                <w:b/>
                <w:color w:val="BE4A35" w:themeColor="accent2"/>
              </w:rPr>
              <w:t>I.01</w:t>
            </w:r>
          </w:p>
        </w:tc>
        <w:tc>
          <w:tcPr>
            <w:tcW w:w="1417" w:type="dxa"/>
            <w:tcBorders>
              <w:left w:val="nil"/>
              <w:bottom w:val="single" w:sz="4" w:space="0" w:color="808080" w:themeColor="background1" w:themeShade="80"/>
            </w:tcBorders>
            <w:vAlign w:val="center"/>
            <w:hideMark/>
          </w:tcPr>
          <w:p w:rsidR="00515FD4" w:rsidRPr="005667CD" w:rsidRDefault="00515FD4" w:rsidP="007B323D">
            <w:pPr>
              <w:pStyle w:val="HStandard"/>
              <w:spacing w:after="0"/>
              <w:jc w:val="left"/>
              <w:rPr>
                <w:b/>
                <w:color w:val="BE4A35" w:themeColor="accent2"/>
                <w:sz w:val="16"/>
                <w:szCs w:val="18"/>
              </w:rPr>
            </w:pPr>
            <w:r w:rsidRPr="005667CD">
              <w:rPr>
                <w:b/>
                <w:color w:val="BE4A35" w:themeColor="accent2"/>
                <w:sz w:val="16"/>
              </w:rPr>
              <w:t>Renta empresarial agraria</w:t>
            </w:r>
          </w:p>
        </w:tc>
        <w:tc>
          <w:tcPr>
            <w:tcW w:w="1701" w:type="dxa"/>
            <w:vMerge w:val="restart"/>
            <w:vAlign w:val="center"/>
            <w:hideMark/>
          </w:tcPr>
          <w:p w:rsidR="00515FD4" w:rsidRPr="005667CD" w:rsidRDefault="00515FD4" w:rsidP="007008C0">
            <w:pPr>
              <w:pStyle w:val="HStandard"/>
              <w:spacing w:after="0" w:line="240" w:lineRule="auto"/>
              <w:jc w:val="center"/>
              <w:rPr>
                <w:sz w:val="16"/>
                <w:szCs w:val="18"/>
              </w:rPr>
            </w:pPr>
            <w:r w:rsidRPr="005667CD">
              <w:rPr>
                <w:sz w:val="16"/>
              </w:rPr>
              <w:t>Combinación de métodos de emparejamiento de puntuaciones de propensión con el método de diferencias en diferencias (EPP-DID)</w:t>
            </w:r>
          </w:p>
        </w:tc>
        <w:tc>
          <w:tcPr>
            <w:tcW w:w="1701" w:type="dxa"/>
            <w:vMerge w:val="restart"/>
            <w:vAlign w:val="center"/>
            <w:hideMark/>
          </w:tcPr>
          <w:p w:rsidR="00515FD4" w:rsidRPr="005667CD" w:rsidRDefault="00515FD4" w:rsidP="007008C0">
            <w:pPr>
              <w:pStyle w:val="HStandard"/>
              <w:spacing w:after="0" w:line="240" w:lineRule="auto"/>
              <w:jc w:val="center"/>
              <w:rPr>
                <w:sz w:val="16"/>
                <w:szCs w:val="18"/>
              </w:rPr>
            </w:pPr>
            <w:r w:rsidRPr="005667CD">
              <w:rPr>
                <w:sz w:val="16"/>
              </w:rPr>
              <w:t xml:space="preserve">Enfoques ascendentes que </w:t>
            </w:r>
            <w:r w:rsidR="005667CD" w:rsidRPr="005667CD">
              <w:rPr>
                <w:sz w:val="16"/>
              </w:rPr>
              <w:t>amplíen</w:t>
            </w:r>
            <w:r w:rsidRPr="005667CD">
              <w:rPr>
                <w:sz w:val="16"/>
              </w:rPr>
              <w:t xml:space="preserve"> las conclusiones a nivel micro </w:t>
            </w:r>
            <w:r w:rsidRPr="005667CD">
              <w:rPr>
                <w:sz w:val="16"/>
                <w:szCs w:val="18"/>
              </w:rPr>
              <w:br/>
            </w:r>
            <w:r w:rsidRPr="005667CD">
              <w:rPr>
                <w:sz w:val="16"/>
                <w:szCs w:val="18"/>
              </w:rPr>
              <w:br/>
            </w:r>
            <w:r w:rsidRPr="005667CD">
              <w:rPr>
                <w:sz w:val="16"/>
              </w:rPr>
              <w:t>Aplicación de un modelo sectorial</w:t>
            </w:r>
          </w:p>
        </w:tc>
        <w:tc>
          <w:tcPr>
            <w:tcW w:w="1701" w:type="dxa"/>
            <w:vMerge w:val="restart"/>
            <w:vAlign w:val="center"/>
            <w:hideMark/>
          </w:tcPr>
          <w:p w:rsidR="00515FD4" w:rsidRPr="005667CD" w:rsidRDefault="00515FD4" w:rsidP="007008C0">
            <w:pPr>
              <w:pStyle w:val="HStandard"/>
              <w:spacing w:after="0" w:line="240" w:lineRule="auto"/>
              <w:jc w:val="center"/>
              <w:rPr>
                <w:sz w:val="16"/>
                <w:szCs w:val="18"/>
              </w:rPr>
            </w:pPr>
            <w:r w:rsidRPr="005667CD">
              <w:rPr>
                <w:sz w:val="16"/>
              </w:rPr>
              <w:t>Diseño de regresión discontinua (DRD)</w:t>
            </w:r>
          </w:p>
        </w:tc>
        <w:tc>
          <w:tcPr>
            <w:tcW w:w="1701" w:type="dxa"/>
            <w:vMerge w:val="restart"/>
            <w:vAlign w:val="center"/>
            <w:hideMark/>
          </w:tcPr>
          <w:p w:rsidR="00515FD4" w:rsidRPr="005667CD" w:rsidRDefault="00515FD4" w:rsidP="007008C0">
            <w:pPr>
              <w:pStyle w:val="HStandard"/>
              <w:spacing w:after="0" w:line="240" w:lineRule="auto"/>
              <w:jc w:val="center"/>
              <w:rPr>
                <w:sz w:val="16"/>
                <w:szCs w:val="18"/>
              </w:rPr>
            </w:pPr>
            <w:r w:rsidRPr="005667CD">
              <w:rPr>
                <w:sz w:val="16"/>
              </w:rPr>
              <w:t xml:space="preserve">Enfoques ascendentes que </w:t>
            </w:r>
            <w:r w:rsidR="005667CD" w:rsidRPr="005667CD">
              <w:rPr>
                <w:sz w:val="16"/>
              </w:rPr>
              <w:t>amplíen</w:t>
            </w:r>
            <w:r w:rsidRPr="005667CD">
              <w:rPr>
                <w:sz w:val="16"/>
              </w:rPr>
              <w:t xml:space="preserve"> las conclusiones a nivel micro</w:t>
            </w:r>
          </w:p>
        </w:tc>
      </w:tr>
      <w:tr w:rsidR="00515FD4" w:rsidRPr="005667CD" w:rsidTr="004517DA">
        <w:trPr>
          <w:trHeight w:val="1406"/>
        </w:trPr>
        <w:tc>
          <w:tcPr>
            <w:tcW w:w="988" w:type="dxa"/>
            <w:tcBorders>
              <w:right w:val="nil"/>
            </w:tcBorders>
            <w:hideMark/>
          </w:tcPr>
          <w:p w:rsidR="00515FD4" w:rsidRPr="005667CD" w:rsidRDefault="008D4934" w:rsidP="008D4934">
            <w:pPr>
              <w:pStyle w:val="HStandard"/>
              <w:jc w:val="center"/>
              <w:rPr>
                <w:b/>
                <w:bCs/>
                <w:color w:val="BE4A35" w:themeColor="accent2"/>
              </w:rPr>
            </w:pPr>
            <w:r w:rsidRPr="005667CD">
              <w:rPr>
                <w:b/>
                <w:bCs/>
                <w:noProof/>
                <w:color w:val="BE4A35" w:themeColor="accent2"/>
                <w:lang w:bidi="ar-SA"/>
              </w:rPr>
              <w:drawing>
                <wp:anchor distT="0" distB="0" distL="114300" distR="114300" simplePos="0" relativeHeight="251727360" behindDoc="0" locked="0" layoutInCell="1" allowOverlap="1" wp14:anchorId="6769C1B0" wp14:editId="5F386CBB">
                  <wp:simplePos x="0" y="0"/>
                  <wp:positionH relativeFrom="column">
                    <wp:posOffset>31750</wp:posOffset>
                  </wp:positionH>
                  <wp:positionV relativeFrom="paragraph">
                    <wp:posOffset>215394</wp:posOffset>
                  </wp:positionV>
                  <wp:extent cx="489600" cy="489600"/>
                  <wp:effectExtent l="0" t="0" r="5715"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02.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sidRPr="005667CD">
              <w:rPr>
                <w:b/>
                <w:color w:val="BE4A35" w:themeColor="accent2"/>
              </w:rPr>
              <w:t>I.02</w:t>
            </w:r>
          </w:p>
        </w:tc>
        <w:tc>
          <w:tcPr>
            <w:tcW w:w="1417" w:type="dxa"/>
            <w:tcBorders>
              <w:left w:val="nil"/>
            </w:tcBorders>
            <w:vAlign w:val="center"/>
            <w:hideMark/>
          </w:tcPr>
          <w:p w:rsidR="00515FD4" w:rsidRPr="005667CD" w:rsidRDefault="00515FD4" w:rsidP="00670F92">
            <w:pPr>
              <w:pStyle w:val="HStandard"/>
              <w:spacing w:after="0"/>
              <w:jc w:val="left"/>
              <w:rPr>
                <w:b/>
                <w:color w:val="BE4A35" w:themeColor="accent2"/>
                <w:sz w:val="16"/>
                <w:szCs w:val="18"/>
              </w:rPr>
            </w:pPr>
            <w:r w:rsidRPr="005667CD">
              <w:rPr>
                <w:b/>
                <w:color w:val="BE4A35" w:themeColor="accent2"/>
                <w:sz w:val="16"/>
              </w:rPr>
              <w:t>Renta de los factores agrícolas</w:t>
            </w:r>
          </w:p>
        </w:tc>
        <w:tc>
          <w:tcPr>
            <w:tcW w:w="1701" w:type="dxa"/>
            <w:vMerge/>
            <w:hideMark/>
          </w:tcPr>
          <w:p w:rsidR="00515FD4" w:rsidRPr="005667CD" w:rsidRDefault="00515FD4" w:rsidP="007008C0">
            <w:pPr>
              <w:pStyle w:val="HStandard"/>
              <w:spacing w:line="240" w:lineRule="auto"/>
              <w:rPr>
                <w:sz w:val="16"/>
              </w:rPr>
            </w:pPr>
          </w:p>
        </w:tc>
        <w:tc>
          <w:tcPr>
            <w:tcW w:w="1701" w:type="dxa"/>
            <w:vMerge/>
            <w:hideMark/>
          </w:tcPr>
          <w:p w:rsidR="00515FD4" w:rsidRPr="005667CD" w:rsidRDefault="00515FD4" w:rsidP="007008C0">
            <w:pPr>
              <w:pStyle w:val="HStandard"/>
              <w:spacing w:line="240" w:lineRule="auto"/>
              <w:rPr>
                <w:sz w:val="16"/>
              </w:rPr>
            </w:pPr>
          </w:p>
        </w:tc>
        <w:tc>
          <w:tcPr>
            <w:tcW w:w="1701" w:type="dxa"/>
            <w:vMerge/>
            <w:hideMark/>
          </w:tcPr>
          <w:p w:rsidR="00515FD4" w:rsidRPr="005667CD" w:rsidRDefault="00515FD4" w:rsidP="007008C0">
            <w:pPr>
              <w:pStyle w:val="HStandard"/>
              <w:spacing w:line="240" w:lineRule="auto"/>
              <w:rPr>
                <w:sz w:val="16"/>
              </w:rPr>
            </w:pPr>
          </w:p>
        </w:tc>
        <w:tc>
          <w:tcPr>
            <w:tcW w:w="1701" w:type="dxa"/>
            <w:vMerge/>
            <w:hideMark/>
          </w:tcPr>
          <w:p w:rsidR="00515FD4" w:rsidRPr="005667CD" w:rsidRDefault="00515FD4" w:rsidP="007008C0">
            <w:pPr>
              <w:pStyle w:val="HStandard"/>
              <w:spacing w:line="240" w:lineRule="auto"/>
              <w:rPr>
                <w:sz w:val="16"/>
              </w:rPr>
            </w:pPr>
          </w:p>
        </w:tc>
      </w:tr>
      <w:tr w:rsidR="00515FD4" w:rsidRPr="005667CD" w:rsidTr="005F69E8">
        <w:trPr>
          <w:trHeight w:val="1163"/>
        </w:trPr>
        <w:tc>
          <w:tcPr>
            <w:tcW w:w="988" w:type="dxa"/>
            <w:tcBorders>
              <w:right w:val="nil"/>
            </w:tcBorders>
            <w:hideMark/>
          </w:tcPr>
          <w:p w:rsidR="00515FD4" w:rsidRPr="005667CD" w:rsidRDefault="00515FD4" w:rsidP="004A2D39">
            <w:pPr>
              <w:pStyle w:val="HStandard"/>
              <w:jc w:val="center"/>
              <w:rPr>
                <w:b/>
                <w:bCs/>
                <w:color w:val="BE4A35" w:themeColor="accent2"/>
              </w:rPr>
            </w:pPr>
            <w:r w:rsidRPr="005667CD">
              <w:rPr>
                <w:b/>
                <w:bCs/>
                <w:noProof/>
                <w:color w:val="BE4A35" w:themeColor="accent2"/>
                <w:lang w:bidi="ar-SA"/>
              </w:rPr>
              <w:drawing>
                <wp:anchor distT="0" distB="0" distL="114300" distR="114300" simplePos="0" relativeHeight="251712000" behindDoc="1" locked="0" layoutInCell="1" allowOverlap="1" wp14:anchorId="12B01C13" wp14:editId="0931CC17">
                  <wp:simplePos x="0" y="0"/>
                  <wp:positionH relativeFrom="column">
                    <wp:posOffset>63428</wp:posOffset>
                  </wp:positionH>
                  <wp:positionV relativeFrom="paragraph">
                    <wp:posOffset>215900</wp:posOffset>
                  </wp:positionV>
                  <wp:extent cx="489585" cy="489585"/>
                  <wp:effectExtent l="0" t="0" r="0" b="5715"/>
                  <wp:wrapTight wrapText="bothSides">
                    <wp:wrapPolygon edited="0">
                      <wp:start x="6724" y="0"/>
                      <wp:lineTo x="5043" y="2521"/>
                      <wp:lineTo x="2521" y="14288"/>
                      <wp:lineTo x="5883" y="21012"/>
                      <wp:lineTo x="15128" y="21012"/>
                      <wp:lineTo x="18490" y="12607"/>
                      <wp:lineTo x="15969" y="2521"/>
                      <wp:lineTo x="14288" y="0"/>
                      <wp:lineTo x="672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0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5667CD">
              <w:rPr>
                <w:b/>
                <w:color w:val="BE4A35" w:themeColor="accent2"/>
              </w:rPr>
              <w:t>I.03</w:t>
            </w:r>
          </w:p>
        </w:tc>
        <w:tc>
          <w:tcPr>
            <w:tcW w:w="1417" w:type="dxa"/>
            <w:tcBorders>
              <w:left w:val="nil"/>
            </w:tcBorders>
            <w:vAlign w:val="center"/>
            <w:hideMark/>
          </w:tcPr>
          <w:p w:rsidR="00515FD4" w:rsidRPr="005667CD" w:rsidRDefault="00515FD4" w:rsidP="00670F92">
            <w:pPr>
              <w:pStyle w:val="HStandard"/>
              <w:spacing w:after="0"/>
              <w:jc w:val="left"/>
              <w:rPr>
                <w:b/>
                <w:color w:val="BE4A35" w:themeColor="accent2"/>
                <w:sz w:val="16"/>
                <w:szCs w:val="18"/>
              </w:rPr>
            </w:pPr>
            <w:r w:rsidRPr="005667CD">
              <w:rPr>
                <w:b/>
                <w:color w:val="BE4A35" w:themeColor="accent2"/>
                <w:sz w:val="16"/>
              </w:rPr>
              <w:t>Productividad total de los factores en agricultura</w:t>
            </w:r>
          </w:p>
        </w:tc>
        <w:tc>
          <w:tcPr>
            <w:tcW w:w="1701" w:type="dxa"/>
            <w:vMerge/>
            <w:hideMark/>
          </w:tcPr>
          <w:p w:rsidR="00515FD4" w:rsidRPr="005667CD" w:rsidRDefault="00515FD4" w:rsidP="007008C0">
            <w:pPr>
              <w:pStyle w:val="HStandard"/>
              <w:spacing w:line="240" w:lineRule="auto"/>
              <w:rPr>
                <w:sz w:val="16"/>
              </w:rPr>
            </w:pPr>
          </w:p>
        </w:tc>
        <w:tc>
          <w:tcPr>
            <w:tcW w:w="1701" w:type="dxa"/>
            <w:vMerge/>
            <w:hideMark/>
          </w:tcPr>
          <w:p w:rsidR="00515FD4" w:rsidRPr="005667CD" w:rsidRDefault="00515FD4" w:rsidP="007008C0">
            <w:pPr>
              <w:pStyle w:val="HStandard"/>
              <w:spacing w:line="240" w:lineRule="auto"/>
              <w:rPr>
                <w:sz w:val="16"/>
              </w:rPr>
            </w:pPr>
          </w:p>
        </w:tc>
        <w:tc>
          <w:tcPr>
            <w:tcW w:w="1701" w:type="dxa"/>
            <w:vMerge/>
            <w:hideMark/>
          </w:tcPr>
          <w:p w:rsidR="00515FD4" w:rsidRPr="005667CD" w:rsidRDefault="00515FD4" w:rsidP="007008C0">
            <w:pPr>
              <w:pStyle w:val="HStandard"/>
              <w:spacing w:line="240" w:lineRule="auto"/>
              <w:rPr>
                <w:sz w:val="16"/>
              </w:rPr>
            </w:pPr>
          </w:p>
        </w:tc>
        <w:tc>
          <w:tcPr>
            <w:tcW w:w="1701" w:type="dxa"/>
            <w:vMerge/>
            <w:hideMark/>
          </w:tcPr>
          <w:p w:rsidR="00515FD4" w:rsidRPr="005667CD" w:rsidRDefault="00515FD4" w:rsidP="007008C0">
            <w:pPr>
              <w:pStyle w:val="HStandard"/>
              <w:spacing w:line="240" w:lineRule="auto"/>
              <w:rPr>
                <w:sz w:val="16"/>
              </w:rPr>
            </w:pPr>
          </w:p>
        </w:tc>
      </w:tr>
      <w:tr w:rsidR="00515FD4" w:rsidRPr="005667CD" w:rsidTr="00670F92">
        <w:trPr>
          <w:trHeight w:val="255"/>
        </w:trPr>
        <w:tc>
          <w:tcPr>
            <w:tcW w:w="9209" w:type="dxa"/>
            <w:gridSpan w:val="6"/>
            <w:shd w:val="clear" w:color="auto" w:fill="57825E" w:themeFill="accent4"/>
            <w:hideMark/>
          </w:tcPr>
          <w:p w:rsidR="00515FD4" w:rsidRPr="005667CD" w:rsidRDefault="00515FD4" w:rsidP="007008C0">
            <w:pPr>
              <w:pStyle w:val="HStandard"/>
              <w:spacing w:line="240" w:lineRule="auto"/>
              <w:rPr>
                <w:bCs/>
                <w:color w:val="FFFFFF" w:themeColor="background1"/>
                <w:sz w:val="16"/>
              </w:rPr>
            </w:pPr>
            <w:r w:rsidRPr="005667CD">
              <w:rPr>
                <w:color w:val="FFFFFF" w:themeColor="background1"/>
                <w:sz w:val="16"/>
              </w:rPr>
              <w:t>Impacto medioambiental</w:t>
            </w:r>
          </w:p>
        </w:tc>
      </w:tr>
      <w:tr w:rsidR="00515FD4" w:rsidRPr="005667CD" w:rsidTr="005F69E8">
        <w:trPr>
          <w:trHeight w:val="1068"/>
        </w:trPr>
        <w:tc>
          <w:tcPr>
            <w:tcW w:w="988" w:type="dxa"/>
            <w:tcBorders>
              <w:right w:val="nil"/>
            </w:tcBorders>
            <w:hideMark/>
          </w:tcPr>
          <w:p w:rsidR="00515FD4" w:rsidRPr="005667CD" w:rsidRDefault="00515FD4" w:rsidP="000F570B">
            <w:pPr>
              <w:pStyle w:val="HStandard"/>
              <w:jc w:val="center"/>
              <w:rPr>
                <w:b/>
                <w:bCs/>
                <w:color w:val="57825E" w:themeColor="accent4"/>
              </w:rPr>
            </w:pPr>
            <w:r w:rsidRPr="005667CD">
              <w:rPr>
                <w:b/>
                <w:bCs/>
                <w:noProof/>
                <w:color w:val="57825E" w:themeColor="accent4"/>
                <w:lang w:bidi="ar-SA"/>
              </w:rPr>
              <w:drawing>
                <wp:anchor distT="0" distB="0" distL="114300" distR="114300" simplePos="0" relativeHeight="251714048" behindDoc="1" locked="0" layoutInCell="1" allowOverlap="1" wp14:anchorId="566F30E5" wp14:editId="02B3B748">
                  <wp:simplePos x="0" y="0"/>
                  <wp:positionH relativeFrom="column">
                    <wp:posOffset>63572</wp:posOffset>
                  </wp:positionH>
                  <wp:positionV relativeFrom="paragraph">
                    <wp:posOffset>202983</wp:posOffset>
                  </wp:positionV>
                  <wp:extent cx="489585" cy="489585"/>
                  <wp:effectExtent l="0" t="0" r="5715" b="0"/>
                  <wp:wrapTight wrapText="bothSides">
                    <wp:wrapPolygon edited="0">
                      <wp:start x="10086" y="1681"/>
                      <wp:lineTo x="0" y="10926"/>
                      <wp:lineTo x="0" y="19331"/>
                      <wp:lineTo x="21012" y="19331"/>
                      <wp:lineTo x="21012" y="9245"/>
                      <wp:lineTo x="17650" y="1681"/>
                      <wp:lineTo x="10086" y="168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07.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5667CD">
              <w:rPr>
                <w:b/>
                <w:color w:val="57825E" w:themeColor="accent4"/>
              </w:rPr>
              <w:t>I.07</w:t>
            </w:r>
          </w:p>
        </w:tc>
        <w:tc>
          <w:tcPr>
            <w:tcW w:w="1417" w:type="dxa"/>
            <w:tcBorders>
              <w:left w:val="nil"/>
            </w:tcBorders>
            <w:vAlign w:val="center"/>
            <w:hideMark/>
          </w:tcPr>
          <w:p w:rsidR="00515FD4" w:rsidRPr="005667CD" w:rsidRDefault="00515FD4" w:rsidP="00670F92">
            <w:pPr>
              <w:pStyle w:val="HStandard"/>
              <w:jc w:val="left"/>
              <w:rPr>
                <w:rFonts w:cs="Arial"/>
                <w:b/>
                <w:color w:val="57825E" w:themeColor="accent4"/>
                <w:sz w:val="16"/>
                <w:szCs w:val="18"/>
              </w:rPr>
            </w:pPr>
            <w:r w:rsidRPr="005667CD">
              <w:rPr>
                <w:b/>
                <w:color w:val="57825E" w:themeColor="accent4"/>
                <w:sz w:val="16"/>
              </w:rPr>
              <w:t xml:space="preserve">Emisiones procedentes de la agricultura </w:t>
            </w:r>
          </w:p>
        </w:tc>
        <w:tc>
          <w:tcPr>
            <w:tcW w:w="1701" w:type="dxa"/>
            <w:vAlign w:val="center"/>
            <w:hideMark/>
          </w:tcPr>
          <w:p w:rsidR="00515FD4" w:rsidRPr="005667CD" w:rsidRDefault="00BB68D4" w:rsidP="007008C0">
            <w:pPr>
              <w:pStyle w:val="HStandard"/>
              <w:spacing w:line="240" w:lineRule="auto"/>
              <w:jc w:val="center"/>
              <w:rPr>
                <w:rFonts w:cs="Arial"/>
                <w:sz w:val="16"/>
                <w:szCs w:val="18"/>
              </w:rPr>
            </w:pPr>
            <w:r w:rsidRPr="005667CD">
              <w:rPr>
                <w:sz w:val="16"/>
              </w:rPr>
              <w:t>Técnicas de regresión y correlación</w:t>
            </w:r>
          </w:p>
        </w:tc>
        <w:tc>
          <w:tcPr>
            <w:tcW w:w="1701" w:type="dxa"/>
            <w:vAlign w:val="center"/>
            <w:hideMark/>
          </w:tcPr>
          <w:p w:rsidR="00515FD4" w:rsidRPr="005667CD" w:rsidRDefault="00515FD4" w:rsidP="007008C0">
            <w:pPr>
              <w:pStyle w:val="HStandard"/>
              <w:spacing w:line="240" w:lineRule="auto"/>
              <w:jc w:val="center"/>
              <w:rPr>
                <w:rFonts w:cs="Arial"/>
                <w:sz w:val="16"/>
                <w:szCs w:val="18"/>
              </w:rPr>
            </w:pPr>
            <w:r w:rsidRPr="005667CD">
              <w:rPr>
                <w:sz w:val="16"/>
              </w:rPr>
              <w:t>Emparejamiento general de puntuaciones de propensión (EGPP) utilizando datos de nivel NUTS 3 u otros datos espaciales</w:t>
            </w:r>
          </w:p>
        </w:tc>
        <w:tc>
          <w:tcPr>
            <w:tcW w:w="1701" w:type="dxa"/>
            <w:vAlign w:val="center"/>
            <w:hideMark/>
          </w:tcPr>
          <w:p w:rsidR="00515FD4" w:rsidRPr="005667CD" w:rsidRDefault="00515FD4" w:rsidP="007008C0">
            <w:pPr>
              <w:pStyle w:val="HStandard"/>
              <w:spacing w:line="240" w:lineRule="auto"/>
              <w:jc w:val="center"/>
              <w:rPr>
                <w:rFonts w:cs="Arial"/>
                <w:sz w:val="16"/>
                <w:szCs w:val="18"/>
              </w:rPr>
            </w:pPr>
            <w:r w:rsidRPr="005667CD">
              <w:rPr>
                <w:sz w:val="16"/>
              </w:rPr>
              <w:t>Ninguna</w:t>
            </w:r>
          </w:p>
        </w:tc>
        <w:tc>
          <w:tcPr>
            <w:tcW w:w="1701" w:type="dxa"/>
            <w:vAlign w:val="center"/>
            <w:hideMark/>
          </w:tcPr>
          <w:p w:rsidR="00515FD4" w:rsidRPr="005667CD" w:rsidRDefault="00515FD4" w:rsidP="007008C0">
            <w:pPr>
              <w:pStyle w:val="HStandard"/>
              <w:spacing w:line="240" w:lineRule="auto"/>
              <w:jc w:val="center"/>
              <w:rPr>
                <w:rFonts w:cs="Arial"/>
                <w:sz w:val="16"/>
                <w:szCs w:val="18"/>
              </w:rPr>
            </w:pPr>
            <w:r w:rsidRPr="005667CD">
              <w:rPr>
                <w:sz w:val="16"/>
              </w:rPr>
              <w:t>Comparaciones de referencia creíbles (incluidos métodos cualitativos)</w:t>
            </w:r>
          </w:p>
        </w:tc>
      </w:tr>
      <w:tr w:rsidR="00515FD4" w:rsidRPr="005667CD" w:rsidTr="005F69E8">
        <w:trPr>
          <w:trHeight w:val="630"/>
        </w:trPr>
        <w:tc>
          <w:tcPr>
            <w:tcW w:w="988" w:type="dxa"/>
            <w:tcBorders>
              <w:right w:val="nil"/>
            </w:tcBorders>
            <w:hideMark/>
          </w:tcPr>
          <w:p w:rsidR="00515FD4" w:rsidRPr="005667CD" w:rsidRDefault="008D4934" w:rsidP="000F570B">
            <w:pPr>
              <w:pStyle w:val="HStandard"/>
              <w:jc w:val="center"/>
              <w:rPr>
                <w:b/>
                <w:bCs/>
                <w:color w:val="57825E" w:themeColor="accent4"/>
              </w:rPr>
            </w:pPr>
            <w:r w:rsidRPr="005667CD">
              <w:rPr>
                <w:b/>
                <w:bCs/>
                <w:noProof/>
                <w:color w:val="57825E" w:themeColor="accent4"/>
                <w:lang w:bidi="ar-SA"/>
              </w:rPr>
              <w:drawing>
                <wp:anchor distT="0" distB="0" distL="114300" distR="114300" simplePos="0" relativeHeight="251710976" behindDoc="1" locked="0" layoutInCell="1" allowOverlap="1" wp14:anchorId="438B02D3" wp14:editId="46F81EF0">
                  <wp:simplePos x="0" y="0"/>
                  <wp:positionH relativeFrom="column">
                    <wp:posOffset>34290</wp:posOffset>
                  </wp:positionH>
                  <wp:positionV relativeFrom="paragraph">
                    <wp:posOffset>215136</wp:posOffset>
                  </wp:positionV>
                  <wp:extent cx="489585" cy="489585"/>
                  <wp:effectExtent l="0" t="0" r="5715" b="5715"/>
                  <wp:wrapTight wrapText="bothSides">
                    <wp:wrapPolygon edited="0">
                      <wp:start x="14288" y="0"/>
                      <wp:lineTo x="0" y="5883"/>
                      <wp:lineTo x="0" y="8405"/>
                      <wp:lineTo x="8405" y="13447"/>
                      <wp:lineTo x="13447" y="21012"/>
                      <wp:lineTo x="14288" y="21012"/>
                      <wp:lineTo x="18490" y="21012"/>
                      <wp:lineTo x="15969" y="13447"/>
                      <wp:lineTo x="21012" y="3362"/>
                      <wp:lineTo x="21012" y="0"/>
                      <wp:lineTo x="18490" y="0"/>
                      <wp:lineTo x="1428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08.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5667CD">
              <w:rPr>
                <w:b/>
                <w:color w:val="57825E" w:themeColor="accent4"/>
              </w:rPr>
              <w:t>I.08</w:t>
            </w:r>
          </w:p>
        </w:tc>
        <w:tc>
          <w:tcPr>
            <w:tcW w:w="1417" w:type="dxa"/>
            <w:tcBorders>
              <w:left w:val="nil"/>
            </w:tcBorders>
            <w:vAlign w:val="center"/>
            <w:hideMark/>
          </w:tcPr>
          <w:p w:rsidR="00515FD4" w:rsidRPr="005667CD" w:rsidRDefault="00515FD4" w:rsidP="00670F92">
            <w:pPr>
              <w:pStyle w:val="HStandard"/>
              <w:jc w:val="left"/>
              <w:rPr>
                <w:rFonts w:cs="Arial"/>
                <w:b/>
                <w:color w:val="57825E" w:themeColor="accent4"/>
                <w:sz w:val="16"/>
                <w:szCs w:val="18"/>
              </w:rPr>
            </w:pPr>
            <w:r w:rsidRPr="005667CD">
              <w:rPr>
                <w:b/>
                <w:color w:val="57825E" w:themeColor="accent4"/>
                <w:sz w:val="16"/>
              </w:rPr>
              <w:t>Índice de aves agrarias</w:t>
            </w:r>
          </w:p>
        </w:tc>
        <w:tc>
          <w:tcPr>
            <w:tcW w:w="1701" w:type="dxa"/>
            <w:vMerge w:val="restart"/>
            <w:vAlign w:val="center"/>
            <w:hideMark/>
          </w:tcPr>
          <w:p w:rsidR="00515FD4" w:rsidRPr="005667CD" w:rsidRDefault="00515FD4" w:rsidP="007008C0">
            <w:pPr>
              <w:pStyle w:val="HStandard"/>
              <w:spacing w:line="240" w:lineRule="auto"/>
              <w:jc w:val="center"/>
              <w:rPr>
                <w:rFonts w:cs="Arial"/>
                <w:sz w:val="16"/>
                <w:szCs w:val="18"/>
              </w:rPr>
            </w:pPr>
            <w:r w:rsidRPr="005667CD">
              <w:rPr>
                <w:sz w:val="16"/>
              </w:rPr>
              <w:t>Emparejamiento de puntuaciones de propensión (EPP) y diferencias en diferencias (DID)</w:t>
            </w:r>
          </w:p>
        </w:tc>
        <w:tc>
          <w:tcPr>
            <w:tcW w:w="1701" w:type="dxa"/>
            <w:vMerge w:val="restart"/>
            <w:vAlign w:val="center"/>
            <w:hideMark/>
          </w:tcPr>
          <w:p w:rsidR="00515FD4" w:rsidRPr="005667CD" w:rsidRDefault="00515FD4" w:rsidP="007008C0">
            <w:pPr>
              <w:pStyle w:val="HStandard"/>
              <w:spacing w:line="240" w:lineRule="auto"/>
              <w:jc w:val="center"/>
              <w:rPr>
                <w:rFonts w:cs="Arial"/>
                <w:sz w:val="16"/>
                <w:szCs w:val="18"/>
              </w:rPr>
            </w:pPr>
            <w:r w:rsidRPr="005667CD">
              <w:rPr>
                <w:sz w:val="16"/>
              </w:rPr>
              <w:t>Emparejamiento de puntuaciones de propensión (EPP) y diferencias en diferencias (DID)</w:t>
            </w:r>
          </w:p>
          <w:p w:rsidR="00515FD4" w:rsidRPr="005667CD" w:rsidRDefault="00515FD4" w:rsidP="007008C0">
            <w:pPr>
              <w:pStyle w:val="HStandard"/>
              <w:spacing w:line="240" w:lineRule="auto"/>
              <w:jc w:val="center"/>
              <w:rPr>
                <w:rFonts w:cs="Arial"/>
                <w:sz w:val="16"/>
                <w:szCs w:val="18"/>
              </w:rPr>
            </w:pPr>
            <w:r w:rsidRPr="005667CD">
              <w:rPr>
                <w:sz w:val="16"/>
              </w:rPr>
              <w:t>Modelos econométricos espaciales en zonas biogeográficas</w:t>
            </w:r>
          </w:p>
        </w:tc>
        <w:tc>
          <w:tcPr>
            <w:tcW w:w="1701" w:type="dxa"/>
            <w:vMerge w:val="restart"/>
            <w:vAlign w:val="center"/>
            <w:hideMark/>
          </w:tcPr>
          <w:p w:rsidR="00515FD4" w:rsidRPr="005667CD" w:rsidRDefault="00515FD4" w:rsidP="007008C0">
            <w:pPr>
              <w:pStyle w:val="HStandard"/>
              <w:spacing w:line="240" w:lineRule="auto"/>
              <w:jc w:val="center"/>
              <w:rPr>
                <w:rFonts w:cs="Arial"/>
                <w:sz w:val="16"/>
                <w:szCs w:val="18"/>
              </w:rPr>
            </w:pPr>
            <w:r w:rsidRPr="005667CD">
              <w:rPr>
                <w:sz w:val="16"/>
              </w:rPr>
              <w:t xml:space="preserve">Análisis estadístico de comparaciones de pares </w:t>
            </w:r>
            <w:r w:rsidRPr="005667CD">
              <w:rPr>
                <w:i/>
                <w:sz w:val="16"/>
              </w:rPr>
              <w:t>ad hoc</w:t>
            </w:r>
            <w:r w:rsidRPr="005667CD">
              <w:rPr>
                <w:sz w:val="16"/>
              </w:rPr>
              <w:t xml:space="preserve"> o de grupos de comparación múltiple utilizando el método DID acompañado de valoraciones cualitativas</w:t>
            </w:r>
          </w:p>
        </w:tc>
        <w:tc>
          <w:tcPr>
            <w:tcW w:w="1701" w:type="dxa"/>
            <w:vMerge w:val="restart"/>
            <w:vAlign w:val="center"/>
            <w:hideMark/>
          </w:tcPr>
          <w:p w:rsidR="00515FD4" w:rsidRPr="005667CD" w:rsidRDefault="00515FD4" w:rsidP="007008C0">
            <w:pPr>
              <w:pStyle w:val="HStandard"/>
              <w:spacing w:line="240" w:lineRule="auto"/>
              <w:jc w:val="center"/>
              <w:rPr>
                <w:rFonts w:cs="Arial"/>
                <w:sz w:val="16"/>
                <w:szCs w:val="18"/>
              </w:rPr>
            </w:pPr>
            <w:r w:rsidRPr="005667CD">
              <w:rPr>
                <w:sz w:val="16"/>
              </w:rPr>
              <w:t xml:space="preserve">Enfoques ascendentes que </w:t>
            </w:r>
            <w:r w:rsidR="005667CD" w:rsidRPr="005667CD">
              <w:rPr>
                <w:sz w:val="16"/>
              </w:rPr>
              <w:t>amplíen</w:t>
            </w:r>
            <w:r w:rsidRPr="005667CD">
              <w:rPr>
                <w:sz w:val="16"/>
              </w:rPr>
              <w:t xml:space="preserve"> las conclusiones a nivel micro acompañados de valoraciones cualitativas</w:t>
            </w:r>
          </w:p>
        </w:tc>
      </w:tr>
      <w:tr w:rsidR="00515FD4" w:rsidRPr="005667CD" w:rsidTr="004517DA">
        <w:trPr>
          <w:trHeight w:val="1010"/>
        </w:trPr>
        <w:tc>
          <w:tcPr>
            <w:tcW w:w="988" w:type="dxa"/>
            <w:tcBorders>
              <w:right w:val="nil"/>
            </w:tcBorders>
            <w:hideMark/>
          </w:tcPr>
          <w:p w:rsidR="00515FD4" w:rsidRPr="005667CD" w:rsidRDefault="00515FD4" w:rsidP="004A2D39">
            <w:pPr>
              <w:pStyle w:val="HStandard"/>
              <w:jc w:val="center"/>
              <w:rPr>
                <w:b/>
                <w:bCs/>
                <w:color w:val="57825E" w:themeColor="accent4"/>
              </w:rPr>
            </w:pPr>
            <w:r w:rsidRPr="005667CD">
              <w:rPr>
                <w:b/>
                <w:bCs/>
                <w:noProof/>
                <w:color w:val="57825E" w:themeColor="accent4"/>
                <w:lang w:bidi="ar-SA"/>
              </w:rPr>
              <w:drawing>
                <wp:anchor distT="0" distB="0" distL="114300" distR="114300" simplePos="0" relativeHeight="251709952" behindDoc="1" locked="0" layoutInCell="1" allowOverlap="1" wp14:anchorId="37C7B634" wp14:editId="03A5BAA4">
                  <wp:simplePos x="0" y="0"/>
                  <wp:positionH relativeFrom="column">
                    <wp:posOffset>63500</wp:posOffset>
                  </wp:positionH>
                  <wp:positionV relativeFrom="paragraph">
                    <wp:posOffset>183627</wp:posOffset>
                  </wp:positionV>
                  <wp:extent cx="489585" cy="489585"/>
                  <wp:effectExtent l="0" t="0" r="5715" b="5715"/>
                  <wp:wrapTight wrapText="bothSides">
                    <wp:wrapPolygon edited="0">
                      <wp:start x="840" y="0"/>
                      <wp:lineTo x="0" y="5043"/>
                      <wp:lineTo x="0" y="18490"/>
                      <wp:lineTo x="14288" y="21012"/>
                      <wp:lineTo x="17650" y="21012"/>
                      <wp:lineTo x="21012" y="15969"/>
                      <wp:lineTo x="21012" y="1681"/>
                      <wp:lineTo x="6724" y="0"/>
                      <wp:lineTo x="84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09.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5667CD">
              <w:rPr>
                <w:b/>
                <w:color w:val="57825E" w:themeColor="accent4"/>
              </w:rPr>
              <w:t>I.09</w:t>
            </w:r>
          </w:p>
        </w:tc>
        <w:tc>
          <w:tcPr>
            <w:tcW w:w="1417" w:type="dxa"/>
            <w:tcBorders>
              <w:left w:val="nil"/>
            </w:tcBorders>
            <w:vAlign w:val="center"/>
            <w:hideMark/>
          </w:tcPr>
          <w:p w:rsidR="00515FD4" w:rsidRPr="005667CD" w:rsidRDefault="00515FD4" w:rsidP="00670F92">
            <w:pPr>
              <w:pStyle w:val="HStandard"/>
              <w:jc w:val="left"/>
              <w:rPr>
                <w:rFonts w:cs="Arial"/>
                <w:b/>
                <w:color w:val="57825E" w:themeColor="accent4"/>
                <w:sz w:val="16"/>
                <w:szCs w:val="18"/>
              </w:rPr>
            </w:pPr>
            <w:r w:rsidRPr="005667CD">
              <w:rPr>
                <w:b/>
                <w:color w:val="57825E" w:themeColor="accent4"/>
                <w:sz w:val="16"/>
              </w:rPr>
              <w:t>Agricultura con un elevado valor natural</w:t>
            </w:r>
          </w:p>
        </w:tc>
        <w:tc>
          <w:tcPr>
            <w:tcW w:w="1701" w:type="dxa"/>
            <w:vMerge/>
            <w:vAlign w:val="center"/>
            <w:hideMark/>
          </w:tcPr>
          <w:p w:rsidR="00515FD4" w:rsidRPr="005667CD" w:rsidRDefault="00515FD4" w:rsidP="007008C0">
            <w:pPr>
              <w:pStyle w:val="HStandard"/>
              <w:spacing w:line="240" w:lineRule="auto"/>
              <w:jc w:val="center"/>
              <w:rPr>
                <w:rFonts w:cs="Arial"/>
                <w:sz w:val="16"/>
                <w:szCs w:val="18"/>
              </w:rPr>
            </w:pPr>
          </w:p>
        </w:tc>
        <w:tc>
          <w:tcPr>
            <w:tcW w:w="1701" w:type="dxa"/>
            <w:vMerge/>
            <w:vAlign w:val="center"/>
            <w:hideMark/>
          </w:tcPr>
          <w:p w:rsidR="00515FD4" w:rsidRPr="005667CD" w:rsidRDefault="00515FD4" w:rsidP="007008C0">
            <w:pPr>
              <w:pStyle w:val="HStandard"/>
              <w:spacing w:line="240" w:lineRule="auto"/>
              <w:jc w:val="center"/>
              <w:rPr>
                <w:rFonts w:cs="Arial"/>
                <w:sz w:val="16"/>
                <w:szCs w:val="18"/>
              </w:rPr>
            </w:pPr>
          </w:p>
        </w:tc>
        <w:tc>
          <w:tcPr>
            <w:tcW w:w="1701" w:type="dxa"/>
            <w:vMerge/>
            <w:vAlign w:val="center"/>
            <w:hideMark/>
          </w:tcPr>
          <w:p w:rsidR="00515FD4" w:rsidRPr="005667CD" w:rsidRDefault="00515FD4" w:rsidP="007008C0">
            <w:pPr>
              <w:pStyle w:val="HStandard"/>
              <w:spacing w:line="240" w:lineRule="auto"/>
              <w:jc w:val="center"/>
              <w:rPr>
                <w:rFonts w:cs="Arial"/>
                <w:sz w:val="16"/>
                <w:szCs w:val="18"/>
              </w:rPr>
            </w:pPr>
          </w:p>
        </w:tc>
        <w:tc>
          <w:tcPr>
            <w:tcW w:w="1701" w:type="dxa"/>
            <w:vMerge/>
            <w:vAlign w:val="center"/>
            <w:hideMark/>
          </w:tcPr>
          <w:p w:rsidR="00515FD4" w:rsidRPr="005667CD" w:rsidRDefault="00515FD4" w:rsidP="007008C0">
            <w:pPr>
              <w:pStyle w:val="HStandard"/>
              <w:spacing w:line="240" w:lineRule="auto"/>
              <w:jc w:val="center"/>
              <w:rPr>
                <w:rFonts w:cs="Arial"/>
                <w:sz w:val="16"/>
                <w:szCs w:val="18"/>
              </w:rPr>
            </w:pPr>
          </w:p>
        </w:tc>
      </w:tr>
      <w:tr w:rsidR="00273775" w:rsidRPr="005667CD" w:rsidTr="005F69E8">
        <w:trPr>
          <w:trHeight w:val="1082"/>
        </w:trPr>
        <w:tc>
          <w:tcPr>
            <w:tcW w:w="988" w:type="dxa"/>
            <w:tcBorders>
              <w:right w:val="nil"/>
            </w:tcBorders>
            <w:hideMark/>
          </w:tcPr>
          <w:p w:rsidR="00273775" w:rsidRPr="005667CD" w:rsidRDefault="00273775" w:rsidP="000F570B">
            <w:pPr>
              <w:pStyle w:val="HStandard"/>
              <w:jc w:val="center"/>
              <w:rPr>
                <w:b/>
                <w:bCs/>
                <w:color w:val="57825E" w:themeColor="accent4"/>
              </w:rPr>
            </w:pPr>
            <w:r w:rsidRPr="005667CD">
              <w:rPr>
                <w:b/>
                <w:bCs/>
                <w:noProof/>
                <w:color w:val="57825E" w:themeColor="accent4"/>
                <w:lang w:bidi="ar-SA"/>
              </w:rPr>
              <w:drawing>
                <wp:anchor distT="0" distB="0" distL="114300" distR="114300" simplePos="0" relativeHeight="251722240" behindDoc="1" locked="0" layoutInCell="1" allowOverlap="1" wp14:anchorId="07F5DF94" wp14:editId="7E8ED481">
                  <wp:simplePos x="0" y="0"/>
                  <wp:positionH relativeFrom="column">
                    <wp:posOffset>63572</wp:posOffset>
                  </wp:positionH>
                  <wp:positionV relativeFrom="paragraph">
                    <wp:posOffset>208481</wp:posOffset>
                  </wp:positionV>
                  <wp:extent cx="489585" cy="489585"/>
                  <wp:effectExtent l="0" t="0" r="5715" b="5715"/>
                  <wp:wrapTight wrapText="bothSides">
                    <wp:wrapPolygon edited="0">
                      <wp:start x="6724" y="0"/>
                      <wp:lineTo x="0" y="3362"/>
                      <wp:lineTo x="0" y="14288"/>
                      <wp:lineTo x="13447" y="21012"/>
                      <wp:lineTo x="14288" y="21012"/>
                      <wp:lineTo x="21012" y="21012"/>
                      <wp:lineTo x="21012" y="13447"/>
                      <wp:lineTo x="20171" y="7564"/>
                      <wp:lineTo x="15128" y="0"/>
                      <wp:lineTo x="6724" y="0"/>
                    </wp:wrapPolygon>
                  </wp:wrapTight>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10.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5667CD">
              <w:rPr>
                <w:b/>
                <w:color w:val="57825E" w:themeColor="accent4"/>
              </w:rPr>
              <w:t>I.10</w:t>
            </w:r>
          </w:p>
        </w:tc>
        <w:tc>
          <w:tcPr>
            <w:tcW w:w="1417" w:type="dxa"/>
            <w:tcBorders>
              <w:left w:val="nil"/>
            </w:tcBorders>
            <w:vAlign w:val="center"/>
            <w:hideMark/>
          </w:tcPr>
          <w:p w:rsidR="00273775" w:rsidRPr="005667CD" w:rsidRDefault="00273775" w:rsidP="00670F92">
            <w:pPr>
              <w:pStyle w:val="HStandard"/>
              <w:jc w:val="left"/>
              <w:rPr>
                <w:rFonts w:cs="Arial"/>
                <w:b/>
                <w:color w:val="57825E" w:themeColor="accent4"/>
                <w:sz w:val="16"/>
                <w:szCs w:val="18"/>
              </w:rPr>
            </w:pPr>
            <w:r w:rsidRPr="005667CD">
              <w:rPr>
                <w:b/>
                <w:color w:val="57825E" w:themeColor="accent4"/>
                <w:sz w:val="16"/>
              </w:rPr>
              <w:t xml:space="preserve">Captación de aguas en la agricultura </w:t>
            </w:r>
          </w:p>
        </w:tc>
        <w:tc>
          <w:tcPr>
            <w:tcW w:w="1701" w:type="dxa"/>
            <w:vMerge w:val="restart"/>
            <w:vAlign w:val="center"/>
            <w:hideMark/>
          </w:tcPr>
          <w:p w:rsidR="00273775" w:rsidRPr="005667CD" w:rsidRDefault="00273775" w:rsidP="007008C0">
            <w:pPr>
              <w:pStyle w:val="HStandard"/>
              <w:spacing w:line="240" w:lineRule="auto"/>
              <w:jc w:val="center"/>
              <w:rPr>
                <w:rFonts w:cs="Arial"/>
                <w:sz w:val="16"/>
                <w:szCs w:val="18"/>
              </w:rPr>
            </w:pPr>
            <w:r w:rsidRPr="005667CD">
              <w:rPr>
                <w:sz w:val="16"/>
              </w:rPr>
              <w:t>Técnicas de regresión y correlación para I.10, I.11-1, y, en función de la disponibilidad de datos, para I.11-2</w:t>
            </w:r>
            <w:r w:rsidRPr="005667CD">
              <w:rPr>
                <w:rFonts w:cs="Arial"/>
                <w:sz w:val="16"/>
                <w:szCs w:val="18"/>
              </w:rPr>
              <w:br/>
            </w:r>
            <w:r w:rsidRPr="005667CD">
              <w:rPr>
                <w:sz w:val="16"/>
              </w:rPr>
              <w:t>Simulación de un «estudio de caso» de una demarcación hidrográfica o de su subunidad únicamente para I.11-2</w:t>
            </w:r>
          </w:p>
        </w:tc>
        <w:tc>
          <w:tcPr>
            <w:tcW w:w="1701" w:type="dxa"/>
            <w:vMerge w:val="restart"/>
            <w:vAlign w:val="center"/>
            <w:hideMark/>
          </w:tcPr>
          <w:p w:rsidR="00273775" w:rsidRPr="005667CD" w:rsidRDefault="00273775" w:rsidP="007008C0">
            <w:pPr>
              <w:pStyle w:val="HStandard"/>
              <w:spacing w:line="240" w:lineRule="auto"/>
              <w:jc w:val="center"/>
              <w:rPr>
                <w:rFonts w:cs="Arial"/>
                <w:sz w:val="16"/>
                <w:szCs w:val="18"/>
              </w:rPr>
            </w:pPr>
            <w:r w:rsidRPr="005667CD">
              <w:rPr>
                <w:sz w:val="16"/>
              </w:rPr>
              <w:t xml:space="preserve">Emparejamiento general de puntuaciones de propensión (EGPP) </w:t>
            </w:r>
            <w:r w:rsidRPr="005667CD">
              <w:rPr>
                <w:rFonts w:cs="Arial"/>
                <w:sz w:val="16"/>
                <w:szCs w:val="18"/>
              </w:rPr>
              <w:br/>
            </w:r>
            <w:r w:rsidRPr="005667CD">
              <w:rPr>
                <w:rFonts w:cs="Arial"/>
                <w:sz w:val="16"/>
                <w:szCs w:val="18"/>
              </w:rPr>
              <w:br/>
            </w:r>
            <w:r w:rsidRPr="005667CD">
              <w:rPr>
                <w:sz w:val="16"/>
              </w:rPr>
              <w:t>Métodos de econometría espacial</w:t>
            </w:r>
          </w:p>
        </w:tc>
        <w:tc>
          <w:tcPr>
            <w:tcW w:w="1701" w:type="dxa"/>
            <w:vMerge w:val="restart"/>
            <w:vAlign w:val="center"/>
            <w:hideMark/>
          </w:tcPr>
          <w:p w:rsidR="00273775" w:rsidRPr="005667CD" w:rsidRDefault="00B9614C" w:rsidP="007008C0">
            <w:pPr>
              <w:pStyle w:val="HStandard"/>
              <w:spacing w:line="240" w:lineRule="auto"/>
              <w:jc w:val="center"/>
              <w:rPr>
                <w:rFonts w:cs="Arial"/>
                <w:sz w:val="16"/>
                <w:szCs w:val="18"/>
              </w:rPr>
            </w:pPr>
            <w:r w:rsidRPr="005667CD">
              <w:rPr>
                <w:sz w:val="16"/>
              </w:rPr>
              <w:t>Métodos cualitativos</w:t>
            </w:r>
          </w:p>
        </w:tc>
        <w:tc>
          <w:tcPr>
            <w:tcW w:w="1701" w:type="dxa"/>
            <w:vMerge w:val="restart"/>
            <w:vAlign w:val="center"/>
          </w:tcPr>
          <w:p w:rsidR="00273775" w:rsidRPr="005667CD" w:rsidRDefault="001043CE" w:rsidP="007008C0">
            <w:pPr>
              <w:pStyle w:val="HStandard"/>
              <w:spacing w:line="240" w:lineRule="auto"/>
              <w:jc w:val="center"/>
              <w:rPr>
                <w:rFonts w:cs="Arial"/>
                <w:sz w:val="16"/>
                <w:szCs w:val="18"/>
              </w:rPr>
            </w:pPr>
            <w:r w:rsidRPr="005667CD">
              <w:rPr>
                <w:sz w:val="16"/>
              </w:rPr>
              <w:t xml:space="preserve">Comparaciones de grupo </w:t>
            </w:r>
            <w:r w:rsidR="005667CD" w:rsidRPr="005667CD">
              <w:rPr>
                <w:sz w:val="16"/>
              </w:rPr>
              <w:t>creíbles</w:t>
            </w:r>
            <w:r w:rsidRPr="005667CD">
              <w:rPr>
                <w:sz w:val="16"/>
              </w:rPr>
              <w:t xml:space="preserve"> refrendadas por métodos cualitativos</w:t>
            </w:r>
          </w:p>
        </w:tc>
      </w:tr>
      <w:tr w:rsidR="00273775" w:rsidRPr="005667CD" w:rsidTr="005F69E8">
        <w:trPr>
          <w:trHeight w:val="984"/>
        </w:trPr>
        <w:tc>
          <w:tcPr>
            <w:tcW w:w="988" w:type="dxa"/>
            <w:tcBorders>
              <w:right w:val="nil"/>
            </w:tcBorders>
            <w:hideMark/>
          </w:tcPr>
          <w:p w:rsidR="00273775" w:rsidRPr="005667CD" w:rsidRDefault="00273775" w:rsidP="000F570B">
            <w:pPr>
              <w:pStyle w:val="HStandard"/>
              <w:jc w:val="center"/>
              <w:rPr>
                <w:b/>
                <w:bCs/>
                <w:color w:val="57825E" w:themeColor="accent4"/>
              </w:rPr>
            </w:pPr>
            <w:r w:rsidRPr="005667CD">
              <w:rPr>
                <w:b/>
                <w:bCs/>
                <w:noProof/>
                <w:color w:val="57825E" w:themeColor="accent4"/>
                <w:lang w:bidi="ar-SA"/>
              </w:rPr>
              <w:drawing>
                <wp:anchor distT="0" distB="0" distL="114300" distR="114300" simplePos="0" relativeHeight="251721216" behindDoc="1" locked="0" layoutInCell="1" allowOverlap="1" wp14:anchorId="487B4B5B" wp14:editId="3D06AA84">
                  <wp:simplePos x="0" y="0"/>
                  <wp:positionH relativeFrom="column">
                    <wp:posOffset>60960</wp:posOffset>
                  </wp:positionH>
                  <wp:positionV relativeFrom="paragraph">
                    <wp:posOffset>213360</wp:posOffset>
                  </wp:positionV>
                  <wp:extent cx="489585" cy="489585"/>
                  <wp:effectExtent l="0" t="0" r="5715" b="5715"/>
                  <wp:wrapTight wrapText="bothSides">
                    <wp:wrapPolygon edited="0">
                      <wp:start x="5043" y="0"/>
                      <wp:lineTo x="0" y="3362"/>
                      <wp:lineTo x="0" y="17650"/>
                      <wp:lineTo x="5043" y="21012"/>
                      <wp:lineTo x="15969" y="21012"/>
                      <wp:lineTo x="21012" y="17650"/>
                      <wp:lineTo x="21012" y="3362"/>
                      <wp:lineTo x="15969" y="0"/>
                      <wp:lineTo x="5043" y="0"/>
                    </wp:wrapPolygon>
                  </wp:wrapTight>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I.11.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5667CD">
              <w:rPr>
                <w:b/>
                <w:color w:val="57825E" w:themeColor="accent4"/>
              </w:rPr>
              <w:t>I.11</w:t>
            </w:r>
          </w:p>
        </w:tc>
        <w:tc>
          <w:tcPr>
            <w:tcW w:w="1417" w:type="dxa"/>
            <w:tcBorders>
              <w:left w:val="nil"/>
            </w:tcBorders>
            <w:vAlign w:val="center"/>
            <w:hideMark/>
          </w:tcPr>
          <w:p w:rsidR="00273775" w:rsidRPr="005667CD" w:rsidRDefault="00273775" w:rsidP="00670F92">
            <w:pPr>
              <w:pStyle w:val="HStandard"/>
              <w:jc w:val="left"/>
              <w:rPr>
                <w:rFonts w:cs="Arial"/>
                <w:b/>
                <w:color w:val="57825E" w:themeColor="accent4"/>
                <w:sz w:val="16"/>
                <w:szCs w:val="18"/>
              </w:rPr>
            </w:pPr>
            <w:r w:rsidRPr="005667CD">
              <w:rPr>
                <w:b/>
                <w:color w:val="57825E" w:themeColor="accent4"/>
                <w:sz w:val="16"/>
              </w:rPr>
              <w:t xml:space="preserve">Calidad del agua </w:t>
            </w:r>
          </w:p>
        </w:tc>
        <w:tc>
          <w:tcPr>
            <w:tcW w:w="1701" w:type="dxa"/>
            <w:vMerge/>
            <w:hideMark/>
          </w:tcPr>
          <w:p w:rsidR="00273775" w:rsidRPr="005667CD" w:rsidRDefault="00273775" w:rsidP="007008C0">
            <w:pPr>
              <w:pStyle w:val="HStandard"/>
              <w:spacing w:line="240" w:lineRule="auto"/>
              <w:jc w:val="center"/>
              <w:rPr>
                <w:rFonts w:cs="Arial"/>
                <w:sz w:val="16"/>
                <w:szCs w:val="18"/>
              </w:rPr>
            </w:pPr>
          </w:p>
        </w:tc>
        <w:tc>
          <w:tcPr>
            <w:tcW w:w="1701" w:type="dxa"/>
            <w:vMerge/>
            <w:hideMark/>
          </w:tcPr>
          <w:p w:rsidR="00273775" w:rsidRPr="005667CD" w:rsidRDefault="00273775" w:rsidP="007008C0">
            <w:pPr>
              <w:pStyle w:val="HStandard"/>
              <w:spacing w:line="240" w:lineRule="auto"/>
              <w:jc w:val="center"/>
              <w:rPr>
                <w:rFonts w:cs="Arial"/>
                <w:sz w:val="16"/>
                <w:szCs w:val="18"/>
              </w:rPr>
            </w:pPr>
          </w:p>
        </w:tc>
        <w:tc>
          <w:tcPr>
            <w:tcW w:w="1701" w:type="dxa"/>
            <w:vMerge/>
            <w:hideMark/>
          </w:tcPr>
          <w:p w:rsidR="00273775" w:rsidRPr="005667CD" w:rsidRDefault="00273775" w:rsidP="007008C0">
            <w:pPr>
              <w:pStyle w:val="HStandard"/>
              <w:spacing w:line="240" w:lineRule="auto"/>
              <w:jc w:val="center"/>
              <w:rPr>
                <w:rFonts w:cs="Arial"/>
                <w:sz w:val="16"/>
                <w:szCs w:val="18"/>
              </w:rPr>
            </w:pPr>
          </w:p>
        </w:tc>
        <w:tc>
          <w:tcPr>
            <w:tcW w:w="1701" w:type="dxa"/>
            <w:vMerge/>
          </w:tcPr>
          <w:p w:rsidR="00273775" w:rsidRPr="005667CD" w:rsidRDefault="00273775" w:rsidP="007008C0">
            <w:pPr>
              <w:pStyle w:val="HStandard"/>
              <w:spacing w:line="240" w:lineRule="auto"/>
              <w:jc w:val="center"/>
              <w:rPr>
                <w:rFonts w:cs="Arial"/>
                <w:sz w:val="16"/>
                <w:szCs w:val="18"/>
              </w:rPr>
            </w:pPr>
          </w:p>
        </w:tc>
      </w:tr>
      <w:tr w:rsidR="00515FD4" w:rsidRPr="005667CD" w:rsidTr="005F69E8">
        <w:trPr>
          <w:trHeight w:val="1214"/>
        </w:trPr>
        <w:tc>
          <w:tcPr>
            <w:tcW w:w="988" w:type="dxa"/>
            <w:tcBorders>
              <w:right w:val="nil"/>
            </w:tcBorders>
            <w:hideMark/>
          </w:tcPr>
          <w:p w:rsidR="00515FD4" w:rsidRPr="005667CD" w:rsidRDefault="00515FD4" w:rsidP="000F570B">
            <w:pPr>
              <w:pStyle w:val="HStandard"/>
              <w:jc w:val="center"/>
              <w:rPr>
                <w:b/>
                <w:bCs/>
                <w:color w:val="57825E" w:themeColor="accent4"/>
              </w:rPr>
            </w:pPr>
            <w:r w:rsidRPr="005667CD">
              <w:rPr>
                <w:b/>
                <w:bCs/>
                <w:noProof/>
                <w:color w:val="57825E" w:themeColor="accent4"/>
                <w:lang w:bidi="ar-SA"/>
              </w:rPr>
              <w:drawing>
                <wp:anchor distT="0" distB="0" distL="114300" distR="114300" simplePos="0" relativeHeight="251715072" behindDoc="1" locked="0" layoutInCell="1" allowOverlap="1" wp14:anchorId="43C8563B" wp14:editId="77A0EBD3">
                  <wp:simplePos x="0" y="0"/>
                  <wp:positionH relativeFrom="column">
                    <wp:posOffset>33944</wp:posOffset>
                  </wp:positionH>
                  <wp:positionV relativeFrom="paragraph">
                    <wp:posOffset>247650</wp:posOffset>
                  </wp:positionV>
                  <wp:extent cx="489585" cy="489585"/>
                  <wp:effectExtent l="0" t="0" r="5715" b="5715"/>
                  <wp:wrapTight wrapText="bothSides">
                    <wp:wrapPolygon edited="0">
                      <wp:start x="4202" y="0"/>
                      <wp:lineTo x="0" y="840"/>
                      <wp:lineTo x="0" y="21012"/>
                      <wp:lineTo x="21012" y="21012"/>
                      <wp:lineTo x="21012" y="840"/>
                      <wp:lineTo x="16809" y="0"/>
                      <wp:lineTo x="4202"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12.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5667CD">
              <w:rPr>
                <w:b/>
                <w:color w:val="57825E" w:themeColor="accent4"/>
              </w:rPr>
              <w:t>I.12</w:t>
            </w:r>
          </w:p>
        </w:tc>
        <w:tc>
          <w:tcPr>
            <w:tcW w:w="1417" w:type="dxa"/>
            <w:tcBorders>
              <w:left w:val="nil"/>
            </w:tcBorders>
            <w:vAlign w:val="center"/>
            <w:hideMark/>
          </w:tcPr>
          <w:p w:rsidR="00515FD4" w:rsidRPr="005667CD" w:rsidRDefault="00515FD4" w:rsidP="001B04F9">
            <w:pPr>
              <w:pStyle w:val="HStandard"/>
              <w:jc w:val="left"/>
              <w:rPr>
                <w:rFonts w:cs="Arial"/>
                <w:b/>
                <w:color w:val="57825E" w:themeColor="accent4"/>
                <w:sz w:val="16"/>
                <w:szCs w:val="18"/>
              </w:rPr>
            </w:pPr>
            <w:r w:rsidRPr="005667CD">
              <w:rPr>
                <w:b/>
                <w:color w:val="57825E" w:themeColor="accent4"/>
                <w:sz w:val="16"/>
              </w:rPr>
              <w:t xml:space="preserve">Materia orgánica del suelo en las tierras de cultivo </w:t>
            </w:r>
          </w:p>
        </w:tc>
        <w:tc>
          <w:tcPr>
            <w:tcW w:w="1701" w:type="dxa"/>
            <w:vAlign w:val="center"/>
            <w:hideMark/>
          </w:tcPr>
          <w:p w:rsidR="00515FD4" w:rsidRPr="005667CD" w:rsidRDefault="00FF2060" w:rsidP="007008C0">
            <w:pPr>
              <w:pStyle w:val="HStandard"/>
              <w:spacing w:line="240" w:lineRule="auto"/>
              <w:jc w:val="center"/>
              <w:rPr>
                <w:rFonts w:cs="Arial"/>
                <w:sz w:val="16"/>
                <w:szCs w:val="18"/>
              </w:rPr>
            </w:pPr>
            <w:r w:rsidRPr="005667CD">
              <w:rPr>
                <w:sz w:val="16"/>
              </w:rPr>
              <w:t>Valoración de la materia orgánica del suelo (MOS) basada en una profundidad del suelo de 0-60 cm.</w:t>
            </w:r>
          </w:p>
        </w:tc>
        <w:tc>
          <w:tcPr>
            <w:tcW w:w="1701" w:type="dxa"/>
            <w:vAlign w:val="center"/>
            <w:hideMark/>
          </w:tcPr>
          <w:p w:rsidR="00515FD4" w:rsidRPr="005667CD" w:rsidRDefault="00515FD4" w:rsidP="007008C0">
            <w:pPr>
              <w:pStyle w:val="HStandard"/>
              <w:spacing w:line="240" w:lineRule="auto"/>
              <w:jc w:val="center"/>
              <w:rPr>
                <w:rFonts w:cs="Arial"/>
                <w:sz w:val="16"/>
                <w:szCs w:val="18"/>
              </w:rPr>
            </w:pPr>
            <w:r w:rsidRPr="005667CD">
              <w:rPr>
                <w:sz w:val="16"/>
              </w:rPr>
              <w:t>Ninguna</w:t>
            </w:r>
          </w:p>
        </w:tc>
        <w:tc>
          <w:tcPr>
            <w:tcW w:w="1701" w:type="dxa"/>
            <w:vAlign w:val="center"/>
            <w:hideMark/>
          </w:tcPr>
          <w:p w:rsidR="00515FD4" w:rsidRPr="005667CD" w:rsidRDefault="00515FD4" w:rsidP="007008C0">
            <w:pPr>
              <w:pStyle w:val="HStandard"/>
              <w:spacing w:line="240" w:lineRule="auto"/>
              <w:jc w:val="center"/>
              <w:rPr>
                <w:rFonts w:cs="Arial"/>
                <w:sz w:val="16"/>
                <w:szCs w:val="18"/>
              </w:rPr>
            </w:pPr>
            <w:r w:rsidRPr="005667CD">
              <w:rPr>
                <w:sz w:val="16"/>
              </w:rPr>
              <w:t>Valoración de la materia orgánica del suelo basada en programas simplificados de observación del suelo.</w:t>
            </w:r>
          </w:p>
        </w:tc>
        <w:tc>
          <w:tcPr>
            <w:tcW w:w="1701" w:type="dxa"/>
            <w:vAlign w:val="center"/>
            <w:hideMark/>
          </w:tcPr>
          <w:p w:rsidR="00515FD4" w:rsidRPr="005667CD" w:rsidRDefault="00515FD4" w:rsidP="007008C0">
            <w:pPr>
              <w:pStyle w:val="HStandard"/>
              <w:spacing w:line="240" w:lineRule="auto"/>
              <w:jc w:val="center"/>
              <w:rPr>
                <w:rFonts w:cs="Arial"/>
                <w:sz w:val="16"/>
                <w:szCs w:val="18"/>
              </w:rPr>
            </w:pPr>
            <w:r w:rsidRPr="005667CD">
              <w:rPr>
                <w:sz w:val="16"/>
              </w:rPr>
              <w:t>Valoración de la materia orgánica del suelo a partir de la base de datos LUCAS</w:t>
            </w:r>
          </w:p>
        </w:tc>
      </w:tr>
      <w:tr w:rsidR="00515FD4" w:rsidRPr="005667CD" w:rsidTr="006A4FC1">
        <w:trPr>
          <w:trHeight w:val="43"/>
        </w:trPr>
        <w:tc>
          <w:tcPr>
            <w:tcW w:w="988" w:type="dxa"/>
            <w:tcBorders>
              <w:right w:val="nil"/>
            </w:tcBorders>
            <w:hideMark/>
          </w:tcPr>
          <w:p w:rsidR="00515FD4" w:rsidRPr="005667CD" w:rsidRDefault="00515FD4" w:rsidP="000F570B">
            <w:pPr>
              <w:pStyle w:val="HStandard"/>
              <w:jc w:val="center"/>
              <w:rPr>
                <w:b/>
                <w:bCs/>
                <w:color w:val="57825E" w:themeColor="accent4"/>
              </w:rPr>
            </w:pPr>
            <w:r w:rsidRPr="005667CD">
              <w:rPr>
                <w:b/>
                <w:bCs/>
                <w:noProof/>
                <w:color w:val="57825E" w:themeColor="accent4"/>
                <w:lang w:bidi="ar-SA"/>
              </w:rPr>
              <w:lastRenderedPageBreak/>
              <w:drawing>
                <wp:anchor distT="0" distB="0" distL="114300" distR="114300" simplePos="0" relativeHeight="251716096" behindDoc="1" locked="0" layoutInCell="1" allowOverlap="1" wp14:anchorId="7383E80C" wp14:editId="266A11DE">
                  <wp:simplePos x="0" y="0"/>
                  <wp:positionH relativeFrom="column">
                    <wp:posOffset>62881</wp:posOffset>
                  </wp:positionH>
                  <wp:positionV relativeFrom="paragraph">
                    <wp:posOffset>198321</wp:posOffset>
                  </wp:positionV>
                  <wp:extent cx="489585" cy="489585"/>
                  <wp:effectExtent l="0" t="0" r="5715" b="5715"/>
                  <wp:wrapTight wrapText="bothSides">
                    <wp:wrapPolygon edited="0">
                      <wp:start x="4202" y="0"/>
                      <wp:lineTo x="0" y="0"/>
                      <wp:lineTo x="0" y="21012"/>
                      <wp:lineTo x="21012" y="21012"/>
                      <wp:lineTo x="21012" y="12607"/>
                      <wp:lineTo x="15969" y="0"/>
                      <wp:lineTo x="420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13.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5667CD">
              <w:rPr>
                <w:b/>
                <w:color w:val="57825E" w:themeColor="accent4"/>
              </w:rPr>
              <w:t>I.13</w:t>
            </w:r>
          </w:p>
        </w:tc>
        <w:tc>
          <w:tcPr>
            <w:tcW w:w="1417" w:type="dxa"/>
            <w:tcBorders>
              <w:left w:val="nil"/>
            </w:tcBorders>
            <w:vAlign w:val="center"/>
            <w:hideMark/>
          </w:tcPr>
          <w:p w:rsidR="006E3A77" w:rsidRPr="005667CD" w:rsidRDefault="00515FD4" w:rsidP="001B04F9">
            <w:pPr>
              <w:pStyle w:val="HStandard"/>
              <w:jc w:val="left"/>
              <w:rPr>
                <w:rFonts w:cs="Arial"/>
                <w:b/>
                <w:color w:val="57825E" w:themeColor="accent4"/>
                <w:sz w:val="16"/>
                <w:szCs w:val="18"/>
              </w:rPr>
            </w:pPr>
            <w:r w:rsidRPr="005667CD">
              <w:rPr>
                <w:b/>
                <w:color w:val="57825E" w:themeColor="accent4"/>
                <w:sz w:val="16"/>
              </w:rPr>
              <w:t>Erosión del suelo por la acción del agua</w:t>
            </w:r>
          </w:p>
        </w:tc>
        <w:tc>
          <w:tcPr>
            <w:tcW w:w="1701" w:type="dxa"/>
            <w:vAlign w:val="center"/>
            <w:hideMark/>
          </w:tcPr>
          <w:p w:rsidR="00515FD4" w:rsidRPr="005667CD" w:rsidRDefault="00BB68D4" w:rsidP="007008C0">
            <w:pPr>
              <w:pStyle w:val="NormalWeb"/>
              <w:jc w:val="center"/>
              <w:rPr>
                <w:rFonts w:ascii="Arial" w:hAnsi="Arial" w:cs="Arial"/>
                <w:color w:val="373737" w:themeColor="text1"/>
                <w:sz w:val="16"/>
                <w:szCs w:val="18"/>
              </w:rPr>
            </w:pPr>
            <w:r w:rsidRPr="005667CD">
              <w:rPr>
                <w:rFonts w:ascii="Arial" w:hAnsi="Arial"/>
                <w:color w:val="373737" w:themeColor="text1"/>
                <w:sz w:val="16"/>
              </w:rPr>
              <w:t>Técnicas de evaluación basada en estadísticas</w:t>
            </w:r>
          </w:p>
        </w:tc>
        <w:tc>
          <w:tcPr>
            <w:tcW w:w="1701" w:type="dxa"/>
            <w:vAlign w:val="center"/>
            <w:hideMark/>
          </w:tcPr>
          <w:p w:rsidR="00515FD4" w:rsidRPr="005667CD" w:rsidRDefault="00515FD4" w:rsidP="007008C0">
            <w:pPr>
              <w:pStyle w:val="HStandard"/>
              <w:spacing w:line="240" w:lineRule="auto"/>
              <w:jc w:val="center"/>
              <w:rPr>
                <w:rFonts w:cs="Arial"/>
                <w:sz w:val="16"/>
                <w:szCs w:val="18"/>
              </w:rPr>
            </w:pPr>
            <w:r w:rsidRPr="005667CD">
              <w:rPr>
                <w:sz w:val="16"/>
              </w:rPr>
              <w:t>Econometría espacial EGPP respaldada con el método DID</w:t>
            </w:r>
          </w:p>
        </w:tc>
        <w:tc>
          <w:tcPr>
            <w:tcW w:w="1701" w:type="dxa"/>
            <w:vAlign w:val="center"/>
            <w:hideMark/>
          </w:tcPr>
          <w:p w:rsidR="00515FD4" w:rsidRPr="005667CD" w:rsidRDefault="00515FD4" w:rsidP="007008C0">
            <w:pPr>
              <w:pStyle w:val="HStandard"/>
              <w:spacing w:line="240" w:lineRule="auto"/>
              <w:jc w:val="center"/>
              <w:rPr>
                <w:rFonts w:cs="Arial"/>
                <w:sz w:val="16"/>
                <w:szCs w:val="18"/>
              </w:rPr>
            </w:pPr>
            <w:r w:rsidRPr="005667CD">
              <w:rPr>
                <w:sz w:val="16"/>
              </w:rPr>
              <w:t>Comparaciones de referencia creíbles o comparaciones de grupo dinámicas</w:t>
            </w:r>
          </w:p>
        </w:tc>
        <w:tc>
          <w:tcPr>
            <w:tcW w:w="1701" w:type="dxa"/>
            <w:vAlign w:val="center"/>
            <w:hideMark/>
          </w:tcPr>
          <w:p w:rsidR="00B52E11" w:rsidRPr="005667CD" w:rsidRDefault="00515FD4" w:rsidP="007008C0">
            <w:pPr>
              <w:pStyle w:val="HStandard"/>
              <w:spacing w:line="240" w:lineRule="auto"/>
              <w:jc w:val="center"/>
              <w:rPr>
                <w:rFonts w:cs="Arial"/>
                <w:sz w:val="16"/>
                <w:szCs w:val="18"/>
              </w:rPr>
            </w:pPr>
            <w:r w:rsidRPr="005667CD">
              <w:rPr>
                <w:sz w:val="16"/>
              </w:rPr>
              <w:t>Valoración cuantitativa creíble entre unidades espaciales y una media nacional</w:t>
            </w:r>
          </w:p>
          <w:p w:rsidR="00735F08" w:rsidRPr="005667CD" w:rsidRDefault="00735F08" w:rsidP="007008C0">
            <w:pPr>
              <w:pStyle w:val="HStandard"/>
              <w:spacing w:line="240" w:lineRule="auto"/>
              <w:jc w:val="center"/>
              <w:rPr>
                <w:rFonts w:cs="Arial"/>
                <w:sz w:val="16"/>
                <w:szCs w:val="18"/>
              </w:rPr>
            </w:pPr>
          </w:p>
        </w:tc>
      </w:tr>
      <w:tr w:rsidR="00515FD4" w:rsidRPr="005667CD" w:rsidTr="00670F92">
        <w:trPr>
          <w:trHeight w:val="255"/>
        </w:trPr>
        <w:tc>
          <w:tcPr>
            <w:tcW w:w="9209" w:type="dxa"/>
            <w:gridSpan w:val="6"/>
            <w:tcBorders>
              <w:top w:val="single" w:sz="4" w:space="0" w:color="FFFFFF" w:themeColor="background1"/>
            </w:tcBorders>
            <w:shd w:val="clear" w:color="auto" w:fill="59638E" w:themeFill="accent3"/>
            <w:hideMark/>
          </w:tcPr>
          <w:p w:rsidR="00515FD4" w:rsidRPr="005667CD" w:rsidRDefault="00515FD4" w:rsidP="007008C0">
            <w:pPr>
              <w:pStyle w:val="HStandard"/>
              <w:spacing w:line="240" w:lineRule="auto"/>
              <w:rPr>
                <w:bCs/>
                <w:color w:val="FFFFFF" w:themeColor="background1"/>
                <w:sz w:val="16"/>
              </w:rPr>
            </w:pPr>
            <w:r w:rsidRPr="005667CD">
              <w:rPr>
                <w:color w:val="FFFFFF" w:themeColor="background1"/>
                <w:sz w:val="16"/>
              </w:rPr>
              <w:t>Repercusiones socioeconómicas</w:t>
            </w:r>
          </w:p>
        </w:tc>
      </w:tr>
      <w:tr w:rsidR="00515FD4" w:rsidRPr="005667CD" w:rsidTr="005F69E8">
        <w:trPr>
          <w:trHeight w:val="1189"/>
        </w:trPr>
        <w:tc>
          <w:tcPr>
            <w:tcW w:w="988" w:type="dxa"/>
            <w:tcBorders>
              <w:right w:val="nil"/>
            </w:tcBorders>
            <w:hideMark/>
          </w:tcPr>
          <w:p w:rsidR="00515FD4" w:rsidRPr="005667CD" w:rsidRDefault="00515FD4" w:rsidP="00B91C1E">
            <w:pPr>
              <w:pStyle w:val="HStandard"/>
              <w:jc w:val="center"/>
              <w:rPr>
                <w:b/>
                <w:bCs/>
                <w:color w:val="59638E" w:themeColor="accent3"/>
              </w:rPr>
            </w:pPr>
            <w:r w:rsidRPr="005667CD">
              <w:rPr>
                <w:b/>
                <w:bCs/>
                <w:noProof/>
                <w:color w:val="59638E" w:themeColor="accent3"/>
                <w:lang w:bidi="ar-SA"/>
              </w:rPr>
              <w:drawing>
                <wp:anchor distT="0" distB="0" distL="114300" distR="114300" simplePos="0" relativeHeight="251717120" behindDoc="1" locked="0" layoutInCell="1" allowOverlap="1" wp14:anchorId="4E3C2EB7" wp14:editId="75D8FDBD">
                  <wp:simplePos x="0" y="0"/>
                  <wp:positionH relativeFrom="column">
                    <wp:posOffset>11414</wp:posOffset>
                  </wp:positionH>
                  <wp:positionV relativeFrom="paragraph">
                    <wp:posOffset>184351</wp:posOffset>
                  </wp:positionV>
                  <wp:extent cx="489585" cy="489585"/>
                  <wp:effectExtent l="0" t="0" r="5715" b="5715"/>
                  <wp:wrapTight wrapText="bothSides">
                    <wp:wrapPolygon edited="0">
                      <wp:start x="2521" y="0"/>
                      <wp:lineTo x="0" y="7564"/>
                      <wp:lineTo x="0" y="21012"/>
                      <wp:lineTo x="20171" y="21012"/>
                      <wp:lineTo x="21012" y="15969"/>
                      <wp:lineTo x="21012" y="13447"/>
                      <wp:lineTo x="9245" y="0"/>
                      <wp:lineTo x="2521" y="0"/>
                    </wp:wrapPolygon>
                  </wp:wrapTight>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14.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5667CD">
              <w:rPr>
                <w:b/>
                <w:color w:val="59638E" w:themeColor="accent3"/>
              </w:rPr>
              <w:t>I.14</w:t>
            </w:r>
          </w:p>
        </w:tc>
        <w:tc>
          <w:tcPr>
            <w:tcW w:w="1417" w:type="dxa"/>
            <w:tcBorders>
              <w:left w:val="nil"/>
            </w:tcBorders>
            <w:vAlign w:val="center"/>
            <w:hideMark/>
          </w:tcPr>
          <w:p w:rsidR="00515FD4" w:rsidRPr="005667CD" w:rsidRDefault="00515FD4" w:rsidP="001B04F9">
            <w:pPr>
              <w:pStyle w:val="HStandard"/>
              <w:jc w:val="left"/>
              <w:rPr>
                <w:b/>
                <w:color w:val="59638E" w:themeColor="accent3"/>
                <w:sz w:val="16"/>
                <w:szCs w:val="18"/>
              </w:rPr>
            </w:pPr>
            <w:r w:rsidRPr="005667CD">
              <w:rPr>
                <w:b/>
                <w:color w:val="59638E" w:themeColor="accent3"/>
                <w:sz w:val="16"/>
              </w:rPr>
              <w:t xml:space="preserve">Tasa de empleo rural </w:t>
            </w:r>
          </w:p>
        </w:tc>
        <w:tc>
          <w:tcPr>
            <w:tcW w:w="1701" w:type="dxa"/>
            <w:vMerge w:val="restart"/>
            <w:vAlign w:val="center"/>
            <w:hideMark/>
          </w:tcPr>
          <w:p w:rsidR="00515FD4" w:rsidRPr="005667CD" w:rsidRDefault="00515FD4" w:rsidP="007008C0">
            <w:pPr>
              <w:pStyle w:val="HStandard"/>
              <w:spacing w:line="240" w:lineRule="auto"/>
              <w:jc w:val="center"/>
              <w:rPr>
                <w:sz w:val="16"/>
                <w:szCs w:val="18"/>
              </w:rPr>
            </w:pPr>
            <w:r w:rsidRPr="005667CD">
              <w:rPr>
                <w:sz w:val="16"/>
              </w:rPr>
              <w:t>Ninguna</w:t>
            </w:r>
          </w:p>
        </w:tc>
        <w:tc>
          <w:tcPr>
            <w:tcW w:w="1701" w:type="dxa"/>
            <w:vMerge w:val="restart"/>
            <w:vAlign w:val="center"/>
            <w:hideMark/>
          </w:tcPr>
          <w:p w:rsidR="00515FD4" w:rsidRPr="005667CD" w:rsidRDefault="00515FD4" w:rsidP="007008C0">
            <w:pPr>
              <w:pStyle w:val="HStandard"/>
              <w:spacing w:line="240" w:lineRule="auto"/>
              <w:jc w:val="center"/>
              <w:rPr>
                <w:sz w:val="16"/>
                <w:szCs w:val="18"/>
              </w:rPr>
            </w:pPr>
            <w:r w:rsidRPr="005667CD">
              <w:rPr>
                <w:sz w:val="16"/>
              </w:rPr>
              <w:t>Modelo de equilibrio general computable dinámico-recursivo</w:t>
            </w:r>
            <w:r w:rsidR="0090758F" w:rsidRPr="005667CD">
              <w:rPr>
                <w:sz w:val="16"/>
              </w:rPr>
              <w:t xml:space="preserve"> </w:t>
            </w:r>
            <w:r w:rsidRPr="005667CD">
              <w:rPr>
                <w:sz w:val="16"/>
                <w:szCs w:val="18"/>
              </w:rPr>
              <w:br/>
            </w:r>
            <w:r w:rsidRPr="005667CD">
              <w:rPr>
                <w:sz w:val="16"/>
                <w:szCs w:val="18"/>
              </w:rPr>
              <w:br/>
            </w:r>
            <w:r w:rsidRPr="005667CD">
              <w:rPr>
                <w:sz w:val="16"/>
              </w:rPr>
              <w:t>Emparejamiento de puntuaciones de propensión (EPP) y Emparejamiento general de puntuaciones de propensión (EGPP)</w:t>
            </w:r>
          </w:p>
        </w:tc>
        <w:tc>
          <w:tcPr>
            <w:tcW w:w="1701" w:type="dxa"/>
            <w:vMerge w:val="restart"/>
            <w:noWrap/>
            <w:vAlign w:val="center"/>
            <w:hideMark/>
          </w:tcPr>
          <w:p w:rsidR="00515FD4" w:rsidRPr="005667CD" w:rsidRDefault="00515FD4" w:rsidP="007008C0">
            <w:pPr>
              <w:pStyle w:val="HStandard"/>
              <w:spacing w:line="240" w:lineRule="auto"/>
              <w:jc w:val="center"/>
              <w:rPr>
                <w:sz w:val="16"/>
                <w:szCs w:val="18"/>
              </w:rPr>
            </w:pPr>
            <w:r w:rsidRPr="005667CD">
              <w:rPr>
                <w:sz w:val="16"/>
              </w:rPr>
              <w:t>Ninguna</w:t>
            </w:r>
          </w:p>
        </w:tc>
        <w:tc>
          <w:tcPr>
            <w:tcW w:w="1701" w:type="dxa"/>
            <w:vMerge w:val="restart"/>
            <w:vAlign w:val="center"/>
            <w:hideMark/>
          </w:tcPr>
          <w:p w:rsidR="00515FD4" w:rsidRPr="005667CD" w:rsidRDefault="00515FD4" w:rsidP="007008C0">
            <w:pPr>
              <w:pStyle w:val="HStandard"/>
              <w:spacing w:line="240" w:lineRule="auto"/>
              <w:jc w:val="center"/>
              <w:rPr>
                <w:sz w:val="16"/>
                <w:szCs w:val="18"/>
              </w:rPr>
            </w:pPr>
            <w:r w:rsidRPr="005667CD">
              <w:rPr>
                <w:sz w:val="16"/>
              </w:rPr>
              <w:t>Análisis input-output (AIO)</w:t>
            </w:r>
          </w:p>
          <w:p w:rsidR="00186FCF" w:rsidRPr="005667CD" w:rsidRDefault="00186FCF" w:rsidP="007008C0">
            <w:pPr>
              <w:pStyle w:val="HStandard"/>
              <w:spacing w:line="240" w:lineRule="auto"/>
              <w:jc w:val="center"/>
              <w:rPr>
                <w:sz w:val="16"/>
                <w:szCs w:val="18"/>
              </w:rPr>
            </w:pPr>
            <w:r w:rsidRPr="005667CD">
              <w:rPr>
                <w:sz w:val="16"/>
              </w:rPr>
              <w:t>(respaldado por un análisis cualitativo)</w:t>
            </w:r>
          </w:p>
        </w:tc>
      </w:tr>
      <w:tr w:rsidR="00515FD4" w:rsidRPr="005667CD" w:rsidTr="005F69E8">
        <w:trPr>
          <w:trHeight w:val="1405"/>
        </w:trPr>
        <w:tc>
          <w:tcPr>
            <w:tcW w:w="988" w:type="dxa"/>
            <w:tcBorders>
              <w:right w:val="nil"/>
            </w:tcBorders>
            <w:hideMark/>
          </w:tcPr>
          <w:p w:rsidR="00515FD4" w:rsidRPr="005667CD" w:rsidRDefault="00515FD4" w:rsidP="00B91C1E">
            <w:pPr>
              <w:pStyle w:val="HStandard"/>
              <w:jc w:val="center"/>
              <w:rPr>
                <w:b/>
                <w:bCs/>
                <w:color w:val="59638E" w:themeColor="accent3"/>
              </w:rPr>
            </w:pPr>
            <w:r w:rsidRPr="005667CD">
              <w:rPr>
                <w:b/>
                <w:color w:val="59638E" w:themeColor="accent3"/>
              </w:rPr>
              <w:t>I.15</w:t>
            </w:r>
            <w:r w:rsidRPr="005667CD">
              <w:rPr>
                <w:b/>
                <w:bCs/>
                <w:noProof/>
                <w:color w:val="59638E" w:themeColor="accent3"/>
                <w:lang w:bidi="ar-SA"/>
              </w:rPr>
              <w:drawing>
                <wp:inline distT="0" distB="0" distL="0" distR="0" wp14:anchorId="208B4502" wp14:editId="19E30F42">
                  <wp:extent cx="490220" cy="490220"/>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1-feeding_Blue.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90220" cy="490220"/>
                          </a:xfrm>
                          <a:prstGeom prst="rect">
                            <a:avLst/>
                          </a:prstGeom>
                        </pic:spPr>
                      </pic:pic>
                    </a:graphicData>
                  </a:graphic>
                </wp:inline>
              </w:drawing>
            </w:r>
          </w:p>
        </w:tc>
        <w:tc>
          <w:tcPr>
            <w:tcW w:w="1417" w:type="dxa"/>
            <w:tcBorders>
              <w:left w:val="nil"/>
            </w:tcBorders>
            <w:vAlign w:val="center"/>
            <w:hideMark/>
          </w:tcPr>
          <w:p w:rsidR="00515FD4" w:rsidRPr="005667CD" w:rsidRDefault="00515FD4" w:rsidP="001B04F9">
            <w:pPr>
              <w:pStyle w:val="HStandard"/>
              <w:jc w:val="left"/>
              <w:rPr>
                <w:b/>
                <w:color w:val="59638E" w:themeColor="accent3"/>
                <w:sz w:val="16"/>
                <w:szCs w:val="18"/>
              </w:rPr>
            </w:pPr>
            <w:r w:rsidRPr="005667CD">
              <w:rPr>
                <w:b/>
                <w:color w:val="59638E" w:themeColor="accent3"/>
                <w:sz w:val="16"/>
              </w:rPr>
              <w:t>Grado de pobreza rural</w:t>
            </w:r>
          </w:p>
        </w:tc>
        <w:tc>
          <w:tcPr>
            <w:tcW w:w="1701" w:type="dxa"/>
            <w:vMerge/>
            <w:hideMark/>
          </w:tcPr>
          <w:p w:rsidR="00515FD4" w:rsidRPr="005667CD" w:rsidRDefault="00515FD4" w:rsidP="008D4934">
            <w:pPr>
              <w:pStyle w:val="HStandard"/>
              <w:spacing w:line="240" w:lineRule="atLeast"/>
              <w:rPr>
                <w:sz w:val="16"/>
              </w:rPr>
            </w:pPr>
          </w:p>
        </w:tc>
        <w:tc>
          <w:tcPr>
            <w:tcW w:w="1701" w:type="dxa"/>
            <w:vMerge/>
            <w:hideMark/>
          </w:tcPr>
          <w:p w:rsidR="00515FD4" w:rsidRPr="005667CD" w:rsidRDefault="00515FD4" w:rsidP="008D4934">
            <w:pPr>
              <w:pStyle w:val="HStandard"/>
              <w:spacing w:line="240" w:lineRule="atLeast"/>
              <w:rPr>
                <w:sz w:val="16"/>
              </w:rPr>
            </w:pPr>
          </w:p>
        </w:tc>
        <w:tc>
          <w:tcPr>
            <w:tcW w:w="1701" w:type="dxa"/>
            <w:vMerge/>
            <w:hideMark/>
          </w:tcPr>
          <w:p w:rsidR="00515FD4" w:rsidRPr="005667CD" w:rsidRDefault="00515FD4" w:rsidP="008D4934">
            <w:pPr>
              <w:pStyle w:val="HStandard"/>
              <w:spacing w:line="240" w:lineRule="atLeast"/>
              <w:rPr>
                <w:sz w:val="16"/>
              </w:rPr>
            </w:pPr>
          </w:p>
        </w:tc>
        <w:tc>
          <w:tcPr>
            <w:tcW w:w="1701" w:type="dxa"/>
            <w:vMerge/>
            <w:hideMark/>
          </w:tcPr>
          <w:p w:rsidR="00515FD4" w:rsidRPr="005667CD" w:rsidRDefault="00515FD4" w:rsidP="008D4934">
            <w:pPr>
              <w:pStyle w:val="HStandard"/>
              <w:spacing w:line="240" w:lineRule="atLeast"/>
              <w:rPr>
                <w:sz w:val="16"/>
              </w:rPr>
            </w:pPr>
          </w:p>
        </w:tc>
      </w:tr>
      <w:tr w:rsidR="00515FD4" w:rsidRPr="005667CD" w:rsidTr="005F69E8">
        <w:trPr>
          <w:trHeight w:val="1413"/>
        </w:trPr>
        <w:tc>
          <w:tcPr>
            <w:tcW w:w="988" w:type="dxa"/>
            <w:tcBorders>
              <w:right w:val="nil"/>
            </w:tcBorders>
            <w:hideMark/>
          </w:tcPr>
          <w:p w:rsidR="00515FD4" w:rsidRPr="005667CD" w:rsidRDefault="00515FD4" w:rsidP="00B91C1E">
            <w:pPr>
              <w:pStyle w:val="HStandard"/>
              <w:jc w:val="center"/>
              <w:rPr>
                <w:b/>
                <w:bCs/>
                <w:color w:val="59638E" w:themeColor="accent3"/>
              </w:rPr>
            </w:pPr>
            <w:r w:rsidRPr="005667CD">
              <w:rPr>
                <w:b/>
                <w:bCs/>
                <w:noProof/>
                <w:color w:val="59638E" w:themeColor="accent3"/>
                <w:lang w:bidi="ar-SA"/>
              </w:rPr>
              <w:drawing>
                <wp:anchor distT="0" distB="0" distL="114300" distR="114300" simplePos="0" relativeHeight="251719168" behindDoc="1" locked="0" layoutInCell="1" allowOverlap="1" wp14:anchorId="36CD0CED" wp14:editId="7375B18B">
                  <wp:simplePos x="0" y="0"/>
                  <wp:positionH relativeFrom="column">
                    <wp:posOffset>63500</wp:posOffset>
                  </wp:positionH>
                  <wp:positionV relativeFrom="paragraph">
                    <wp:posOffset>224139</wp:posOffset>
                  </wp:positionV>
                  <wp:extent cx="489600" cy="489600"/>
                  <wp:effectExtent l="0" t="0" r="5715" b="5715"/>
                  <wp:wrapTight wrapText="bothSides">
                    <wp:wrapPolygon edited="0">
                      <wp:start x="0" y="0"/>
                      <wp:lineTo x="0" y="21012"/>
                      <wp:lineTo x="21012" y="21012"/>
                      <wp:lineTo x="21012" y="0"/>
                      <wp:lineTo x="0" y="0"/>
                    </wp:wrapPolygon>
                  </wp:wrapTight>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007-nail.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sidRPr="005667CD">
              <w:rPr>
                <w:b/>
                <w:color w:val="59638E" w:themeColor="accent3"/>
              </w:rPr>
              <w:t>I.16</w:t>
            </w:r>
          </w:p>
        </w:tc>
        <w:tc>
          <w:tcPr>
            <w:tcW w:w="1417" w:type="dxa"/>
            <w:tcBorders>
              <w:left w:val="nil"/>
            </w:tcBorders>
            <w:vAlign w:val="center"/>
            <w:hideMark/>
          </w:tcPr>
          <w:p w:rsidR="00515FD4" w:rsidRPr="005667CD" w:rsidRDefault="00515FD4" w:rsidP="001B04F9">
            <w:pPr>
              <w:pStyle w:val="HStandard"/>
              <w:jc w:val="left"/>
              <w:rPr>
                <w:b/>
                <w:color w:val="59638E" w:themeColor="accent3"/>
                <w:sz w:val="16"/>
                <w:szCs w:val="18"/>
              </w:rPr>
            </w:pPr>
            <w:r w:rsidRPr="005667CD">
              <w:rPr>
                <w:b/>
                <w:color w:val="59638E" w:themeColor="accent3"/>
                <w:sz w:val="16"/>
              </w:rPr>
              <w:t xml:space="preserve">PIB per cápita rural </w:t>
            </w:r>
          </w:p>
        </w:tc>
        <w:tc>
          <w:tcPr>
            <w:tcW w:w="1701" w:type="dxa"/>
            <w:vMerge/>
            <w:hideMark/>
          </w:tcPr>
          <w:p w:rsidR="00515FD4" w:rsidRPr="005667CD" w:rsidRDefault="00515FD4" w:rsidP="008D4934">
            <w:pPr>
              <w:pStyle w:val="HStandard"/>
              <w:spacing w:line="240" w:lineRule="atLeast"/>
              <w:rPr>
                <w:sz w:val="16"/>
              </w:rPr>
            </w:pPr>
          </w:p>
        </w:tc>
        <w:tc>
          <w:tcPr>
            <w:tcW w:w="1701" w:type="dxa"/>
            <w:vMerge/>
            <w:hideMark/>
          </w:tcPr>
          <w:p w:rsidR="00515FD4" w:rsidRPr="005667CD" w:rsidRDefault="00515FD4" w:rsidP="008D4934">
            <w:pPr>
              <w:pStyle w:val="HStandard"/>
              <w:spacing w:line="240" w:lineRule="atLeast"/>
              <w:rPr>
                <w:sz w:val="16"/>
              </w:rPr>
            </w:pPr>
          </w:p>
        </w:tc>
        <w:tc>
          <w:tcPr>
            <w:tcW w:w="1701" w:type="dxa"/>
            <w:vMerge/>
            <w:hideMark/>
          </w:tcPr>
          <w:p w:rsidR="00515FD4" w:rsidRPr="005667CD" w:rsidRDefault="00515FD4" w:rsidP="008D4934">
            <w:pPr>
              <w:pStyle w:val="HStandard"/>
              <w:spacing w:line="240" w:lineRule="atLeast"/>
              <w:rPr>
                <w:sz w:val="16"/>
              </w:rPr>
            </w:pPr>
          </w:p>
        </w:tc>
        <w:tc>
          <w:tcPr>
            <w:tcW w:w="1701" w:type="dxa"/>
            <w:vMerge/>
            <w:hideMark/>
          </w:tcPr>
          <w:p w:rsidR="00515FD4" w:rsidRPr="005667CD" w:rsidRDefault="00515FD4" w:rsidP="008D4934">
            <w:pPr>
              <w:pStyle w:val="HStandard"/>
              <w:spacing w:line="240" w:lineRule="atLeast"/>
              <w:rPr>
                <w:sz w:val="16"/>
              </w:rPr>
            </w:pPr>
          </w:p>
        </w:tc>
      </w:tr>
    </w:tbl>
    <w:p w:rsidR="00186FCF" w:rsidRPr="005667CD" w:rsidRDefault="00186FCF" w:rsidP="00186FCF">
      <w:pPr>
        <w:pStyle w:val="HStandard"/>
        <w:rPr>
          <w:rFonts w:cs="Arial"/>
        </w:rPr>
      </w:pPr>
    </w:p>
    <w:p w:rsidR="00186FCF" w:rsidRPr="005667CD" w:rsidRDefault="00186FCF" w:rsidP="00186FCF">
      <w:pPr>
        <w:pStyle w:val="HStandard"/>
        <w:rPr>
          <w:rFonts w:cs="Arial"/>
        </w:rPr>
      </w:pPr>
      <w:r w:rsidRPr="005667CD">
        <w:t xml:space="preserve">El cuadro anterior muestra con respecto a cada uno de los indicadores de impacto del pilar II de la PAC una visión general de los enfoques de evaluación recomendados para la valoración a niveles micro y macro que se describen con más detalle en los capítulos 2.2 a 2.9 de las Directrices, así como en el anexo técnico. </w:t>
      </w:r>
    </w:p>
    <w:p w:rsidR="00186FCF" w:rsidRPr="005667CD" w:rsidRDefault="00186FCF"/>
    <w:p w:rsidR="008D4934" w:rsidRPr="005667CD" w:rsidRDefault="000B213F" w:rsidP="00B34DDC">
      <w:pPr>
        <w:pStyle w:val="HStandard"/>
        <w:jc w:val="center"/>
      </w:pPr>
      <w:bookmarkStart w:id="0" w:name="_GoBack"/>
      <w:r w:rsidRPr="005667CD">
        <w:rPr>
          <w:b/>
          <w:i/>
          <w:noProof/>
          <w:color w:val="F07E31" w:themeColor="accent1"/>
          <w:lang w:bidi="ar-SA"/>
        </w:rPr>
        <mc:AlternateContent>
          <mc:Choice Requires="wps">
            <w:drawing>
              <wp:inline distT="0" distB="0" distL="0" distR="0" wp14:anchorId="05290C59" wp14:editId="12CB668F">
                <wp:extent cx="5819775" cy="2601685"/>
                <wp:effectExtent l="0" t="0" r="28575" b="27305"/>
                <wp:docPr id="89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9775" cy="2601685"/>
                        </a:xfrm>
                        <a:custGeom>
                          <a:avLst/>
                          <a:gdLst>
                            <a:gd name="T0" fmla="*/ 157545 w 5819775"/>
                            <a:gd name="T1" fmla="*/ 0 h 1804016"/>
                            <a:gd name="T2" fmla="*/ 5819775 w 5819775"/>
                            <a:gd name="T3" fmla="*/ 0 h 1804016"/>
                            <a:gd name="T4" fmla="*/ 5819775 w 5819775"/>
                            <a:gd name="T5" fmla="*/ 0 h 1804016"/>
                            <a:gd name="T6" fmla="*/ 5819775 w 5819775"/>
                            <a:gd name="T7" fmla="*/ 1646471 h 1804016"/>
                            <a:gd name="T8" fmla="*/ 5662230 w 5819775"/>
                            <a:gd name="T9" fmla="*/ 1804016 h 1804016"/>
                            <a:gd name="T10" fmla="*/ 0 w 5819775"/>
                            <a:gd name="T11" fmla="*/ 1804016 h 1804016"/>
                            <a:gd name="T12" fmla="*/ 0 w 5819775"/>
                            <a:gd name="T13" fmla="*/ 1804016 h 1804016"/>
                            <a:gd name="T14" fmla="*/ 0 w 5819775"/>
                            <a:gd name="T15" fmla="*/ 157545 h 1804016"/>
                            <a:gd name="T16" fmla="*/ 157545 w 5819775"/>
                            <a:gd name="T17" fmla="*/ 0 h 18040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819775"/>
                            <a:gd name="T28" fmla="*/ 0 h 1804016"/>
                            <a:gd name="T29" fmla="*/ 5819775 w 5819775"/>
                            <a:gd name="T30" fmla="*/ 1804016 h 180401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819775" h="1804016">
                              <a:moveTo>
                                <a:pt x="157545" y="0"/>
                              </a:moveTo>
                              <a:lnTo>
                                <a:pt x="5819775" y="0"/>
                              </a:lnTo>
                              <a:lnTo>
                                <a:pt x="5819775" y="1646471"/>
                              </a:lnTo>
                              <a:cubicBezTo>
                                <a:pt x="5819775" y="1733481"/>
                                <a:pt x="5749240" y="1804016"/>
                                <a:pt x="5662230" y="1804016"/>
                              </a:cubicBezTo>
                              <a:lnTo>
                                <a:pt x="0" y="1804016"/>
                              </a:lnTo>
                              <a:lnTo>
                                <a:pt x="0" y="157545"/>
                              </a:lnTo>
                              <a:cubicBezTo>
                                <a:pt x="0" y="70535"/>
                                <a:pt x="70535" y="0"/>
                                <a:pt x="157545"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22740E" w:rsidRPr="00D43E45" w:rsidRDefault="0022740E" w:rsidP="00EC01C3">
                            <w:pPr>
                              <w:pStyle w:val="HHeading4"/>
                              <w:spacing w:before="0"/>
                              <w:jc w:val="both"/>
                              <w:rPr>
                                <w:rFonts w:cs="Arial"/>
                                <w:b w:val="0"/>
                                <w:color w:val="373737" w:themeColor="text1"/>
                              </w:rPr>
                            </w:pPr>
                            <w:r>
                              <w:rPr>
                                <w:noProof/>
                                <w:color w:val="373737" w:themeColor="text1"/>
                                <w:lang w:bidi="ar-SA"/>
                              </w:rPr>
                              <w:drawing>
                                <wp:inline distT="0" distB="0" distL="0" distR="0" wp14:anchorId="5F9AB07E" wp14:editId="4C71B102">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Los enfoques de evaluación</w:t>
                            </w:r>
                            <w:r>
                              <w:rPr>
                                <w:b w:val="0"/>
                                <w:color w:val="373737" w:themeColor="text1"/>
                              </w:rPr>
                              <w:t xml:space="preserve"> descritos en las Directrices son ejemplos de posibles opciones, aunque también existen otras opciones</w:t>
                            </w:r>
                            <w:r>
                              <w:rPr>
                                <w:color w:val="373737" w:themeColor="text1"/>
                              </w:rPr>
                              <w:t>.</w:t>
                            </w:r>
                            <w:r>
                              <w:rPr>
                                <w:b w:val="0"/>
                                <w:color w:val="373737" w:themeColor="text1"/>
                              </w:rPr>
                              <w:t xml:space="preserve"> Los evaluadores podrán elegir otros enfoques para valorar los impactos del PDR, teniendo en cuenta la mejor opción para recoger pruebas sólidas, pero también respetando la </w:t>
                            </w:r>
                            <w:r>
                              <w:rPr>
                                <w:color w:val="373737" w:themeColor="text1"/>
                              </w:rPr>
                              <w:t>situación específica del PDR</w:t>
                            </w:r>
                            <w:r>
                              <w:rPr>
                                <w:b w:val="0"/>
                                <w:color w:val="373737" w:themeColor="text1"/>
                              </w:rPr>
                              <w:t xml:space="preserve"> en lo que atañe a:</w:t>
                            </w:r>
                          </w:p>
                          <w:p w:rsidR="0022740E" w:rsidRPr="00D43E45" w:rsidRDefault="0022740E" w:rsidP="00EC01C3">
                            <w:pPr>
                              <w:pStyle w:val="Hlistbullet"/>
                              <w:rPr>
                                <w:i/>
                                <w:sz w:val="18"/>
                              </w:rPr>
                            </w:pPr>
                            <w:r>
                              <w:t xml:space="preserve">la magnitud del PDR, </w:t>
                            </w:r>
                          </w:p>
                          <w:p w:rsidR="0022740E" w:rsidRPr="00D43E45" w:rsidRDefault="0022740E" w:rsidP="00EC01C3">
                            <w:pPr>
                              <w:pStyle w:val="Hlistbullet"/>
                              <w:rPr>
                                <w:i/>
                                <w:sz w:val="18"/>
                              </w:rPr>
                            </w:pPr>
                            <w:r>
                              <w:t xml:space="preserve">la aceptación del PDR, </w:t>
                            </w:r>
                          </w:p>
                          <w:p w:rsidR="0022740E" w:rsidRPr="00D43E45" w:rsidRDefault="0022740E" w:rsidP="00EC01C3">
                            <w:pPr>
                              <w:pStyle w:val="Hlistbullet"/>
                              <w:rPr>
                                <w:i/>
                                <w:sz w:val="18"/>
                              </w:rPr>
                            </w:pPr>
                            <w:r>
                              <w:t>la disponibilidad y la calidad de los datos para la evaluación.</w:t>
                            </w:r>
                          </w:p>
                          <w:p w:rsidR="0022740E" w:rsidRPr="00E53246" w:rsidRDefault="0022740E" w:rsidP="00EC01C3">
                            <w:pPr>
                              <w:pStyle w:val="HHeading4"/>
                              <w:spacing w:before="0"/>
                              <w:jc w:val="both"/>
                              <w:rPr>
                                <w:b w:val="0"/>
                                <w:color w:val="373737" w:themeColor="text1"/>
                              </w:rPr>
                            </w:pPr>
                            <w:r>
                              <w:rPr>
                                <w:b w:val="0"/>
                                <w:color w:val="373737" w:themeColor="text1"/>
                              </w:rPr>
                              <w:t>Los modelos lógicos presentados en las presentes Directrices deben convertirse en instrumentos útiles para que los evaluadores identifiquen las posibles opciones de evaluación en un contexto global real determinado.</w:t>
                            </w:r>
                          </w:p>
                        </w:txbxContent>
                      </wps:txbx>
                      <wps:bodyPr rot="0" vert="horz" wrap="square" lIns="91440" tIns="45720" rIns="91440" bIns="45720" anchor="ctr" anchorCtr="0" upright="1">
                        <a:noAutofit/>
                      </wps:bodyPr>
                    </wps:wsp>
                  </a:graphicData>
                </a:graphic>
              </wp:inline>
            </w:drawing>
          </mc:Choice>
          <mc:Fallback>
            <w:pict>
              <v:shape w14:anchorId="05290C59" id="AutoShape 61" o:spid="_x0000_s1041" style="width:458.25pt;height:204.85pt;visibility:visible;mso-wrap-style:square;mso-left-percent:-10001;mso-top-percent:-10001;mso-position-horizontal:absolute;mso-position-horizontal-relative:char;mso-position-vertical:absolute;mso-position-vertical-relative:line;mso-left-percent:-10001;mso-top-percent:-10001;v-text-anchor:middle" coordsize="5819775,18040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" adj="-11796480,,5400" path="m157545,l5819775,r,1646471c5819775,1733481,5749240,1804016,5662230,1804016l,1804016,,157545c,70535,70535,,157545,xe" filled="f" strokecolor="#be4a35" strokeweight="2pt">
                <v:stroke joinstyle="miter"/>
                <v:formulas/>
                <v:path arrowok="t" o:connecttype="custom" o:connectlocs="157545,0;5819775,0;5819775,0;5819775,2374479;5662230,2601685;0,2601685;0,2601685;0,227206;157545,0" o:connectangles="0,0,0,0,0,0,0,0,0" textboxrect="0,0,5819775,1804016"/>
                <v:textbox>
                  <w:txbxContent>
                    <w:p w:rsidR="0022740E" w:rsidRPr="00D43E45" w:rsidRDefault="0022740E" w:rsidP="00EC01C3">
                      <w:pPr>
                        <w:pStyle w:val="HHeading4"/>
                        <w:spacing w:before="0"/>
                        <w:jc w:val="both"/>
                        <w:rPr>
                          <w:rFonts w:cs="Arial"/>
                          <w:b w:val="0"/>
                          <w:color w:val="373737" w:themeColor="text1"/>
                        </w:rPr>
                      </w:pPr>
                      <w:r>
                        <w:rPr>
                          <w:noProof/>
                          <w:color w:val="373737" w:themeColor="text1"/>
                          <w:lang w:bidi="ar-SA"/>
                        </w:rPr>
                        <w:drawing>
                          <wp:inline distT="0" distB="0" distL="0" distR="0" wp14:anchorId="5F9AB07E" wp14:editId="4C71B102">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Los enfoques de evaluación</w:t>
                      </w:r>
                      <w:r>
                        <w:rPr>
                          <w:b w:val="0"/>
                          <w:color w:val="373737" w:themeColor="text1"/>
                        </w:rPr>
                        <w:t xml:space="preserve"> descritos en las Directrices son ejemplos de posibles opciones, aunque también existen otras opciones</w:t>
                      </w:r>
                      <w:r>
                        <w:rPr>
                          <w:color w:val="373737" w:themeColor="text1"/>
                        </w:rPr>
                        <w:t>.</w:t>
                      </w:r>
                      <w:r>
                        <w:rPr>
                          <w:b w:val="0"/>
                          <w:color w:val="373737" w:themeColor="text1"/>
                        </w:rPr>
                        <w:t xml:space="preserve"> Los evaluadores podrán elegir otros enfoques para valorar los impactos del PDR, teniendo en cuenta la mejor opción para recoger pruebas sólidas, pero también respetando la </w:t>
                      </w:r>
                      <w:r>
                        <w:rPr>
                          <w:color w:val="373737" w:themeColor="text1"/>
                        </w:rPr>
                        <w:t>situación específica del PDR</w:t>
                      </w:r>
                      <w:r>
                        <w:rPr>
                          <w:b w:val="0"/>
                          <w:color w:val="373737" w:themeColor="text1"/>
                        </w:rPr>
                        <w:t xml:space="preserve"> en lo que atañe a:</w:t>
                      </w:r>
                    </w:p>
                    <w:p w:rsidR="0022740E" w:rsidRPr="00D43E45" w:rsidRDefault="0022740E" w:rsidP="00EC01C3">
                      <w:pPr>
                        <w:pStyle w:val="Hlistbullet"/>
                        <w:rPr>
                          <w:i/>
                          <w:sz w:val="18"/>
                        </w:rPr>
                      </w:pPr>
                      <w:r>
                        <w:t xml:space="preserve">la magnitud del PDR, </w:t>
                      </w:r>
                    </w:p>
                    <w:p w:rsidR="0022740E" w:rsidRPr="00D43E45" w:rsidRDefault="0022740E" w:rsidP="00EC01C3">
                      <w:pPr>
                        <w:pStyle w:val="Hlistbullet"/>
                        <w:rPr>
                          <w:i/>
                          <w:sz w:val="18"/>
                        </w:rPr>
                      </w:pPr>
                      <w:r>
                        <w:t xml:space="preserve">la aceptación del PDR, </w:t>
                      </w:r>
                    </w:p>
                    <w:p w:rsidR="0022740E" w:rsidRPr="00D43E45" w:rsidRDefault="0022740E" w:rsidP="00EC01C3">
                      <w:pPr>
                        <w:pStyle w:val="Hlistbullet"/>
                        <w:rPr>
                          <w:i/>
                          <w:sz w:val="18"/>
                        </w:rPr>
                      </w:pPr>
                      <w:r>
                        <w:t>la disponibilidad y la calidad de los datos para la evaluación.</w:t>
                      </w:r>
                    </w:p>
                    <w:p w:rsidR="0022740E" w:rsidRPr="00E53246" w:rsidRDefault="0022740E" w:rsidP="00EC01C3">
                      <w:pPr>
                        <w:pStyle w:val="HHeading4"/>
                        <w:spacing w:before="0"/>
                        <w:jc w:val="both"/>
                        <w:rPr>
                          <w:b w:val="0"/>
                          <w:color w:val="373737" w:themeColor="text1"/>
                        </w:rPr>
                      </w:pPr>
                      <w:r>
                        <w:rPr>
                          <w:b w:val="0"/>
                          <w:color w:val="373737" w:themeColor="text1"/>
                        </w:rPr>
                        <w:t>Los modelos lógicos presentados en las presentes Directrices deben convertirse en instrumentos útiles para que los evaluadores identifiquen las posibles opciones de evaluación en un contexto global real determinado.</w:t>
                      </w:r>
                    </w:p>
                  </w:txbxContent>
                </v:textbox>
                <w10:anchorlock/>
              </v:shape>
            </w:pict>
          </mc:Fallback>
        </mc:AlternateContent>
      </w:r>
      <w:bookmarkEnd w:id="0"/>
    </w:p>
    <w:p w:rsidR="003F30B5" w:rsidRPr="005667CD" w:rsidRDefault="003F30B5">
      <w:pPr>
        <w:spacing w:before="0" w:after="0" w:line="240" w:lineRule="auto"/>
        <w:jc w:val="left"/>
        <w:rPr>
          <w:color w:val="373737" w:themeColor="text1"/>
          <w:sz w:val="20"/>
          <w:szCs w:val="20"/>
        </w:rPr>
      </w:pPr>
    </w:p>
    <w:sectPr w:rsidR="003F30B5" w:rsidRPr="005667CD" w:rsidSect="0073782F">
      <w:headerReference w:type="default" r:id="rId70"/>
      <w:pgSz w:w="11906" w:h="16838" w:code="9"/>
      <w:pgMar w:top="1400" w:right="1400" w:bottom="1134" w:left="1400" w:header="567"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4B86" w:rsidRDefault="009B4B86">
      <w:pPr>
        <w:spacing w:before="0" w:after="0" w:line="240" w:lineRule="auto"/>
      </w:pPr>
      <w:r>
        <w:separator/>
      </w:r>
    </w:p>
  </w:endnote>
  <w:endnote w:type="continuationSeparator" w:id="0">
    <w:p w:rsidR="009B4B86" w:rsidRDefault="009B4B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40E" w:rsidRDefault="002274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40E" w:rsidRDefault="002274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2427707"/>
      <w:docPartObj>
        <w:docPartGallery w:val="Page Numbers (Bottom of Page)"/>
        <w:docPartUnique/>
      </w:docPartObj>
    </w:sdtPr>
    <w:sdtEndPr>
      <w:rPr>
        <w:noProof/>
      </w:rPr>
    </w:sdtEndPr>
    <w:sdtContent>
      <w:p w:rsidR="0022740E" w:rsidRDefault="0022740E">
        <w:pPr>
          <w:pStyle w:val="Footer"/>
        </w:pPr>
        <w:r>
          <w:fldChar w:fldCharType="begin"/>
        </w:r>
        <w:r>
          <w:instrText xml:space="preserve"> PAGE   \* MERGEFORMAT </w:instrText>
        </w:r>
        <w:r>
          <w:fldChar w:fldCharType="separate"/>
        </w:r>
        <w:r>
          <w:rPr>
            <w:noProof/>
          </w:rPr>
          <w:t>1</w:t>
        </w:r>
        <w:r>
          <w:rPr>
            <w:noProof/>
          </w:rPr>
          <w:fldChar w:fldCharType="end"/>
        </w:r>
      </w:p>
    </w:sdtContent>
  </w:sdt>
  <w:p w:rsidR="0022740E" w:rsidRDefault="002274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40E" w:rsidRDefault="0022740E">
    <w:pPr>
      <w:pStyle w:val="Footer"/>
    </w:pPr>
  </w:p>
  <w:p w:rsidR="0022740E" w:rsidRDefault="0022740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635045"/>
      <w:docPartObj>
        <w:docPartGallery w:val="Page Numbers (Bottom of Page)"/>
        <w:docPartUnique/>
      </w:docPartObj>
    </w:sdtPr>
    <w:sdtEndPr>
      <w:rPr>
        <w:noProof/>
      </w:rPr>
    </w:sdtEndPr>
    <w:sdtContent>
      <w:p w:rsidR="0022740E" w:rsidRDefault="0022740E">
        <w:pPr>
          <w:pStyle w:val="Footer"/>
        </w:pPr>
        <w:r>
          <w:fldChar w:fldCharType="begin"/>
        </w:r>
        <w:r>
          <w:instrText xml:space="preserve"> PAGE   \* MERGEFORMAT </w:instrText>
        </w:r>
        <w:r>
          <w:fldChar w:fldCharType="separate"/>
        </w:r>
        <w:r>
          <w:rPr>
            <w:noProof/>
          </w:rPr>
          <w:t>28</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0787632"/>
      <w:docPartObj>
        <w:docPartGallery w:val="Page Numbers (Bottom of Page)"/>
        <w:docPartUnique/>
      </w:docPartObj>
    </w:sdtPr>
    <w:sdtEndPr>
      <w:rPr>
        <w:noProof/>
      </w:rPr>
    </w:sdtEndPr>
    <w:sdtContent>
      <w:p w:rsidR="0022740E" w:rsidRDefault="0022740E">
        <w:pPr>
          <w:pStyle w:val="Foote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4B86" w:rsidRPr="005B2AAC" w:rsidRDefault="009B4B86">
      <w:pPr>
        <w:spacing w:before="0" w:after="0" w:line="240" w:lineRule="auto"/>
        <w:rPr>
          <w:color w:val="F07E31" w:themeColor="accent1"/>
        </w:rPr>
      </w:pPr>
      <w:r>
        <w:rPr>
          <w:color w:val="F07E31" w:themeColor="accent1"/>
        </w:rPr>
        <w:separator/>
      </w:r>
    </w:p>
  </w:footnote>
  <w:footnote w:type="continuationSeparator" w:id="0">
    <w:p w:rsidR="009B4B86" w:rsidRDefault="009B4B86">
      <w:pPr>
        <w:spacing w:before="0" w:after="0" w:line="240" w:lineRule="auto"/>
      </w:pPr>
      <w:r>
        <w:continuationSeparator/>
      </w:r>
    </w:p>
  </w:footnote>
  <w:footnote w:id="1">
    <w:p w:rsidR="0022740E" w:rsidRPr="003563F4" w:rsidRDefault="0022740E" w:rsidP="004A2938">
      <w:pPr>
        <w:pStyle w:val="FootnoteText"/>
        <w:ind w:left="360" w:hanging="360"/>
        <w:rPr>
          <w:color w:val="878787" w:themeColor="text2" w:themeTint="99"/>
        </w:rPr>
      </w:pPr>
      <w:r>
        <w:rPr>
          <w:rStyle w:val="FootnoteReference"/>
          <w:color w:val="878787" w:themeColor="text2" w:themeTint="99"/>
        </w:rPr>
        <w:footnoteRef/>
      </w:r>
      <w:r>
        <w:rPr>
          <w:color w:val="878787" w:themeColor="text2" w:themeTint="99"/>
        </w:rPr>
        <w:tab/>
        <w:t>Artículo 54 y artículo 56, apartado 3, del Reglamento (UE) n.º 1303/2013.</w:t>
      </w:r>
    </w:p>
  </w:footnote>
  <w:footnote w:id="2">
    <w:p w:rsidR="0022740E" w:rsidRPr="00E53246" w:rsidRDefault="0022740E" w:rsidP="004A2938">
      <w:pPr>
        <w:pStyle w:val="FootnoteText"/>
        <w:ind w:left="360" w:hanging="360"/>
      </w:pPr>
      <w:r>
        <w:rPr>
          <w:rStyle w:val="FootnoteReference"/>
          <w:color w:val="878787" w:themeColor="text2" w:themeTint="99"/>
        </w:rPr>
        <w:footnoteRef/>
      </w:r>
      <w:r>
        <w:rPr>
          <w:color w:val="878787" w:themeColor="text2" w:themeTint="99"/>
        </w:rPr>
        <w:tab/>
        <w:t>Anexo VII del Reglamento (UE) n.º 808/2014.</w:t>
      </w:r>
    </w:p>
  </w:footnote>
  <w:footnote w:id="3">
    <w:p w:rsidR="0022740E" w:rsidRPr="003563F4" w:rsidRDefault="0022740E" w:rsidP="004A2938">
      <w:pPr>
        <w:pStyle w:val="FootnoteText"/>
        <w:ind w:left="360" w:hanging="360"/>
        <w:rPr>
          <w:color w:val="878787" w:themeColor="text2" w:themeTint="99"/>
        </w:rPr>
      </w:pPr>
      <w:r>
        <w:rPr>
          <w:color w:val="878787" w:themeColor="text2" w:themeTint="99"/>
          <w:vertAlign w:val="superscript"/>
        </w:rPr>
        <w:footnoteRef/>
      </w:r>
      <w:r>
        <w:tab/>
        <w:t xml:space="preserve">Artículo 75 del </w:t>
      </w:r>
      <w:hyperlink r:id="rId1">
        <w:r>
          <w:rPr>
            <w:color w:val="878787" w:themeColor="text2" w:themeTint="99"/>
          </w:rPr>
          <w:t>Reglamento (UE) n.º 1305/2013</w:t>
        </w:r>
      </w:hyperlink>
      <w:r>
        <w:t>.</w:t>
      </w:r>
    </w:p>
  </w:footnote>
  <w:footnote w:id="4">
    <w:p w:rsidR="0022740E" w:rsidRPr="003563F4" w:rsidRDefault="0022740E" w:rsidP="004A2938">
      <w:pPr>
        <w:pStyle w:val="FootnoteText"/>
        <w:ind w:left="360" w:hanging="360"/>
        <w:rPr>
          <w:color w:val="878787" w:themeColor="text2" w:themeTint="99"/>
        </w:rPr>
      </w:pPr>
      <w:r>
        <w:rPr>
          <w:color w:val="878787" w:themeColor="text2" w:themeTint="99"/>
          <w:vertAlign w:val="superscript"/>
        </w:rPr>
        <w:footnoteRef/>
      </w:r>
      <w:r>
        <w:tab/>
      </w:r>
      <w:hyperlink r:id="rId2">
        <w:r>
          <w:rPr>
            <w:rStyle w:val="Hyperlink"/>
            <w:color w:val="878787" w:themeColor="text2" w:themeTint="99"/>
            <w:sz w:val="16"/>
            <w:u w:val="none"/>
          </w:rPr>
          <w:t xml:space="preserve">Directrices «Establecimiento y ejecución del Plan de evaluación de los PDR en el período 2014-2020». </w:t>
        </w:r>
      </w:hyperlink>
    </w:p>
  </w:footnote>
  <w:footnote w:id="5">
    <w:p w:rsidR="0022740E" w:rsidRPr="003563F4" w:rsidRDefault="0022740E" w:rsidP="004A2938">
      <w:pPr>
        <w:pStyle w:val="FootnoteText"/>
        <w:ind w:left="360" w:hanging="360"/>
        <w:rPr>
          <w:color w:val="878787" w:themeColor="text2" w:themeTint="99"/>
        </w:rPr>
      </w:pPr>
      <w:r>
        <w:rPr>
          <w:color w:val="878787" w:themeColor="text2" w:themeTint="99"/>
          <w:vertAlign w:val="superscript"/>
        </w:rPr>
        <w:footnoteRef/>
      </w:r>
      <w:r>
        <w:tab/>
      </w:r>
      <w:hyperlink r:id="rId3">
        <w:r>
          <w:rPr>
            <w:rStyle w:val="Hyperlink"/>
            <w:color w:val="878787" w:themeColor="text2" w:themeTint="99"/>
            <w:sz w:val="16"/>
            <w:u w:val="none"/>
          </w:rPr>
          <w:t>Reglamento de Ejecución (UE) n.º 808/2014 de la Comisión, anexo I, punto 9, y anexo VII, punto 7</w:t>
        </w:r>
      </w:hyperlink>
      <w:r>
        <w:rPr>
          <w:rStyle w:val="Hyperlink"/>
          <w:color w:val="878787" w:themeColor="text2" w:themeTint="99"/>
          <w:sz w:val="16"/>
          <w:u w:val="none"/>
        </w:rPr>
        <w:t>.</w:t>
      </w:r>
    </w:p>
  </w:footnote>
  <w:footnote w:id="6">
    <w:p w:rsidR="0022740E" w:rsidRPr="003563F4" w:rsidRDefault="0022740E" w:rsidP="004A2938">
      <w:pPr>
        <w:pStyle w:val="FootnoteText"/>
        <w:ind w:left="360" w:hanging="360"/>
        <w:rPr>
          <w:color w:val="878787" w:themeColor="text2" w:themeTint="99"/>
        </w:rPr>
      </w:pPr>
      <w:r>
        <w:rPr>
          <w:i/>
          <w:color w:val="878787" w:themeColor="text2" w:themeTint="99"/>
          <w:vertAlign w:val="superscript"/>
        </w:rPr>
        <w:footnoteRef/>
      </w:r>
      <w:r>
        <w:tab/>
        <w:t xml:space="preserve">El Servicio de asistencia de evaluación resumió las conclusiones de los IAE presentados en 2017 en el </w:t>
      </w:r>
      <w:hyperlink r:id="rId4">
        <w:r>
          <w:rPr>
            <w:color w:val="878787" w:themeColor="text2" w:themeTint="99"/>
          </w:rPr>
          <w:t>informe resumido titulado Síntesis de los componentes de evaluación del IAE mejorado de 2017: Capítulo 7.</w:t>
        </w:r>
      </w:hyperlink>
    </w:p>
  </w:footnote>
  <w:footnote w:id="7">
    <w:p w:rsidR="0022740E" w:rsidRPr="00E53246" w:rsidRDefault="0022740E" w:rsidP="004A2938">
      <w:pPr>
        <w:pStyle w:val="FootnoteText"/>
        <w:ind w:left="360" w:hanging="360"/>
      </w:pPr>
      <w:r>
        <w:rPr>
          <w:i/>
          <w:color w:val="878787" w:themeColor="text2" w:themeTint="99"/>
          <w:vertAlign w:val="superscript"/>
        </w:rPr>
        <w:footnoteRef/>
      </w:r>
      <w:r>
        <w:rPr>
          <w:color w:val="878787" w:themeColor="text2" w:themeTint="99"/>
        </w:rPr>
        <w:tab/>
        <w:t>Anexo VII del Reglamento (UE) n.º 808/2014.</w:t>
      </w:r>
    </w:p>
  </w:footnote>
  <w:footnote w:id="8">
    <w:p w:rsidR="0022740E" w:rsidRPr="003563F4" w:rsidRDefault="0022740E" w:rsidP="004A2938">
      <w:pPr>
        <w:pStyle w:val="FootnoteText"/>
        <w:ind w:left="360" w:hanging="360"/>
        <w:rPr>
          <w:color w:val="878787" w:themeColor="text2" w:themeTint="99"/>
        </w:rPr>
      </w:pPr>
      <w:r>
        <w:rPr>
          <w:rStyle w:val="FootnoteReference"/>
          <w:color w:val="878787" w:themeColor="text2" w:themeTint="99"/>
        </w:rPr>
        <w:footnoteRef/>
      </w:r>
      <w:r>
        <w:tab/>
      </w:r>
      <w:hyperlink r:id="rId5">
        <w:r>
          <w:rPr>
            <w:color w:val="878787" w:themeColor="text2" w:themeTint="99"/>
          </w:rPr>
          <w:t>Artículos 67–79 del Reglamento (UE) n.º 1305/2014</w:t>
        </w:r>
      </w:hyperlink>
      <w:r>
        <w:rPr>
          <w:color w:val="878787" w:themeColor="text2" w:themeTint="99"/>
        </w:rPr>
        <w:t xml:space="preserve">, </w:t>
      </w:r>
      <w:hyperlink r:id="rId6">
        <w:r>
          <w:rPr>
            <w:color w:val="878787" w:themeColor="text2" w:themeTint="99"/>
          </w:rPr>
          <w:t>artículo 110 del Reglamento (UE) n.º 1306/2013,</w:t>
        </w:r>
      </w:hyperlink>
      <w:r>
        <w:rPr>
          <w:color w:val="878787" w:themeColor="text2" w:themeTint="99"/>
        </w:rPr>
        <w:t xml:space="preserve"> </w:t>
      </w:r>
      <w:hyperlink r:id="rId7">
        <w:r>
          <w:rPr>
            <w:color w:val="878787" w:themeColor="text2" w:themeTint="99"/>
          </w:rPr>
          <w:t>artículo 1, letra a), y anexo I, del Reglamento (UE) n.º 834/2014</w:t>
        </w:r>
      </w:hyperlink>
      <w:r>
        <w:rPr>
          <w:color w:val="878787" w:themeColor="text2" w:themeTint="99"/>
        </w:rPr>
        <w:t xml:space="preserve">, </w:t>
      </w:r>
      <w:hyperlink r:id="rId8">
        <w:r>
          <w:rPr>
            <w:color w:val="878787" w:themeColor="text2" w:themeTint="99"/>
          </w:rPr>
          <w:t>artículo 14 y anexos IV, V, VI y VII, del Reglamento (UE) n.º 808/2014</w:t>
        </w:r>
      </w:hyperlink>
      <w:r>
        <w:rPr>
          <w:color w:val="878787" w:themeColor="text2" w:themeTint="99"/>
        </w:rPr>
        <w:t>.</w:t>
      </w:r>
    </w:p>
  </w:footnote>
  <w:footnote w:id="9">
    <w:p w:rsidR="0022740E" w:rsidRPr="003563F4" w:rsidRDefault="0022740E" w:rsidP="004A2938">
      <w:pPr>
        <w:pStyle w:val="FootnoteText"/>
        <w:ind w:left="360" w:hanging="360"/>
        <w:rPr>
          <w:color w:val="878787" w:themeColor="text2" w:themeTint="99"/>
        </w:rPr>
      </w:pPr>
      <w:r>
        <w:rPr>
          <w:rStyle w:val="FootnoteReference"/>
          <w:color w:val="878787" w:themeColor="text2" w:themeTint="99"/>
        </w:rPr>
        <w:footnoteRef/>
      </w:r>
      <w:r>
        <w:rPr>
          <w:color w:val="878787" w:themeColor="text2" w:themeTint="99"/>
        </w:rPr>
        <w:tab/>
        <w:t>Artículo 54 del Reglamento (UE) n.º 1303/2013.</w:t>
      </w:r>
    </w:p>
  </w:footnote>
  <w:footnote w:id="10">
    <w:p w:rsidR="0022740E" w:rsidRPr="003563F4" w:rsidRDefault="0022740E" w:rsidP="004A2938">
      <w:pPr>
        <w:pStyle w:val="FootnoteText"/>
        <w:ind w:left="360" w:hanging="360"/>
        <w:rPr>
          <w:color w:val="878787" w:themeColor="text2" w:themeTint="99"/>
        </w:rPr>
      </w:pPr>
      <w:r>
        <w:rPr>
          <w:rStyle w:val="FootnoteReference"/>
          <w:color w:val="878787" w:themeColor="text2" w:themeTint="99"/>
        </w:rPr>
        <w:footnoteRef/>
      </w:r>
      <w:r>
        <w:rPr>
          <w:color w:val="878787" w:themeColor="text2" w:themeTint="99"/>
        </w:rPr>
        <w:tab/>
        <w:t>Artículo 56 del Reglamento (UE) n.º 1303/2013.</w:t>
      </w:r>
    </w:p>
  </w:footnote>
  <w:footnote w:id="11">
    <w:p w:rsidR="0022740E" w:rsidRPr="003563F4" w:rsidRDefault="0022740E" w:rsidP="004A2938">
      <w:pPr>
        <w:pStyle w:val="FootnoteText"/>
        <w:ind w:left="360" w:hanging="360"/>
        <w:rPr>
          <w:color w:val="878787" w:themeColor="text2" w:themeTint="99"/>
        </w:rPr>
      </w:pPr>
      <w:r>
        <w:rPr>
          <w:rStyle w:val="FootnoteReference"/>
          <w:color w:val="878787" w:themeColor="text2" w:themeTint="99"/>
        </w:rPr>
        <w:footnoteRef/>
      </w:r>
      <w:r>
        <w:rPr>
          <w:color w:val="878787" w:themeColor="text2" w:themeTint="99"/>
        </w:rPr>
        <w:tab/>
        <w:t>Artículo 110 del Reglamento (UE) n.º 1306/2013.</w:t>
      </w:r>
    </w:p>
  </w:footnote>
  <w:footnote w:id="12">
    <w:p w:rsidR="0022740E" w:rsidRPr="003563F4" w:rsidRDefault="0022740E" w:rsidP="004A2938">
      <w:pPr>
        <w:pStyle w:val="FootnoteText"/>
        <w:ind w:left="360" w:hanging="360"/>
        <w:rPr>
          <w:color w:val="878787" w:themeColor="text2" w:themeTint="99"/>
        </w:rPr>
      </w:pPr>
      <w:r>
        <w:rPr>
          <w:rStyle w:val="FootnoteReference"/>
          <w:color w:val="878787" w:themeColor="text2" w:themeTint="99"/>
        </w:rPr>
        <w:footnoteRef/>
      </w:r>
      <w:r>
        <w:rPr>
          <w:color w:val="878787" w:themeColor="text2" w:themeTint="99"/>
        </w:rPr>
        <w:tab/>
        <w:t>Artículo 110, apartados 3 y 4, del Reglamento (UE) n.º 1306/2013.</w:t>
      </w:r>
    </w:p>
  </w:footnote>
  <w:footnote w:id="13">
    <w:p w:rsidR="0022740E" w:rsidRPr="003563F4" w:rsidRDefault="0022740E" w:rsidP="004A2938">
      <w:pPr>
        <w:pStyle w:val="FootnoteText"/>
        <w:ind w:left="360" w:hanging="360"/>
        <w:rPr>
          <w:color w:val="878787" w:themeColor="text2" w:themeTint="99"/>
        </w:rPr>
      </w:pPr>
      <w:r>
        <w:rPr>
          <w:rStyle w:val="FootnoteReference"/>
          <w:color w:val="878787" w:themeColor="text2" w:themeTint="99"/>
        </w:rPr>
        <w:footnoteRef/>
      </w:r>
      <w:r>
        <w:rPr>
          <w:color w:val="878787" w:themeColor="text2" w:themeTint="99"/>
        </w:rPr>
        <w:tab/>
        <w:t>Artículos 67 y 68 del Reglamento (UE) n.º 1305/2013.</w:t>
      </w:r>
    </w:p>
  </w:footnote>
  <w:footnote w:id="14">
    <w:p w:rsidR="0022740E" w:rsidRPr="00E53246" w:rsidRDefault="0022740E" w:rsidP="004A2938">
      <w:pPr>
        <w:pStyle w:val="FootnoteText"/>
        <w:ind w:left="360" w:hanging="360"/>
      </w:pPr>
      <w:r>
        <w:rPr>
          <w:rStyle w:val="FootnoteReference"/>
          <w:color w:val="878787" w:themeColor="text2" w:themeTint="99"/>
        </w:rPr>
        <w:footnoteRef/>
      </w:r>
      <w:r>
        <w:rPr>
          <w:color w:val="878787" w:themeColor="text2" w:themeTint="99"/>
        </w:rPr>
        <w:tab/>
        <w:t>Artículo 69 del Reglamento (UE) n.º 1305/2013.</w:t>
      </w:r>
    </w:p>
  </w:footnote>
  <w:footnote w:id="15">
    <w:p w:rsidR="0022740E" w:rsidRPr="003563F4" w:rsidRDefault="0022740E" w:rsidP="004A2938">
      <w:pPr>
        <w:pStyle w:val="FootnoteText"/>
        <w:ind w:left="360" w:hanging="360"/>
        <w:rPr>
          <w:color w:val="878787" w:themeColor="text2" w:themeTint="99"/>
        </w:rPr>
      </w:pPr>
      <w:r>
        <w:rPr>
          <w:rStyle w:val="FootnoteReference"/>
          <w:i w:val="0"/>
          <w:color w:val="878787" w:themeColor="text2" w:themeTint="99"/>
          <w:position w:val="0"/>
        </w:rPr>
        <w:footnoteRef/>
      </w:r>
      <w:r>
        <w:tab/>
      </w:r>
      <w:hyperlink r:id="rId9">
        <w:r>
          <w:rPr>
            <w:color w:val="878787" w:themeColor="text2" w:themeTint="99"/>
          </w:rPr>
          <w:t>Manual técnico sobre el seguimiento y la evaluación de la política agrícola común 2014-2020, Comisión Europea, junio de 2017</w:t>
        </w:r>
      </w:hyperlink>
      <w:r>
        <w:rPr>
          <w:rStyle w:val="Hyperlink"/>
          <w:color w:val="878787" w:themeColor="text2" w:themeTint="99"/>
          <w:sz w:val="16"/>
          <w:u w:val="none"/>
        </w:rPr>
        <w:t>.</w:t>
      </w:r>
    </w:p>
  </w:footnote>
  <w:footnote w:id="16">
    <w:p w:rsidR="0022740E" w:rsidRPr="003563F4" w:rsidRDefault="0022740E" w:rsidP="004A2938">
      <w:pPr>
        <w:pStyle w:val="FootnoteText"/>
        <w:ind w:left="360" w:hanging="360"/>
        <w:rPr>
          <w:color w:val="878787" w:themeColor="text2" w:themeTint="99"/>
        </w:rPr>
      </w:pPr>
      <w:r>
        <w:rPr>
          <w:rStyle w:val="FootnoteReference"/>
          <w:color w:val="878787" w:themeColor="text2" w:themeTint="99"/>
        </w:rPr>
        <w:footnoteRef/>
      </w:r>
      <w:r>
        <w:rPr>
          <w:color w:val="878787" w:themeColor="text2" w:themeTint="99"/>
        </w:rPr>
        <w:tab/>
        <w:t>Artículo 14 del Reglamento (UE) n.º 808/2014.</w:t>
      </w:r>
    </w:p>
  </w:footnote>
  <w:footnote w:id="17">
    <w:p w:rsidR="0022740E" w:rsidRPr="003563F4" w:rsidRDefault="0022740E" w:rsidP="004A2938">
      <w:pPr>
        <w:pStyle w:val="FootnoteText"/>
        <w:ind w:left="360" w:hanging="360"/>
        <w:rPr>
          <w:color w:val="878787" w:themeColor="text2" w:themeTint="99"/>
        </w:rPr>
      </w:pPr>
      <w:r>
        <w:rPr>
          <w:rStyle w:val="FootnoteReference"/>
          <w:color w:val="878787" w:themeColor="text2" w:themeTint="99"/>
        </w:rPr>
        <w:footnoteRef/>
      </w:r>
      <w:r>
        <w:rPr>
          <w:color w:val="878787" w:themeColor="text2" w:themeTint="99"/>
        </w:rPr>
        <w:tab/>
        <w:t>Anexo IV del Reglamento (UE) n.º 808/2014.</w:t>
      </w:r>
    </w:p>
  </w:footnote>
  <w:footnote w:id="18">
    <w:p w:rsidR="0022740E" w:rsidRPr="003563F4" w:rsidRDefault="0022740E" w:rsidP="004A2938">
      <w:pPr>
        <w:pStyle w:val="FootnoteText"/>
        <w:ind w:left="360" w:hanging="360"/>
        <w:rPr>
          <w:color w:val="878787" w:themeColor="text2" w:themeTint="99"/>
        </w:rPr>
      </w:pPr>
      <w:r>
        <w:rPr>
          <w:rStyle w:val="FootnoteReference"/>
          <w:color w:val="878787" w:themeColor="text2" w:themeTint="99"/>
        </w:rPr>
        <w:footnoteRef/>
      </w:r>
      <w:r>
        <w:rPr>
          <w:color w:val="878787" w:themeColor="text2" w:themeTint="99"/>
        </w:rPr>
        <w:tab/>
        <w:t>Anexo V del Reglamento (UE) n.º 808/2014.</w:t>
      </w:r>
    </w:p>
  </w:footnote>
  <w:footnote w:id="19">
    <w:p w:rsidR="0022740E" w:rsidRPr="003563F4" w:rsidRDefault="0022740E" w:rsidP="004A2938">
      <w:pPr>
        <w:pStyle w:val="FootnoteText"/>
        <w:ind w:left="360" w:hanging="360"/>
        <w:rPr>
          <w:color w:val="878787" w:themeColor="text2" w:themeTint="99"/>
        </w:rPr>
      </w:pPr>
      <w:r>
        <w:rPr>
          <w:rStyle w:val="FootnoteReference"/>
          <w:color w:val="878787" w:themeColor="text2" w:themeTint="99"/>
        </w:rPr>
        <w:footnoteRef/>
      </w:r>
      <w:r>
        <w:rPr>
          <w:color w:val="878787" w:themeColor="text2" w:themeTint="99"/>
        </w:rPr>
        <w:tab/>
        <w:t>Anexo VII, punto 2, del Reglamento (UE) n.º 808/2014.</w:t>
      </w:r>
    </w:p>
  </w:footnote>
  <w:footnote w:id="20">
    <w:p w:rsidR="0022740E" w:rsidRPr="003563F4" w:rsidRDefault="0022740E" w:rsidP="004A2938">
      <w:pPr>
        <w:pStyle w:val="FootnoteText"/>
        <w:ind w:left="360" w:hanging="360"/>
        <w:rPr>
          <w:color w:val="878787" w:themeColor="text2" w:themeTint="99"/>
        </w:rPr>
      </w:pPr>
      <w:r>
        <w:rPr>
          <w:rStyle w:val="FootnoteReference"/>
          <w:color w:val="878787" w:themeColor="text2" w:themeTint="99"/>
        </w:rPr>
        <w:footnoteRef/>
      </w:r>
      <w:r>
        <w:rPr>
          <w:color w:val="878787" w:themeColor="text2" w:themeTint="99"/>
        </w:rPr>
        <w:tab/>
        <w:t>Anexo I, parte I, punto 9, del Reglamento (UE) n.º 808/2014.</w:t>
      </w:r>
    </w:p>
  </w:footnote>
  <w:footnote w:id="21">
    <w:p w:rsidR="0022740E" w:rsidRPr="003563F4" w:rsidRDefault="0022740E" w:rsidP="004A2938">
      <w:pPr>
        <w:pStyle w:val="FootnoteText"/>
        <w:ind w:left="360" w:hanging="360"/>
        <w:rPr>
          <w:color w:val="878787" w:themeColor="text2" w:themeTint="99"/>
        </w:rPr>
      </w:pPr>
      <w:r>
        <w:rPr>
          <w:rStyle w:val="FootnoteReference"/>
          <w:color w:val="878787" w:themeColor="text2" w:themeTint="99"/>
        </w:rPr>
        <w:footnoteRef/>
      </w:r>
      <w:r>
        <w:rPr>
          <w:color w:val="878787" w:themeColor="text2" w:themeTint="99"/>
        </w:rPr>
        <w:tab/>
        <w:t>Anexo VII, punto 7, del Reglamento (UE) n.º 808/2014.</w:t>
      </w:r>
    </w:p>
  </w:footnote>
  <w:footnote w:id="22">
    <w:p w:rsidR="0022740E" w:rsidRPr="00E53246" w:rsidRDefault="0022740E" w:rsidP="004A2938">
      <w:pPr>
        <w:pStyle w:val="FootnoteText"/>
        <w:ind w:left="360" w:hanging="360"/>
      </w:pPr>
      <w:r>
        <w:rPr>
          <w:rStyle w:val="FootnoteReference"/>
          <w:color w:val="878787" w:themeColor="text2" w:themeTint="99"/>
        </w:rPr>
        <w:footnoteRef/>
      </w:r>
      <w:r>
        <w:rPr>
          <w:color w:val="878787" w:themeColor="text2" w:themeTint="99"/>
        </w:rPr>
        <w:tab/>
        <w:t>Anexo VI del Reglamento (UE) n.º 808/2014.</w:t>
      </w:r>
    </w:p>
  </w:footnote>
  <w:footnote w:id="23">
    <w:p w:rsidR="0022740E" w:rsidRPr="00E53246" w:rsidRDefault="0022740E" w:rsidP="004A2938">
      <w:pPr>
        <w:pStyle w:val="FootnoteText"/>
        <w:ind w:left="360" w:hanging="360"/>
      </w:pPr>
      <w:r>
        <w:rPr>
          <w:rStyle w:val="FootnoteReference"/>
          <w:color w:val="878787" w:themeColor="text2" w:themeTint="99"/>
        </w:rPr>
        <w:footnoteRef/>
      </w:r>
      <w:r>
        <w:tab/>
      </w:r>
      <w:hyperlink r:id="rId10">
        <w:r>
          <w:rPr>
            <w:color w:val="878787" w:themeColor="text2" w:themeTint="99"/>
          </w:rPr>
          <w:t>Manual técnico sobre el seguimiento y la evaluación de la política agrícola común 2014-2020, Comisión Europea, junio de 2017</w:t>
        </w:r>
      </w:hyperlink>
      <w:r>
        <w:rPr>
          <w:rStyle w:val="Hyperlink"/>
          <w:color w:val="878787" w:themeColor="text2" w:themeTint="99"/>
          <w:sz w:val="16"/>
          <w:u w:val="none"/>
        </w:rPr>
        <w:t>.</w:t>
      </w:r>
    </w:p>
  </w:footnote>
  <w:footnote w:id="24">
    <w:p w:rsidR="0022740E" w:rsidRPr="000D3DB8" w:rsidRDefault="0022740E" w:rsidP="004A2938">
      <w:pPr>
        <w:pStyle w:val="FootnoteText"/>
        <w:ind w:left="360" w:hanging="360"/>
        <w:rPr>
          <w:rStyle w:val="Hyperlink"/>
          <w:sz w:val="16"/>
          <w:szCs w:val="16"/>
        </w:rPr>
      </w:pPr>
      <w:r>
        <w:rPr>
          <w:rStyle w:val="FootnoteReference"/>
          <w:color w:val="878787" w:themeColor="text2" w:themeTint="99"/>
        </w:rPr>
        <w:footnoteRef/>
      </w:r>
      <w:r>
        <w:tab/>
        <w:t xml:space="preserve">Puede encontrarse más información sobre el ciclo de evaluación en las Directrices </w:t>
      </w:r>
      <w:hyperlink r:id="rId11">
        <w:r>
          <w:rPr>
            <w:rStyle w:val="Hyperlink"/>
            <w:sz w:val="16"/>
          </w:rPr>
          <w:t>Evaluación de los resultados del PDR: Cómo elaborar los informes sobre evaluación en 2017</w:t>
        </w:r>
      </w:hyperlink>
      <w:r>
        <w:rPr>
          <w:rStyle w:val="Hyperlink"/>
          <w:sz w:val="16"/>
        </w:rPr>
        <w:t>.</w:t>
      </w:r>
    </w:p>
  </w:footnote>
  <w:footnote w:id="25">
    <w:p w:rsidR="0022740E" w:rsidRPr="00E53246" w:rsidRDefault="0022740E" w:rsidP="004A2938">
      <w:pPr>
        <w:pStyle w:val="FootnoteText"/>
        <w:ind w:left="360" w:hanging="360"/>
      </w:pPr>
      <w:r>
        <w:rPr>
          <w:rStyle w:val="FootnoteReference"/>
          <w:color w:val="878787" w:themeColor="text2" w:themeTint="99"/>
        </w:rPr>
        <w:footnoteRef/>
      </w:r>
      <w:r>
        <w:tab/>
        <w:t xml:space="preserve">AG – Autoridad de gestión, CS – Comité de seguimiento, OP – Organismo pagador, </w:t>
      </w:r>
      <w:proofErr w:type="spellStart"/>
      <w:r>
        <w:t>UEv</w:t>
      </w:r>
      <w:proofErr w:type="spellEnd"/>
      <w:r>
        <w:t xml:space="preserve"> – Unidad de evaluación, GDE – Grupo de dirección de la evaluación, </w:t>
      </w:r>
      <w:proofErr w:type="spellStart"/>
      <w:r>
        <w:t>Ev</w:t>
      </w:r>
      <w:proofErr w:type="spellEnd"/>
      <w:r>
        <w:t xml:space="preserve"> – Evaluadores, PD – Proveedores de datos, O – Otros.</w:t>
      </w:r>
    </w:p>
  </w:footnote>
  <w:footnote w:id="26">
    <w:p w:rsidR="0022740E" w:rsidRPr="00274AB7" w:rsidRDefault="0022740E" w:rsidP="004A2938">
      <w:pPr>
        <w:pStyle w:val="FootnoteText"/>
        <w:ind w:left="360" w:hanging="360"/>
      </w:pPr>
      <w:r>
        <w:rPr>
          <w:rStyle w:val="FootnoteReference"/>
          <w:color w:val="878787" w:themeColor="text2" w:themeTint="99"/>
        </w:rPr>
        <w:footnoteRef/>
      </w:r>
      <w:r>
        <w:rPr>
          <w:color w:val="878787" w:themeColor="text2" w:themeTint="99"/>
        </w:rPr>
        <w:tab/>
        <w:t>ENVIEVAL fue un proyecto de colaboración de la UE (Acuerdo de subvención n.º 312071), que recibió financiación desde enero de 2013 hasta diciembre de 2015 del Séptimo Programa Marco de la Unión Europea para acciones de investigación, desarrollo tecnológico y demostración.</w:t>
      </w:r>
    </w:p>
  </w:footnote>
  <w:footnote w:id="27">
    <w:p w:rsidR="0022740E" w:rsidRPr="00E53246" w:rsidRDefault="0022740E" w:rsidP="004A2938">
      <w:pPr>
        <w:pStyle w:val="FootnoteText"/>
        <w:ind w:left="360" w:hanging="360"/>
      </w:pPr>
      <w:r>
        <w:rPr>
          <w:rStyle w:val="FootnoteReference"/>
          <w:color w:val="878787" w:themeColor="text2" w:themeTint="99"/>
        </w:rPr>
        <w:footnoteRef/>
      </w:r>
      <w:r>
        <w:tab/>
        <w:t xml:space="preserve">Manual metodológico para la evaluación de los impactos medioambientales de los PDR: Informe D9.5, ENVIEVAL (Acuerdo de subvención n.º 312071)]. Bruselas: Comisión Europea, </w:t>
      </w:r>
      <w:proofErr w:type="spellStart"/>
      <w:r>
        <w:t>Morkvenas</w:t>
      </w:r>
      <w:proofErr w:type="spellEnd"/>
      <w:r>
        <w:t xml:space="preserve"> Z, </w:t>
      </w:r>
      <w:proofErr w:type="spellStart"/>
      <w:r>
        <w:t>Navickas</w:t>
      </w:r>
      <w:proofErr w:type="spellEnd"/>
      <w:r>
        <w:t xml:space="preserve"> K, </w:t>
      </w:r>
      <w:proofErr w:type="spellStart"/>
      <w:r>
        <w:t>Gulbinas</w:t>
      </w:r>
      <w:proofErr w:type="spellEnd"/>
      <w:r>
        <w:t xml:space="preserve"> J, jefes de mando A, Schwarz G, Wolff A, </w:t>
      </w:r>
      <w:proofErr w:type="spellStart"/>
      <w:r>
        <w:t>Ofermann</w:t>
      </w:r>
      <w:proofErr w:type="spellEnd"/>
      <w:r>
        <w:t xml:space="preserve"> F, </w:t>
      </w:r>
      <w:proofErr w:type="spellStart"/>
      <w:r>
        <w:t>Osterburg</w:t>
      </w:r>
      <w:proofErr w:type="spellEnd"/>
      <w:r>
        <w:t xml:space="preserve"> B, </w:t>
      </w:r>
      <w:proofErr w:type="spellStart"/>
      <w:r>
        <w:t>Aalders</w:t>
      </w:r>
      <w:proofErr w:type="spellEnd"/>
      <w:r>
        <w:t xml:space="preserve"> I, Miller D, </w:t>
      </w:r>
      <w:proofErr w:type="spellStart"/>
      <w:r>
        <w:t>MorRICE</w:t>
      </w:r>
      <w:proofErr w:type="spellEnd"/>
      <w:r>
        <w:t xml:space="preserve"> J, </w:t>
      </w:r>
      <w:proofErr w:type="spellStart"/>
      <w:r>
        <w:t>Vlahos</w:t>
      </w:r>
      <w:proofErr w:type="spellEnd"/>
      <w:r>
        <w:t xml:space="preserve"> G, </w:t>
      </w:r>
      <w:proofErr w:type="spellStart"/>
      <w:r>
        <w:t>Smyrnitoulou</w:t>
      </w:r>
      <w:proofErr w:type="spellEnd"/>
      <w:r>
        <w:t xml:space="preserve"> A, </w:t>
      </w:r>
      <w:proofErr w:type="spellStart"/>
      <w:r>
        <w:t>Artell</w:t>
      </w:r>
      <w:proofErr w:type="spellEnd"/>
      <w:r>
        <w:t xml:space="preserve"> J, </w:t>
      </w:r>
      <w:proofErr w:type="spellStart"/>
      <w:r>
        <w:t>Aakkula</w:t>
      </w:r>
      <w:proofErr w:type="spellEnd"/>
      <w:r>
        <w:t xml:space="preserve"> J, </w:t>
      </w:r>
      <w:proofErr w:type="spellStart"/>
      <w:r>
        <w:t>Toikkanen</w:t>
      </w:r>
      <w:proofErr w:type="spellEnd"/>
      <w:r>
        <w:t xml:space="preserve"> H, </w:t>
      </w:r>
      <w:proofErr w:type="spellStart"/>
      <w:r>
        <w:t>Povelllato</w:t>
      </w:r>
      <w:proofErr w:type="spellEnd"/>
      <w:r>
        <w:t xml:space="preserve"> A, </w:t>
      </w:r>
      <w:proofErr w:type="spellStart"/>
      <w:r>
        <w:t>Longhitano</w:t>
      </w:r>
      <w:proofErr w:type="spellEnd"/>
      <w:r>
        <w:t xml:space="preserve"> D, </w:t>
      </w:r>
      <w:proofErr w:type="spellStart"/>
      <w:r>
        <w:t>Lasorella</w:t>
      </w:r>
      <w:proofErr w:type="spellEnd"/>
      <w:r>
        <w:t xml:space="preserve"> V, </w:t>
      </w:r>
      <w:proofErr w:type="spellStart"/>
      <w:r>
        <w:t>Balazs</w:t>
      </w:r>
      <w:proofErr w:type="spellEnd"/>
      <w:r>
        <w:t xml:space="preserve"> K, </w:t>
      </w:r>
      <w:r>
        <w:rPr>
          <w:i/>
        </w:rPr>
        <w:t>et al</w:t>
      </w:r>
      <w:r>
        <w:t xml:space="preserve"> (2015), p. 152.</w:t>
      </w:r>
    </w:p>
  </w:footnote>
  <w:footnote w:id="28">
    <w:p w:rsidR="0022740E" w:rsidRPr="00E53246" w:rsidRDefault="0022740E" w:rsidP="004A2938">
      <w:pPr>
        <w:pStyle w:val="FootnoteText"/>
        <w:ind w:left="360" w:hanging="360"/>
      </w:pPr>
      <w:r>
        <w:rPr>
          <w:rStyle w:val="FootnoteReference"/>
          <w:color w:val="878787" w:themeColor="text2" w:themeTint="99"/>
        </w:rPr>
        <w:footnoteRef/>
      </w:r>
      <w:r>
        <w:tab/>
        <w:t xml:space="preserve">Los pasos que han de darse en la valoración neta de los impactos de los PDR se describen con más detalle en las </w:t>
      </w:r>
      <w:hyperlink r:id="rId12">
        <w:r>
          <w:rPr>
            <w:rStyle w:val="Hyperlink"/>
            <w:sz w:val="16"/>
          </w:rPr>
          <w:t xml:space="preserve">Directrices para la evaluación </w:t>
        </w:r>
        <w:r>
          <w:rPr>
            <w:rStyle w:val="Hyperlink"/>
            <w:i/>
            <w:sz w:val="16"/>
          </w:rPr>
          <w:t>ex post</w:t>
        </w:r>
        <w:r>
          <w:rPr>
            <w:rStyle w:val="Hyperlink"/>
            <w:sz w:val="16"/>
          </w:rPr>
          <w:t xml:space="preserve"> de los PDR 2007-2013</w:t>
        </w:r>
      </w:hyperlink>
      <w:r>
        <w:t>, concretamente en los capítulos 4.2.3 y 4.2.4.</w:t>
      </w:r>
    </w:p>
  </w:footnote>
  <w:footnote w:id="29">
    <w:p w:rsidR="0022740E" w:rsidRPr="003563F4" w:rsidRDefault="0022740E" w:rsidP="004A2938">
      <w:pPr>
        <w:pStyle w:val="FootnoteText"/>
        <w:ind w:left="360" w:hanging="360"/>
      </w:pPr>
      <w:r>
        <w:rPr>
          <w:rStyle w:val="FootnoteReference"/>
          <w:color w:val="878787" w:themeColor="text2" w:themeTint="99"/>
        </w:rPr>
        <w:footnoteRef/>
      </w:r>
      <w:r>
        <w:tab/>
        <w:t xml:space="preserve">Para más información, véase: </w:t>
      </w:r>
      <w:r>
        <w:rPr>
          <w:i/>
        </w:rPr>
        <w:t>«</w:t>
      </w:r>
      <w:proofErr w:type="spellStart"/>
      <w:r>
        <w:rPr>
          <w:i/>
        </w:rPr>
        <w:t>Landscape-moderated</w:t>
      </w:r>
      <w:proofErr w:type="spellEnd"/>
      <w:r>
        <w:rPr>
          <w:i/>
        </w:rPr>
        <w:t xml:space="preserve"> </w:t>
      </w:r>
      <w:proofErr w:type="spellStart"/>
      <w:r>
        <w:rPr>
          <w:i/>
        </w:rPr>
        <w:t>biodiversity</w:t>
      </w:r>
      <w:proofErr w:type="spellEnd"/>
      <w:r>
        <w:rPr>
          <w:i/>
        </w:rPr>
        <w:t xml:space="preserve"> </w:t>
      </w:r>
      <w:proofErr w:type="spellStart"/>
      <w:r>
        <w:rPr>
          <w:i/>
        </w:rPr>
        <w:t>effects</w:t>
      </w:r>
      <w:proofErr w:type="spellEnd"/>
      <w:r>
        <w:rPr>
          <w:i/>
        </w:rPr>
        <w:t xml:space="preserve"> </w:t>
      </w:r>
      <w:proofErr w:type="spellStart"/>
      <w:r>
        <w:rPr>
          <w:i/>
        </w:rPr>
        <w:t>of</w:t>
      </w:r>
      <w:proofErr w:type="spellEnd"/>
      <w:r>
        <w:rPr>
          <w:i/>
        </w:rPr>
        <w:t xml:space="preserve"> </w:t>
      </w:r>
      <w:proofErr w:type="spellStart"/>
      <w:r>
        <w:rPr>
          <w:i/>
        </w:rPr>
        <w:t>agri-environmental</w:t>
      </w:r>
      <w:proofErr w:type="spellEnd"/>
      <w:r>
        <w:rPr>
          <w:i/>
        </w:rPr>
        <w:t xml:space="preserve"> </w:t>
      </w:r>
      <w:proofErr w:type="spellStart"/>
      <w:r>
        <w:rPr>
          <w:i/>
        </w:rPr>
        <w:t>management</w:t>
      </w:r>
      <w:proofErr w:type="spellEnd"/>
      <w:r>
        <w:rPr>
          <w:i/>
        </w:rPr>
        <w:t>: a meta-</w:t>
      </w:r>
      <w:proofErr w:type="spellStart"/>
      <w:r>
        <w:rPr>
          <w:i/>
        </w:rPr>
        <w:t>analysis</w:t>
      </w:r>
      <w:proofErr w:type="spellEnd"/>
      <w:r>
        <w:rPr>
          <w:i/>
        </w:rPr>
        <w:t>»</w:t>
      </w:r>
      <w:r>
        <w:t xml:space="preserve">, </w:t>
      </w:r>
      <w:proofErr w:type="spellStart"/>
      <w:r>
        <w:t>Proceedings</w:t>
      </w:r>
      <w:proofErr w:type="spellEnd"/>
      <w:r>
        <w:t xml:space="preserve">. </w:t>
      </w:r>
      <w:proofErr w:type="spellStart"/>
      <w:r>
        <w:t>Biological</w:t>
      </w:r>
      <w:proofErr w:type="spellEnd"/>
      <w:r>
        <w:t xml:space="preserve"> </w:t>
      </w:r>
      <w:proofErr w:type="spellStart"/>
      <w:r>
        <w:t>sciences</w:t>
      </w:r>
      <w:proofErr w:type="spellEnd"/>
      <w:r>
        <w:t xml:space="preserve"> / </w:t>
      </w:r>
      <w:proofErr w:type="spellStart"/>
      <w:r>
        <w:t>The</w:t>
      </w:r>
      <w:proofErr w:type="spellEnd"/>
      <w:r>
        <w:t xml:space="preserve"> Royal </w:t>
      </w:r>
      <w:proofErr w:type="spellStart"/>
      <w:r>
        <w:t>Society</w:t>
      </w:r>
      <w:proofErr w:type="spellEnd"/>
      <w:r>
        <w:t xml:space="preserve">, 278(1713): 1894–1902, </w:t>
      </w:r>
      <w:proofErr w:type="spellStart"/>
      <w:r>
        <w:t>Batáry</w:t>
      </w:r>
      <w:proofErr w:type="spellEnd"/>
      <w:r>
        <w:t xml:space="preserve"> P, </w:t>
      </w:r>
      <w:proofErr w:type="spellStart"/>
      <w:r>
        <w:t>Báldi</w:t>
      </w:r>
      <w:proofErr w:type="spellEnd"/>
      <w:r>
        <w:t xml:space="preserve"> A, </w:t>
      </w:r>
      <w:proofErr w:type="spellStart"/>
      <w:r>
        <w:t>Kleijn</w:t>
      </w:r>
      <w:proofErr w:type="spellEnd"/>
      <w:r>
        <w:t xml:space="preserve"> D, </w:t>
      </w:r>
      <w:proofErr w:type="spellStart"/>
      <w:r>
        <w:t>Tscharntke</w:t>
      </w:r>
      <w:proofErr w:type="spellEnd"/>
      <w:r>
        <w:t xml:space="preserve"> T, (2011). </w:t>
      </w:r>
    </w:p>
  </w:footnote>
  <w:footnote w:id="30">
    <w:p w:rsidR="0022740E" w:rsidRPr="00E53246" w:rsidRDefault="0022740E" w:rsidP="004A2938">
      <w:pPr>
        <w:pStyle w:val="FootnoteText"/>
        <w:ind w:left="360" w:hanging="360"/>
      </w:pPr>
      <w:r>
        <w:rPr>
          <w:rStyle w:val="FootnoteReference"/>
          <w:color w:val="878787" w:themeColor="text2" w:themeTint="99"/>
        </w:rPr>
        <w:footnoteRef/>
      </w:r>
      <w:r>
        <w:tab/>
        <w:t xml:space="preserve">Para más información, véase: </w:t>
      </w:r>
      <w:r>
        <w:rPr>
          <w:i/>
        </w:rPr>
        <w:t>«</w:t>
      </w:r>
      <w:proofErr w:type="spellStart"/>
      <w:r>
        <w:rPr>
          <w:i/>
        </w:rPr>
        <w:t>Organic</w:t>
      </w:r>
      <w:proofErr w:type="spellEnd"/>
      <w:r>
        <w:rPr>
          <w:i/>
        </w:rPr>
        <w:t xml:space="preserve"> </w:t>
      </w:r>
      <w:proofErr w:type="spellStart"/>
      <w:r>
        <w:rPr>
          <w:i/>
        </w:rPr>
        <w:t>farming</w:t>
      </w:r>
      <w:proofErr w:type="spellEnd"/>
      <w:r>
        <w:rPr>
          <w:i/>
        </w:rPr>
        <w:t xml:space="preserve"> at local and </w:t>
      </w:r>
      <w:proofErr w:type="spellStart"/>
      <w:r>
        <w:rPr>
          <w:i/>
        </w:rPr>
        <w:t>landscape</w:t>
      </w:r>
      <w:proofErr w:type="spellEnd"/>
      <w:r>
        <w:rPr>
          <w:i/>
        </w:rPr>
        <w:t xml:space="preserve"> </w:t>
      </w:r>
      <w:proofErr w:type="spellStart"/>
      <w:r>
        <w:rPr>
          <w:i/>
        </w:rPr>
        <w:t>scales</w:t>
      </w:r>
      <w:proofErr w:type="spellEnd"/>
      <w:r>
        <w:rPr>
          <w:i/>
        </w:rPr>
        <w:t xml:space="preserve"> </w:t>
      </w:r>
      <w:proofErr w:type="spellStart"/>
      <w:r>
        <w:rPr>
          <w:i/>
        </w:rPr>
        <w:t>benefits</w:t>
      </w:r>
      <w:proofErr w:type="spellEnd"/>
      <w:r>
        <w:rPr>
          <w:i/>
        </w:rPr>
        <w:t xml:space="preserve"> </w:t>
      </w:r>
      <w:proofErr w:type="spellStart"/>
      <w:r>
        <w:rPr>
          <w:i/>
        </w:rPr>
        <w:t>plant</w:t>
      </w:r>
      <w:proofErr w:type="spellEnd"/>
      <w:r>
        <w:rPr>
          <w:i/>
        </w:rPr>
        <w:t xml:space="preserve"> </w:t>
      </w:r>
      <w:proofErr w:type="spellStart"/>
      <w:r>
        <w:rPr>
          <w:i/>
        </w:rPr>
        <w:t>diversity</w:t>
      </w:r>
      <w:proofErr w:type="spellEnd"/>
      <w:r>
        <w:rPr>
          <w:i/>
        </w:rPr>
        <w:t>»</w:t>
      </w:r>
      <w:r>
        <w:t xml:space="preserve">, </w:t>
      </w:r>
      <w:proofErr w:type="spellStart"/>
      <w:r>
        <w:t>Ecography</w:t>
      </w:r>
      <w:proofErr w:type="spellEnd"/>
      <w:r>
        <w:t xml:space="preserve"> 33(3): 514- 522, </w:t>
      </w:r>
      <w:proofErr w:type="spellStart"/>
      <w:r>
        <w:t>Rundlöf</w:t>
      </w:r>
      <w:proofErr w:type="spellEnd"/>
      <w:r>
        <w:t xml:space="preserve"> M, </w:t>
      </w:r>
      <w:proofErr w:type="spellStart"/>
      <w:r>
        <w:t>Edlund</w:t>
      </w:r>
      <w:proofErr w:type="spellEnd"/>
      <w:r>
        <w:t xml:space="preserve"> M, Smith HG, (2009).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40E" w:rsidRDefault="002274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40E" w:rsidRDefault="002274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40E" w:rsidRDefault="0022740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40E" w:rsidRPr="002C3379" w:rsidRDefault="0022740E" w:rsidP="00E4509B">
    <w:pPr>
      <w:pStyle w:val="Header"/>
    </w:pPr>
    <w:r>
      <w:tab/>
      <w:t>Parte I – ¿Qué debe notificarse acerca de la evaluación en el IAE en 2019?</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40E" w:rsidRDefault="0022740E" w:rsidP="004517DA">
    <w:pPr>
      <w:pStyle w:val="Header"/>
      <w:tabs>
        <w:tab w:val="clear" w:pos="9072"/>
        <w:tab w:val="right" w:pos="8880"/>
        <w:tab w:val="right" w:pos="14175"/>
      </w:tabs>
    </w:pPr>
    <w:r>
      <w:tab/>
      <w:t>Parte III – Fichas para responder a las preguntas comunes de evaluación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700E3"/>
    <w:multiLevelType w:val="hybridMultilevel"/>
    <w:tmpl w:val="4C805968"/>
    <w:lvl w:ilvl="0" w:tplc="12F6D094">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77E1094"/>
    <w:multiLevelType w:val="multilevel"/>
    <w:tmpl w:val="9552195C"/>
    <w:lvl w:ilvl="0">
      <w:start w:val="1"/>
      <w:numFmt w:val="decimal"/>
      <w:pStyle w:val="Subtitle"/>
      <w:lvlText w:val="Table %1"/>
      <w:lvlJc w:val="left"/>
      <w:pPr>
        <w:ind w:left="851" w:hanging="851"/>
      </w:pPr>
      <w:rPr>
        <w:rFonts w:ascii="Arial" w:hAnsi="Arial" w:cs="Times New Roman" w:hint="default"/>
        <w:b/>
        <w:bCs w:val="0"/>
        <w:i w:val="0"/>
        <w:iCs w:val="0"/>
        <w:caps w:val="0"/>
        <w:smallCaps w:val="0"/>
        <w:strike w:val="0"/>
        <w:dstrike w:val="0"/>
        <w:noProof w:val="0"/>
        <w:vanish w:val="0"/>
        <w:color w:val="000000"/>
        <w:spacing w:val="0"/>
        <w:kern w:val="0"/>
        <w:position w:val="0"/>
        <w:sz w:val="16"/>
        <w:szCs w:val="16"/>
        <w:u w:val="none"/>
        <w:effect w:val="none"/>
        <w:vertAlign w:val="baseline"/>
        <w:em w:val="none"/>
        <w:specVanish w:val="0"/>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3"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F342A9"/>
    <w:multiLevelType w:val="hybridMultilevel"/>
    <w:tmpl w:val="F04C2544"/>
    <w:lvl w:ilvl="0" w:tplc="8C24ADFE">
      <w:start w:val="1"/>
      <w:numFmt w:val="decimal"/>
      <w:lvlText w:val="%1."/>
      <w:lvlJc w:val="left"/>
      <w:pPr>
        <w:ind w:left="720" w:hanging="360"/>
      </w:pPr>
      <w:rPr>
        <w:rFonts w:hint="default"/>
        <w:u w:val="single"/>
      </w:rPr>
    </w:lvl>
    <w:lvl w:ilvl="1" w:tplc="041B0019">
      <w:start w:val="1"/>
      <w:numFmt w:val="lowerLetter"/>
      <w:lvlText w:val="%2."/>
      <w:lvlJc w:val="left"/>
      <w:pPr>
        <w:ind w:left="1440" w:hanging="360"/>
      </w:pPr>
    </w:lvl>
    <w:lvl w:ilvl="2" w:tplc="F7D8BF0E">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2CB28B3"/>
    <w:multiLevelType w:val="hybridMultilevel"/>
    <w:tmpl w:val="4A3C5D26"/>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7"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57825E"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373737"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027FC8"/>
    <w:multiLevelType w:val="hybridMultilevel"/>
    <w:tmpl w:val="FA02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A4DA5"/>
    <w:multiLevelType w:val="multilevel"/>
    <w:tmpl w:val="0E4CF658"/>
    <w:styleLink w:val="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113FF8"/>
    <w:multiLevelType w:val="hybridMultilevel"/>
    <w:tmpl w:val="B9964EBC"/>
    <w:lvl w:ilvl="0" w:tplc="041B0001">
      <w:start w:val="1"/>
      <w:numFmt w:val="bullet"/>
      <w:lvlText w:val=""/>
      <w:lvlJc w:val="left"/>
      <w:pPr>
        <w:ind w:left="775" w:hanging="360"/>
      </w:pPr>
      <w:rPr>
        <w:rFonts w:ascii="Symbol" w:hAnsi="Symbol" w:hint="default"/>
      </w:rPr>
    </w:lvl>
    <w:lvl w:ilvl="1" w:tplc="041B0003" w:tentative="1">
      <w:start w:val="1"/>
      <w:numFmt w:val="bullet"/>
      <w:lvlText w:val="o"/>
      <w:lvlJc w:val="left"/>
      <w:pPr>
        <w:ind w:left="1495" w:hanging="360"/>
      </w:pPr>
      <w:rPr>
        <w:rFonts w:ascii="Courier New" w:hAnsi="Courier New" w:cs="Courier New" w:hint="default"/>
      </w:rPr>
    </w:lvl>
    <w:lvl w:ilvl="2" w:tplc="041B0005" w:tentative="1">
      <w:start w:val="1"/>
      <w:numFmt w:val="bullet"/>
      <w:lvlText w:val=""/>
      <w:lvlJc w:val="left"/>
      <w:pPr>
        <w:ind w:left="2215" w:hanging="360"/>
      </w:pPr>
      <w:rPr>
        <w:rFonts w:ascii="Wingdings" w:hAnsi="Wingdings" w:hint="default"/>
      </w:rPr>
    </w:lvl>
    <w:lvl w:ilvl="3" w:tplc="041B0001" w:tentative="1">
      <w:start w:val="1"/>
      <w:numFmt w:val="bullet"/>
      <w:lvlText w:val=""/>
      <w:lvlJc w:val="left"/>
      <w:pPr>
        <w:ind w:left="2935" w:hanging="360"/>
      </w:pPr>
      <w:rPr>
        <w:rFonts w:ascii="Symbol" w:hAnsi="Symbol" w:hint="default"/>
      </w:rPr>
    </w:lvl>
    <w:lvl w:ilvl="4" w:tplc="041B0003" w:tentative="1">
      <w:start w:val="1"/>
      <w:numFmt w:val="bullet"/>
      <w:lvlText w:val="o"/>
      <w:lvlJc w:val="left"/>
      <w:pPr>
        <w:ind w:left="3655" w:hanging="360"/>
      </w:pPr>
      <w:rPr>
        <w:rFonts w:ascii="Courier New" w:hAnsi="Courier New" w:cs="Courier New" w:hint="default"/>
      </w:rPr>
    </w:lvl>
    <w:lvl w:ilvl="5" w:tplc="041B0005" w:tentative="1">
      <w:start w:val="1"/>
      <w:numFmt w:val="bullet"/>
      <w:lvlText w:val=""/>
      <w:lvlJc w:val="left"/>
      <w:pPr>
        <w:ind w:left="4375" w:hanging="360"/>
      </w:pPr>
      <w:rPr>
        <w:rFonts w:ascii="Wingdings" w:hAnsi="Wingdings" w:hint="default"/>
      </w:rPr>
    </w:lvl>
    <w:lvl w:ilvl="6" w:tplc="041B0001" w:tentative="1">
      <w:start w:val="1"/>
      <w:numFmt w:val="bullet"/>
      <w:lvlText w:val=""/>
      <w:lvlJc w:val="left"/>
      <w:pPr>
        <w:ind w:left="5095" w:hanging="360"/>
      </w:pPr>
      <w:rPr>
        <w:rFonts w:ascii="Symbol" w:hAnsi="Symbol" w:hint="default"/>
      </w:rPr>
    </w:lvl>
    <w:lvl w:ilvl="7" w:tplc="041B0003" w:tentative="1">
      <w:start w:val="1"/>
      <w:numFmt w:val="bullet"/>
      <w:lvlText w:val="o"/>
      <w:lvlJc w:val="left"/>
      <w:pPr>
        <w:ind w:left="5815" w:hanging="360"/>
      </w:pPr>
      <w:rPr>
        <w:rFonts w:ascii="Courier New" w:hAnsi="Courier New" w:cs="Courier New" w:hint="default"/>
      </w:rPr>
    </w:lvl>
    <w:lvl w:ilvl="8" w:tplc="041B0005" w:tentative="1">
      <w:start w:val="1"/>
      <w:numFmt w:val="bullet"/>
      <w:lvlText w:val=""/>
      <w:lvlJc w:val="left"/>
      <w:pPr>
        <w:ind w:left="6535" w:hanging="360"/>
      </w:pPr>
      <w:rPr>
        <w:rFonts w:ascii="Wingdings" w:hAnsi="Wingdings" w:hint="default"/>
      </w:rPr>
    </w:lvl>
  </w:abstractNum>
  <w:abstractNum w:abstractNumId="12" w15:restartNumberingAfterBreak="0">
    <w:nsid w:val="310547BD"/>
    <w:multiLevelType w:val="hybridMultilevel"/>
    <w:tmpl w:val="79D438F6"/>
    <w:lvl w:ilvl="0" w:tplc="CFB29AF0">
      <w:start w:val="1"/>
      <w:numFmt w:val="decimal"/>
      <w:pStyle w:val="HHeadingfigures"/>
      <w:lvlText w:val="Figura %1."/>
      <w:lvlJc w:val="left"/>
      <w:pPr>
        <w:tabs>
          <w:tab w:val="num" w:pos="964"/>
        </w:tabs>
        <w:ind w:left="964" w:hanging="964"/>
      </w:pPr>
      <w:rPr>
        <w:rFonts w:cs="Times New Roman" w:hint="default"/>
        <w:b/>
        <w:bCs w:val="0"/>
        <w:i w:val="0"/>
        <w:iCs w:val="0"/>
        <w:caps w:val="0"/>
        <w:smallCaps w:val="0"/>
        <w:strike w:val="0"/>
        <w:dstrike w:val="0"/>
        <w:outline w:val="0"/>
        <w:shadow w:val="0"/>
        <w:emboss w:val="0"/>
        <w:imprint w:val="0"/>
        <w:noProof w:val="0"/>
        <w:vanish w:val="0"/>
        <w:color w:val="373737" w:themeColor="tex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BC6932"/>
    <w:multiLevelType w:val="hybridMultilevel"/>
    <w:tmpl w:val="BBBE01C4"/>
    <w:lvl w:ilvl="0" w:tplc="91608FB0">
      <w:start w:val="1"/>
      <w:numFmt w:val="bullet"/>
      <w:pStyle w:val="Hlistbullet"/>
      <w:lvlText w:val=""/>
      <w:lvlJc w:val="left"/>
      <w:pPr>
        <w:ind w:left="928" w:hanging="360"/>
      </w:pPr>
      <w:rPr>
        <w:rFonts w:ascii="Symbol" w:hAnsi="Symbol"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677474"/>
    <w:multiLevelType w:val="hybridMultilevel"/>
    <w:tmpl w:val="9DC66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BA8AD56E"/>
    <w:lvl w:ilvl="0" w:tplc="704ED21C">
      <w:start w:val="1"/>
      <w:numFmt w:val="decimal"/>
      <w:pStyle w:val="HHeadingtables"/>
      <w:lvlText w:val="Cuadro %1."/>
      <w:lvlJc w:val="left"/>
      <w:pPr>
        <w:ind w:left="360" w:hanging="360"/>
      </w:pPr>
      <w:rPr>
        <w:rFonts w:ascii="Arial" w:hAnsi="Arial" w:cs="Times New Roman" w:hint="default"/>
        <w:b/>
        <w:bCs w:val="0"/>
        <w:i w:val="0"/>
        <w:iCs w:val="0"/>
        <w:caps w:val="0"/>
        <w:smallCaps w:val="0"/>
        <w:strike w:val="0"/>
        <w:dstrike w:val="0"/>
        <w:outline w:val="0"/>
        <w:shadow w:val="0"/>
        <w:emboss w:val="0"/>
        <w:imprint w:val="0"/>
        <w:vanish w:val="0"/>
        <w:color w:val="6F6F6F"/>
        <w:spacing w:val="0"/>
        <w:kern w:val="0"/>
        <w:position w:val="0"/>
        <w:sz w:val="16"/>
        <w:szCs w:val="16"/>
        <w:u w:val="none"/>
        <w:effect w:val="none"/>
        <w:vertAlign w:val="baseline"/>
        <w:em w:val="none"/>
        <w:specVanish w:val="0"/>
        <w14:ligatures w14:val="none"/>
        <w14:numForm w14:val="default"/>
        <w14:numSpacing w14:val="default"/>
        <w14:stylisticSets/>
        <w14:cntxtAlts w14:val="0"/>
      </w:rPr>
    </w:lvl>
    <w:lvl w:ilvl="1" w:tplc="04070019" w:tentative="1">
      <w:start w:val="1"/>
      <w:numFmt w:val="lowerLetter"/>
      <w:lvlText w:val="%2."/>
      <w:lvlJc w:val="left"/>
      <w:pPr>
        <w:ind w:left="-829" w:hanging="360"/>
      </w:pPr>
    </w:lvl>
    <w:lvl w:ilvl="2" w:tplc="0407001B" w:tentative="1">
      <w:start w:val="1"/>
      <w:numFmt w:val="lowerRoman"/>
      <w:lvlText w:val="%3."/>
      <w:lvlJc w:val="right"/>
      <w:pPr>
        <w:ind w:left="-109" w:hanging="180"/>
      </w:pPr>
    </w:lvl>
    <w:lvl w:ilvl="3" w:tplc="0407000F" w:tentative="1">
      <w:start w:val="1"/>
      <w:numFmt w:val="decimal"/>
      <w:lvlText w:val="%4."/>
      <w:lvlJc w:val="left"/>
      <w:pPr>
        <w:ind w:left="611" w:hanging="360"/>
      </w:pPr>
    </w:lvl>
    <w:lvl w:ilvl="4" w:tplc="04070019" w:tentative="1">
      <w:start w:val="1"/>
      <w:numFmt w:val="lowerLetter"/>
      <w:lvlText w:val="%5."/>
      <w:lvlJc w:val="left"/>
      <w:pPr>
        <w:ind w:left="1331" w:hanging="360"/>
      </w:pPr>
    </w:lvl>
    <w:lvl w:ilvl="5" w:tplc="0407001B" w:tentative="1">
      <w:start w:val="1"/>
      <w:numFmt w:val="lowerRoman"/>
      <w:lvlText w:val="%6."/>
      <w:lvlJc w:val="right"/>
      <w:pPr>
        <w:ind w:left="2051" w:hanging="180"/>
      </w:pPr>
    </w:lvl>
    <w:lvl w:ilvl="6" w:tplc="0407000F" w:tentative="1">
      <w:start w:val="1"/>
      <w:numFmt w:val="decimal"/>
      <w:lvlText w:val="%7."/>
      <w:lvlJc w:val="left"/>
      <w:pPr>
        <w:ind w:left="2771" w:hanging="360"/>
      </w:pPr>
    </w:lvl>
    <w:lvl w:ilvl="7" w:tplc="04070019" w:tentative="1">
      <w:start w:val="1"/>
      <w:numFmt w:val="lowerLetter"/>
      <w:lvlText w:val="%8."/>
      <w:lvlJc w:val="left"/>
      <w:pPr>
        <w:ind w:left="3491" w:hanging="360"/>
      </w:pPr>
    </w:lvl>
    <w:lvl w:ilvl="8" w:tplc="0407001B" w:tentative="1">
      <w:start w:val="1"/>
      <w:numFmt w:val="lowerRoman"/>
      <w:lvlText w:val="%9."/>
      <w:lvlJc w:val="right"/>
      <w:pPr>
        <w:ind w:left="4211" w:hanging="180"/>
      </w:pPr>
    </w:lvl>
  </w:abstractNum>
  <w:abstractNum w:abstractNumId="16" w15:restartNumberingAfterBreak="0">
    <w:nsid w:val="446B7352"/>
    <w:multiLevelType w:val="hybridMultilevel"/>
    <w:tmpl w:val="E758C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F8294A"/>
    <w:multiLevelType w:val="hybridMultilevel"/>
    <w:tmpl w:val="A61044DA"/>
    <w:lvl w:ilvl="0" w:tplc="C1BE37B8">
      <w:start w:val="1"/>
      <w:numFmt w:val="lowerLetter"/>
      <w:pStyle w:val="Hlistabc"/>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C663347"/>
    <w:multiLevelType w:val="hybridMultilevel"/>
    <w:tmpl w:val="BEE86F04"/>
    <w:lvl w:ilvl="0" w:tplc="EAF66E3A">
      <w:start w:val="1"/>
      <w:numFmt w:val="bullet"/>
      <w:pStyle w:val="Hlistbullet2"/>
      <w:lvlText w:val="o"/>
      <w:lvlJc w:val="left"/>
      <w:pPr>
        <w:ind w:left="720" w:hanging="360"/>
      </w:pPr>
      <w:rPr>
        <w:rFonts w:ascii="Courier New" w:hAnsi="Courier New" w:hint="default"/>
        <w:color w:val="F07E31"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933F93"/>
    <w:multiLevelType w:val="hybridMultilevel"/>
    <w:tmpl w:val="3EFCB27A"/>
    <w:lvl w:ilvl="0" w:tplc="0809000F">
      <w:start w:val="1"/>
      <w:numFmt w:val="decimal"/>
      <w:lvlText w:val="%1."/>
      <w:lvlJc w:val="left"/>
      <w:pPr>
        <w:ind w:left="928" w:hanging="360"/>
      </w:pPr>
      <w:rPr>
        <w:rFonts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E973CF"/>
    <w:multiLevelType w:val="hybridMultilevel"/>
    <w:tmpl w:val="471E9ED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3FC3597"/>
    <w:multiLevelType w:val="hybridMultilevel"/>
    <w:tmpl w:val="33407086"/>
    <w:lvl w:ilvl="0" w:tplc="041B000F">
      <w:start w:val="1"/>
      <w:numFmt w:val="decimal"/>
      <w:lvlText w:val="%1."/>
      <w:lvlJc w:val="left"/>
      <w:pPr>
        <w:ind w:left="1571" w:hanging="360"/>
      </w:p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22" w15:restartNumberingAfterBreak="0">
    <w:nsid w:val="66691E4D"/>
    <w:multiLevelType w:val="hybridMultilevel"/>
    <w:tmpl w:val="4FC82400"/>
    <w:lvl w:ilvl="0" w:tplc="663C7372">
      <w:numFmt w:val="bullet"/>
      <w:lvlText w:val=""/>
      <w:lvlJc w:val="left"/>
      <w:pPr>
        <w:ind w:left="720" w:hanging="360"/>
      </w:pPr>
      <w:rPr>
        <w:rFonts w:ascii="Wingdings 3" w:eastAsia="Times New Roman" w:hAnsi="Wingdings 3" w:cs="Times New Roman" w:hint="default"/>
        <w:color w:val="F07E3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F14428"/>
    <w:multiLevelType w:val="hybridMultilevel"/>
    <w:tmpl w:val="ED04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C72A78"/>
    <w:multiLevelType w:val="hybridMultilevel"/>
    <w:tmpl w:val="0A80453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5" w15:restartNumberingAfterBreak="0">
    <w:nsid w:val="6C4D270F"/>
    <w:multiLevelType w:val="hybridMultilevel"/>
    <w:tmpl w:val="5B761532"/>
    <w:lvl w:ilvl="0" w:tplc="C0A2A0CC">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8090001">
      <w:start w:val="1"/>
      <w:numFmt w:val="bullet"/>
      <w:lvlText w:val=""/>
      <w:lvlJc w:val="left"/>
      <w:pPr>
        <w:ind w:left="1457" w:hanging="180"/>
      </w:pPr>
      <w:rPr>
        <w:rFonts w:ascii="Symbol" w:hAnsi="Symbol" w:hint="default"/>
        <w:color w:val="F07E31" w:themeColor="accent1"/>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5B3440"/>
    <w:multiLevelType w:val="hybridMultilevel"/>
    <w:tmpl w:val="D624ACF8"/>
    <w:lvl w:ilvl="0" w:tplc="3BC8D07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0D15F02"/>
    <w:multiLevelType w:val="hybridMultilevel"/>
    <w:tmpl w:val="33743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916E6D"/>
    <w:multiLevelType w:val="hybridMultilevel"/>
    <w:tmpl w:val="19704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5D33D3"/>
    <w:multiLevelType w:val="multilevel"/>
    <w:tmpl w:val="EC66BD28"/>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146"/>
        </w:tabs>
        <w:ind w:left="426"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0" w15:restartNumberingAfterBreak="0">
    <w:nsid w:val="7E752836"/>
    <w:multiLevelType w:val="hybridMultilevel"/>
    <w:tmpl w:val="EA7050F0"/>
    <w:lvl w:ilvl="0" w:tplc="7A1AAC92">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17"/>
  </w:num>
  <w:num w:numId="4">
    <w:abstractNumId w:val="8"/>
  </w:num>
  <w:num w:numId="5">
    <w:abstractNumId w:val="30"/>
  </w:num>
  <w:num w:numId="6">
    <w:abstractNumId w:val="29"/>
  </w:num>
  <w:num w:numId="7">
    <w:abstractNumId w:val="15"/>
  </w:num>
  <w:num w:numId="8">
    <w:abstractNumId w:val="12"/>
  </w:num>
  <w:num w:numId="9">
    <w:abstractNumId w:val="3"/>
  </w:num>
  <w:num w:numId="10">
    <w:abstractNumId w:val="0"/>
  </w:num>
  <w:num w:numId="11">
    <w:abstractNumId w:val="7"/>
  </w:num>
  <w:num w:numId="12">
    <w:abstractNumId w:val="18"/>
  </w:num>
  <w:num w:numId="13">
    <w:abstractNumId w:val="4"/>
  </w:num>
  <w:num w:numId="14">
    <w:abstractNumId w:val="17"/>
    <w:lvlOverride w:ilvl="0">
      <w:startOverride w:val="1"/>
    </w:lvlOverride>
  </w:num>
  <w:num w:numId="15">
    <w:abstractNumId w:val="10"/>
  </w:num>
  <w:num w:numId="16">
    <w:abstractNumId w:val="1"/>
  </w:num>
  <w:num w:numId="17">
    <w:abstractNumId w:val="26"/>
  </w:num>
  <w:num w:numId="18">
    <w:abstractNumId w:val="25"/>
  </w:num>
  <w:num w:numId="19">
    <w:abstractNumId w:val="2"/>
  </w:num>
  <w:num w:numId="20">
    <w:abstractNumId w:val="5"/>
  </w:num>
  <w:num w:numId="21">
    <w:abstractNumId w:val="20"/>
  </w:num>
  <w:num w:numId="22">
    <w:abstractNumId w:val="12"/>
  </w:num>
  <w:num w:numId="23">
    <w:abstractNumId w:val="22"/>
  </w:num>
  <w:num w:numId="24">
    <w:abstractNumId w:val="21"/>
  </w:num>
  <w:num w:numId="25">
    <w:abstractNumId w:val="19"/>
  </w:num>
  <w:num w:numId="26">
    <w:abstractNumId w:val="9"/>
  </w:num>
  <w:num w:numId="27">
    <w:abstractNumId w:val="28"/>
  </w:num>
  <w:num w:numId="28">
    <w:abstractNumId w:val="23"/>
  </w:num>
  <w:num w:numId="29">
    <w:abstractNumId w:val="24"/>
  </w:num>
  <w:num w:numId="30">
    <w:abstractNumId w:val="27"/>
  </w:num>
  <w:num w:numId="31">
    <w:abstractNumId w:val="16"/>
  </w:num>
  <w:num w:numId="32">
    <w:abstractNumId w:val="14"/>
  </w:num>
  <w:num w:numId="33">
    <w:abstractNumId w:val="13"/>
  </w:num>
  <w:num w:numId="34">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WTEMPLATE_ORANGE_2017"/>
  </w:docVars>
  <w:rsids>
    <w:rsidRoot w:val="00CD63F6"/>
    <w:rsid w:val="0000007B"/>
    <w:rsid w:val="000001D4"/>
    <w:rsid w:val="0000104B"/>
    <w:rsid w:val="00002482"/>
    <w:rsid w:val="000026A3"/>
    <w:rsid w:val="00002A15"/>
    <w:rsid w:val="00002FFD"/>
    <w:rsid w:val="00003C64"/>
    <w:rsid w:val="00004E4F"/>
    <w:rsid w:val="000068EF"/>
    <w:rsid w:val="00006B47"/>
    <w:rsid w:val="00010136"/>
    <w:rsid w:val="00010901"/>
    <w:rsid w:val="00010981"/>
    <w:rsid w:val="00010A66"/>
    <w:rsid w:val="00010B08"/>
    <w:rsid w:val="00011CD6"/>
    <w:rsid w:val="00011DC7"/>
    <w:rsid w:val="0001214D"/>
    <w:rsid w:val="000128D8"/>
    <w:rsid w:val="00012BA4"/>
    <w:rsid w:val="00012F22"/>
    <w:rsid w:val="00013C3D"/>
    <w:rsid w:val="0001428E"/>
    <w:rsid w:val="000142AB"/>
    <w:rsid w:val="00015D95"/>
    <w:rsid w:val="00016061"/>
    <w:rsid w:val="00016C49"/>
    <w:rsid w:val="00017C34"/>
    <w:rsid w:val="000200FC"/>
    <w:rsid w:val="0002085D"/>
    <w:rsid w:val="0002086B"/>
    <w:rsid w:val="00021325"/>
    <w:rsid w:val="0002177B"/>
    <w:rsid w:val="0002182E"/>
    <w:rsid w:val="0002341F"/>
    <w:rsid w:val="00023F16"/>
    <w:rsid w:val="0002477B"/>
    <w:rsid w:val="00025015"/>
    <w:rsid w:val="00025148"/>
    <w:rsid w:val="00025E70"/>
    <w:rsid w:val="000266E6"/>
    <w:rsid w:val="00026F9F"/>
    <w:rsid w:val="0002704D"/>
    <w:rsid w:val="0002732C"/>
    <w:rsid w:val="00027601"/>
    <w:rsid w:val="00031E67"/>
    <w:rsid w:val="0003232A"/>
    <w:rsid w:val="000325AF"/>
    <w:rsid w:val="00032732"/>
    <w:rsid w:val="000330AD"/>
    <w:rsid w:val="0003333B"/>
    <w:rsid w:val="00033ACC"/>
    <w:rsid w:val="00033B15"/>
    <w:rsid w:val="0003500B"/>
    <w:rsid w:val="0003605E"/>
    <w:rsid w:val="00041200"/>
    <w:rsid w:val="000412E5"/>
    <w:rsid w:val="00041A27"/>
    <w:rsid w:val="000420F9"/>
    <w:rsid w:val="0004231E"/>
    <w:rsid w:val="00043C2A"/>
    <w:rsid w:val="00044397"/>
    <w:rsid w:val="00044CBB"/>
    <w:rsid w:val="00045382"/>
    <w:rsid w:val="000457A0"/>
    <w:rsid w:val="0004609A"/>
    <w:rsid w:val="00047532"/>
    <w:rsid w:val="00047872"/>
    <w:rsid w:val="000506E2"/>
    <w:rsid w:val="00050912"/>
    <w:rsid w:val="00050D72"/>
    <w:rsid w:val="00050EA9"/>
    <w:rsid w:val="00051E23"/>
    <w:rsid w:val="00051EEE"/>
    <w:rsid w:val="0005260E"/>
    <w:rsid w:val="00052870"/>
    <w:rsid w:val="0005382D"/>
    <w:rsid w:val="00054C75"/>
    <w:rsid w:val="00055507"/>
    <w:rsid w:val="000561D6"/>
    <w:rsid w:val="000574E7"/>
    <w:rsid w:val="00057D3C"/>
    <w:rsid w:val="000601FF"/>
    <w:rsid w:val="00060339"/>
    <w:rsid w:val="00060AFC"/>
    <w:rsid w:val="00061150"/>
    <w:rsid w:val="00061838"/>
    <w:rsid w:val="000624B0"/>
    <w:rsid w:val="00062CD2"/>
    <w:rsid w:val="00062EC4"/>
    <w:rsid w:val="00063251"/>
    <w:rsid w:val="00063276"/>
    <w:rsid w:val="00063B79"/>
    <w:rsid w:val="000650BF"/>
    <w:rsid w:val="000670A3"/>
    <w:rsid w:val="00067C10"/>
    <w:rsid w:val="00070475"/>
    <w:rsid w:val="0007095D"/>
    <w:rsid w:val="00072032"/>
    <w:rsid w:val="0007283B"/>
    <w:rsid w:val="00074916"/>
    <w:rsid w:val="00074F33"/>
    <w:rsid w:val="0007598A"/>
    <w:rsid w:val="00075CA3"/>
    <w:rsid w:val="00076652"/>
    <w:rsid w:val="00076C57"/>
    <w:rsid w:val="000771E1"/>
    <w:rsid w:val="0007726F"/>
    <w:rsid w:val="00077AF9"/>
    <w:rsid w:val="000804B0"/>
    <w:rsid w:val="00081280"/>
    <w:rsid w:val="00081736"/>
    <w:rsid w:val="000833CD"/>
    <w:rsid w:val="000836F2"/>
    <w:rsid w:val="00083705"/>
    <w:rsid w:val="0008418C"/>
    <w:rsid w:val="0008437E"/>
    <w:rsid w:val="00084915"/>
    <w:rsid w:val="00084CD6"/>
    <w:rsid w:val="00084EBA"/>
    <w:rsid w:val="000852E7"/>
    <w:rsid w:val="000856AA"/>
    <w:rsid w:val="00085EAA"/>
    <w:rsid w:val="00087412"/>
    <w:rsid w:val="00087931"/>
    <w:rsid w:val="00087ABB"/>
    <w:rsid w:val="00087F85"/>
    <w:rsid w:val="00090ACF"/>
    <w:rsid w:val="0009119D"/>
    <w:rsid w:val="00092C7D"/>
    <w:rsid w:val="000936B3"/>
    <w:rsid w:val="00093CBB"/>
    <w:rsid w:val="00096C99"/>
    <w:rsid w:val="00096E8E"/>
    <w:rsid w:val="0009736F"/>
    <w:rsid w:val="00097A53"/>
    <w:rsid w:val="000A1917"/>
    <w:rsid w:val="000A2A5A"/>
    <w:rsid w:val="000A3F19"/>
    <w:rsid w:val="000A428E"/>
    <w:rsid w:val="000A49DA"/>
    <w:rsid w:val="000A4B75"/>
    <w:rsid w:val="000A6EDF"/>
    <w:rsid w:val="000A72D0"/>
    <w:rsid w:val="000A7970"/>
    <w:rsid w:val="000A7E25"/>
    <w:rsid w:val="000B00DB"/>
    <w:rsid w:val="000B0B8B"/>
    <w:rsid w:val="000B1405"/>
    <w:rsid w:val="000B213F"/>
    <w:rsid w:val="000B2933"/>
    <w:rsid w:val="000B2A17"/>
    <w:rsid w:val="000B30FF"/>
    <w:rsid w:val="000B3BF2"/>
    <w:rsid w:val="000B3D31"/>
    <w:rsid w:val="000B434D"/>
    <w:rsid w:val="000B4920"/>
    <w:rsid w:val="000B4B84"/>
    <w:rsid w:val="000B567F"/>
    <w:rsid w:val="000B5726"/>
    <w:rsid w:val="000B5C67"/>
    <w:rsid w:val="000B5E5F"/>
    <w:rsid w:val="000B62C2"/>
    <w:rsid w:val="000B6372"/>
    <w:rsid w:val="000B7376"/>
    <w:rsid w:val="000C0BB1"/>
    <w:rsid w:val="000C2540"/>
    <w:rsid w:val="000C2567"/>
    <w:rsid w:val="000C3B60"/>
    <w:rsid w:val="000C3D9D"/>
    <w:rsid w:val="000C43F0"/>
    <w:rsid w:val="000C4695"/>
    <w:rsid w:val="000C499A"/>
    <w:rsid w:val="000C49F1"/>
    <w:rsid w:val="000C5796"/>
    <w:rsid w:val="000C5F42"/>
    <w:rsid w:val="000C65CB"/>
    <w:rsid w:val="000C6873"/>
    <w:rsid w:val="000C6FAB"/>
    <w:rsid w:val="000C7C56"/>
    <w:rsid w:val="000D01D5"/>
    <w:rsid w:val="000D07C2"/>
    <w:rsid w:val="000D1414"/>
    <w:rsid w:val="000D1B19"/>
    <w:rsid w:val="000D251E"/>
    <w:rsid w:val="000D3DB8"/>
    <w:rsid w:val="000D476B"/>
    <w:rsid w:val="000D57BD"/>
    <w:rsid w:val="000D5A8C"/>
    <w:rsid w:val="000D6488"/>
    <w:rsid w:val="000D6757"/>
    <w:rsid w:val="000D7A58"/>
    <w:rsid w:val="000D7AB8"/>
    <w:rsid w:val="000D7F4E"/>
    <w:rsid w:val="000E0A0A"/>
    <w:rsid w:val="000E223C"/>
    <w:rsid w:val="000E3057"/>
    <w:rsid w:val="000E31A7"/>
    <w:rsid w:val="000E375A"/>
    <w:rsid w:val="000E420E"/>
    <w:rsid w:val="000E436F"/>
    <w:rsid w:val="000E5513"/>
    <w:rsid w:val="000E6F6F"/>
    <w:rsid w:val="000E787D"/>
    <w:rsid w:val="000E7F1D"/>
    <w:rsid w:val="000F0463"/>
    <w:rsid w:val="000F07C1"/>
    <w:rsid w:val="000F086F"/>
    <w:rsid w:val="000F1DDC"/>
    <w:rsid w:val="000F3028"/>
    <w:rsid w:val="000F4BEA"/>
    <w:rsid w:val="000F4F4F"/>
    <w:rsid w:val="000F5315"/>
    <w:rsid w:val="000F570B"/>
    <w:rsid w:val="000F5CC2"/>
    <w:rsid w:val="000F5E15"/>
    <w:rsid w:val="000F77F0"/>
    <w:rsid w:val="000F7876"/>
    <w:rsid w:val="00100A1E"/>
    <w:rsid w:val="00100B02"/>
    <w:rsid w:val="0010132E"/>
    <w:rsid w:val="001018C4"/>
    <w:rsid w:val="001018DD"/>
    <w:rsid w:val="001028FE"/>
    <w:rsid w:val="00102C05"/>
    <w:rsid w:val="00102C6A"/>
    <w:rsid w:val="00103E79"/>
    <w:rsid w:val="001040A8"/>
    <w:rsid w:val="001040F8"/>
    <w:rsid w:val="001043CE"/>
    <w:rsid w:val="001061CD"/>
    <w:rsid w:val="00106C0A"/>
    <w:rsid w:val="00113A37"/>
    <w:rsid w:val="00113F8C"/>
    <w:rsid w:val="00115ED4"/>
    <w:rsid w:val="0011661B"/>
    <w:rsid w:val="00116912"/>
    <w:rsid w:val="00116A79"/>
    <w:rsid w:val="00116CCB"/>
    <w:rsid w:val="001170FF"/>
    <w:rsid w:val="001174CF"/>
    <w:rsid w:val="00117E78"/>
    <w:rsid w:val="00120BAA"/>
    <w:rsid w:val="00120EA9"/>
    <w:rsid w:val="00121696"/>
    <w:rsid w:val="00122285"/>
    <w:rsid w:val="00123367"/>
    <w:rsid w:val="001247FE"/>
    <w:rsid w:val="00125341"/>
    <w:rsid w:val="00126224"/>
    <w:rsid w:val="00131592"/>
    <w:rsid w:val="001315A5"/>
    <w:rsid w:val="001316FD"/>
    <w:rsid w:val="0013249F"/>
    <w:rsid w:val="00132E89"/>
    <w:rsid w:val="0013332D"/>
    <w:rsid w:val="00133C0C"/>
    <w:rsid w:val="00134E3F"/>
    <w:rsid w:val="00134F6F"/>
    <w:rsid w:val="001355C4"/>
    <w:rsid w:val="00135778"/>
    <w:rsid w:val="00135951"/>
    <w:rsid w:val="00135B4A"/>
    <w:rsid w:val="0013678F"/>
    <w:rsid w:val="001367B9"/>
    <w:rsid w:val="00136C15"/>
    <w:rsid w:val="00137201"/>
    <w:rsid w:val="00137828"/>
    <w:rsid w:val="00140380"/>
    <w:rsid w:val="0014085A"/>
    <w:rsid w:val="00140A22"/>
    <w:rsid w:val="00140F4E"/>
    <w:rsid w:val="00141199"/>
    <w:rsid w:val="0014235A"/>
    <w:rsid w:val="00143D51"/>
    <w:rsid w:val="00144841"/>
    <w:rsid w:val="00146C75"/>
    <w:rsid w:val="00150D5B"/>
    <w:rsid w:val="00150E9E"/>
    <w:rsid w:val="00151F61"/>
    <w:rsid w:val="0015205D"/>
    <w:rsid w:val="001524F2"/>
    <w:rsid w:val="0015333B"/>
    <w:rsid w:val="00154C43"/>
    <w:rsid w:val="00156043"/>
    <w:rsid w:val="00156B10"/>
    <w:rsid w:val="0015708F"/>
    <w:rsid w:val="00157A50"/>
    <w:rsid w:val="00157DA4"/>
    <w:rsid w:val="00160E60"/>
    <w:rsid w:val="00161851"/>
    <w:rsid w:val="00162193"/>
    <w:rsid w:val="0016310E"/>
    <w:rsid w:val="001631F8"/>
    <w:rsid w:val="00164401"/>
    <w:rsid w:val="00164E60"/>
    <w:rsid w:val="00170920"/>
    <w:rsid w:val="00171AB2"/>
    <w:rsid w:val="00172554"/>
    <w:rsid w:val="00173923"/>
    <w:rsid w:val="00174DB8"/>
    <w:rsid w:val="00175DAE"/>
    <w:rsid w:val="00176032"/>
    <w:rsid w:val="0017622B"/>
    <w:rsid w:val="00176555"/>
    <w:rsid w:val="001773C8"/>
    <w:rsid w:val="00180B7A"/>
    <w:rsid w:val="001814C1"/>
    <w:rsid w:val="0018197E"/>
    <w:rsid w:val="00182991"/>
    <w:rsid w:val="00183503"/>
    <w:rsid w:val="00183988"/>
    <w:rsid w:val="00183DEC"/>
    <w:rsid w:val="00183FE7"/>
    <w:rsid w:val="00184AD2"/>
    <w:rsid w:val="0018534D"/>
    <w:rsid w:val="001854A1"/>
    <w:rsid w:val="001856B4"/>
    <w:rsid w:val="00185910"/>
    <w:rsid w:val="00185B1D"/>
    <w:rsid w:val="001862E5"/>
    <w:rsid w:val="00186543"/>
    <w:rsid w:val="00186A1A"/>
    <w:rsid w:val="00186FCF"/>
    <w:rsid w:val="00187445"/>
    <w:rsid w:val="00187945"/>
    <w:rsid w:val="00187DD0"/>
    <w:rsid w:val="001900F6"/>
    <w:rsid w:val="00190D63"/>
    <w:rsid w:val="00190F9A"/>
    <w:rsid w:val="00191106"/>
    <w:rsid w:val="00191253"/>
    <w:rsid w:val="00192333"/>
    <w:rsid w:val="00194978"/>
    <w:rsid w:val="00194BE6"/>
    <w:rsid w:val="0019588B"/>
    <w:rsid w:val="0019599B"/>
    <w:rsid w:val="001962E1"/>
    <w:rsid w:val="00196C94"/>
    <w:rsid w:val="00196DF6"/>
    <w:rsid w:val="00197783"/>
    <w:rsid w:val="00197E1C"/>
    <w:rsid w:val="001A088C"/>
    <w:rsid w:val="001A12ED"/>
    <w:rsid w:val="001A1ABF"/>
    <w:rsid w:val="001A2395"/>
    <w:rsid w:val="001A2E63"/>
    <w:rsid w:val="001A2EC3"/>
    <w:rsid w:val="001A3195"/>
    <w:rsid w:val="001A36F4"/>
    <w:rsid w:val="001A3B8C"/>
    <w:rsid w:val="001A424D"/>
    <w:rsid w:val="001A4A92"/>
    <w:rsid w:val="001A51C8"/>
    <w:rsid w:val="001B04F9"/>
    <w:rsid w:val="001B0B03"/>
    <w:rsid w:val="001B0E2D"/>
    <w:rsid w:val="001B1731"/>
    <w:rsid w:val="001B1831"/>
    <w:rsid w:val="001B1DC6"/>
    <w:rsid w:val="001B2DB2"/>
    <w:rsid w:val="001B383F"/>
    <w:rsid w:val="001B42E2"/>
    <w:rsid w:val="001B53E3"/>
    <w:rsid w:val="001B5B15"/>
    <w:rsid w:val="001B5F5A"/>
    <w:rsid w:val="001B62AB"/>
    <w:rsid w:val="001B6888"/>
    <w:rsid w:val="001B6B1D"/>
    <w:rsid w:val="001B70AC"/>
    <w:rsid w:val="001B749E"/>
    <w:rsid w:val="001C10A8"/>
    <w:rsid w:val="001C159A"/>
    <w:rsid w:val="001C2076"/>
    <w:rsid w:val="001C2A72"/>
    <w:rsid w:val="001C31EB"/>
    <w:rsid w:val="001C4CA3"/>
    <w:rsid w:val="001C4D03"/>
    <w:rsid w:val="001C4E09"/>
    <w:rsid w:val="001C4F2E"/>
    <w:rsid w:val="001C6679"/>
    <w:rsid w:val="001C6ACF"/>
    <w:rsid w:val="001C704F"/>
    <w:rsid w:val="001C71BC"/>
    <w:rsid w:val="001C763B"/>
    <w:rsid w:val="001C7730"/>
    <w:rsid w:val="001D0014"/>
    <w:rsid w:val="001D1659"/>
    <w:rsid w:val="001D32F7"/>
    <w:rsid w:val="001D4EDE"/>
    <w:rsid w:val="001D5984"/>
    <w:rsid w:val="001D5A8C"/>
    <w:rsid w:val="001D644A"/>
    <w:rsid w:val="001D6736"/>
    <w:rsid w:val="001D74AA"/>
    <w:rsid w:val="001E0DCE"/>
    <w:rsid w:val="001E17B2"/>
    <w:rsid w:val="001E1E51"/>
    <w:rsid w:val="001E24F4"/>
    <w:rsid w:val="001E36C8"/>
    <w:rsid w:val="001E51CE"/>
    <w:rsid w:val="001E5FC4"/>
    <w:rsid w:val="001F126C"/>
    <w:rsid w:val="001F1A2D"/>
    <w:rsid w:val="001F1DD1"/>
    <w:rsid w:val="001F25E0"/>
    <w:rsid w:val="001F485E"/>
    <w:rsid w:val="001F4DFD"/>
    <w:rsid w:val="001F52E4"/>
    <w:rsid w:val="001F5F53"/>
    <w:rsid w:val="001F6320"/>
    <w:rsid w:val="001F6572"/>
    <w:rsid w:val="001F7942"/>
    <w:rsid w:val="001F7B17"/>
    <w:rsid w:val="002000FD"/>
    <w:rsid w:val="00200679"/>
    <w:rsid w:val="0020196C"/>
    <w:rsid w:val="002047BF"/>
    <w:rsid w:val="0020488A"/>
    <w:rsid w:val="0020546C"/>
    <w:rsid w:val="00206921"/>
    <w:rsid w:val="00207FC1"/>
    <w:rsid w:val="00211573"/>
    <w:rsid w:val="002118E2"/>
    <w:rsid w:val="0021206F"/>
    <w:rsid w:val="00212EFF"/>
    <w:rsid w:val="002132F1"/>
    <w:rsid w:val="00213571"/>
    <w:rsid w:val="00213D26"/>
    <w:rsid w:val="00214324"/>
    <w:rsid w:val="00214FBE"/>
    <w:rsid w:val="00217482"/>
    <w:rsid w:val="0021750E"/>
    <w:rsid w:val="00217A65"/>
    <w:rsid w:val="00217C27"/>
    <w:rsid w:val="002208C7"/>
    <w:rsid w:val="00220B99"/>
    <w:rsid w:val="00220D70"/>
    <w:rsid w:val="00221159"/>
    <w:rsid w:val="002212DB"/>
    <w:rsid w:val="0022256C"/>
    <w:rsid w:val="002227D4"/>
    <w:rsid w:val="00223B64"/>
    <w:rsid w:val="00224BEB"/>
    <w:rsid w:val="0022630A"/>
    <w:rsid w:val="00226826"/>
    <w:rsid w:val="0022740E"/>
    <w:rsid w:val="00227C57"/>
    <w:rsid w:val="00231360"/>
    <w:rsid w:val="00231C9C"/>
    <w:rsid w:val="002331B4"/>
    <w:rsid w:val="00233DA6"/>
    <w:rsid w:val="00235026"/>
    <w:rsid w:val="00235402"/>
    <w:rsid w:val="00235C84"/>
    <w:rsid w:val="002419CA"/>
    <w:rsid w:val="002426BA"/>
    <w:rsid w:val="00244515"/>
    <w:rsid w:val="00244620"/>
    <w:rsid w:val="0024762A"/>
    <w:rsid w:val="002479D6"/>
    <w:rsid w:val="00247F5A"/>
    <w:rsid w:val="002506A5"/>
    <w:rsid w:val="00250C24"/>
    <w:rsid w:val="0025123F"/>
    <w:rsid w:val="0025164E"/>
    <w:rsid w:val="002520A7"/>
    <w:rsid w:val="00252E56"/>
    <w:rsid w:val="002535D9"/>
    <w:rsid w:val="002553C6"/>
    <w:rsid w:val="00255E6A"/>
    <w:rsid w:val="00256636"/>
    <w:rsid w:val="002573E7"/>
    <w:rsid w:val="00260D48"/>
    <w:rsid w:val="00261A45"/>
    <w:rsid w:val="00263267"/>
    <w:rsid w:val="002643D5"/>
    <w:rsid w:val="00264C41"/>
    <w:rsid w:val="0026686F"/>
    <w:rsid w:val="0026726B"/>
    <w:rsid w:val="00267555"/>
    <w:rsid w:val="002709BC"/>
    <w:rsid w:val="0027196C"/>
    <w:rsid w:val="0027225E"/>
    <w:rsid w:val="00272AD5"/>
    <w:rsid w:val="00272E24"/>
    <w:rsid w:val="002730B0"/>
    <w:rsid w:val="00273775"/>
    <w:rsid w:val="0027414F"/>
    <w:rsid w:val="00274AB7"/>
    <w:rsid w:val="00274FF5"/>
    <w:rsid w:val="002751CF"/>
    <w:rsid w:val="00275616"/>
    <w:rsid w:val="00275838"/>
    <w:rsid w:val="002762F1"/>
    <w:rsid w:val="00276DE0"/>
    <w:rsid w:val="00276E62"/>
    <w:rsid w:val="00277A78"/>
    <w:rsid w:val="00280163"/>
    <w:rsid w:val="00280314"/>
    <w:rsid w:val="002807CD"/>
    <w:rsid w:val="002807DC"/>
    <w:rsid w:val="002808E9"/>
    <w:rsid w:val="00281058"/>
    <w:rsid w:val="00281530"/>
    <w:rsid w:val="002826E2"/>
    <w:rsid w:val="002829E5"/>
    <w:rsid w:val="00282BE1"/>
    <w:rsid w:val="00284356"/>
    <w:rsid w:val="00284F8D"/>
    <w:rsid w:val="00285170"/>
    <w:rsid w:val="0028553B"/>
    <w:rsid w:val="002865CA"/>
    <w:rsid w:val="00287179"/>
    <w:rsid w:val="002904B1"/>
    <w:rsid w:val="002909D3"/>
    <w:rsid w:val="00294410"/>
    <w:rsid w:val="0029590F"/>
    <w:rsid w:val="002963CB"/>
    <w:rsid w:val="00296609"/>
    <w:rsid w:val="002A0062"/>
    <w:rsid w:val="002A09A3"/>
    <w:rsid w:val="002A0D72"/>
    <w:rsid w:val="002A164E"/>
    <w:rsid w:val="002A16B7"/>
    <w:rsid w:val="002A2B60"/>
    <w:rsid w:val="002A2CB4"/>
    <w:rsid w:val="002A326C"/>
    <w:rsid w:val="002A37A1"/>
    <w:rsid w:val="002A42D8"/>
    <w:rsid w:val="002A48A4"/>
    <w:rsid w:val="002A4913"/>
    <w:rsid w:val="002A535A"/>
    <w:rsid w:val="002A6107"/>
    <w:rsid w:val="002A67B2"/>
    <w:rsid w:val="002A72C5"/>
    <w:rsid w:val="002B13CC"/>
    <w:rsid w:val="002B2700"/>
    <w:rsid w:val="002B2AAB"/>
    <w:rsid w:val="002B2E53"/>
    <w:rsid w:val="002B3E82"/>
    <w:rsid w:val="002B4474"/>
    <w:rsid w:val="002B6205"/>
    <w:rsid w:val="002B62FD"/>
    <w:rsid w:val="002B680E"/>
    <w:rsid w:val="002C0CD1"/>
    <w:rsid w:val="002C0D68"/>
    <w:rsid w:val="002C1A6B"/>
    <w:rsid w:val="002C1B75"/>
    <w:rsid w:val="002C1EAB"/>
    <w:rsid w:val="002C3379"/>
    <w:rsid w:val="002C3BA0"/>
    <w:rsid w:val="002C57D4"/>
    <w:rsid w:val="002C5A13"/>
    <w:rsid w:val="002C60AE"/>
    <w:rsid w:val="002C6565"/>
    <w:rsid w:val="002D2801"/>
    <w:rsid w:val="002D2EB0"/>
    <w:rsid w:val="002D4AB7"/>
    <w:rsid w:val="002D4C66"/>
    <w:rsid w:val="002D6124"/>
    <w:rsid w:val="002D6766"/>
    <w:rsid w:val="002D74F7"/>
    <w:rsid w:val="002D778C"/>
    <w:rsid w:val="002E08CE"/>
    <w:rsid w:val="002E0F7E"/>
    <w:rsid w:val="002E13D1"/>
    <w:rsid w:val="002E14FE"/>
    <w:rsid w:val="002E1759"/>
    <w:rsid w:val="002E1E69"/>
    <w:rsid w:val="002E20C6"/>
    <w:rsid w:val="002E27EE"/>
    <w:rsid w:val="002E3569"/>
    <w:rsid w:val="002E46A5"/>
    <w:rsid w:val="002E5877"/>
    <w:rsid w:val="002E5EA6"/>
    <w:rsid w:val="002E6C3C"/>
    <w:rsid w:val="002E709A"/>
    <w:rsid w:val="002E7109"/>
    <w:rsid w:val="002E7348"/>
    <w:rsid w:val="002F172A"/>
    <w:rsid w:val="002F3E31"/>
    <w:rsid w:val="002F4800"/>
    <w:rsid w:val="002F5537"/>
    <w:rsid w:val="002F6F83"/>
    <w:rsid w:val="002F7855"/>
    <w:rsid w:val="003005E4"/>
    <w:rsid w:val="00300A0C"/>
    <w:rsid w:val="00300C4A"/>
    <w:rsid w:val="00301751"/>
    <w:rsid w:val="00301CBD"/>
    <w:rsid w:val="003030C5"/>
    <w:rsid w:val="003039E0"/>
    <w:rsid w:val="00304630"/>
    <w:rsid w:val="003047C9"/>
    <w:rsid w:val="00304E6A"/>
    <w:rsid w:val="0030598E"/>
    <w:rsid w:val="00306F55"/>
    <w:rsid w:val="00307FDF"/>
    <w:rsid w:val="00310961"/>
    <w:rsid w:val="00310B39"/>
    <w:rsid w:val="00310EEB"/>
    <w:rsid w:val="00312415"/>
    <w:rsid w:val="0031268C"/>
    <w:rsid w:val="00313290"/>
    <w:rsid w:val="00313561"/>
    <w:rsid w:val="00314452"/>
    <w:rsid w:val="003146E6"/>
    <w:rsid w:val="0031628C"/>
    <w:rsid w:val="00317BC3"/>
    <w:rsid w:val="00320592"/>
    <w:rsid w:val="00320E03"/>
    <w:rsid w:val="0032154C"/>
    <w:rsid w:val="00321FB3"/>
    <w:rsid w:val="0032242C"/>
    <w:rsid w:val="0032258B"/>
    <w:rsid w:val="003227CC"/>
    <w:rsid w:val="003234A8"/>
    <w:rsid w:val="0032386B"/>
    <w:rsid w:val="00325734"/>
    <w:rsid w:val="003262F1"/>
    <w:rsid w:val="00326630"/>
    <w:rsid w:val="003304E5"/>
    <w:rsid w:val="003304F7"/>
    <w:rsid w:val="003308AB"/>
    <w:rsid w:val="003322CE"/>
    <w:rsid w:val="0033248F"/>
    <w:rsid w:val="00332915"/>
    <w:rsid w:val="003334FB"/>
    <w:rsid w:val="00333D04"/>
    <w:rsid w:val="003342D8"/>
    <w:rsid w:val="003360F6"/>
    <w:rsid w:val="00336531"/>
    <w:rsid w:val="00336F23"/>
    <w:rsid w:val="0034132F"/>
    <w:rsid w:val="00341AC1"/>
    <w:rsid w:val="00342A8A"/>
    <w:rsid w:val="00342B5A"/>
    <w:rsid w:val="003433D2"/>
    <w:rsid w:val="003444BB"/>
    <w:rsid w:val="0034673C"/>
    <w:rsid w:val="00346A39"/>
    <w:rsid w:val="00350695"/>
    <w:rsid w:val="003506D4"/>
    <w:rsid w:val="00351B7E"/>
    <w:rsid w:val="003526FE"/>
    <w:rsid w:val="00352B28"/>
    <w:rsid w:val="00354817"/>
    <w:rsid w:val="003563F4"/>
    <w:rsid w:val="00357222"/>
    <w:rsid w:val="003604BB"/>
    <w:rsid w:val="00360775"/>
    <w:rsid w:val="00360800"/>
    <w:rsid w:val="003609A4"/>
    <w:rsid w:val="00362CC6"/>
    <w:rsid w:val="00362D7C"/>
    <w:rsid w:val="00362F04"/>
    <w:rsid w:val="0036326E"/>
    <w:rsid w:val="003646A8"/>
    <w:rsid w:val="0036483B"/>
    <w:rsid w:val="00364BFD"/>
    <w:rsid w:val="00364E0B"/>
    <w:rsid w:val="0036520B"/>
    <w:rsid w:val="00365997"/>
    <w:rsid w:val="003667BE"/>
    <w:rsid w:val="0036731C"/>
    <w:rsid w:val="003708EA"/>
    <w:rsid w:val="0037178D"/>
    <w:rsid w:val="003718F4"/>
    <w:rsid w:val="0037198A"/>
    <w:rsid w:val="00371D33"/>
    <w:rsid w:val="00372358"/>
    <w:rsid w:val="00372C7C"/>
    <w:rsid w:val="00372F8A"/>
    <w:rsid w:val="00373455"/>
    <w:rsid w:val="00373586"/>
    <w:rsid w:val="003742AF"/>
    <w:rsid w:val="003744E0"/>
    <w:rsid w:val="00374906"/>
    <w:rsid w:val="0037516F"/>
    <w:rsid w:val="0037519D"/>
    <w:rsid w:val="003754A1"/>
    <w:rsid w:val="00375DBD"/>
    <w:rsid w:val="00376861"/>
    <w:rsid w:val="003819D9"/>
    <w:rsid w:val="00383CF1"/>
    <w:rsid w:val="00386332"/>
    <w:rsid w:val="003865B0"/>
    <w:rsid w:val="00386750"/>
    <w:rsid w:val="00386E14"/>
    <w:rsid w:val="00386F36"/>
    <w:rsid w:val="0039118F"/>
    <w:rsid w:val="00391ECD"/>
    <w:rsid w:val="0039265F"/>
    <w:rsid w:val="003928D8"/>
    <w:rsid w:val="0039390F"/>
    <w:rsid w:val="00393D5C"/>
    <w:rsid w:val="00393ED7"/>
    <w:rsid w:val="0039432F"/>
    <w:rsid w:val="0039455E"/>
    <w:rsid w:val="00394B3E"/>
    <w:rsid w:val="00395B45"/>
    <w:rsid w:val="00395FFD"/>
    <w:rsid w:val="00397169"/>
    <w:rsid w:val="003A110E"/>
    <w:rsid w:val="003A1F60"/>
    <w:rsid w:val="003A2E83"/>
    <w:rsid w:val="003A2FDD"/>
    <w:rsid w:val="003A379A"/>
    <w:rsid w:val="003A3B66"/>
    <w:rsid w:val="003A3C55"/>
    <w:rsid w:val="003A49FD"/>
    <w:rsid w:val="003A4B15"/>
    <w:rsid w:val="003A5175"/>
    <w:rsid w:val="003A53D8"/>
    <w:rsid w:val="003A5C74"/>
    <w:rsid w:val="003A6298"/>
    <w:rsid w:val="003A6F22"/>
    <w:rsid w:val="003A6F67"/>
    <w:rsid w:val="003B2309"/>
    <w:rsid w:val="003B25C7"/>
    <w:rsid w:val="003B26C5"/>
    <w:rsid w:val="003B2A7B"/>
    <w:rsid w:val="003B2FA7"/>
    <w:rsid w:val="003B2FE5"/>
    <w:rsid w:val="003B357E"/>
    <w:rsid w:val="003B3CE9"/>
    <w:rsid w:val="003B3F22"/>
    <w:rsid w:val="003B4CB5"/>
    <w:rsid w:val="003B5787"/>
    <w:rsid w:val="003B6354"/>
    <w:rsid w:val="003B6B53"/>
    <w:rsid w:val="003B6E52"/>
    <w:rsid w:val="003B7B0F"/>
    <w:rsid w:val="003B7F5F"/>
    <w:rsid w:val="003C0D75"/>
    <w:rsid w:val="003C0F40"/>
    <w:rsid w:val="003C1C67"/>
    <w:rsid w:val="003C228A"/>
    <w:rsid w:val="003C2430"/>
    <w:rsid w:val="003C28C3"/>
    <w:rsid w:val="003C33F0"/>
    <w:rsid w:val="003C4B2B"/>
    <w:rsid w:val="003C4F13"/>
    <w:rsid w:val="003C5026"/>
    <w:rsid w:val="003C5FCE"/>
    <w:rsid w:val="003C6475"/>
    <w:rsid w:val="003D070A"/>
    <w:rsid w:val="003D1461"/>
    <w:rsid w:val="003D200A"/>
    <w:rsid w:val="003D3565"/>
    <w:rsid w:val="003D40C3"/>
    <w:rsid w:val="003D5AB8"/>
    <w:rsid w:val="003D6A06"/>
    <w:rsid w:val="003D7A70"/>
    <w:rsid w:val="003D7AFB"/>
    <w:rsid w:val="003E2691"/>
    <w:rsid w:val="003E5C3B"/>
    <w:rsid w:val="003F08B4"/>
    <w:rsid w:val="003F106A"/>
    <w:rsid w:val="003F117D"/>
    <w:rsid w:val="003F1454"/>
    <w:rsid w:val="003F1536"/>
    <w:rsid w:val="003F1EA5"/>
    <w:rsid w:val="003F30B5"/>
    <w:rsid w:val="003F3926"/>
    <w:rsid w:val="003F3E89"/>
    <w:rsid w:val="003F40E6"/>
    <w:rsid w:val="003F4AB9"/>
    <w:rsid w:val="003F4B4E"/>
    <w:rsid w:val="003F4E33"/>
    <w:rsid w:val="003F501D"/>
    <w:rsid w:val="003F5C2B"/>
    <w:rsid w:val="003F601B"/>
    <w:rsid w:val="003F61FF"/>
    <w:rsid w:val="003F6950"/>
    <w:rsid w:val="003F7DB2"/>
    <w:rsid w:val="00400A77"/>
    <w:rsid w:val="0040345E"/>
    <w:rsid w:val="00403E15"/>
    <w:rsid w:val="00404040"/>
    <w:rsid w:val="00404FC6"/>
    <w:rsid w:val="00406364"/>
    <w:rsid w:val="004067FF"/>
    <w:rsid w:val="00407ED8"/>
    <w:rsid w:val="0041033D"/>
    <w:rsid w:val="00410580"/>
    <w:rsid w:val="00411F48"/>
    <w:rsid w:val="00413AE5"/>
    <w:rsid w:val="00413BDA"/>
    <w:rsid w:val="00414AD9"/>
    <w:rsid w:val="0041616A"/>
    <w:rsid w:val="00416466"/>
    <w:rsid w:val="004173FB"/>
    <w:rsid w:val="0041795F"/>
    <w:rsid w:val="00421009"/>
    <w:rsid w:val="00421D80"/>
    <w:rsid w:val="00421DB0"/>
    <w:rsid w:val="00422EA8"/>
    <w:rsid w:val="00423424"/>
    <w:rsid w:val="00423A3A"/>
    <w:rsid w:val="00424BAF"/>
    <w:rsid w:val="00425D88"/>
    <w:rsid w:val="00426861"/>
    <w:rsid w:val="00426AED"/>
    <w:rsid w:val="00430AB4"/>
    <w:rsid w:val="00430DE3"/>
    <w:rsid w:val="004323A7"/>
    <w:rsid w:val="00432D50"/>
    <w:rsid w:val="00433112"/>
    <w:rsid w:val="004335B0"/>
    <w:rsid w:val="004345FA"/>
    <w:rsid w:val="00434BEF"/>
    <w:rsid w:val="0043501C"/>
    <w:rsid w:val="00435E8D"/>
    <w:rsid w:val="00435F02"/>
    <w:rsid w:val="00437273"/>
    <w:rsid w:val="00437B5C"/>
    <w:rsid w:val="0044050B"/>
    <w:rsid w:val="00441DEC"/>
    <w:rsid w:val="00443640"/>
    <w:rsid w:val="00443659"/>
    <w:rsid w:val="004439B8"/>
    <w:rsid w:val="004453B3"/>
    <w:rsid w:val="0044617D"/>
    <w:rsid w:val="004461C7"/>
    <w:rsid w:val="00446502"/>
    <w:rsid w:val="00446E89"/>
    <w:rsid w:val="0044721B"/>
    <w:rsid w:val="004473A6"/>
    <w:rsid w:val="004474CE"/>
    <w:rsid w:val="00447D01"/>
    <w:rsid w:val="00447E5C"/>
    <w:rsid w:val="00450EE6"/>
    <w:rsid w:val="004517DA"/>
    <w:rsid w:val="00452515"/>
    <w:rsid w:val="004527EE"/>
    <w:rsid w:val="00452E3F"/>
    <w:rsid w:val="00454A07"/>
    <w:rsid w:val="00456C47"/>
    <w:rsid w:val="0046042F"/>
    <w:rsid w:val="00461FB0"/>
    <w:rsid w:val="00462B63"/>
    <w:rsid w:val="00463DC8"/>
    <w:rsid w:val="00463F10"/>
    <w:rsid w:val="0046410C"/>
    <w:rsid w:val="004649DE"/>
    <w:rsid w:val="00465025"/>
    <w:rsid w:val="00465153"/>
    <w:rsid w:val="004651E1"/>
    <w:rsid w:val="00465864"/>
    <w:rsid w:val="00466142"/>
    <w:rsid w:val="00466223"/>
    <w:rsid w:val="0046767D"/>
    <w:rsid w:val="00467BFC"/>
    <w:rsid w:val="004705CC"/>
    <w:rsid w:val="0047118A"/>
    <w:rsid w:val="00471DAE"/>
    <w:rsid w:val="00471F90"/>
    <w:rsid w:val="004755EF"/>
    <w:rsid w:val="00475EC5"/>
    <w:rsid w:val="00476117"/>
    <w:rsid w:val="004773BB"/>
    <w:rsid w:val="00477420"/>
    <w:rsid w:val="004777C4"/>
    <w:rsid w:val="00477FF9"/>
    <w:rsid w:val="004812F7"/>
    <w:rsid w:val="00481C2E"/>
    <w:rsid w:val="00482ABA"/>
    <w:rsid w:val="00483660"/>
    <w:rsid w:val="00483B02"/>
    <w:rsid w:val="00483FCD"/>
    <w:rsid w:val="00484705"/>
    <w:rsid w:val="00484D72"/>
    <w:rsid w:val="004865BD"/>
    <w:rsid w:val="0048695C"/>
    <w:rsid w:val="0048782B"/>
    <w:rsid w:val="00491794"/>
    <w:rsid w:val="00491B60"/>
    <w:rsid w:val="004925DA"/>
    <w:rsid w:val="00492C4D"/>
    <w:rsid w:val="00492FAE"/>
    <w:rsid w:val="004934E9"/>
    <w:rsid w:val="0049483C"/>
    <w:rsid w:val="00495BF0"/>
    <w:rsid w:val="004965AA"/>
    <w:rsid w:val="0049661F"/>
    <w:rsid w:val="00496FDC"/>
    <w:rsid w:val="00497784"/>
    <w:rsid w:val="00497CFD"/>
    <w:rsid w:val="004A0AB3"/>
    <w:rsid w:val="004A132E"/>
    <w:rsid w:val="004A16E0"/>
    <w:rsid w:val="004A24A5"/>
    <w:rsid w:val="004A2938"/>
    <w:rsid w:val="004A2960"/>
    <w:rsid w:val="004A2D39"/>
    <w:rsid w:val="004A33E5"/>
    <w:rsid w:val="004A3547"/>
    <w:rsid w:val="004A3955"/>
    <w:rsid w:val="004A4352"/>
    <w:rsid w:val="004A43E8"/>
    <w:rsid w:val="004A5414"/>
    <w:rsid w:val="004A7896"/>
    <w:rsid w:val="004B10DA"/>
    <w:rsid w:val="004B1636"/>
    <w:rsid w:val="004B222D"/>
    <w:rsid w:val="004B2840"/>
    <w:rsid w:val="004B348E"/>
    <w:rsid w:val="004B4061"/>
    <w:rsid w:val="004B42AD"/>
    <w:rsid w:val="004B44AA"/>
    <w:rsid w:val="004B5DE7"/>
    <w:rsid w:val="004B6A60"/>
    <w:rsid w:val="004B77E4"/>
    <w:rsid w:val="004B7A61"/>
    <w:rsid w:val="004C06A1"/>
    <w:rsid w:val="004C08F8"/>
    <w:rsid w:val="004C1E98"/>
    <w:rsid w:val="004C3C30"/>
    <w:rsid w:val="004C44CE"/>
    <w:rsid w:val="004C4A52"/>
    <w:rsid w:val="004C4B4D"/>
    <w:rsid w:val="004C4F4C"/>
    <w:rsid w:val="004C59A4"/>
    <w:rsid w:val="004C5ACF"/>
    <w:rsid w:val="004C6EF8"/>
    <w:rsid w:val="004C6FF6"/>
    <w:rsid w:val="004C7653"/>
    <w:rsid w:val="004C78EA"/>
    <w:rsid w:val="004D0BAE"/>
    <w:rsid w:val="004D1723"/>
    <w:rsid w:val="004D2906"/>
    <w:rsid w:val="004D2B11"/>
    <w:rsid w:val="004D3447"/>
    <w:rsid w:val="004D4FF6"/>
    <w:rsid w:val="004D5689"/>
    <w:rsid w:val="004D5692"/>
    <w:rsid w:val="004D57FE"/>
    <w:rsid w:val="004D5C1F"/>
    <w:rsid w:val="004D6AC1"/>
    <w:rsid w:val="004D6E73"/>
    <w:rsid w:val="004D7345"/>
    <w:rsid w:val="004D79F3"/>
    <w:rsid w:val="004D7BB6"/>
    <w:rsid w:val="004E0319"/>
    <w:rsid w:val="004E0648"/>
    <w:rsid w:val="004E0724"/>
    <w:rsid w:val="004E091D"/>
    <w:rsid w:val="004E0985"/>
    <w:rsid w:val="004E19D7"/>
    <w:rsid w:val="004E29DD"/>
    <w:rsid w:val="004E3A6F"/>
    <w:rsid w:val="004E4636"/>
    <w:rsid w:val="004E527B"/>
    <w:rsid w:val="004E664A"/>
    <w:rsid w:val="004E7EDC"/>
    <w:rsid w:val="004F0150"/>
    <w:rsid w:val="004F0929"/>
    <w:rsid w:val="004F0BF4"/>
    <w:rsid w:val="004F10F5"/>
    <w:rsid w:val="004F1819"/>
    <w:rsid w:val="004F1D6E"/>
    <w:rsid w:val="004F2ED8"/>
    <w:rsid w:val="004F314E"/>
    <w:rsid w:val="004F322E"/>
    <w:rsid w:val="004F349E"/>
    <w:rsid w:val="004F365B"/>
    <w:rsid w:val="004F3B5C"/>
    <w:rsid w:val="004F4B67"/>
    <w:rsid w:val="004F4FDD"/>
    <w:rsid w:val="004F51AF"/>
    <w:rsid w:val="004F5BAA"/>
    <w:rsid w:val="004F6370"/>
    <w:rsid w:val="004F69B8"/>
    <w:rsid w:val="004F7020"/>
    <w:rsid w:val="004F7306"/>
    <w:rsid w:val="0050142E"/>
    <w:rsid w:val="0050158A"/>
    <w:rsid w:val="00501D64"/>
    <w:rsid w:val="00502017"/>
    <w:rsid w:val="00502B3F"/>
    <w:rsid w:val="00502C9E"/>
    <w:rsid w:val="00503332"/>
    <w:rsid w:val="00503F73"/>
    <w:rsid w:val="00503F99"/>
    <w:rsid w:val="005104CA"/>
    <w:rsid w:val="00510C28"/>
    <w:rsid w:val="005117EB"/>
    <w:rsid w:val="00512350"/>
    <w:rsid w:val="005138A3"/>
    <w:rsid w:val="00514A9F"/>
    <w:rsid w:val="00514AB5"/>
    <w:rsid w:val="00514D77"/>
    <w:rsid w:val="005158CE"/>
    <w:rsid w:val="00515ED6"/>
    <w:rsid w:val="00515FD4"/>
    <w:rsid w:val="00516483"/>
    <w:rsid w:val="005165F1"/>
    <w:rsid w:val="005166DD"/>
    <w:rsid w:val="005166F3"/>
    <w:rsid w:val="0051724E"/>
    <w:rsid w:val="005173D1"/>
    <w:rsid w:val="00517FEC"/>
    <w:rsid w:val="00520687"/>
    <w:rsid w:val="0052084B"/>
    <w:rsid w:val="00520B9D"/>
    <w:rsid w:val="00521895"/>
    <w:rsid w:val="005223AB"/>
    <w:rsid w:val="00522ECF"/>
    <w:rsid w:val="005239C9"/>
    <w:rsid w:val="005247AD"/>
    <w:rsid w:val="00524CF2"/>
    <w:rsid w:val="005255CD"/>
    <w:rsid w:val="00527888"/>
    <w:rsid w:val="00531500"/>
    <w:rsid w:val="00533757"/>
    <w:rsid w:val="00533777"/>
    <w:rsid w:val="00534340"/>
    <w:rsid w:val="00535279"/>
    <w:rsid w:val="00535481"/>
    <w:rsid w:val="005356E4"/>
    <w:rsid w:val="00536141"/>
    <w:rsid w:val="00536AFE"/>
    <w:rsid w:val="0053733F"/>
    <w:rsid w:val="00537B0D"/>
    <w:rsid w:val="00537EBC"/>
    <w:rsid w:val="00542440"/>
    <w:rsid w:val="00542EEC"/>
    <w:rsid w:val="00543013"/>
    <w:rsid w:val="0054567B"/>
    <w:rsid w:val="00545A56"/>
    <w:rsid w:val="00546E33"/>
    <w:rsid w:val="00547BB4"/>
    <w:rsid w:val="00550332"/>
    <w:rsid w:val="005507A6"/>
    <w:rsid w:val="0055345A"/>
    <w:rsid w:val="00553915"/>
    <w:rsid w:val="005546D1"/>
    <w:rsid w:val="00554A32"/>
    <w:rsid w:val="00555210"/>
    <w:rsid w:val="00555AA1"/>
    <w:rsid w:val="00555DA7"/>
    <w:rsid w:val="00556469"/>
    <w:rsid w:val="0055677E"/>
    <w:rsid w:val="00556A9A"/>
    <w:rsid w:val="00560A1E"/>
    <w:rsid w:val="00560DF5"/>
    <w:rsid w:val="00560ECF"/>
    <w:rsid w:val="0056161A"/>
    <w:rsid w:val="0056232B"/>
    <w:rsid w:val="0056274E"/>
    <w:rsid w:val="00562E1A"/>
    <w:rsid w:val="00562F2A"/>
    <w:rsid w:val="00563906"/>
    <w:rsid w:val="005641D5"/>
    <w:rsid w:val="005645FD"/>
    <w:rsid w:val="00564F7D"/>
    <w:rsid w:val="005650CE"/>
    <w:rsid w:val="00565101"/>
    <w:rsid w:val="005662B6"/>
    <w:rsid w:val="005667CD"/>
    <w:rsid w:val="00571A15"/>
    <w:rsid w:val="00571D58"/>
    <w:rsid w:val="00571F7C"/>
    <w:rsid w:val="00572283"/>
    <w:rsid w:val="005733DB"/>
    <w:rsid w:val="00573780"/>
    <w:rsid w:val="00573DB8"/>
    <w:rsid w:val="00574AC5"/>
    <w:rsid w:val="00574BCD"/>
    <w:rsid w:val="00574CEA"/>
    <w:rsid w:val="005759B5"/>
    <w:rsid w:val="00576309"/>
    <w:rsid w:val="005766B3"/>
    <w:rsid w:val="00576C0B"/>
    <w:rsid w:val="00576CDF"/>
    <w:rsid w:val="0058036D"/>
    <w:rsid w:val="00581384"/>
    <w:rsid w:val="0058178E"/>
    <w:rsid w:val="00581970"/>
    <w:rsid w:val="00583DFB"/>
    <w:rsid w:val="00583F78"/>
    <w:rsid w:val="005840C7"/>
    <w:rsid w:val="00584712"/>
    <w:rsid w:val="00584CA5"/>
    <w:rsid w:val="005851EE"/>
    <w:rsid w:val="00585A51"/>
    <w:rsid w:val="00586808"/>
    <w:rsid w:val="00587E5C"/>
    <w:rsid w:val="0059176B"/>
    <w:rsid w:val="005931FB"/>
    <w:rsid w:val="005934AE"/>
    <w:rsid w:val="00593F3E"/>
    <w:rsid w:val="00594B8F"/>
    <w:rsid w:val="00595217"/>
    <w:rsid w:val="0059799F"/>
    <w:rsid w:val="005A048F"/>
    <w:rsid w:val="005A0806"/>
    <w:rsid w:val="005A0A03"/>
    <w:rsid w:val="005A0E07"/>
    <w:rsid w:val="005A1134"/>
    <w:rsid w:val="005A3078"/>
    <w:rsid w:val="005A45B5"/>
    <w:rsid w:val="005A56B7"/>
    <w:rsid w:val="005A71F2"/>
    <w:rsid w:val="005B08CA"/>
    <w:rsid w:val="005B1955"/>
    <w:rsid w:val="005B1DA4"/>
    <w:rsid w:val="005B24FC"/>
    <w:rsid w:val="005B2AAC"/>
    <w:rsid w:val="005B2BFA"/>
    <w:rsid w:val="005B2C04"/>
    <w:rsid w:val="005B3F06"/>
    <w:rsid w:val="005B450F"/>
    <w:rsid w:val="005B4B85"/>
    <w:rsid w:val="005B5382"/>
    <w:rsid w:val="005B59F7"/>
    <w:rsid w:val="005B6876"/>
    <w:rsid w:val="005B71CC"/>
    <w:rsid w:val="005B75BD"/>
    <w:rsid w:val="005C022E"/>
    <w:rsid w:val="005C053E"/>
    <w:rsid w:val="005C0884"/>
    <w:rsid w:val="005C0B4D"/>
    <w:rsid w:val="005C17CE"/>
    <w:rsid w:val="005C1A92"/>
    <w:rsid w:val="005C3975"/>
    <w:rsid w:val="005C3E53"/>
    <w:rsid w:val="005C69CB"/>
    <w:rsid w:val="005C7C25"/>
    <w:rsid w:val="005D10AC"/>
    <w:rsid w:val="005D1419"/>
    <w:rsid w:val="005D20AA"/>
    <w:rsid w:val="005D2B7D"/>
    <w:rsid w:val="005D2F03"/>
    <w:rsid w:val="005D4437"/>
    <w:rsid w:val="005D50B8"/>
    <w:rsid w:val="005D575A"/>
    <w:rsid w:val="005D6100"/>
    <w:rsid w:val="005D64BE"/>
    <w:rsid w:val="005D68DC"/>
    <w:rsid w:val="005D719C"/>
    <w:rsid w:val="005E020E"/>
    <w:rsid w:val="005E0C8C"/>
    <w:rsid w:val="005E2953"/>
    <w:rsid w:val="005E2E87"/>
    <w:rsid w:val="005E2F7E"/>
    <w:rsid w:val="005E5238"/>
    <w:rsid w:val="005E56B0"/>
    <w:rsid w:val="005E7C4C"/>
    <w:rsid w:val="005F08B4"/>
    <w:rsid w:val="005F0BBB"/>
    <w:rsid w:val="005F125E"/>
    <w:rsid w:val="005F2572"/>
    <w:rsid w:val="005F296B"/>
    <w:rsid w:val="005F2B24"/>
    <w:rsid w:val="005F3260"/>
    <w:rsid w:val="005F4D75"/>
    <w:rsid w:val="005F600D"/>
    <w:rsid w:val="005F69E8"/>
    <w:rsid w:val="005F79DE"/>
    <w:rsid w:val="005F7E77"/>
    <w:rsid w:val="006007AE"/>
    <w:rsid w:val="00601615"/>
    <w:rsid w:val="00602346"/>
    <w:rsid w:val="00604D86"/>
    <w:rsid w:val="00604FC3"/>
    <w:rsid w:val="00605FBB"/>
    <w:rsid w:val="00606451"/>
    <w:rsid w:val="00606A41"/>
    <w:rsid w:val="00606DCB"/>
    <w:rsid w:val="00610036"/>
    <w:rsid w:val="00610A53"/>
    <w:rsid w:val="00610B5D"/>
    <w:rsid w:val="006111A3"/>
    <w:rsid w:val="00611A8A"/>
    <w:rsid w:val="006121F1"/>
    <w:rsid w:val="006123FE"/>
    <w:rsid w:val="00613C42"/>
    <w:rsid w:val="0061464F"/>
    <w:rsid w:val="00615E37"/>
    <w:rsid w:val="00620EFB"/>
    <w:rsid w:val="006219F7"/>
    <w:rsid w:val="00623751"/>
    <w:rsid w:val="00623CD7"/>
    <w:rsid w:val="006242C0"/>
    <w:rsid w:val="006242EF"/>
    <w:rsid w:val="00624ACE"/>
    <w:rsid w:val="00625658"/>
    <w:rsid w:val="00627378"/>
    <w:rsid w:val="00627ED3"/>
    <w:rsid w:val="0063100F"/>
    <w:rsid w:val="0063147F"/>
    <w:rsid w:val="0063201E"/>
    <w:rsid w:val="006335B8"/>
    <w:rsid w:val="006338F0"/>
    <w:rsid w:val="00634E9E"/>
    <w:rsid w:val="006358AC"/>
    <w:rsid w:val="006367A0"/>
    <w:rsid w:val="006379C4"/>
    <w:rsid w:val="0064109D"/>
    <w:rsid w:val="006412F3"/>
    <w:rsid w:val="0064136A"/>
    <w:rsid w:val="006421D1"/>
    <w:rsid w:val="00643528"/>
    <w:rsid w:val="006435F1"/>
    <w:rsid w:val="00643DCA"/>
    <w:rsid w:val="0064454A"/>
    <w:rsid w:val="00644B98"/>
    <w:rsid w:val="00646138"/>
    <w:rsid w:val="00647342"/>
    <w:rsid w:val="00647794"/>
    <w:rsid w:val="00647A13"/>
    <w:rsid w:val="00647EBC"/>
    <w:rsid w:val="006506D3"/>
    <w:rsid w:val="00650B4A"/>
    <w:rsid w:val="0065163C"/>
    <w:rsid w:val="006517A3"/>
    <w:rsid w:val="0065190E"/>
    <w:rsid w:val="00651C71"/>
    <w:rsid w:val="00651F5D"/>
    <w:rsid w:val="006521A8"/>
    <w:rsid w:val="00652E3C"/>
    <w:rsid w:val="00653F28"/>
    <w:rsid w:val="00654012"/>
    <w:rsid w:val="0065437A"/>
    <w:rsid w:val="00654617"/>
    <w:rsid w:val="00654806"/>
    <w:rsid w:val="0065484D"/>
    <w:rsid w:val="00654C8B"/>
    <w:rsid w:val="0065552B"/>
    <w:rsid w:val="00655B49"/>
    <w:rsid w:val="00656704"/>
    <w:rsid w:val="0065744E"/>
    <w:rsid w:val="00657CF0"/>
    <w:rsid w:val="0066121C"/>
    <w:rsid w:val="00662213"/>
    <w:rsid w:val="00662F9C"/>
    <w:rsid w:val="006634F6"/>
    <w:rsid w:val="00664D61"/>
    <w:rsid w:val="00665257"/>
    <w:rsid w:val="0066538B"/>
    <w:rsid w:val="00665508"/>
    <w:rsid w:val="006661B0"/>
    <w:rsid w:val="0066699D"/>
    <w:rsid w:val="00667A91"/>
    <w:rsid w:val="0067064D"/>
    <w:rsid w:val="00670F92"/>
    <w:rsid w:val="00671656"/>
    <w:rsid w:val="00671C08"/>
    <w:rsid w:val="00671EFB"/>
    <w:rsid w:val="00672205"/>
    <w:rsid w:val="006737B0"/>
    <w:rsid w:val="00673B14"/>
    <w:rsid w:val="00673C4B"/>
    <w:rsid w:val="0067602C"/>
    <w:rsid w:val="00676768"/>
    <w:rsid w:val="006768AF"/>
    <w:rsid w:val="00676E1E"/>
    <w:rsid w:val="00676E2A"/>
    <w:rsid w:val="00676ED9"/>
    <w:rsid w:val="0068328E"/>
    <w:rsid w:val="00683ACB"/>
    <w:rsid w:val="00683B09"/>
    <w:rsid w:val="00684343"/>
    <w:rsid w:val="00684545"/>
    <w:rsid w:val="006846E4"/>
    <w:rsid w:val="00684AD4"/>
    <w:rsid w:val="00685C36"/>
    <w:rsid w:val="0068669F"/>
    <w:rsid w:val="00690954"/>
    <w:rsid w:val="00691113"/>
    <w:rsid w:val="006931AA"/>
    <w:rsid w:val="00693C0D"/>
    <w:rsid w:val="00695596"/>
    <w:rsid w:val="00695607"/>
    <w:rsid w:val="0069580E"/>
    <w:rsid w:val="00695BC6"/>
    <w:rsid w:val="00696B10"/>
    <w:rsid w:val="006A01AD"/>
    <w:rsid w:val="006A10A9"/>
    <w:rsid w:val="006A172F"/>
    <w:rsid w:val="006A32A7"/>
    <w:rsid w:val="006A3698"/>
    <w:rsid w:val="006A43C7"/>
    <w:rsid w:val="006A4EF3"/>
    <w:rsid w:val="006A4FC1"/>
    <w:rsid w:val="006A5898"/>
    <w:rsid w:val="006A5F8D"/>
    <w:rsid w:val="006A6A61"/>
    <w:rsid w:val="006A770C"/>
    <w:rsid w:val="006A7EA5"/>
    <w:rsid w:val="006B0613"/>
    <w:rsid w:val="006B1712"/>
    <w:rsid w:val="006B1C2A"/>
    <w:rsid w:val="006B1E90"/>
    <w:rsid w:val="006B2F4C"/>
    <w:rsid w:val="006B2FFD"/>
    <w:rsid w:val="006B34F5"/>
    <w:rsid w:val="006B3651"/>
    <w:rsid w:val="006B4096"/>
    <w:rsid w:val="006B44E5"/>
    <w:rsid w:val="006B57C4"/>
    <w:rsid w:val="006B580F"/>
    <w:rsid w:val="006B5811"/>
    <w:rsid w:val="006B5C40"/>
    <w:rsid w:val="006B5CA2"/>
    <w:rsid w:val="006B61A8"/>
    <w:rsid w:val="006B623D"/>
    <w:rsid w:val="006B670E"/>
    <w:rsid w:val="006C1066"/>
    <w:rsid w:val="006C2E4F"/>
    <w:rsid w:val="006C3DD0"/>
    <w:rsid w:val="006C4F64"/>
    <w:rsid w:val="006C5178"/>
    <w:rsid w:val="006C533E"/>
    <w:rsid w:val="006C55AE"/>
    <w:rsid w:val="006C61B5"/>
    <w:rsid w:val="006C6762"/>
    <w:rsid w:val="006C695D"/>
    <w:rsid w:val="006C6F6B"/>
    <w:rsid w:val="006C7541"/>
    <w:rsid w:val="006C76B1"/>
    <w:rsid w:val="006D095D"/>
    <w:rsid w:val="006D33F1"/>
    <w:rsid w:val="006D4194"/>
    <w:rsid w:val="006D432C"/>
    <w:rsid w:val="006D43D4"/>
    <w:rsid w:val="006D4D90"/>
    <w:rsid w:val="006D5994"/>
    <w:rsid w:val="006D5DBE"/>
    <w:rsid w:val="006D5F02"/>
    <w:rsid w:val="006D6205"/>
    <w:rsid w:val="006D68BE"/>
    <w:rsid w:val="006D69A0"/>
    <w:rsid w:val="006D7ED3"/>
    <w:rsid w:val="006E2C24"/>
    <w:rsid w:val="006E34B1"/>
    <w:rsid w:val="006E3A77"/>
    <w:rsid w:val="006E5419"/>
    <w:rsid w:val="006E58A5"/>
    <w:rsid w:val="006E632E"/>
    <w:rsid w:val="006E651D"/>
    <w:rsid w:val="006E6649"/>
    <w:rsid w:val="006E71C3"/>
    <w:rsid w:val="006F00ED"/>
    <w:rsid w:val="006F01A9"/>
    <w:rsid w:val="006F0275"/>
    <w:rsid w:val="006F2EA7"/>
    <w:rsid w:val="006F3265"/>
    <w:rsid w:val="006F3E0A"/>
    <w:rsid w:val="006F4379"/>
    <w:rsid w:val="006F4A44"/>
    <w:rsid w:val="006F4D07"/>
    <w:rsid w:val="006F53A6"/>
    <w:rsid w:val="006F5D7B"/>
    <w:rsid w:val="006F62E2"/>
    <w:rsid w:val="006F6C7B"/>
    <w:rsid w:val="006F6FED"/>
    <w:rsid w:val="006F725C"/>
    <w:rsid w:val="006F7B85"/>
    <w:rsid w:val="006F7D30"/>
    <w:rsid w:val="006F7D93"/>
    <w:rsid w:val="00700012"/>
    <w:rsid w:val="007008C0"/>
    <w:rsid w:val="007008F8"/>
    <w:rsid w:val="00702686"/>
    <w:rsid w:val="00702AF0"/>
    <w:rsid w:val="00702C11"/>
    <w:rsid w:val="00702CBD"/>
    <w:rsid w:val="0070379D"/>
    <w:rsid w:val="0070385E"/>
    <w:rsid w:val="007038B3"/>
    <w:rsid w:val="00703CC0"/>
    <w:rsid w:val="00703FB7"/>
    <w:rsid w:val="00704161"/>
    <w:rsid w:val="007050D6"/>
    <w:rsid w:val="00705460"/>
    <w:rsid w:val="0070605E"/>
    <w:rsid w:val="00706487"/>
    <w:rsid w:val="00707145"/>
    <w:rsid w:val="0070747B"/>
    <w:rsid w:val="0071094A"/>
    <w:rsid w:val="0071097D"/>
    <w:rsid w:val="00710BFC"/>
    <w:rsid w:val="007110D0"/>
    <w:rsid w:val="00711A15"/>
    <w:rsid w:val="00711CF4"/>
    <w:rsid w:val="00713381"/>
    <w:rsid w:val="0071392E"/>
    <w:rsid w:val="00713AC3"/>
    <w:rsid w:val="00714E32"/>
    <w:rsid w:val="007151E9"/>
    <w:rsid w:val="00715344"/>
    <w:rsid w:val="007165A2"/>
    <w:rsid w:val="00721DFD"/>
    <w:rsid w:val="00722FAD"/>
    <w:rsid w:val="00724332"/>
    <w:rsid w:val="00724B11"/>
    <w:rsid w:val="00724F65"/>
    <w:rsid w:val="00726C16"/>
    <w:rsid w:val="00726D43"/>
    <w:rsid w:val="007279B5"/>
    <w:rsid w:val="00727DDF"/>
    <w:rsid w:val="00731055"/>
    <w:rsid w:val="007316DC"/>
    <w:rsid w:val="0073197F"/>
    <w:rsid w:val="007339D3"/>
    <w:rsid w:val="00735F08"/>
    <w:rsid w:val="00735F2E"/>
    <w:rsid w:val="00735FEC"/>
    <w:rsid w:val="00736592"/>
    <w:rsid w:val="007375DC"/>
    <w:rsid w:val="0073782F"/>
    <w:rsid w:val="00740973"/>
    <w:rsid w:val="00740E6F"/>
    <w:rsid w:val="0074191D"/>
    <w:rsid w:val="00741BFB"/>
    <w:rsid w:val="007421C8"/>
    <w:rsid w:val="007429E1"/>
    <w:rsid w:val="00742A43"/>
    <w:rsid w:val="00742D7A"/>
    <w:rsid w:val="00742E07"/>
    <w:rsid w:val="00743486"/>
    <w:rsid w:val="007434AB"/>
    <w:rsid w:val="007436A3"/>
    <w:rsid w:val="0074378F"/>
    <w:rsid w:val="007447D6"/>
    <w:rsid w:val="00744BAA"/>
    <w:rsid w:val="007452B3"/>
    <w:rsid w:val="00745B35"/>
    <w:rsid w:val="00747422"/>
    <w:rsid w:val="007477FD"/>
    <w:rsid w:val="007500A0"/>
    <w:rsid w:val="007512DA"/>
    <w:rsid w:val="00751824"/>
    <w:rsid w:val="00752FC6"/>
    <w:rsid w:val="007533F4"/>
    <w:rsid w:val="00753F39"/>
    <w:rsid w:val="0075510D"/>
    <w:rsid w:val="00755399"/>
    <w:rsid w:val="0075632C"/>
    <w:rsid w:val="0075637A"/>
    <w:rsid w:val="00756CDE"/>
    <w:rsid w:val="00756E9C"/>
    <w:rsid w:val="007575BF"/>
    <w:rsid w:val="007622B7"/>
    <w:rsid w:val="007624DE"/>
    <w:rsid w:val="0076284B"/>
    <w:rsid w:val="00762EF8"/>
    <w:rsid w:val="007634F7"/>
    <w:rsid w:val="00763B96"/>
    <w:rsid w:val="007644D1"/>
    <w:rsid w:val="007645B4"/>
    <w:rsid w:val="0076495A"/>
    <w:rsid w:val="0076613C"/>
    <w:rsid w:val="00766FA7"/>
    <w:rsid w:val="00767AF2"/>
    <w:rsid w:val="00770C7B"/>
    <w:rsid w:val="007710CE"/>
    <w:rsid w:val="00771E72"/>
    <w:rsid w:val="007725AF"/>
    <w:rsid w:val="00773056"/>
    <w:rsid w:val="007733E2"/>
    <w:rsid w:val="00773686"/>
    <w:rsid w:val="00774C1B"/>
    <w:rsid w:val="00774D15"/>
    <w:rsid w:val="00775F22"/>
    <w:rsid w:val="00782F62"/>
    <w:rsid w:val="00783798"/>
    <w:rsid w:val="00783B41"/>
    <w:rsid w:val="0078536C"/>
    <w:rsid w:val="007877F9"/>
    <w:rsid w:val="00790D8A"/>
    <w:rsid w:val="0079257D"/>
    <w:rsid w:val="00792E92"/>
    <w:rsid w:val="007935BE"/>
    <w:rsid w:val="00795D6E"/>
    <w:rsid w:val="00796464"/>
    <w:rsid w:val="00796F84"/>
    <w:rsid w:val="00797264"/>
    <w:rsid w:val="007A0961"/>
    <w:rsid w:val="007A0D59"/>
    <w:rsid w:val="007A14E2"/>
    <w:rsid w:val="007A2D1B"/>
    <w:rsid w:val="007A3053"/>
    <w:rsid w:val="007A38DA"/>
    <w:rsid w:val="007A462B"/>
    <w:rsid w:val="007A476A"/>
    <w:rsid w:val="007A5B50"/>
    <w:rsid w:val="007A7B3D"/>
    <w:rsid w:val="007B0646"/>
    <w:rsid w:val="007B1063"/>
    <w:rsid w:val="007B16A0"/>
    <w:rsid w:val="007B3004"/>
    <w:rsid w:val="007B323D"/>
    <w:rsid w:val="007B324B"/>
    <w:rsid w:val="007B3459"/>
    <w:rsid w:val="007B3943"/>
    <w:rsid w:val="007B3A43"/>
    <w:rsid w:val="007B3F8A"/>
    <w:rsid w:val="007B4B9E"/>
    <w:rsid w:val="007B6219"/>
    <w:rsid w:val="007B649C"/>
    <w:rsid w:val="007B68EC"/>
    <w:rsid w:val="007B6CE0"/>
    <w:rsid w:val="007B6D28"/>
    <w:rsid w:val="007B7117"/>
    <w:rsid w:val="007B736C"/>
    <w:rsid w:val="007B7505"/>
    <w:rsid w:val="007B7C9D"/>
    <w:rsid w:val="007C05B3"/>
    <w:rsid w:val="007C05D7"/>
    <w:rsid w:val="007C078B"/>
    <w:rsid w:val="007C18CD"/>
    <w:rsid w:val="007C2102"/>
    <w:rsid w:val="007C2542"/>
    <w:rsid w:val="007C2B67"/>
    <w:rsid w:val="007C34CA"/>
    <w:rsid w:val="007C52B9"/>
    <w:rsid w:val="007C6797"/>
    <w:rsid w:val="007C6889"/>
    <w:rsid w:val="007C6D6B"/>
    <w:rsid w:val="007C720D"/>
    <w:rsid w:val="007D0989"/>
    <w:rsid w:val="007D1462"/>
    <w:rsid w:val="007D1C1A"/>
    <w:rsid w:val="007D2A5B"/>
    <w:rsid w:val="007D2D54"/>
    <w:rsid w:val="007D3D53"/>
    <w:rsid w:val="007D4483"/>
    <w:rsid w:val="007D4491"/>
    <w:rsid w:val="007D61F5"/>
    <w:rsid w:val="007D69F2"/>
    <w:rsid w:val="007E07DC"/>
    <w:rsid w:val="007E13DC"/>
    <w:rsid w:val="007E290F"/>
    <w:rsid w:val="007E3721"/>
    <w:rsid w:val="007E3872"/>
    <w:rsid w:val="007E3E26"/>
    <w:rsid w:val="007E43FA"/>
    <w:rsid w:val="007E4498"/>
    <w:rsid w:val="007E49CF"/>
    <w:rsid w:val="007E4B02"/>
    <w:rsid w:val="007E4F4D"/>
    <w:rsid w:val="007E5C04"/>
    <w:rsid w:val="007E6A14"/>
    <w:rsid w:val="007E7041"/>
    <w:rsid w:val="007E7777"/>
    <w:rsid w:val="007E7EF2"/>
    <w:rsid w:val="007F0985"/>
    <w:rsid w:val="007F12F3"/>
    <w:rsid w:val="007F1351"/>
    <w:rsid w:val="007F2C45"/>
    <w:rsid w:val="007F3054"/>
    <w:rsid w:val="007F39FE"/>
    <w:rsid w:val="007F3E39"/>
    <w:rsid w:val="007F4B2F"/>
    <w:rsid w:val="007F534C"/>
    <w:rsid w:val="007F581C"/>
    <w:rsid w:val="007F74D3"/>
    <w:rsid w:val="007F7915"/>
    <w:rsid w:val="00800238"/>
    <w:rsid w:val="00800928"/>
    <w:rsid w:val="00801FF1"/>
    <w:rsid w:val="00802368"/>
    <w:rsid w:val="008023B9"/>
    <w:rsid w:val="0080249A"/>
    <w:rsid w:val="00803687"/>
    <w:rsid w:val="00803D07"/>
    <w:rsid w:val="00803EED"/>
    <w:rsid w:val="00804913"/>
    <w:rsid w:val="00804EBE"/>
    <w:rsid w:val="00806A70"/>
    <w:rsid w:val="00806D92"/>
    <w:rsid w:val="00806E20"/>
    <w:rsid w:val="00806FAE"/>
    <w:rsid w:val="0080710F"/>
    <w:rsid w:val="00810B79"/>
    <w:rsid w:val="00810ED5"/>
    <w:rsid w:val="00810F54"/>
    <w:rsid w:val="00811E12"/>
    <w:rsid w:val="00811EF1"/>
    <w:rsid w:val="00812032"/>
    <w:rsid w:val="00812980"/>
    <w:rsid w:val="00812A5C"/>
    <w:rsid w:val="00813263"/>
    <w:rsid w:val="00814217"/>
    <w:rsid w:val="00814592"/>
    <w:rsid w:val="00814FCA"/>
    <w:rsid w:val="0081522B"/>
    <w:rsid w:val="00816043"/>
    <w:rsid w:val="008160E4"/>
    <w:rsid w:val="0081613A"/>
    <w:rsid w:val="008163CB"/>
    <w:rsid w:val="0081669B"/>
    <w:rsid w:val="00816EFC"/>
    <w:rsid w:val="008170B0"/>
    <w:rsid w:val="00817237"/>
    <w:rsid w:val="00820050"/>
    <w:rsid w:val="00820BFF"/>
    <w:rsid w:val="00821B60"/>
    <w:rsid w:val="00822DD4"/>
    <w:rsid w:val="00823352"/>
    <w:rsid w:val="00823607"/>
    <w:rsid w:val="0082371D"/>
    <w:rsid w:val="00823B14"/>
    <w:rsid w:val="00824489"/>
    <w:rsid w:val="00826293"/>
    <w:rsid w:val="0082797C"/>
    <w:rsid w:val="0083003D"/>
    <w:rsid w:val="00831B83"/>
    <w:rsid w:val="0083220B"/>
    <w:rsid w:val="00832880"/>
    <w:rsid w:val="00835497"/>
    <w:rsid w:val="008358D0"/>
    <w:rsid w:val="00836018"/>
    <w:rsid w:val="00840293"/>
    <w:rsid w:val="008403AC"/>
    <w:rsid w:val="00840478"/>
    <w:rsid w:val="00840779"/>
    <w:rsid w:val="00841958"/>
    <w:rsid w:val="00841F4D"/>
    <w:rsid w:val="0084215A"/>
    <w:rsid w:val="00843741"/>
    <w:rsid w:val="0084500E"/>
    <w:rsid w:val="0084519A"/>
    <w:rsid w:val="008454CC"/>
    <w:rsid w:val="00845742"/>
    <w:rsid w:val="00845BF4"/>
    <w:rsid w:val="00846A8C"/>
    <w:rsid w:val="00846D60"/>
    <w:rsid w:val="0084723F"/>
    <w:rsid w:val="008475AE"/>
    <w:rsid w:val="00847885"/>
    <w:rsid w:val="00850F78"/>
    <w:rsid w:val="00851B76"/>
    <w:rsid w:val="0085319F"/>
    <w:rsid w:val="008540CD"/>
    <w:rsid w:val="008547B5"/>
    <w:rsid w:val="008549B5"/>
    <w:rsid w:val="0085514C"/>
    <w:rsid w:val="008554F6"/>
    <w:rsid w:val="00855A8B"/>
    <w:rsid w:val="0085646F"/>
    <w:rsid w:val="00857789"/>
    <w:rsid w:val="00857AD5"/>
    <w:rsid w:val="0086075C"/>
    <w:rsid w:val="00860B72"/>
    <w:rsid w:val="00861000"/>
    <w:rsid w:val="0086165F"/>
    <w:rsid w:val="00861EDD"/>
    <w:rsid w:val="0086323E"/>
    <w:rsid w:val="00863E73"/>
    <w:rsid w:val="008645E4"/>
    <w:rsid w:val="00865CE8"/>
    <w:rsid w:val="008678CA"/>
    <w:rsid w:val="008700AC"/>
    <w:rsid w:val="00870C1B"/>
    <w:rsid w:val="00871756"/>
    <w:rsid w:val="008717E9"/>
    <w:rsid w:val="008725AE"/>
    <w:rsid w:val="0087374D"/>
    <w:rsid w:val="00873986"/>
    <w:rsid w:val="00874EF5"/>
    <w:rsid w:val="00875DF2"/>
    <w:rsid w:val="00876A9D"/>
    <w:rsid w:val="008773FA"/>
    <w:rsid w:val="00877BB8"/>
    <w:rsid w:val="00877EBC"/>
    <w:rsid w:val="00881422"/>
    <w:rsid w:val="0088157D"/>
    <w:rsid w:val="008816EC"/>
    <w:rsid w:val="00881C17"/>
    <w:rsid w:val="00882E85"/>
    <w:rsid w:val="00882F10"/>
    <w:rsid w:val="0088319B"/>
    <w:rsid w:val="00883275"/>
    <w:rsid w:val="00885AF0"/>
    <w:rsid w:val="008867A0"/>
    <w:rsid w:val="00887886"/>
    <w:rsid w:val="0089010B"/>
    <w:rsid w:val="00890A86"/>
    <w:rsid w:val="00891A93"/>
    <w:rsid w:val="00891C37"/>
    <w:rsid w:val="008926FB"/>
    <w:rsid w:val="00893C8A"/>
    <w:rsid w:val="00894165"/>
    <w:rsid w:val="008948E7"/>
    <w:rsid w:val="00894E4B"/>
    <w:rsid w:val="008967E1"/>
    <w:rsid w:val="0089697A"/>
    <w:rsid w:val="00897CED"/>
    <w:rsid w:val="00897ED5"/>
    <w:rsid w:val="00897F87"/>
    <w:rsid w:val="008A2110"/>
    <w:rsid w:val="008A21A5"/>
    <w:rsid w:val="008A3914"/>
    <w:rsid w:val="008A4C61"/>
    <w:rsid w:val="008A4D52"/>
    <w:rsid w:val="008A4EEC"/>
    <w:rsid w:val="008A59FC"/>
    <w:rsid w:val="008A5F03"/>
    <w:rsid w:val="008A5FF8"/>
    <w:rsid w:val="008A76D6"/>
    <w:rsid w:val="008B138B"/>
    <w:rsid w:val="008B13F7"/>
    <w:rsid w:val="008B316E"/>
    <w:rsid w:val="008B47C1"/>
    <w:rsid w:val="008B5BD5"/>
    <w:rsid w:val="008B5BF9"/>
    <w:rsid w:val="008B6121"/>
    <w:rsid w:val="008B66E3"/>
    <w:rsid w:val="008B67BF"/>
    <w:rsid w:val="008B6859"/>
    <w:rsid w:val="008B6E5C"/>
    <w:rsid w:val="008B7031"/>
    <w:rsid w:val="008B7331"/>
    <w:rsid w:val="008B75E1"/>
    <w:rsid w:val="008C185C"/>
    <w:rsid w:val="008C2595"/>
    <w:rsid w:val="008C3EB7"/>
    <w:rsid w:val="008C48AD"/>
    <w:rsid w:val="008C5541"/>
    <w:rsid w:val="008C71C8"/>
    <w:rsid w:val="008C7A75"/>
    <w:rsid w:val="008D011F"/>
    <w:rsid w:val="008D0703"/>
    <w:rsid w:val="008D2F75"/>
    <w:rsid w:val="008D31B4"/>
    <w:rsid w:val="008D4934"/>
    <w:rsid w:val="008D49FB"/>
    <w:rsid w:val="008D52EA"/>
    <w:rsid w:val="008D5C27"/>
    <w:rsid w:val="008D6245"/>
    <w:rsid w:val="008D6426"/>
    <w:rsid w:val="008D6D21"/>
    <w:rsid w:val="008D78B4"/>
    <w:rsid w:val="008D7C0C"/>
    <w:rsid w:val="008E0406"/>
    <w:rsid w:val="008E07ED"/>
    <w:rsid w:val="008E0A31"/>
    <w:rsid w:val="008E1F2E"/>
    <w:rsid w:val="008E34F5"/>
    <w:rsid w:val="008E3509"/>
    <w:rsid w:val="008E3909"/>
    <w:rsid w:val="008E391E"/>
    <w:rsid w:val="008E39C2"/>
    <w:rsid w:val="008E3ACB"/>
    <w:rsid w:val="008E4340"/>
    <w:rsid w:val="008E4D61"/>
    <w:rsid w:val="008E4E31"/>
    <w:rsid w:val="008E5031"/>
    <w:rsid w:val="008E579E"/>
    <w:rsid w:val="008E60E0"/>
    <w:rsid w:val="008E62F6"/>
    <w:rsid w:val="008E6964"/>
    <w:rsid w:val="008E728A"/>
    <w:rsid w:val="008E76DE"/>
    <w:rsid w:val="008F01D6"/>
    <w:rsid w:val="008F1018"/>
    <w:rsid w:val="008F11CC"/>
    <w:rsid w:val="008F19BD"/>
    <w:rsid w:val="008F24F3"/>
    <w:rsid w:val="008F2A21"/>
    <w:rsid w:val="008F39E9"/>
    <w:rsid w:val="008F4482"/>
    <w:rsid w:val="008F55BD"/>
    <w:rsid w:val="008F63FC"/>
    <w:rsid w:val="008F664A"/>
    <w:rsid w:val="008F76E5"/>
    <w:rsid w:val="00901829"/>
    <w:rsid w:val="00901C55"/>
    <w:rsid w:val="00902B4C"/>
    <w:rsid w:val="00902F20"/>
    <w:rsid w:val="00903793"/>
    <w:rsid w:val="00903D92"/>
    <w:rsid w:val="009042D7"/>
    <w:rsid w:val="00905C30"/>
    <w:rsid w:val="0090648B"/>
    <w:rsid w:val="00906DAF"/>
    <w:rsid w:val="0090758F"/>
    <w:rsid w:val="009076EE"/>
    <w:rsid w:val="00907E11"/>
    <w:rsid w:val="00910016"/>
    <w:rsid w:val="00911A16"/>
    <w:rsid w:val="00912337"/>
    <w:rsid w:val="00912CB0"/>
    <w:rsid w:val="00913068"/>
    <w:rsid w:val="00913101"/>
    <w:rsid w:val="009132CA"/>
    <w:rsid w:val="00913B0C"/>
    <w:rsid w:val="00913E07"/>
    <w:rsid w:val="0091414C"/>
    <w:rsid w:val="00914228"/>
    <w:rsid w:val="009147FE"/>
    <w:rsid w:val="00915531"/>
    <w:rsid w:val="00915B09"/>
    <w:rsid w:val="00915C4A"/>
    <w:rsid w:val="0091793B"/>
    <w:rsid w:val="00921603"/>
    <w:rsid w:val="009217AC"/>
    <w:rsid w:val="009217DB"/>
    <w:rsid w:val="00921B80"/>
    <w:rsid w:val="00923B78"/>
    <w:rsid w:val="0092477D"/>
    <w:rsid w:val="009249E9"/>
    <w:rsid w:val="00926467"/>
    <w:rsid w:val="00926E34"/>
    <w:rsid w:val="009270F6"/>
    <w:rsid w:val="00932C3E"/>
    <w:rsid w:val="00933009"/>
    <w:rsid w:val="00934FAE"/>
    <w:rsid w:val="00935496"/>
    <w:rsid w:val="009407AE"/>
    <w:rsid w:val="00940FD6"/>
    <w:rsid w:val="00941201"/>
    <w:rsid w:val="00941D2D"/>
    <w:rsid w:val="00946215"/>
    <w:rsid w:val="0095134D"/>
    <w:rsid w:val="009516DF"/>
    <w:rsid w:val="00951C79"/>
    <w:rsid w:val="0095356C"/>
    <w:rsid w:val="009543F6"/>
    <w:rsid w:val="0095480A"/>
    <w:rsid w:val="009553A7"/>
    <w:rsid w:val="0095652F"/>
    <w:rsid w:val="00956A0F"/>
    <w:rsid w:val="00962025"/>
    <w:rsid w:val="009642AA"/>
    <w:rsid w:val="009643A7"/>
    <w:rsid w:val="00964B93"/>
    <w:rsid w:val="00964EB7"/>
    <w:rsid w:val="009651E5"/>
    <w:rsid w:val="009662CA"/>
    <w:rsid w:val="0096656C"/>
    <w:rsid w:val="0096761D"/>
    <w:rsid w:val="00970698"/>
    <w:rsid w:val="009706EF"/>
    <w:rsid w:val="00970742"/>
    <w:rsid w:val="00970854"/>
    <w:rsid w:val="009709B6"/>
    <w:rsid w:val="00970A15"/>
    <w:rsid w:val="00973453"/>
    <w:rsid w:val="00973F37"/>
    <w:rsid w:val="00974278"/>
    <w:rsid w:val="00974946"/>
    <w:rsid w:val="00974BAC"/>
    <w:rsid w:val="009753AC"/>
    <w:rsid w:val="00975829"/>
    <w:rsid w:val="00975A45"/>
    <w:rsid w:val="00976690"/>
    <w:rsid w:val="00976923"/>
    <w:rsid w:val="0097763A"/>
    <w:rsid w:val="00977EEB"/>
    <w:rsid w:val="009803C5"/>
    <w:rsid w:val="009811C2"/>
    <w:rsid w:val="00982077"/>
    <w:rsid w:val="00982113"/>
    <w:rsid w:val="00983481"/>
    <w:rsid w:val="009835A7"/>
    <w:rsid w:val="00983F14"/>
    <w:rsid w:val="009863C8"/>
    <w:rsid w:val="009864F8"/>
    <w:rsid w:val="009866F7"/>
    <w:rsid w:val="00990290"/>
    <w:rsid w:val="009906F1"/>
    <w:rsid w:val="00993D47"/>
    <w:rsid w:val="00994E30"/>
    <w:rsid w:val="0099610E"/>
    <w:rsid w:val="00996C12"/>
    <w:rsid w:val="0099721E"/>
    <w:rsid w:val="0099756D"/>
    <w:rsid w:val="00997D4A"/>
    <w:rsid w:val="009A06B0"/>
    <w:rsid w:val="009A09FB"/>
    <w:rsid w:val="009A0BAC"/>
    <w:rsid w:val="009A1AB8"/>
    <w:rsid w:val="009A1C91"/>
    <w:rsid w:val="009A238C"/>
    <w:rsid w:val="009A29AB"/>
    <w:rsid w:val="009A29FE"/>
    <w:rsid w:val="009A2F79"/>
    <w:rsid w:val="009A3275"/>
    <w:rsid w:val="009A3C58"/>
    <w:rsid w:val="009A470E"/>
    <w:rsid w:val="009A60C8"/>
    <w:rsid w:val="009A74E8"/>
    <w:rsid w:val="009A7929"/>
    <w:rsid w:val="009A7B12"/>
    <w:rsid w:val="009B016B"/>
    <w:rsid w:val="009B0B1E"/>
    <w:rsid w:val="009B0E44"/>
    <w:rsid w:val="009B1843"/>
    <w:rsid w:val="009B22D1"/>
    <w:rsid w:val="009B2B9B"/>
    <w:rsid w:val="009B2BE5"/>
    <w:rsid w:val="009B2C0E"/>
    <w:rsid w:val="009B37D9"/>
    <w:rsid w:val="009B3E91"/>
    <w:rsid w:val="009B4489"/>
    <w:rsid w:val="009B4B57"/>
    <w:rsid w:val="009B4B86"/>
    <w:rsid w:val="009B4DE2"/>
    <w:rsid w:val="009B4E37"/>
    <w:rsid w:val="009B51BC"/>
    <w:rsid w:val="009B5325"/>
    <w:rsid w:val="009B6DCB"/>
    <w:rsid w:val="009B7558"/>
    <w:rsid w:val="009C15ED"/>
    <w:rsid w:val="009C197E"/>
    <w:rsid w:val="009C2207"/>
    <w:rsid w:val="009C23A6"/>
    <w:rsid w:val="009C25E3"/>
    <w:rsid w:val="009C3857"/>
    <w:rsid w:val="009C4DC3"/>
    <w:rsid w:val="009C4FEC"/>
    <w:rsid w:val="009C587D"/>
    <w:rsid w:val="009C6325"/>
    <w:rsid w:val="009C7073"/>
    <w:rsid w:val="009D0CA7"/>
    <w:rsid w:val="009D0DE7"/>
    <w:rsid w:val="009D196A"/>
    <w:rsid w:val="009D1A4C"/>
    <w:rsid w:val="009D22EB"/>
    <w:rsid w:val="009D24BA"/>
    <w:rsid w:val="009D264C"/>
    <w:rsid w:val="009D6CC8"/>
    <w:rsid w:val="009E0B6E"/>
    <w:rsid w:val="009E0DA1"/>
    <w:rsid w:val="009E1262"/>
    <w:rsid w:val="009E19FB"/>
    <w:rsid w:val="009E1AE9"/>
    <w:rsid w:val="009E209A"/>
    <w:rsid w:val="009E4FFA"/>
    <w:rsid w:val="009E68C2"/>
    <w:rsid w:val="009F2D87"/>
    <w:rsid w:val="009F3146"/>
    <w:rsid w:val="009F38AF"/>
    <w:rsid w:val="009F4965"/>
    <w:rsid w:val="009F4B4A"/>
    <w:rsid w:val="009F5116"/>
    <w:rsid w:val="009F68F2"/>
    <w:rsid w:val="009F77FD"/>
    <w:rsid w:val="009F7952"/>
    <w:rsid w:val="00A0022A"/>
    <w:rsid w:val="00A003C5"/>
    <w:rsid w:val="00A00CF4"/>
    <w:rsid w:val="00A00EFF"/>
    <w:rsid w:val="00A01303"/>
    <w:rsid w:val="00A01A6C"/>
    <w:rsid w:val="00A01D40"/>
    <w:rsid w:val="00A0497F"/>
    <w:rsid w:val="00A05DFF"/>
    <w:rsid w:val="00A06287"/>
    <w:rsid w:val="00A063EE"/>
    <w:rsid w:val="00A07FF6"/>
    <w:rsid w:val="00A10F62"/>
    <w:rsid w:val="00A11DC0"/>
    <w:rsid w:val="00A13491"/>
    <w:rsid w:val="00A136C8"/>
    <w:rsid w:val="00A177DF"/>
    <w:rsid w:val="00A17B7D"/>
    <w:rsid w:val="00A20A24"/>
    <w:rsid w:val="00A21A87"/>
    <w:rsid w:val="00A222EC"/>
    <w:rsid w:val="00A228A7"/>
    <w:rsid w:val="00A23F87"/>
    <w:rsid w:val="00A24369"/>
    <w:rsid w:val="00A24D39"/>
    <w:rsid w:val="00A257DF"/>
    <w:rsid w:val="00A258ED"/>
    <w:rsid w:val="00A25D5A"/>
    <w:rsid w:val="00A27090"/>
    <w:rsid w:val="00A27406"/>
    <w:rsid w:val="00A276EE"/>
    <w:rsid w:val="00A30F51"/>
    <w:rsid w:val="00A315D9"/>
    <w:rsid w:val="00A31A25"/>
    <w:rsid w:val="00A31CB7"/>
    <w:rsid w:val="00A3244E"/>
    <w:rsid w:val="00A33444"/>
    <w:rsid w:val="00A334B5"/>
    <w:rsid w:val="00A33E5F"/>
    <w:rsid w:val="00A35031"/>
    <w:rsid w:val="00A35839"/>
    <w:rsid w:val="00A36606"/>
    <w:rsid w:val="00A3675E"/>
    <w:rsid w:val="00A3756D"/>
    <w:rsid w:val="00A40754"/>
    <w:rsid w:val="00A407D9"/>
    <w:rsid w:val="00A41C7D"/>
    <w:rsid w:val="00A42339"/>
    <w:rsid w:val="00A468DF"/>
    <w:rsid w:val="00A5011E"/>
    <w:rsid w:val="00A52C4B"/>
    <w:rsid w:val="00A5327A"/>
    <w:rsid w:val="00A53DBE"/>
    <w:rsid w:val="00A54255"/>
    <w:rsid w:val="00A54780"/>
    <w:rsid w:val="00A54CC1"/>
    <w:rsid w:val="00A55006"/>
    <w:rsid w:val="00A558D6"/>
    <w:rsid w:val="00A55F6C"/>
    <w:rsid w:val="00A56BD4"/>
    <w:rsid w:val="00A571DF"/>
    <w:rsid w:val="00A6140F"/>
    <w:rsid w:val="00A61D57"/>
    <w:rsid w:val="00A629E1"/>
    <w:rsid w:val="00A646E1"/>
    <w:rsid w:val="00A64991"/>
    <w:rsid w:val="00A65886"/>
    <w:rsid w:val="00A66146"/>
    <w:rsid w:val="00A6697D"/>
    <w:rsid w:val="00A67FA6"/>
    <w:rsid w:val="00A70778"/>
    <w:rsid w:val="00A70EBE"/>
    <w:rsid w:val="00A70F01"/>
    <w:rsid w:val="00A716B1"/>
    <w:rsid w:val="00A71B66"/>
    <w:rsid w:val="00A72C66"/>
    <w:rsid w:val="00A72DBD"/>
    <w:rsid w:val="00A73007"/>
    <w:rsid w:val="00A735AE"/>
    <w:rsid w:val="00A7389C"/>
    <w:rsid w:val="00A743E3"/>
    <w:rsid w:val="00A746BC"/>
    <w:rsid w:val="00A749E9"/>
    <w:rsid w:val="00A7573B"/>
    <w:rsid w:val="00A75E50"/>
    <w:rsid w:val="00A77FC8"/>
    <w:rsid w:val="00A81207"/>
    <w:rsid w:val="00A82180"/>
    <w:rsid w:val="00A82477"/>
    <w:rsid w:val="00A82E49"/>
    <w:rsid w:val="00A83837"/>
    <w:rsid w:val="00A83B80"/>
    <w:rsid w:val="00A84ADE"/>
    <w:rsid w:val="00A860E0"/>
    <w:rsid w:val="00A868F9"/>
    <w:rsid w:val="00A86F4F"/>
    <w:rsid w:val="00A8715C"/>
    <w:rsid w:val="00A87AC0"/>
    <w:rsid w:val="00A90103"/>
    <w:rsid w:val="00A903FC"/>
    <w:rsid w:val="00A90442"/>
    <w:rsid w:val="00A90ECB"/>
    <w:rsid w:val="00A91063"/>
    <w:rsid w:val="00A91BF8"/>
    <w:rsid w:val="00A92120"/>
    <w:rsid w:val="00A92AF5"/>
    <w:rsid w:val="00A94A1F"/>
    <w:rsid w:val="00A96133"/>
    <w:rsid w:val="00A9627E"/>
    <w:rsid w:val="00A962B9"/>
    <w:rsid w:val="00A9656F"/>
    <w:rsid w:val="00A968DA"/>
    <w:rsid w:val="00A96A87"/>
    <w:rsid w:val="00A9701C"/>
    <w:rsid w:val="00A975B5"/>
    <w:rsid w:val="00A97AB1"/>
    <w:rsid w:val="00AA00ED"/>
    <w:rsid w:val="00AA137E"/>
    <w:rsid w:val="00AA13B2"/>
    <w:rsid w:val="00AA14A5"/>
    <w:rsid w:val="00AA158B"/>
    <w:rsid w:val="00AA1D51"/>
    <w:rsid w:val="00AA2612"/>
    <w:rsid w:val="00AA2F84"/>
    <w:rsid w:val="00AA3A22"/>
    <w:rsid w:val="00AA5150"/>
    <w:rsid w:val="00AA75D2"/>
    <w:rsid w:val="00AB0051"/>
    <w:rsid w:val="00AB071D"/>
    <w:rsid w:val="00AB1231"/>
    <w:rsid w:val="00AB1834"/>
    <w:rsid w:val="00AB3450"/>
    <w:rsid w:val="00AB38AA"/>
    <w:rsid w:val="00AB3BA1"/>
    <w:rsid w:val="00AB3C43"/>
    <w:rsid w:val="00AB3FA1"/>
    <w:rsid w:val="00AB49EF"/>
    <w:rsid w:val="00AB5390"/>
    <w:rsid w:val="00AB59D1"/>
    <w:rsid w:val="00AB5C44"/>
    <w:rsid w:val="00AB5DD3"/>
    <w:rsid w:val="00AB7D82"/>
    <w:rsid w:val="00AC08AC"/>
    <w:rsid w:val="00AC0C2B"/>
    <w:rsid w:val="00AC0E3D"/>
    <w:rsid w:val="00AC1EBF"/>
    <w:rsid w:val="00AC3C7B"/>
    <w:rsid w:val="00AC6A80"/>
    <w:rsid w:val="00AC6B09"/>
    <w:rsid w:val="00AC75B8"/>
    <w:rsid w:val="00AD1743"/>
    <w:rsid w:val="00AD2675"/>
    <w:rsid w:val="00AD328A"/>
    <w:rsid w:val="00AD38D8"/>
    <w:rsid w:val="00AD4AAF"/>
    <w:rsid w:val="00AD4C39"/>
    <w:rsid w:val="00AD4D6E"/>
    <w:rsid w:val="00AD4DC6"/>
    <w:rsid w:val="00AD5402"/>
    <w:rsid w:val="00AD66CB"/>
    <w:rsid w:val="00AD7143"/>
    <w:rsid w:val="00AD7D6D"/>
    <w:rsid w:val="00AD7D8E"/>
    <w:rsid w:val="00AE1B08"/>
    <w:rsid w:val="00AE1EE4"/>
    <w:rsid w:val="00AE216A"/>
    <w:rsid w:val="00AE2329"/>
    <w:rsid w:val="00AE35E8"/>
    <w:rsid w:val="00AE3EC4"/>
    <w:rsid w:val="00AE4C09"/>
    <w:rsid w:val="00AE56D8"/>
    <w:rsid w:val="00AE5851"/>
    <w:rsid w:val="00AE58AC"/>
    <w:rsid w:val="00AE596C"/>
    <w:rsid w:val="00AE5E3B"/>
    <w:rsid w:val="00AE624B"/>
    <w:rsid w:val="00AE7080"/>
    <w:rsid w:val="00AE7E7B"/>
    <w:rsid w:val="00AF1EDE"/>
    <w:rsid w:val="00AF1FE8"/>
    <w:rsid w:val="00AF261D"/>
    <w:rsid w:val="00AF30BE"/>
    <w:rsid w:val="00AF3932"/>
    <w:rsid w:val="00AF3F78"/>
    <w:rsid w:val="00AF522C"/>
    <w:rsid w:val="00AF5661"/>
    <w:rsid w:val="00AF5927"/>
    <w:rsid w:val="00AF5B55"/>
    <w:rsid w:val="00AF6C6E"/>
    <w:rsid w:val="00AF6ED9"/>
    <w:rsid w:val="00AF6F00"/>
    <w:rsid w:val="00AF7190"/>
    <w:rsid w:val="00AF7D53"/>
    <w:rsid w:val="00B00451"/>
    <w:rsid w:val="00B013D7"/>
    <w:rsid w:val="00B02A70"/>
    <w:rsid w:val="00B030D7"/>
    <w:rsid w:val="00B03628"/>
    <w:rsid w:val="00B03933"/>
    <w:rsid w:val="00B066B9"/>
    <w:rsid w:val="00B0678D"/>
    <w:rsid w:val="00B067D5"/>
    <w:rsid w:val="00B07C72"/>
    <w:rsid w:val="00B101DF"/>
    <w:rsid w:val="00B11423"/>
    <w:rsid w:val="00B11721"/>
    <w:rsid w:val="00B11985"/>
    <w:rsid w:val="00B11AC8"/>
    <w:rsid w:val="00B130E3"/>
    <w:rsid w:val="00B134A0"/>
    <w:rsid w:val="00B13FF1"/>
    <w:rsid w:val="00B14756"/>
    <w:rsid w:val="00B1476E"/>
    <w:rsid w:val="00B147CC"/>
    <w:rsid w:val="00B14D8F"/>
    <w:rsid w:val="00B169CD"/>
    <w:rsid w:val="00B178EE"/>
    <w:rsid w:val="00B17CA3"/>
    <w:rsid w:val="00B17DCA"/>
    <w:rsid w:val="00B21618"/>
    <w:rsid w:val="00B21F48"/>
    <w:rsid w:val="00B22ACC"/>
    <w:rsid w:val="00B23107"/>
    <w:rsid w:val="00B23247"/>
    <w:rsid w:val="00B23750"/>
    <w:rsid w:val="00B24B39"/>
    <w:rsid w:val="00B25279"/>
    <w:rsid w:val="00B25390"/>
    <w:rsid w:val="00B254AC"/>
    <w:rsid w:val="00B25E40"/>
    <w:rsid w:val="00B25EB4"/>
    <w:rsid w:val="00B26038"/>
    <w:rsid w:val="00B26120"/>
    <w:rsid w:val="00B26B15"/>
    <w:rsid w:val="00B26CDF"/>
    <w:rsid w:val="00B26EC5"/>
    <w:rsid w:val="00B278DA"/>
    <w:rsid w:val="00B279DC"/>
    <w:rsid w:val="00B30948"/>
    <w:rsid w:val="00B315D2"/>
    <w:rsid w:val="00B335E5"/>
    <w:rsid w:val="00B34317"/>
    <w:rsid w:val="00B34830"/>
    <w:rsid w:val="00B34DDC"/>
    <w:rsid w:val="00B34E34"/>
    <w:rsid w:val="00B352F9"/>
    <w:rsid w:val="00B35826"/>
    <w:rsid w:val="00B35D61"/>
    <w:rsid w:val="00B377DB"/>
    <w:rsid w:val="00B37B0C"/>
    <w:rsid w:val="00B4036A"/>
    <w:rsid w:val="00B40D28"/>
    <w:rsid w:val="00B416C1"/>
    <w:rsid w:val="00B41B94"/>
    <w:rsid w:val="00B41C5F"/>
    <w:rsid w:val="00B41D0D"/>
    <w:rsid w:val="00B42D5D"/>
    <w:rsid w:val="00B43788"/>
    <w:rsid w:val="00B437C1"/>
    <w:rsid w:val="00B4418B"/>
    <w:rsid w:val="00B44440"/>
    <w:rsid w:val="00B45176"/>
    <w:rsid w:val="00B46A90"/>
    <w:rsid w:val="00B46B16"/>
    <w:rsid w:val="00B474B6"/>
    <w:rsid w:val="00B4757A"/>
    <w:rsid w:val="00B50856"/>
    <w:rsid w:val="00B51C23"/>
    <w:rsid w:val="00B52943"/>
    <w:rsid w:val="00B52E11"/>
    <w:rsid w:val="00B53833"/>
    <w:rsid w:val="00B55AF2"/>
    <w:rsid w:val="00B601C8"/>
    <w:rsid w:val="00B60630"/>
    <w:rsid w:val="00B6077D"/>
    <w:rsid w:val="00B60D77"/>
    <w:rsid w:val="00B613A4"/>
    <w:rsid w:val="00B62AB3"/>
    <w:rsid w:val="00B62D0F"/>
    <w:rsid w:val="00B63445"/>
    <w:rsid w:val="00B639A0"/>
    <w:rsid w:val="00B6403A"/>
    <w:rsid w:val="00B64CAF"/>
    <w:rsid w:val="00B65410"/>
    <w:rsid w:val="00B6629E"/>
    <w:rsid w:val="00B66885"/>
    <w:rsid w:val="00B66EEC"/>
    <w:rsid w:val="00B67307"/>
    <w:rsid w:val="00B676C9"/>
    <w:rsid w:val="00B67E19"/>
    <w:rsid w:val="00B707D2"/>
    <w:rsid w:val="00B70B5B"/>
    <w:rsid w:val="00B70BBA"/>
    <w:rsid w:val="00B70E25"/>
    <w:rsid w:val="00B710BA"/>
    <w:rsid w:val="00B718C8"/>
    <w:rsid w:val="00B718EA"/>
    <w:rsid w:val="00B71F2D"/>
    <w:rsid w:val="00B72BF7"/>
    <w:rsid w:val="00B72DBE"/>
    <w:rsid w:val="00B7623B"/>
    <w:rsid w:val="00B7634D"/>
    <w:rsid w:val="00B77675"/>
    <w:rsid w:val="00B777AC"/>
    <w:rsid w:val="00B818F0"/>
    <w:rsid w:val="00B81D2A"/>
    <w:rsid w:val="00B81EB9"/>
    <w:rsid w:val="00B82233"/>
    <w:rsid w:val="00B82C81"/>
    <w:rsid w:val="00B8326C"/>
    <w:rsid w:val="00B8359B"/>
    <w:rsid w:val="00B83DAB"/>
    <w:rsid w:val="00B8452B"/>
    <w:rsid w:val="00B84C45"/>
    <w:rsid w:val="00B84C71"/>
    <w:rsid w:val="00B84DCD"/>
    <w:rsid w:val="00B86A38"/>
    <w:rsid w:val="00B86C6A"/>
    <w:rsid w:val="00B86E9F"/>
    <w:rsid w:val="00B87E22"/>
    <w:rsid w:val="00B900E9"/>
    <w:rsid w:val="00B909DE"/>
    <w:rsid w:val="00B90FAC"/>
    <w:rsid w:val="00B910A4"/>
    <w:rsid w:val="00B915E6"/>
    <w:rsid w:val="00B917FC"/>
    <w:rsid w:val="00B91C1E"/>
    <w:rsid w:val="00B9390E"/>
    <w:rsid w:val="00B95349"/>
    <w:rsid w:val="00B9544C"/>
    <w:rsid w:val="00B9614C"/>
    <w:rsid w:val="00B9615E"/>
    <w:rsid w:val="00B9631F"/>
    <w:rsid w:val="00B9664F"/>
    <w:rsid w:val="00B96C21"/>
    <w:rsid w:val="00B978D8"/>
    <w:rsid w:val="00B97E47"/>
    <w:rsid w:val="00B97EA1"/>
    <w:rsid w:val="00BA00CB"/>
    <w:rsid w:val="00BA0267"/>
    <w:rsid w:val="00BA09E3"/>
    <w:rsid w:val="00BA11D3"/>
    <w:rsid w:val="00BA126D"/>
    <w:rsid w:val="00BA1544"/>
    <w:rsid w:val="00BA279F"/>
    <w:rsid w:val="00BA33B0"/>
    <w:rsid w:val="00BA3438"/>
    <w:rsid w:val="00BA37B3"/>
    <w:rsid w:val="00BA38A5"/>
    <w:rsid w:val="00BA3F91"/>
    <w:rsid w:val="00BA4119"/>
    <w:rsid w:val="00BA41C1"/>
    <w:rsid w:val="00BA5817"/>
    <w:rsid w:val="00BA59B8"/>
    <w:rsid w:val="00BA5F33"/>
    <w:rsid w:val="00BA6176"/>
    <w:rsid w:val="00BA66FC"/>
    <w:rsid w:val="00BA70D6"/>
    <w:rsid w:val="00BA770B"/>
    <w:rsid w:val="00BA7729"/>
    <w:rsid w:val="00BA7957"/>
    <w:rsid w:val="00BB067A"/>
    <w:rsid w:val="00BB1949"/>
    <w:rsid w:val="00BB1975"/>
    <w:rsid w:val="00BB21C0"/>
    <w:rsid w:val="00BB2D74"/>
    <w:rsid w:val="00BB339B"/>
    <w:rsid w:val="00BB38D2"/>
    <w:rsid w:val="00BB3C3B"/>
    <w:rsid w:val="00BB65CC"/>
    <w:rsid w:val="00BB68D4"/>
    <w:rsid w:val="00BB6B80"/>
    <w:rsid w:val="00BB6E28"/>
    <w:rsid w:val="00BB7221"/>
    <w:rsid w:val="00BB7A4E"/>
    <w:rsid w:val="00BC02B3"/>
    <w:rsid w:val="00BC03B8"/>
    <w:rsid w:val="00BC0D93"/>
    <w:rsid w:val="00BC23F1"/>
    <w:rsid w:val="00BC288F"/>
    <w:rsid w:val="00BC290D"/>
    <w:rsid w:val="00BC2DF4"/>
    <w:rsid w:val="00BC2EB8"/>
    <w:rsid w:val="00BC3BF6"/>
    <w:rsid w:val="00BC3C52"/>
    <w:rsid w:val="00BC5638"/>
    <w:rsid w:val="00BC631C"/>
    <w:rsid w:val="00BD09F4"/>
    <w:rsid w:val="00BD0CC5"/>
    <w:rsid w:val="00BD11CD"/>
    <w:rsid w:val="00BD11F8"/>
    <w:rsid w:val="00BD1253"/>
    <w:rsid w:val="00BD14E1"/>
    <w:rsid w:val="00BD16E8"/>
    <w:rsid w:val="00BD5F58"/>
    <w:rsid w:val="00BD63B3"/>
    <w:rsid w:val="00BD6F71"/>
    <w:rsid w:val="00BD7C99"/>
    <w:rsid w:val="00BE127B"/>
    <w:rsid w:val="00BE1545"/>
    <w:rsid w:val="00BE154E"/>
    <w:rsid w:val="00BE19D0"/>
    <w:rsid w:val="00BE1C8B"/>
    <w:rsid w:val="00BE24D1"/>
    <w:rsid w:val="00BE2630"/>
    <w:rsid w:val="00BE3115"/>
    <w:rsid w:val="00BE3378"/>
    <w:rsid w:val="00BE34DE"/>
    <w:rsid w:val="00BE44D5"/>
    <w:rsid w:val="00BE49CF"/>
    <w:rsid w:val="00BE5754"/>
    <w:rsid w:val="00BE6057"/>
    <w:rsid w:val="00BE6B62"/>
    <w:rsid w:val="00BE7366"/>
    <w:rsid w:val="00BE7C1D"/>
    <w:rsid w:val="00BF1B96"/>
    <w:rsid w:val="00BF23E9"/>
    <w:rsid w:val="00BF257B"/>
    <w:rsid w:val="00BF2796"/>
    <w:rsid w:val="00BF420E"/>
    <w:rsid w:val="00BF497E"/>
    <w:rsid w:val="00BF4B43"/>
    <w:rsid w:val="00BF4E4E"/>
    <w:rsid w:val="00BF5158"/>
    <w:rsid w:val="00BF629F"/>
    <w:rsid w:val="00BF64F6"/>
    <w:rsid w:val="00BF6798"/>
    <w:rsid w:val="00BF67BA"/>
    <w:rsid w:val="00BF7A9C"/>
    <w:rsid w:val="00C00076"/>
    <w:rsid w:val="00C0037D"/>
    <w:rsid w:val="00C008A4"/>
    <w:rsid w:val="00C031EB"/>
    <w:rsid w:val="00C036FD"/>
    <w:rsid w:val="00C03900"/>
    <w:rsid w:val="00C04203"/>
    <w:rsid w:val="00C04647"/>
    <w:rsid w:val="00C0663E"/>
    <w:rsid w:val="00C06953"/>
    <w:rsid w:val="00C10A77"/>
    <w:rsid w:val="00C1162C"/>
    <w:rsid w:val="00C11C29"/>
    <w:rsid w:val="00C1242D"/>
    <w:rsid w:val="00C12C15"/>
    <w:rsid w:val="00C12FE0"/>
    <w:rsid w:val="00C132D2"/>
    <w:rsid w:val="00C1477E"/>
    <w:rsid w:val="00C15A0D"/>
    <w:rsid w:val="00C15D11"/>
    <w:rsid w:val="00C168E0"/>
    <w:rsid w:val="00C16EB2"/>
    <w:rsid w:val="00C202D0"/>
    <w:rsid w:val="00C20814"/>
    <w:rsid w:val="00C208C8"/>
    <w:rsid w:val="00C20BE3"/>
    <w:rsid w:val="00C20CE4"/>
    <w:rsid w:val="00C2119B"/>
    <w:rsid w:val="00C21A1D"/>
    <w:rsid w:val="00C230B9"/>
    <w:rsid w:val="00C23154"/>
    <w:rsid w:val="00C2385E"/>
    <w:rsid w:val="00C23BD0"/>
    <w:rsid w:val="00C24083"/>
    <w:rsid w:val="00C248DB"/>
    <w:rsid w:val="00C24E94"/>
    <w:rsid w:val="00C30ECE"/>
    <w:rsid w:val="00C318E3"/>
    <w:rsid w:val="00C31B43"/>
    <w:rsid w:val="00C32AB4"/>
    <w:rsid w:val="00C332EC"/>
    <w:rsid w:val="00C3344B"/>
    <w:rsid w:val="00C34581"/>
    <w:rsid w:val="00C34981"/>
    <w:rsid w:val="00C35DC3"/>
    <w:rsid w:val="00C36C67"/>
    <w:rsid w:val="00C374D0"/>
    <w:rsid w:val="00C37F99"/>
    <w:rsid w:val="00C41521"/>
    <w:rsid w:val="00C4168D"/>
    <w:rsid w:val="00C41960"/>
    <w:rsid w:val="00C42303"/>
    <w:rsid w:val="00C43994"/>
    <w:rsid w:val="00C44748"/>
    <w:rsid w:val="00C4588A"/>
    <w:rsid w:val="00C4666E"/>
    <w:rsid w:val="00C47542"/>
    <w:rsid w:val="00C501F9"/>
    <w:rsid w:val="00C5083D"/>
    <w:rsid w:val="00C50D65"/>
    <w:rsid w:val="00C51747"/>
    <w:rsid w:val="00C5205A"/>
    <w:rsid w:val="00C5308A"/>
    <w:rsid w:val="00C545E7"/>
    <w:rsid w:val="00C55297"/>
    <w:rsid w:val="00C55C1C"/>
    <w:rsid w:val="00C56861"/>
    <w:rsid w:val="00C579BA"/>
    <w:rsid w:val="00C57B89"/>
    <w:rsid w:val="00C60AC1"/>
    <w:rsid w:val="00C60BB4"/>
    <w:rsid w:val="00C60D45"/>
    <w:rsid w:val="00C619DC"/>
    <w:rsid w:val="00C62304"/>
    <w:rsid w:val="00C62F80"/>
    <w:rsid w:val="00C63CFC"/>
    <w:rsid w:val="00C640EB"/>
    <w:rsid w:val="00C64376"/>
    <w:rsid w:val="00C6446B"/>
    <w:rsid w:val="00C64CE0"/>
    <w:rsid w:val="00C65525"/>
    <w:rsid w:val="00C66265"/>
    <w:rsid w:val="00C663C5"/>
    <w:rsid w:val="00C6655E"/>
    <w:rsid w:val="00C67211"/>
    <w:rsid w:val="00C67D97"/>
    <w:rsid w:val="00C702ED"/>
    <w:rsid w:val="00C70D1B"/>
    <w:rsid w:val="00C70EF6"/>
    <w:rsid w:val="00C7120E"/>
    <w:rsid w:val="00C7248A"/>
    <w:rsid w:val="00C744FC"/>
    <w:rsid w:val="00C74760"/>
    <w:rsid w:val="00C74837"/>
    <w:rsid w:val="00C76126"/>
    <w:rsid w:val="00C774F1"/>
    <w:rsid w:val="00C77C51"/>
    <w:rsid w:val="00C77F74"/>
    <w:rsid w:val="00C81B31"/>
    <w:rsid w:val="00C8205A"/>
    <w:rsid w:val="00C825E0"/>
    <w:rsid w:val="00C83559"/>
    <w:rsid w:val="00C83E26"/>
    <w:rsid w:val="00C85DA9"/>
    <w:rsid w:val="00C87083"/>
    <w:rsid w:val="00C87859"/>
    <w:rsid w:val="00C87D0C"/>
    <w:rsid w:val="00C9096C"/>
    <w:rsid w:val="00C90F3B"/>
    <w:rsid w:val="00C91303"/>
    <w:rsid w:val="00C915FE"/>
    <w:rsid w:val="00C91D15"/>
    <w:rsid w:val="00C927E7"/>
    <w:rsid w:val="00C92983"/>
    <w:rsid w:val="00C9311D"/>
    <w:rsid w:val="00C93310"/>
    <w:rsid w:val="00C941A8"/>
    <w:rsid w:val="00C944CF"/>
    <w:rsid w:val="00C9469B"/>
    <w:rsid w:val="00CA0528"/>
    <w:rsid w:val="00CA132B"/>
    <w:rsid w:val="00CA1C02"/>
    <w:rsid w:val="00CA1C21"/>
    <w:rsid w:val="00CA4F82"/>
    <w:rsid w:val="00CA5046"/>
    <w:rsid w:val="00CA66FD"/>
    <w:rsid w:val="00CB1537"/>
    <w:rsid w:val="00CB1E9F"/>
    <w:rsid w:val="00CB20AA"/>
    <w:rsid w:val="00CB20E7"/>
    <w:rsid w:val="00CB2FA8"/>
    <w:rsid w:val="00CB3290"/>
    <w:rsid w:val="00CB32D6"/>
    <w:rsid w:val="00CB36B5"/>
    <w:rsid w:val="00CB3881"/>
    <w:rsid w:val="00CB3CC9"/>
    <w:rsid w:val="00CB437A"/>
    <w:rsid w:val="00CB47F8"/>
    <w:rsid w:val="00CB6F46"/>
    <w:rsid w:val="00CB75E2"/>
    <w:rsid w:val="00CC00DA"/>
    <w:rsid w:val="00CC0D13"/>
    <w:rsid w:val="00CC1A78"/>
    <w:rsid w:val="00CC1E1C"/>
    <w:rsid w:val="00CC251A"/>
    <w:rsid w:val="00CC2F0B"/>
    <w:rsid w:val="00CC31BF"/>
    <w:rsid w:val="00CC34AB"/>
    <w:rsid w:val="00CC3828"/>
    <w:rsid w:val="00CC3A55"/>
    <w:rsid w:val="00CC3B2A"/>
    <w:rsid w:val="00CC507A"/>
    <w:rsid w:val="00CC5104"/>
    <w:rsid w:val="00CC6613"/>
    <w:rsid w:val="00CC6A57"/>
    <w:rsid w:val="00CC6C1D"/>
    <w:rsid w:val="00CC6C63"/>
    <w:rsid w:val="00CC78DE"/>
    <w:rsid w:val="00CD000C"/>
    <w:rsid w:val="00CD061B"/>
    <w:rsid w:val="00CD0800"/>
    <w:rsid w:val="00CD10A5"/>
    <w:rsid w:val="00CD134F"/>
    <w:rsid w:val="00CD1A2B"/>
    <w:rsid w:val="00CD220A"/>
    <w:rsid w:val="00CD39FF"/>
    <w:rsid w:val="00CD4276"/>
    <w:rsid w:val="00CD43ED"/>
    <w:rsid w:val="00CD5037"/>
    <w:rsid w:val="00CD6209"/>
    <w:rsid w:val="00CD63F6"/>
    <w:rsid w:val="00CD67A7"/>
    <w:rsid w:val="00CD6969"/>
    <w:rsid w:val="00CD6A87"/>
    <w:rsid w:val="00CD6C4E"/>
    <w:rsid w:val="00CD71A7"/>
    <w:rsid w:val="00CD74AA"/>
    <w:rsid w:val="00CE03B8"/>
    <w:rsid w:val="00CE0F6B"/>
    <w:rsid w:val="00CE1774"/>
    <w:rsid w:val="00CE4F6B"/>
    <w:rsid w:val="00CE51C5"/>
    <w:rsid w:val="00CE53B8"/>
    <w:rsid w:val="00CE5B3A"/>
    <w:rsid w:val="00CE7F28"/>
    <w:rsid w:val="00CF117B"/>
    <w:rsid w:val="00CF276A"/>
    <w:rsid w:val="00CF35B7"/>
    <w:rsid w:val="00CF36F0"/>
    <w:rsid w:val="00CF3874"/>
    <w:rsid w:val="00CF3F64"/>
    <w:rsid w:val="00CF4201"/>
    <w:rsid w:val="00CF4B95"/>
    <w:rsid w:val="00CF69EF"/>
    <w:rsid w:val="00CF7076"/>
    <w:rsid w:val="00D0058A"/>
    <w:rsid w:val="00D00753"/>
    <w:rsid w:val="00D0098D"/>
    <w:rsid w:val="00D00FC2"/>
    <w:rsid w:val="00D01C8A"/>
    <w:rsid w:val="00D0352B"/>
    <w:rsid w:val="00D03BCA"/>
    <w:rsid w:val="00D03E56"/>
    <w:rsid w:val="00D0456F"/>
    <w:rsid w:val="00D049C8"/>
    <w:rsid w:val="00D05839"/>
    <w:rsid w:val="00D06B6D"/>
    <w:rsid w:val="00D07465"/>
    <w:rsid w:val="00D07498"/>
    <w:rsid w:val="00D07B70"/>
    <w:rsid w:val="00D10287"/>
    <w:rsid w:val="00D108D3"/>
    <w:rsid w:val="00D111A9"/>
    <w:rsid w:val="00D11EC8"/>
    <w:rsid w:val="00D12136"/>
    <w:rsid w:val="00D121CC"/>
    <w:rsid w:val="00D121D7"/>
    <w:rsid w:val="00D1233B"/>
    <w:rsid w:val="00D12465"/>
    <w:rsid w:val="00D12AA8"/>
    <w:rsid w:val="00D15501"/>
    <w:rsid w:val="00D15B4F"/>
    <w:rsid w:val="00D16599"/>
    <w:rsid w:val="00D1669F"/>
    <w:rsid w:val="00D170B2"/>
    <w:rsid w:val="00D17545"/>
    <w:rsid w:val="00D2082D"/>
    <w:rsid w:val="00D20C97"/>
    <w:rsid w:val="00D21171"/>
    <w:rsid w:val="00D22D9B"/>
    <w:rsid w:val="00D24245"/>
    <w:rsid w:val="00D24401"/>
    <w:rsid w:val="00D24579"/>
    <w:rsid w:val="00D2492C"/>
    <w:rsid w:val="00D250FA"/>
    <w:rsid w:val="00D2524D"/>
    <w:rsid w:val="00D2618E"/>
    <w:rsid w:val="00D26403"/>
    <w:rsid w:val="00D300E9"/>
    <w:rsid w:val="00D304E4"/>
    <w:rsid w:val="00D310A5"/>
    <w:rsid w:val="00D31CFF"/>
    <w:rsid w:val="00D31E11"/>
    <w:rsid w:val="00D32538"/>
    <w:rsid w:val="00D32C94"/>
    <w:rsid w:val="00D3329B"/>
    <w:rsid w:val="00D33A5D"/>
    <w:rsid w:val="00D34140"/>
    <w:rsid w:val="00D3450D"/>
    <w:rsid w:val="00D370B7"/>
    <w:rsid w:val="00D37860"/>
    <w:rsid w:val="00D40776"/>
    <w:rsid w:val="00D40E89"/>
    <w:rsid w:val="00D41DB6"/>
    <w:rsid w:val="00D425EE"/>
    <w:rsid w:val="00D4279F"/>
    <w:rsid w:val="00D42EC7"/>
    <w:rsid w:val="00D434F9"/>
    <w:rsid w:val="00D43AA0"/>
    <w:rsid w:val="00D43E45"/>
    <w:rsid w:val="00D445BE"/>
    <w:rsid w:val="00D45542"/>
    <w:rsid w:val="00D46054"/>
    <w:rsid w:val="00D469B5"/>
    <w:rsid w:val="00D4780F"/>
    <w:rsid w:val="00D47DA8"/>
    <w:rsid w:val="00D50032"/>
    <w:rsid w:val="00D500C9"/>
    <w:rsid w:val="00D511AC"/>
    <w:rsid w:val="00D5175C"/>
    <w:rsid w:val="00D529CF"/>
    <w:rsid w:val="00D52AFB"/>
    <w:rsid w:val="00D52BF6"/>
    <w:rsid w:val="00D53EFF"/>
    <w:rsid w:val="00D54441"/>
    <w:rsid w:val="00D555BC"/>
    <w:rsid w:val="00D56C6D"/>
    <w:rsid w:val="00D57B2B"/>
    <w:rsid w:val="00D57C39"/>
    <w:rsid w:val="00D57E30"/>
    <w:rsid w:val="00D612E0"/>
    <w:rsid w:val="00D6134B"/>
    <w:rsid w:val="00D623D0"/>
    <w:rsid w:val="00D62FE7"/>
    <w:rsid w:val="00D6330E"/>
    <w:rsid w:val="00D63C02"/>
    <w:rsid w:val="00D6420F"/>
    <w:rsid w:val="00D650EB"/>
    <w:rsid w:val="00D664CE"/>
    <w:rsid w:val="00D66A89"/>
    <w:rsid w:val="00D66BE9"/>
    <w:rsid w:val="00D67549"/>
    <w:rsid w:val="00D67A66"/>
    <w:rsid w:val="00D67B5C"/>
    <w:rsid w:val="00D70A26"/>
    <w:rsid w:val="00D70BFE"/>
    <w:rsid w:val="00D71D66"/>
    <w:rsid w:val="00D71EA0"/>
    <w:rsid w:val="00D721F7"/>
    <w:rsid w:val="00D72F55"/>
    <w:rsid w:val="00D732D5"/>
    <w:rsid w:val="00D733B2"/>
    <w:rsid w:val="00D73D31"/>
    <w:rsid w:val="00D741BE"/>
    <w:rsid w:val="00D749E5"/>
    <w:rsid w:val="00D75828"/>
    <w:rsid w:val="00D75B85"/>
    <w:rsid w:val="00D76D1F"/>
    <w:rsid w:val="00D77354"/>
    <w:rsid w:val="00D773FB"/>
    <w:rsid w:val="00D81BDE"/>
    <w:rsid w:val="00D8204E"/>
    <w:rsid w:val="00D83C8B"/>
    <w:rsid w:val="00D84E77"/>
    <w:rsid w:val="00D8556D"/>
    <w:rsid w:val="00D85F6D"/>
    <w:rsid w:val="00D86514"/>
    <w:rsid w:val="00D86941"/>
    <w:rsid w:val="00D90325"/>
    <w:rsid w:val="00D90F03"/>
    <w:rsid w:val="00D9110D"/>
    <w:rsid w:val="00D93286"/>
    <w:rsid w:val="00D938C8"/>
    <w:rsid w:val="00D945BC"/>
    <w:rsid w:val="00D96689"/>
    <w:rsid w:val="00D96818"/>
    <w:rsid w:val="00D97AA5"/>
    <w:rsid w:val="00D97F9A"/>
    <w:rsid w:val="00DA10A7"/>
    <w:rsid w:val="00DA11C2"/>
    <w:rsid w:val="00DA1C8E"/>
    <w:rsid w:val="00DA263D"/>
    <w:rsid w:val="00DA29B4"/>
    <w:rsid w:val="00DA320D"/>
    <w:rsid w:val="00DA3493"/>
    <w:rsid w:val="00DA3569"/>
    <w:rsid w:val="00DA6B5F"/>
    <w:rsid w:val="00DA7CED"/>
    <w:rsid w:val="00DA7EA5"/>
    <w:rsid w:val="00DB0D38"/>
    <w:rsid w:val="00DB123A"/>
    <w:rsid w:val="00DB1F78"/>
    <w:rsid w:val="00DB2DEB"/>
    <w:rsid w:val="00DB309C"/>
    <w:rsid w:val="00DB689A"/>
    <w:rsid w:val="00DB73AF"/>
    <w:rsid w:val="00DB7DC1"/>
    <w:rsid w:val="00DB7F10"/>
    <w:rsid w:val="00DC1825"/>
    <w:rsid w:val="00DC19FE"/>
    <w:rsid w:val="00DC233B"/>
    <w:rsid w:val="00DC27A4"/>
    <w:rsid w:val="00DC2ED2"/>
    <w:rsid w:val="00DC3BB2"/>
    <w:rsid w:val="00DC3D13"/>
    <w:rsid w:val="00DC486E"/>
    <w:rsid w:val="00DC4AE5"/>
    <w:rsid w:val="00DC54B9"/>
    <w:rsid w:val="00DC5B5E"/>
    <w:rsid w:val="00DC5DE7"/>
    <w:rsid w:val="00DC5ECF"/>
    <w:rsid w:val="00DC77E8"/>
    <w:rsid w:val="00DC7EC0"/>
    <w:rsid w:val="00DD36A9"/>
    <w:rsid w:val="00DD385E"/>
    <w:rsid w:val="00DD4748"/>
    <w:rsid w:val="00DD4E21"/>
    <w:rsid w:val="00DD5318"/>
    <w:rsid w:val="00DD5611"/>
    <w:rsid w:val="00DD56B6"/>
    <w:rsid w:val="00DD6B6C"/>
    <w:rsid w:val="00DD707C"/>
    <w:rsid w:val="00DE0126"/>
    <w:rsid w:val="00DE03B0"/>
    <w:rsid w:val="00DE1B5E"/>
    <w:rsid w:val="00DE2C94"/>
    <w:rsid w:val="00DE2E91"/>
    <w:rsid w:val="00DE38D9"/>
    <w:rsid w:val="00DE3945"/>
    <w:rsid w:val="00DE65AB"/>
    <w:rsid w:val="00DE6A50"/>
    <w:rsid w:val="00DE6A89"/>
    <w:rsid w:val="00DE6BA3"/>
    <w:rsid w:val="00DE6D3D"/>
    <w:rsid w:val="00DE7890"/>
    <w:rsid w:val="00DF1056"/>
    <w:rsid w:val="00DF22D0"/>
    <w:rsid w:val="00DF257A"/>
    <w:rsid w:val="00DF3967"/>
    <w:rsid w:val="00DF425D"/>
    <w:rsid w:val="00DF4906"/>
    <w:rsid w:val="00DF49F5"/>
    <w:rsid w:val="00DF4B4F"/>
    <w:rsid w:val="00DF50FB"/>
    <w:rsid w:val="00DF66E5"/>
    <w:rsid w:val="00DF6828"/>
    <w:rsid w:val="00E00562"/>
    <w:rsid w:val="00E0074F"/>
    <w:rsid w:val="00E0186D"/>
    <w:rsid w:val="00E01F88"/>
    <w:rsid w:val="00E03798"/>
    <w:rsid w:val="00E037BD"/>
    <w:rsid w:val="00E043BC"/>
    <w:rsid w:val="00E051B5"/>
    <w:rsid w:val="00E05F85"/>
    <w:rsid w:val="00E06491"/>
    <w:rsid w:val="00E078EA"/>
    <w:rsid w:val="00E11612"/>
    <w:rsid w:val="00E127C2"/>
    <w:rsid w:val="00E16BC4"/>
    <w:rsid w:val="00E20077"/>
    <w:rsid w:val="00E20E01"/>
    <w:rsid w:val="00E2126E"/>
    <w:rsid w:val="00E21F39"/>
    <w:rsid w:val="00E22369"/>
    <w:rsid w:val="00E22EF0"/>
    <w:rsid w:val="00E2324D"/>
    <w:rsid w:val="00E23B4B"/>
    <w:rsid w:val="00E23B5D"/>
    <w:rsid w:val="00E242A8"/>
    <w:rsid w:val="00E2458E"/>
    <w:rsid w:val="00E24AA3"/>
    <w:rsid w:val="00E2522D"/>
    <w:rsid w:val="00E2575F"/>
    <w:rsid w:val="00E25E2D"/>
    <w:rsid w:val="00E2611C"/>
    <w:rsid w:val="00E274F4"/>
    <w:rsid w:val="00E27C7B"/>
    <w:rsid w:val="00E314BD"/>
    <w:rsid w:val="00E342FD"/>
    <w:rsid w:val="00E34CCF"/>
    <w:rsid w:val="00E35440"/>
    <w:rsid w:val="00E354B3"/>
    <w:rsid w:val="00E35D26"/>
    <w:rsid w:val="00E367F2"/>
    <w:rsid w:val="00E36960"/>
    <w:rsid w:val="00E36A12"/>
    <w:rsid w:val="00E37346"/>
    <w:rsid w:val="00E37C32"/>
    <w:rsid w:val="00E428A5"/>
    <w:rsid w:val="00E42E58"/>
    <w:rsid w:val="00E4350C"/>
    <w:rsid w:val="00E44649"/>
    <w:rsid w:val="00E44BAE"/>
    <w:rsid w:val="00E44C85"/>
    <w:rsid w:val="00E44FA5"/>
    <w:rsid w:val="00E4509B"/>
    <w:rsid w:val="00E456F1"/>
    <w:rsid w:val="00E45C1A"/>
    <w:rsid w:val="00E45C37"/>
    <w:rsid w:val="00E45D56"/>
    <w:rsid w:val="00E45FE9"/>
    <w:rsid w:val="00E4606D"/>
    <w:rsid w:val="00E461BD"/>
    <w:rsid w:val="00E464F2"/>
    <w:rsid w:val="00E465E1"/>
    <w:rsid w:val="00E472F4"/>
    <w:rsid w:val="00E47610"/>
    <w:rsid w:val="00E504BA"/>
    <w:rsid w:val="00E51571"/>
    <w:rsid w:val="00E51BF7"/>
    <w:rsid w:val="00E525D2"/>
    <w:rsid w:val="00E52947"/>
    <w:rsid w:val="00E52E73"/>
    <w:rsid w:val="00E53246"/>
    <w:rsid w:val="00E55123"/>
    <w:rsid w:val="00E55A72"/>
    <w:rsid w:val="00E579DC"/>
    <w:rsid w:val="00E60054"/>
    <w:rsid w:val="00E6029D"/>
    <w:rsid w:val="00E61D48"/>
    <w:rsid w:val="00E61F65"/>
    <w:rsid w:val="00E627BB"/>
    <w:rsid w:val="00E63196"/>
    <w:rsid w:val="00E63907"/>
    <w:rsid w:val="00E64196"/>
    <w:rsid w:val="00E67A77"/>
    <w:rsid w:val="00E715D6"/>
    <w:rsid w:val="00E72885"/>
    <w:rsid w:val="00E72DD0"/>
    <w:rsid w:val="00E73E78"/>
    <w:rsid w:val="00E7489B"/>
    <w:rsid w:val="00E76867"/>
    <w:rsid w:val="00E76949"/>
    <w:rsid w:val="00E801E9"/>
    <w:rsid w:val="00E801F1"/>
    <w:rsid w:val="00E813DB"/>
    <w:rsid w:val="00E8223B"/>
    <w:rsid w:val="00E828C2"/>
    <w:rsid w:val="00E839D1"/>
    <w:rsid w:val="00E83D84"/>
    <w:rsid w:val="00E83DFE"/>
    <w:rsid w:val="00E8422F"/>
    <w:rsid w:val="00E8493B"/>
    <w:rsid w:val="00E85112"/>
    <w:rsid w:val="00E85EC4"/>
    <w:rsid w:val="00E86170"/>
    <w:rsid w:val="00E86BA1"/>
    <w:rsid w:val="00E86DEF"/>
    <w:rsid w:val="00E879F5"/>
    <w:rsid w:val="00E90507"/>
    <w:rsid w:val="00E90544"/>
    <w:rsid w:val="00E915A7"/>
    <w:rsid w:val="00E9251C"/>
    <w:rsid w:val="00E925C4"/>
    <w:rsid w:val="00E928BC"/>
    <w:rsid w:val="00E92C0C"/>
    <w:rsid w:val="00E92CA1"/>
    <w:rsid w:val="00E92D52"/>
    <w:rsid w:val="00E93611"/>
    <w:rsid w:val="00E93BEA"/>
    <w:rsid w:val="00E95159"/>
    <w:rsid w:val="00E96D48"/>
    <w:rsid w:val="00E974CC"/>
    <w:rsid w:val="00EA026F"/>
    <w:rsid w:val="00EA128C"/>
    <w:rsid w:val="00EA1ADB"/>
    <w:rsid w:val="00EA4C06"/>
    <w:rsid w:val="00EA5043"/>
    <w:rsid w:val="00EA5348"/>
    <w:rsid w:val="00EA5FB4"/>
    <w:rsid w:val="00EA6819"/>
    <w:rsid w:val="00EA70AC"/>
    <w:rsid w:val="00EA74E0"/>
    <w:rsid w:val="00EB040A"/>
    <w:rsid w:val="00EB0534"/>
    <w:rsid w:val="00EB0A8F"/>
    <w:rsid w:val="00EB120C"/>
    <w:rsid w:val="00EB1DFA"/>
    <w:rsid w:val="00EB257E"/>
    <w:rsid w:val="00EB438E"/>
    <w:rsid w:val="00EB490C"/>
    <w:rsid w:val="00EB52D5"/>
    <w:rsid w:val="00EB5C52"/>
    <w:rsid w:val="00EB66FD"/>
    <w:rsid w:val="00EB6A40"/>
    <w:rsid w:val="00EC01C3"/>
    <w:rsid w:val="00EC13D0"/>
    <w:rsid w:val="00EC203F"/>
    <w:rsid w:val="00EC2080"/>
    <w:rsid w:val="00EC2883"/>
    <w:rsid w:val="00EC297A"/>
    <w:rsid w:val="00EC4111"/>
    <w:rsid w:val="00EC4815"/>
    <w:rsid w:val="00EC48FC"/>
    <w:rsid w:val="00EC53B0"/>
    <w:rsid w:val="00EC56EF"/>
    <w:rsid w:val="00EC5748"/>
    <w:rsid w:val="00EC6E67"/>
    <w:rsid w:val="00EC7E2D"/>
    <w:rsid w:val="00ED1513"/>
    <w:rsid w:val="00ED2318"/>
    <w:rsid w:val="00ED26CF"/>
    <w:rsid w:val="00ED2BDB"/>
    <w:rsid w:val="00ED30AF"/>
    <w:rsid w:val="00ED381E"/>
    <w:rsid w:val="00ED3BC9"/>
    <w:rsid w:val="00ED3F2A"/>
    <w:rsid w:val="00ED4BF4"/>
    <w:rsid w:val="00ED6A3E"/>
    <w:rsid w:val="00ED6C03"/>
    <w:rsid w:val="00ED76FB"/>
    <w:rsid w:val="00ED795C"/>
    <w:rsid w:val="00EE0DAB"/>
    <w:rsid w:val="00EE10EA"/>
    <w:rsid w:val="00EE2B41"/>
    <w:rsid w:val="00EE2ECB"/>
    <w:rsid w:val="00EE3C06"/>
    <w:rsid w:val="00EE407C"/>
    <w:rsid w:val="00EE4476"/>
    <w:rsid w:val="00EE499A"/>
    <w:rsid w:val="00EE4DC8"/>
    <w:rsid w:val="00EE5BCF"/>
    <w:rsid w:val="00EE61BF"/>
    <w:rsid w:val="00EE6717"/>
    <w:rsid w:val="00EE7408"/>
    <w:rsid w:val="00EF095A"/>
    <w:rsid w:val="00EF11FD"/>
    <w:rsid w:val="00EF1B9E"/>
    <w:rsid w:val="00EF2CE7"/>
    <w:rsid w:val="00EF2EFA"/>
    <w:rsid w:val="00EF343F"/>
    <w:rsid w:val="00EF5AA2"/>
    <w:rsid w:val="00EF64D3"/>
    <w:rsid w:val="00EF6D33"/>
    <w:rsid w:val="00F0026E"/>
    <w:rsid w:val="00F019D1"/>
    <w:rsid w:val="00F01BC8"/>
    <w:rsid w:val="00F01F4A"/>
    <w:rsid w:val="00F020F7"/>
    <w:rsid w:val="00F021F7"/>
    <w:rsid w:val="00F02D71"/>
    <w:rsid w:val="00F02F92"/>
    <w:rsid w:val="00F03569"/>
    <w:rsid w:val="00F0598C"/>
    <w:rsid w:val="00F068C3"/>
    <w:rsid w:val="00F077C8"/>
    <w:rsid w:val="00F104B6"/>
    <w:rsid w:val="00F10DBE"/>
    <w:rsid w:val="00F1243F"/>
    <w:rsid w:val="00F14A8E"/>
    <w:rsid w:val="00F14B9C"/>
    <w:rsid w:val="00F15219"/>
    <w:rsid w:val="00F16656"/>
    <w:rsid w:val="00F20815"/>
    <w:rsid w:val="00F20DEE"/>
    <w:rsid w:val="00F217AA"/>
    <w:rsid w:val="00F221B7"/>
    <w:rsid w:val="00F22472"/>
    <w:rsid w:val="00F224AB"/>
    <w:rsid w:val="00F229B7"/>
    <w:rsid w:val="00F2319B"/>
    <w:rsid w:val="00F237BC"/>
    <w:rsid w:val="00F241CA"/>
    <w:rsid w:val="00F26C16"/>
    <w:rsid w:val="00F300FF"/>
    <w:rsid w:val="00F302F8"/>
    <w:rsid w:val="00F31C11"/>
    <w:rsid w:val="00F31E4C"/>
    <w:rsid w:val="00F3450D"/>
    <w:rsid w:val="00F3487A"/>
    <w:rsid w:val="00F34DE2"/>
    <w:rsid w:val="00F359B7"/>
    <w:rsid w:val="00F3766F"/>
    <w:rsid w:val="00F377B5"/>
    <w:rsid w:val="00F40273"/>
    <w:rsid w:val="00F403ED"/>
    <w:rsid w:val="00F40B49"/>
    <w:rsid w:val="00F414C2"/>
    <w:rsid w:val="00F43283"/>
    <w:rsid w:val="00F43A9F"/>
    <w:rsid w:val="00F43BB1"/>
    <w:rsid w:val="00F44E29"/>
    <w:rsid w:val="00F453D0"/>
    <w:rsid w:val="00F477D1"/>
    <w:rsid w:val="00F508E9"/>
    <w:rsid w:val="00F50B53"/>
    <w:rsid w:val="00F50BA1"/>
    <w:rsid w:val="00F50E19"/>
    <w:rsid w:val="00F50F7D"/>
    <w:rsid w:val="00F514F3"/>
    <w:rsid w:val="00F515D2"/>
    <w:rsid w:val="00F51CBD"/>
    <w:rsid w:val="00F5357E"/>
    <w:rsid w:val="00F546E3"/>
    <w:rsid w:val="00F561BD"/>
    <w:rsid w:val="00F60499"/>
    <w:rsid w:val="00F60D7A"/>
    <w:rsid w:val="00F61399"/>
    <w:rsid w:val="00F64608"/>
    <w:rsid w:val="00F648BE"/>
    <w:rsid w:val="00F65593"/>
    <w:rsid w:val="00F657C9"/>
    <w:rsid w:val="00F65A7D"/>
    <w:rsid w:val="00F667FA"/>
    <w:rsid w:val="00F675C9"/>
    <w:rsid w:val="00F70AFB"/>
    <w:rsid w:val="00F70D42"/>
    <w:rsid w:val="00F70D73"/>
    <w:rsid w:val="00F71499"/>
    <w:rsid w:val="00F7157A"/>
    <w:rsid w:val="00F715B6"/>
    <w:rsid w:val="00F7195C"/>
    <w:rsid w:val="00F71D24"/>
    <w:rsid w:val="00F72497"/>
    <w:rsid w:val="00F72550"/>
    <w:rsid w:val="00F73CC0"/>
    <w:rsid w:val="00F74B7E"/>
    <w:rsid w:val="00F75EFD"/>
    <w:rsid w:val="00F7627D"/>
    <w:rsid w:val="00F7755C"/>
    <w:rsid w:val="00F811BF"/>
    <w:rsid w:val="00F812BB"/>
    <w:rsid w:val="00F815DF"/>
    <w:rsid w:val="00F8206E"/>
    <w:rsid w:val="00F8391B"/>
    <w:rsid w:val="00F83CA0"/>
    <w:rsid w:val="00F83F5B"/>
    <w:rsid w:val="00F84576"/>
    <w:rsid w:val="00F8589F"/>
    <w:rsid w:val="00F90663"/>
    <w:rsid w:val="00F90F5A"/>
    <w:rsid w:val="00F92046"/>
    <w:rsid w:val="00F92742"/>
    <w:rsid w:val="00F936F2"/>
    <w:rsid w:val="00F9395F"/>
    <w:rsid w:val="00F93EFA"/>
    <w:rsid w:val="00F946EB"/>
    <w:rsid w:val="00F94FCF"/>
    <w:rsid w:val="00F95262"/>
    <w:rsid w:val="00F95A32"/>
    <w:rsid w:val="00F95D1F"/>
    <w:rsid w:val="00F96565"/>
    <w:rsid w:val="00F96655"/>
    <w:rsid w:val="00FA00E5"/>
    <w:rsid w:val="00FA15AA"/>
    <w:rsid w:val="00FA16AE"/>
    <w:rsid w:val="00FA188D"/>
    <w:rsid w:val="00FA1AC4"/>
    <w:rsid w:val="00FA1CFE"/>
    <w:rsid w:val="00FA27E6"/>
    <w:rsid w:val="00FA38D1"/>
    <w:rsid w:val="00FA509D"/>
    <w:rsid w:val="00FA5BC8"/>
    <w:rsid w:val="00FA6E10"/>
    <w:rsid w:val="00FA7537"/>
    <w:rsid w:val="00FA7E7B"/>
    <w:rsid w:val="00FB11A4"/>
    <w:rsid w:val="00FB1CA8"/>
    <w:rsid w:val="00FB2C56"/>
    <w:rsid w:val="00FB3DD4"/>
    <w:rsid w:val="00FB4006"/>
    <w:rsid w:val="00FB4609"/>
    <w:rsid w:val="00FB4617"/>
    <w:rsid w:val="00FB5A40"/>
    <w:rsid w:val="00FB5E30"/>
    <w:rsid w:val="00FB6B39"/>
    <w:rsid w:val="00FB6C06"/>
    <w:rsid w:val="00FC012D"/>
    <w:rsid w:val="00FC0340"/>
    <w:rsid w:val="00FC067A"/>
    <w:rsid w:val="00FC13EB"/>
    <w:rsid w:val="00FC1879"/>
    <w:rsid w:val="00FC2BC5"/>
    <w:rsid w:val="00FC2CFE"/>
    <w:rsid w:val="00FC337E"/>
    <w:rsid w:val="00FC4396"/>
    <w:rsid w:val="00FC43BA"/>
    <w:rsid w:val="00FC46A6"/>
    <w:rsid w:val="00FC4D76"/>
    <w:rsid w:val="00FC5F1E"/>
    <w:rsid w:val="00FC6A16"/>
    <w:rsid w:val="00FC7FCE"/>
    <w:rsid w:val="00FD00D6"/>
    <w:rsid w:val="00FD024B"/>
    <w:rsid w:val="00FD073B"/>
    <w:rsid w:val="00FD0D50"/>
    <w:rsid w:val="00FD0E91"/>
    <w:rsid w:val="00FD22EB"/>
    <w:rsid w:val="00FD2E05"/>
    <w:rsid w:val="00FD58E8"/>
    <w:rsid w:val="00FD730B"/>
    <w:rsid w:val="00FD7415"/>
    <w:rsid w:val="00FD743E"/>
    <w:rsid w:val="00FD7B53"/>
    <w:rsid w:val="00FE268E"/>
    <w:rsid w:val="00FE31BD"/>
    <w:rsid w:val="00FE3FE1"/>
    <w:rsid w:val="00FE491B"/>
    <w:rsid w:val="00FE4EB3"/>
    <w:rsid w:val="00FE69C7"/>
    <w:rsid w:val="00FE6D66"/>
    <w:rsid w:val="00FE7A8B"/>
    <w:rsid w:val="00FE7C76"/>
    <w:rsid w:val="00FF1274"/>
    <w:rsid w:val="00FF13C7"/>
    <w:rsid w:val="00FF192C"/>
    <w:rsid w:val="00FF2060"/>
    <w:rsid w:val="00FF222D"/>
    <w:rsid w:val="00FF327B"/>
    <w:rsid w:val="00FF3A25"/>
    <w:rsid w:val="00FF4127"/>
    <w:rsid w:val="00FF4A6D"/>
    <w:rsid w:val="00FF69FC"/>
    <w:rsid w:val="00FF6BF2"/>
    <w:rsid w:val="00FF6E42"/>
    <w:rsid w:val="00FF71CC"/>
    <w:rsid w:val="00FF7633"/>
    <w:rsid w:val="00FF7F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CE9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es-ES"/>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F300FF"/>
    <w:pPr>
      <w:spacing w:before="60" w:after="140" w:line="220" w:lineRule="atLeast"/>
      <w:jc w:val="both"/>
    </w:pPr>
    <w:rPr>
      <w:rFonts w:ascii="Arial" w:hAnsi="Arial"/>
      <w:sz w:val="18"/>
      <w:szCs w:val="24"/>
    </w:rPr>
  </w:style>
  <w:style w:type="paragraph" w:styleId="Heading1">
    <w:name w:val="heading 1"/>
    <w:basedOn w:val="Normal"/>
    <w:next w:val="Normal"/>
    <w:semiHidden/>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basedOn w:val="Normal"/>
    <w:next w:val="Normal"/>
    <w:semiHidden/>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semiHidden/>
    <w:qFormat/>
    <w:rsid w:val="00E465E1"/>
    <w:pPr>
      <w:suppressAutoHyphens/>
      <w:spacing w:before="200" w:after="100"/>
      <w:jc w:val="left"/>
      <w:outlineLvl w:val="4"/>
    </w:pPr>
    <w:rPr>
      <w:b/>
      <w:bCs/>
      <w:iCs/>
      <w:color w:val="5F5F5F"/>
      <w:szCs w:val="26"/>
    </w:rPr>
  </w:style>
  <w:style w:type="paragraph" w:styleId="Heading6">
    <w:name w:val="heading 6"/>
    <w:basedOn w:val="Normal"/>
    <w:next w:val="Normal"/>
    <w:semiHidden/>
    <w:qFormat/>
    <w:rsid w:val="00E465E1"/>
    <w:pPr>
      <w:suppressAutoHyphens/>
      <w:spacing w:before="140" w:line="200" w:lineRule="exact"/>
      <w:jc w:val="left"/>
      <w:outlineLvl w:val="5"/>
    </w:pPr>
    <w:rPr>
      <w:b/>
      <w:bCs/>
      <w:color w:val="808080"/>
      <w:sz w:val="16"/>
      <w:szCs w:val="22"/>
    </w:rPr>
  </w:style>
  <w:style w:type="paragraph" w:styleId="Heading7">
    <w:name w:val="heading 7"/>
    <w:basedOn w:val="Normal"/>
    <w:next w:val="Normal"/>
    <w:qFormat/>
    <w:rsid w:val="00E465E1"/>
    <w:pPr>
      <w:suppressAutoHyphens/>
      <w:spacing w:before="140" w:line="200" w:lineRule="exact"/>
      <w:jc w:val="left"/>
      <w:outlineLvl w:val="6"/>
    </w:pPr>
    <w:rPr>
      <w:b/>
      <w:color w:val="808080"/>
      <w:sz w:val="16"/>
    </w:rPr>
  </w:style>
  <w:style w:type="paragraph" w:styleId="Heading8">
    <w:name w:val="heading 8"/>
    <w:basedOn w:val="Normal"/>
    <w:next w:val="Normal"/>
    <w:qFormat/>
    <w:rsid w:val="00E465E1"/>
    <w:pPr>
      <w:suppressAutoHyphens/>
      <w:spacing w:before="140" w:line="200" w:lineRule="exact"/>
      <w:jc w:val="left"/>
      <w:outlineLvl w:val="7"/>
    </w:pPr>
    <w:rPr>
      <w:b/>
      <w:iCs/>
      <w:color w:val="808080"/>
      <w:sz w:val="16"/>
    </w:rPr>
  </w:style>
  <w:style w:type="paragraph" w:styleId="Heading9">
    <w:name w:val="heading 9"/>
    <w:basedOn w:val="Heading1"/>
    <w:next w:val="Normal"/>
    <w:semiHidden/>
    <w:qFormat/>
    <w:rsid w:val="00E465E1"/>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rsid w:val="00364BFD"/>
    <w:pPr>
      <w:tabs>
        <w:tab w:val="left" w:pos="454"/>
        <w:tab w:val="right" w:leader="dot" w:pos="9072"/>
      </w:tabs>
      <w:suppressAutoHyphens/>
      <w:spacing w:before="60" w:line="280" w:lineRule="exact"/>
      <w:ind w:left="454" w:hanging="454"/>
    </w:pPr>
    <w:rPr>
      <w:rFonts w:ascii="Arial" w:hAnsi="Arial"/>
      <w:color w:val="373737" w:themeColor="text1"/>
      <w:szCs w:val="22"/>
    </w:rPr>
  </w:style>
  <w:style w:type="paragraph" w:styleId="Header">
    <w:name w:val="header"/>
    <w:rsid w:val="00BD09F4"/>
    <w:pPr>
      <w:tabs>
        <w:tab w:val="right" w:pos="9072"/>
      </w:tabs>
      <w:spacing w:before="60"/>
    </w:pPr>
    <w:rPr>
      <w:rFonts w:ascii="Arial" w:hAnsi="Arial"/>
      <w:color w:val="F07E31" w:themeColor="accent1"/>
      <w:sz w:val="18"/>
    </w:rPr>
  </w:style>
  <w:style w:type="paragraph" w:styleId="Footer">
    <w:name w:val="footer"/>
    <w:link w:val="FooterChar"/>
    <w:uiPriority w:val="99"/>
    <w:rsid w:val="00D86941"/>
    <w:pPr>
      <w:tabs>
        <w:tab w:val="right" w:pos="8618"/>
      </w:tabs>
      <w:ind w:left="-907" w:right="-907"/>
      <w:jc w:val="center"/>
    </w:pPr>
    <w:rPr>
      <w:rFonts w:ascii="Arial" w:hAnsi="Arial"/>
      <w:color w:val="373737"/>
      <w:sz w:val="22"/>
    </w:rPr>
  </w:style>
  <w:style w:type="character" w:styleId="PageNumber">
    <w:name w:val="page number"/>
    <w:basedOn w:val="DefaultParagraphFont"/>
    <w:semiHidden/>
    <w:rsid w:val="00E465E1"/>
    <w:rPr>
      <w:rFonts w:ascii="Arial" w:hAnsi="Arial"/>
      <w:color w:val="808080"/>
      <w:sz w:val="18"/>
    </w:rPr>
  </w:style>
  <w:style w:type="paragraph" w:customStyle="1" w:styleId="HTitle2">
    <w:name w:val="H_Title2"/>
    <w:basedOn w:val="Normal"/>
    <w:qFormat/>
    <w:rsid w:val="00364BFD"/>
    <w:pPr>
      <w:autoSpaceDE w:val="0"/>
      <w:autoSpaceDN w:val="0"/>
      <w:adjustRightInd w:val="0"/>
      <w:spacing w:before="0" w:after="120" w:line="280" w:lineRule="atLeast"/>
      <w:jc w:val="left"/>
    </w:pPr>
    <w:rPr>
      <w:smallCaps/>
      <w:color w:val="373737" w:themeColor="text1"/>
      <w:sz w:val="44"/>
      <w:szCs w:val="52"/>
    </w:rPr>
  </w:style>
  <w:style w:type="paragraph" w:customStyle="1" w:styleId="Hlistbullet">
    <w:name w:val="H_list_bullet"/>
    <w:rsid w:val="00C42303"/>
    <w:pPr>
      <w:numPr>
        <w:numId w:val="2"/>
      </w:numPr>
      <w:spacing w:before="60" w:after="60" w:line="220" w:lineRule="atLeast"/>
      <w:ind w:left="567" w:hanging="567"/>
      <w:jc w:val="both"/>
    </w:pPr>
    <w:rPr>
      <w:rFonts w:ascii="Arial" w:hAnsi="Arial"/>
      <w:color w:val="373737" w:themeColor="text1"/>
    </w:rPr>
  </w:style>
  <w:style w:type="paragraph" w:customStyle="1" w:styleId="Hlistbullet2">
    <w:name w:val="H_list_bullet2"/>
    <w:basedOn w:val="Hlistbullet"/>
    <w:next w:val="HStandard"/>
    <w:rsid w:val="00735F08"/>
    <w:pPr>
      <w:numPr>
        <w:numId w:val="12"/>
      </w:numPr>
      <w:ind w:left="1134" w:hanging="567"/>
    </w:pPr>
  </w:style>
  <w:style w:type="paragraph" w:customStyle="1" w:styleId="Hlistabc">
    <w:name w:val="H_list_abc"/>
    <w:rsid w:val="00364BFD"/>
    <w:pPr>
      <w:numPr>
        <w:numId w:val="3"/>
      </w:numPr>
      <w:spacing w:before="60" w:after="60" w:line="220" w:lineRule="atLeast"/>
      <w:jc w:val="both"/>
    </w:pPr>
    <w:rPr>
      <w:rFonts w:ascii="Arial" w:hAnsi="Arial"/>
      <w:color w:val="373737" w:themeColor="text1"/>
    </w:rPr>
  </w:style>
  <w:style w:type="paragraph" w:customStyle="1" w:styleId="Hlistabc2">
    <w:name w:val="H_list_abc_2"/>
    <w:basedOn w:val="Hlistabc"/>
    <w:next w:val="HStandard"/>
    <w:rsid w:val="00801FF1"/>
    <w:pPr>
      <w:spacing w:after="140"/>
      <w:ind w:left="1134"/>
    </w:pPr>
  </w:style>
  <w:style w:type="paragraph" w:customStyle="1" w:styleId="HTitle1">
    <w:name w:val="H_Title1"/>
    <w:basedOn w:val="Normal"/>
    <w:rsid w:val="00364BFD"/>
    <w:pPr>
      <w:autoSpaceDE w:val="0"/>
      <w:autoSpaceDN w:val="0"/>
      <w:adjustRightInd w:val="0"/>
      <w:spacing w:before="0" w:after="120" w:line="280" w:lineRule="atLeast"/>
    </w:pPr>
    <w:rPr>
      <w:bCs/>
      <w:smallCaps/>
      <w:color w:val="F07E31" w:themeColor="accent1"/>
      <w:sz w:val="60"/>
      <w:szCs w:val="32"/>
    </w:rPr>
  </w:style>
  <w:style w:type="paragraph" w:customStyle="1" w:styleId="Autor">
    <w:name w:val="Autor"/>
    <w:basedOn w:val="Normal"/>
    <w:rsid w:val="00EE61BF"/>
    <w:pPr>
      <w:spacing w:before="0" w:after="0" w:line="280" w:lineRule="exact"/>
      <w:jc w:val="left"/>
    </w:pPr>
    <w:rPr>
      <w:sz w:val="20"/>
    </w:rPr>
  </w:style>
  <w:style w:type="paragraph" w:customStyle="1" w:styleId="HTitle3">
    <w:name w:val="H_Title3"/>
    <w:basedOn w:val="Autor"/>
    <w:rsid w:val="00364BFD"/>
    <w:rPr>
      <w:smallCaps/>
      <w:color w:val="373737" w:themeColor="text1"/>
      <w:sz w:val="28"/>
    </w:rPr>
  </w:style>
  <w:style w:type="paragraph" w:styleId="TOC1">
    <w:name w:val="toc 1"/>
    <w:next w:val="Normal"/>
    <w:uiPriority w:val="39"/>
    <w:rsid w:val="002807DC"/>
    <w:pPr>
      <w:tabs>
        <w:tab w:val="left" w:pos="454"/>
        <w:tab w:val="right" w:leader="dot" w:pos="9072"/>
      </w:tabs>
      <w:suppressAutoHyphens/>
      <w:spacing w:before="60" w:line="280" w:lineRule="exact"/>
      <w:ind w:left="454" w:hanging="454"/>
    </w:pPr>
    <w:rPr>
      <w:rFonts w:ascii="Arial" w:hAnsi="Arial"/>
      <w:noProof/>
      <w:color w:val="373737" w:themeColor="text1"/>
    </w:rPr>
  </w:style>
  <w:style w:type="paragraph" w:styleId="TOC3">
    <w:name w:val="toc 3"/>
    <w:next w:val="Normal"/>
    <w:uiPriority w:val="39"/>
    <w:rsid w:val="00364BFD"/>
    <w:pPr>
      <w:tabs>
        <w:tab w:val="left" w:pos="1021"/>
        <w:tab w:val="right" w:leader="dot" w:pos="9072"/>
      </w:tabs>
      <w:suppressAutoHyphens/>
      <w:spacing w:before="60" w:line="280" w:lineRule="exact"/>
      <w:ind w:left="1021" w:hanging="567"/>
    </w:pPr>
    <w:rPr>
      <w:rFonts w:ascii="Arial" w:hAnsi="Arial"/>
      <w:color w:val="373737" w:themeColor="text1"/>
      <w:sz w:val="18"/>
    </w:rPr>
  </w:style>
  <w:style w:type="paragraph" w:customStyle="1" w:styleId="Fuzeilequerformat">
    <w:name w:val="Fußzeile_querformat"/>
    <w:basedOn w:val="Footer"/>
    <w:rsid w:val="00EE61BF"/>
    <w:pPr>
      <w:tabs>
        <w:tab w:val="clear" w:pos="8618"/>
        <w:tab w:val="right" w:pos="12871"/>
      </w:tabs>
    </w:pPr>
  </w:style>
  <w:style w:type="paragraph" w:styleId="TableofFigures">
    <w:name w:val="table of figures"/>
    <w:next w:val="HStandard"/>
    <w:uiPriority w:val="99"/>
    <w:rsid w:val="000B6372"/>
    <w:pPr>
      <w:tabs>
        <w:tab w:val="left" w:pos="851"/>
        <w:tab w:val="right" w:leader="dot" w:pos="7711"/>
      </w:tabs>
      <w:suppressAutoHyphens/>
      <w:spacing w:before="60" w:line="280" w:lineRule="exact"/>
      <w:ind w:left="851" w:right="284" w:hanging="851"/>
    </w:pPr>
    <w:rPr>
      <w:rFonts w:ascii="Arial" w:hAnsi="Arial"/>
      <w:color w:val="373737" w:themeColor="text1"/>
    </w:rPr>
  </w:style>
  <w:style w:type="paragraph" w:customStyle="1" w:styleId="Hlistline3">
    <w:name w:val="H_list_line3"/>
    <w:rsid w:val="00BD09F4"/>
    <w:pPr>
      <w:numPr>
        <w:numId w:val="4"/>
      </w:numPr>
      <w:spacing w:before="60" w:after="60" w:line="220" w:lineRule="atLeast"/>
      <w:ind w:left="851" w:hanging="284"/>
    </w:pPr>
    <w:rPr>
      <w:rFonts w:ascii="Arial" w:hAnsi="Arial"/>
      <w:color w:val="373737" w:themeColor="text1"/>
    </w:rPr>
  </w:style>
  <w:style w:type="paragraph" w:customStyle="1" w:styleId="Hlistline4">
    <w:name w:val="H_list_line4"/>
    <w:basedOn w:val="Hlistline3"/>
    <w:next w:val="HStandard"/>
    <w:rsid w:val="00BD09F4"/>
    <w:pPr>
      <w:ind w:left="1135"/>
    </w:pPr>
  </w:style>
  <w:style w:type="paragraph" w:customStyle="1" w:styleId="HSource">
    <w:name w:val="H_Source"/>
    <w:next w:val="HStandard"/>
    <w:rsid w:val="008D52EA"/>
    <w:pPr>
      <w:suppressAutoHyphens/>
      <w:spacing w:before="60" w:after="60"/>
      <w:jc w:val="center"/>
    </w:pPr>
    <w:rPr>
      <w:rFonts w:ascii="Arial" w:hAnsi="Arial"/>
      <w:i/>
      <w:color w:val="373737"/>
      <w:sz w:val="16"/>
    </w:rPr>
  </w:style>
  <w:style w:type="paragraph" w:customStyle="1" w:styleId="Htableleft">
    <w:name w:val="H_table_left"/>
    <w:rsid w:val="00BD09F4"/>
    <w:pPr>
      <w:suppressAutoHyphens/>
      <w:spacing w:before="40" w:after="40"/>
    </w:pPr>
    <w:rPr>
      <w:rFonts w:ascii="Arial" w:hAnsi="Arial"/>
      <w:color w:val="373737" w:themeColor="text1"/>
      <w:sz w:val="18"/>
    </w:rPr>
  </w:style>
  <w:style w:type="paragraph" w:customStyle="1" w:styleId="Htablecentered">
    <w:name w:val="H_table_centered"/>
    <w:basedOn w:val="Htableleft"/>
    <w:rsid w:val="00EE61BF"/>
    <w:pPr>
      <w:jc w:val="center"/>
    </w:pPr>
  </w:style>
  <w:style w:type="paragraph" w:customStyle="1" w:styleId="Htableleftbolt">
    <w:name w:val="H_table_left_bolt"/>
    <w:basedOn w:val="Htableleft"/>
    <w:rsid w:val="00EE61BF"/>
    <w:rPr>
      <w:b/>
      <w:color w:val="FFFFFF" w:themeColor="background1"/>
    </w:rPr>
  </w:style>
  <w:style w:type="paragraph" w:customStyle="1" w:styleId="Htablecenteredbolt">
    <w:name w:val="H_table_centered_bolt"/>
    <w:basedOn w:val="Htablecentered"/>
    <w:rsid w:val="00BD09F4"/>
    <w:rPr>
      <w:b/>
      <w:color w:val="FFFFFF"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0D3DB8"/>
    <w:pPr>
      <w:spacing w:line="180" w:lineRule="exact"/>
      <w:ind w:left="170" w:hanging="170"/>
      <w:jc w:val="both"/>
    </w:pPr>
    <w:rPr>
      <w:rFonts w:ascii="Arial" w:hAnsi="Arial"/>
      <w:color w:val="808080"/>
      <w:sz w:val="16"/>
    </w:rPr>
  </w:style>
  <w:style w:type="paragraph" w:customStyle="1" w:styleId="Htablebullet">
    <w:name w:val="H_table_bullet"/>
    <w:basedOn w:val="Htableleft"/>
    <w:rsid w:val="00BD09F4"/>
    <w:pPr>
      <w:numPr>
        <w:numId w:val="5"/>
      </w:numPr>
      <w:ind w:left="170" w:hanging="170"/>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sid w:val="00364BFD"/>
    <w:rPr>
      <w:rFonts w:ascii="Arial" w:hAnsi="Arial"/>
      <w:i/>
      <w:dstrike w:val="0"/>
      <w:color w:val="373737" w:themeColor="text1"/>
      <w:position w:val="6"/>
      <w:sz w:val="12"/>
      <w:vertAlign w:val="baseline"/>
      <w:lang w:val="es-ES"/>
    </w:rPr>
  </w:style>
  <w:style w:type="paragraph" w:customStyle="1" w:styleId="HContent">
    <w:name w:val="H_Content"/>
    <w:basedOn w:val="Heading1"/>
    <w:next w:val="HStandard"/>
    <w:rsid w:val="00364BFD"/>
    <w:pPr>
      <w:pageBreakBefore/>
      <w:framePr w:hSpace="0" w:vSpace="0" w:wrap="auto" w:vAnchor="margin" w:hAnchor="text" w:yAlign="inline"/>
      <w:numPr>
        <w:numId w:val="0"/>
      </w:numPr>
      <w:pBdr>
        <w:left w:val="none" w:sz="0" w:space="0" w:color="auto"/>
      </w:pBdr>
      <w:spacing w:before="360" w:after="360" w:line="280" w:lineRule="atLeast"/>
    </w:pPr>
    <w:rPr>
      <w:caps/>
      <w:color w:val="F07E31" w:themeColor="accent1"/>
      <w:sz w:val="20"/>
    </w:rPr>
  </w:style>
  <w:style w:type="paragraph" w:customStyle="1" w:styleId="HHeading1">
    <w:name w:val="H_Heading 1"/>
    <w:next w:val="HStandard"/>
    <w:rsid w:val="008D52EA"/>
    <w:pPr>
      <w:keepNext/>
      <w:keepLines/>
      <w:pageBreakBefore/>
      <w:numPr>
        <w:numId w:val="6"/>
      </w:numPr>
      <w:tabs>
        <w:tab w:val="left" w:pos="567"/>
      </w:tabs>
      <w:spacing w:before="360" w:after="360" w:line="280" w:lineRule="atLeast"/>
      <w:ind w:left="567" w:hanging="567"/>
      <w:outlineLvl w:val="0"/>
    </w:pPr>
    <w:rPr>
      <w:rFonts w:ascii="Arial" w:hAnsi="Arial"/>
      <w:b/>
      <w:caps/>
      <w:color w:val="F07E31" w:themeColor="accent1"/>
    </w:rPr>
  </w:style>
  <w:style w:type="paragraph" w:customStyle="1" w:styleId="HHeading2">
    <w:name w:val="H_Heading 2"/>
    <w:next w:val="HStandard"/>
    <w:rsid w:val="007B4B9E"/>
    <w:pPr>
      <w:keepNext/>
      <w:keepLines/>
      <w:numPr>
        <w:ilvl w:val="1"/>
        <w:numId w:val="6"/>
      </w:numPr>
      <w:tabs>
        <w:tab w:val="left" w:pos="567"/>
      </w:tabs>
      <w:spacing w:before="240" w:after="140" w:line="260" w:lineRule="exact"/>
      <w:ind w:left="567" w:hanging="567"/>
      <w:outlineLvl w:val="1"/>
    </w:pPr>
    <w:rPr>
      <w:rFonts w:ascii="Arial" w:hAnsi="Arial"/>
      <w:b/>
      <w:color w:val="373737" w:themeColor="text1"/>
    </w:rPr>
  </w:style>
  <w:style w:type="paragraph" w:customStyle="1" w:styleId="HHeading3">
    <w:name w:val="H_Heading 3"/>
    <w:next w:val="HStandard"/>
    <w:rsid w:val="00B63445"/>
    <w:pPr>
      <w:keepNext/>
      <w:keepLines/>
      <w:numPr>
        <w:ilvl w:val="2"/>
        <w:numId w:val="6"/>
      </w:numPr>
      <w:tabs>
        <w:tab w:val="clear" w:pos="1146"/>
        <w:tab w:val="num" w:pos="709"/>
      </w:tabs>
      <w:spacing w:before="240" w:after="140" w:line="240" w:lineRule="exact"/>
      <w:ind w:left="709" w:hanging="709"/>
      <w:outlineLvl w:val="2"/>
    </w:pPr>
    <w:rPr>
      <w:rFonts w:ascii="Arial" w:hAnsi="Arial"/>
      <w:color w:val="F07E31" w:themeColor="accent1"/>
    </w:rPr>
  </w:style>
  <w:style w:type="paragraph" w:customStyle="1" w:styleId="HHeading4">
    <w:name w:val="H_Heading 4"/>
    <w:next w:val="HStandard"/>
    <w:rsid w:val="00364BFD"/>
    <w:pPr>
      <w:keepNext/>
      <w:keepLines/>
      <w:tabs>
        <w:tab w:val="left" w:pos="680"/>
      </w:tabs>
      <w:spacing w:before="240" w:after="240" w:line="280" w:lineRule="atLeast"/>
      <w:outlineLvl w:val="3"/>
    </w:pPr>
    <w:rPr>
      <w:rFonts w:ascii="Arial" w:hAnsi="Arial"/>
      <w:b/>
      <w:color w:val="57825E" w:themeColor="accent4"/>
    </w:rPr>
  </w:style>
  <w:style w:type="character" w:styleId="Hyperlink">
    <w:name w:val="Hyperlink"/>
    <w:basedOn w:val="DefaultParagraphFont"/>
    <w:uiPriority w:val="99"/>
    <w:rsid w:val="00BD09F4"/>
    <w:rPr>
      <w:rFonts w:ascii="Arial" w:hAnsi="Arial"/>
      <w:color w:val="F07E31"/>
      <w:sz w:val="20"/>
      <w:u w:val="single"/>
      <w:lang w:val="es-ES"/>
    </w:rPr>
  </w:style>
  <w:style w:type="paragraph" w:customStyle="1" w:styleId="HStandard">
    <w:name w:val="H_Standard"/>
    <w:link w:val="HStandardCar"/>
    <w:rsid w:val="00364BFD"/>
    <w:pPr>
      <w:spacing w:after="120" w:line="280" w:lineRule="atLeast"/>
      <w:jc w:val="both"/>
    </w:pPr>
    <w:rPr>
      <w:rFonts w:ascii="Arial" w:hAnsi="Arial"/>
      <w:color w:val="373737" w:themeColor="text1"/>
    </w:rPr>
  </w:style>
  <w:style w:type="paragraph" w:styleId="DocumentMap">
    <w:name w:val="Document Map"/>
    <w:basedOn w:val="Normal"/>
    <w:semiHidden/>
    <w:rsid w:val="00E465E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641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10C"/>
    <w:rPr>
      <w:rFonts w:ascii="Tahoma" w:hAnsi="Tahoma" w:cs="Tahoma"/>
      <w:sz w:val="16"/>
      <w:szCs w:val="16"/>
      <w:lang w:val="es-ES"/>
    </w:rPr>
  </w:style>
  <w:style w:type="table" w:styleId="TableGrid">
    <w:name w:val="Table Grid"/>
    <w:basedOn w:val="TableNormal"/>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BD09F4"/>
    <w:pPr>
      <w:numPr>
        <w:numId w:val="7"/>
      </w:numPr>
      <w:spacing w:before="200" w:after="140"/>
    </w:pPr>
    <w:rPr>
      <w:rFonts w:ascii="Arial" w:hAnsi="Arial"/>
      <w:b/>
      <w:color w:val="373737" w:themeColor="text1"/>
      <w:sz w:val="16"/>
    </w:rPr>
  </w:style>
  <w:style w:type="paragraph" w:customStyle="1" w:styleId="HHeadingfigures">
    <w:name w:val="H_Heading_figures"/>
    <w:basedOn w:val="HHeadingtables"/>
    <w:next w:val="HStandard"/>
    <w:qFormat/>
    <w:rsid w:val="00E52947"/>
    <w:pPr>
      <w:keepNext/>
      <w:keepLines/>
      <w:numPr>
        <w:numId w:val="22"/>
      </w:numPr>
      <w:spacing w:before="240"/>
    </w:pPr>
  </w:style>
  <w:style w:type="paragraph" w:customStyle="1" w:styleId="HHeadingmaps">
    <w:name w:val="H_Heading_maps"/>
    <w:basedOn w:val="HHeadingtables"/>
    <w:next w:val="HStandard"/>
    <w:qFormat/>
    <w:rsid w:val="005B4B85"/>
    <w:pPr>
      <w:keepNext/>
      <w:keepLines/>
      <w:numPr>
        <w:numId w:val="9"/>
      </w:numPr>
      <w:outlineLvl w:val="5"/>
    </w:pPr>
  </w:style>
  <w:style w:type="paragraph" w:customStyle="1" w:styleId="HHeadingboxes">
    <w:name w:val="H_Heading_boxes"/>
    <w:basedOn w:val="HHeadingtables"/>
    <w:next w:val="HStandard"/>
    <w:qFormat/>
    <w:rsid w:val="00BD09F4"/>
    <w:pPr>
      <w:numPr>
        <w:numId w:val="10"/>
      </w:numPr>
      <w:ind w:left="851" w:hanging="851"/>
    </w:pPr>
  </w:style>
  <w:style w:type="paragraph" w:customStyle="1" w:styleId="HBox">
    <w:name w:val="H_Box"/>
    <w:next w:val="HStandard"/>
    <w:qFormat/>
    <w:rsid w:val="00BD09F4"/>
    <w:pPr>
      <w:pBdr>
        <w:top w:val="single" w:sz="4" w:space="4" w:color="F07E31"/>
        <w:left w:val="single" w:sz="4" w:space="4" w:color="F07E31"/>
        <w:bottom w:val="single" w:sz="4" w:space="4" w:color="F07E31"/>
        <w:right w:val="single" w:sz="4" w:space="4" w:color="F07E31"/>
      </w:pBdr>
      <w:shd w:val="clear" w:color="auto" w:fill="FCE5D5"/>
      <w:jc w:val="both"/>
    </w:pPr>
    <w:rPr>
      <w:rFonts w:ascii="Arial" w:hAnsi="Arial"/>
      <w:color w:val="373737" w:themeColor="text1"/>
    </w:rPr>
  </w:style>
  <w:style w:type="paragraph" w:customStyle="1" w:styleId="HBoxbullet">
    <w:name w:val="H_Box_bullet"/>
    <w:next w:val="HStandard"/>
    <w:qFormat/>
    <w:rsid w:val="00BD09F4"/>
    <w:pPr>
      <w:numPr>
        <w:numId w:val="11"/>
      </w:numPr>
      <w:pBdr>
        <w:top w:val="single" w:sz="4" w:space="4" w:color="F07E31"/>
        <w:left w:val="single" w:sz="4" w:space="8" w:color="F07E31"/>
        <w:bottom w:val="single" w:sz="4" w:space="4" w:color="F07E31"/>
        <w:right w:val="single" w:sz="4" w:space="4" w:color="F07E31"/>
      </w:pBdr>
      <w:shd w:val="clear" w:color="auto" w:fill="FCE5D5" w:themeFill="accent1" w:themeFillTint="33"/>
      <w:ind w:left="363" w:hanging="284"/>
      <w:jc w:val="both"/>
    </w:pPr>
    <w:rPr>
      <w:rFonts w:ascii="Arial" w:hAnsi="Arial"/>
      <w:color w:val="373737" w:themeColor="text1"/>
    </w:rPr>
  </w:style>
  <w:style w:type="paragraph" w:customStyle="1" w:styleId="Hdisclaimer">
    <w:name w:val="H_disclaimer"/>
    <w:qFormat/>
    <w:rsid w:val="00364BFD"/>
    <w:pPr>
      <w:spacing w:after="120" w:line="280" w:lineRule="atLeast"/>
      <w:jc w:val="both"/>
    </w:pPr>
    <w:rPr>
      <w:rFonts w:ascii="Arial" w:hAnsi="Arial" w:cs="Arial"/>
      <w:color w:val="373737" w:themeColor="text1"/>
      <w:sz w:val="18"/>
      <w:szCs w:val="18"/>
    </w:rPr>
  </w:style>
  <w:style w:type="paragraph" w:styleId="EndnoteText">
    <w:name w:val="endnote text"/>
    <w:basedOn w:val="Normal"/>
    <w:link w:val="EndnoteTextChar"/>
    <w:uiPriority w:val="99"/>
    <w:semiHidden/>
    <w:unhideWhenUsed/>
    <w:rsid w:val="00F1521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15219"/>
    <w:rPr>
      <w:rFonts w:ascii="Arial" w:hAnsi="Arial"/>
      <w:lang w:val="es-ES"/>
    </w:rPr>
  </w:style>
  <w:style w:type="character" w:styleId="EndnoteReference">
    <w:name w:val="endnote reference"/>
    <w:basedOn w:val="DefaultParagraphFont"/>
    <w:uiPriority w:val="99"/>
    <w:semiHidden/>
    <w:unhideWhenUsed/>
    <w:rsid w:val="00F15219"/>
    <w:rPr>
      <w:vertAlign w:val="superscript"/>
    </w:rPr>
  </w:style>
  <w:style w:type="character" w:styleId="CommentReference">
    <w:name w:val="annotation reference"/>
    <w:basedOn w:val="DefaultParagraphFont"/>
    <w:uiPriority w:val="99"/>
    <w:semiHidden/>
    <w:unhideWhenUsed/>
    <w:rsid w:val="006C1066"/>
    <w:rPr>
      <w:sz w:val="16"/>
      <w:szCs w:val="16"/>
    </w:rPr>
  </w:style>
  <w:style w:type="paragraph" w:styleId="CommentText">
    <w:name w:val="annotation text"/>
    <w:basedOn w:val="Normal"/>
    <w:link w:val="CommentTextChar"/>
    <w:uiPriority w:val="99"/>
    <w:unhideWhenUsed/>
    <w:rsid w:val="006C1066"/>
    <w:pPr>
      <w:spacing w:line="240" w:lineRule="auto"/>
    </w:pPr>
    <w:rPr>
      <w:sz w:val="20"/>
      <w:szCs w:val="20"/>
    </w:rPr>
  </w:style>
  <w:style w:type="character" w:customStyle="1" w:styleId="CommentTextChar">
    <w:name w:val="Comment Text Char"/>
    <w:basedOn w:val="DefaultParagraphFont"/>
    <w:link w:val="CommentText"/>
    <w:uiPriority w:val="99"/>
    <w:rsid w:val="006C1066"/>
    <w:rPr>
      <w:rFonts w:ascii="Arial" w:hAnsi="Arial"/>
      <w:lang w:val="es-ES"/>
    </w:rPr>
  </w:style>
  <w:style w:type="paragraph" w:styleId="CommentSubject">
    <w:name w:val="annotation subject"/>
    <w:basedOn w:val="CommentText"/>
    <w:next w:val="CommentText"/>
    <w:link w:val="CommentSubjectChar"/>
    <w:uiPriority w:val="99"/>
    <w:semiHidden/>
    <w:unhideWhenUsed/>
    <w:rsid w:val="006C1066"/>
    <w:rPr>
      <w:b/>
      <w:bCs/>
    </w:rPr>
  </w:style>
  <w:style w:type="character" w:customStyle="1" w:styleId="CommentSubjectChar">
    <w:name w:val="Comment Subject Char"/>
    <w:basedOn w:val="CommentTextChar"/>
    <w:link w:val="CommentSubject"/>
    <w:uiPriority w:val="99"/>
    <w:semiHidden/>
    <w:rsid w:val="006C1066"/>
    <w:rPr>
      <w:rFonts w:ascii="Arial" w:hAnsi="Arial"/>
      <w:b/>
      <w:bCs/>
      <w:lang w:val="es-ES"/>
    </w:rPr>
  </w:style>
  <w:style w:type="paragraph" w:styleId="ListParagraph">
    <w:name w:val="List Paragraph"/>
    <w:basedOn w:val="Normal"/>
    <w:uiPriority w:val="34"/>
    <w:qFormat/>
    <w:rsid w:val="00CD63F6"/>
    <w:pPr>
      <w:spacing w:before="0" w:after="160" w:line="259" w:lineRule="auto"/>
      <w:ind w:left="720"/>
      <w:contextualSpacing/>
      <w:jc w:val="left"/>
    </w:pPr>
    <w:rPr>
      <w:rFonts w:asciiTheme="minorHAnsi" w:eastAsiaTheme="minorHAnsi" w:hAnsiTheme="minorHAnsi" w:cstheme="minorBidi"/>
      <w:sz w:val="22"/>
      <w:szCs w:val="22"/>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0D3DB8"/>
    <w:rPr>
      <w:rFonts w:ascii="Arial" w:hAnsi="Arial"/>
      <w:color w:val="808080"/>
      <w:sz w:val="16"/>
      <w:lang w:val="es-ES"/>
    </w:rPr>
  </w:style>
  <w:style w:type="paragraph" w:styleId="Title">
    <w:name w:val="Title"/>
    <w:basedOn w:val="Normal"/>
    <w:next w:val="Normal"/>
    <w:link w:val="TitleChar"/>
    <w:uiPriority w:val="10"/>
    <w:qFormat/>
    <w:rsid w:val="00CD63F6"/>
    <w:pPr>
      <w:spacing w:before="0"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63F6"/>
    <w:rPr>
      <w:rFonts w:asciiTheme="majorHAnsi" w:eastAsiaTheme="majorEastAsia" w:hAnsiTheme="majorHAnsi" w:cstheme="majorBidi"/>
      <w:spacing w:val="-10"/>
      <w:kern w:val="28"/>
      <w:sz w:val="56"/>
      <w:szCs w:val="56"/>
      <w:lang w:val="es-ES" w:eastAsia="es-ES"/>
    </w:rPr>
  </w:style>
  <w:style w:type="paragraph" w:customStyle="1" w:styleId="CM1">
    <w:name w:val="CM1"/>
    <w:basedOn w:val="Normal"/>
    <w:next w:val="Normal"/>
    <w:uiPriority w:val="99"/>
    <w:rsid w:val="001C2076"/>
    <w:pPr>
      <w:autoSpaceDE w:val="0"/>
      <w:autoSpaceDN w:val="0"/>
      <w:adjustRightInd w:val="0"/>
      <w:spacing w:before="0" w:after="0" w:line="240" w:lineRule="auto"/>
      <w:jc w:val="left"/>
    </w:pPr>
    <w:rPr>
      <w:rFonts w:ascii="EUAlbertina" w:eastAsiaTheme="minorHAnsi" w:hAnsi="EUAlbertina" w:cstheme="minorBidi"/>
      <w:sz w:val="24"/>
    </w:rPr>
  </w:style>
  <w:style w:type="paragraph" w:styleId="Caption">
    <w:name w:val="caption"/>
    <w:basedOn w:val="Normal"/>
    <w:next w:val="Normal"/>
    <w:uiPriority w:val="35"/>
    <w:unhideWhenUsed/>
    <w:qFormat/>
    <w:rsid w:val="001C2076"/>
    <w:pPr>
      <w:spacing w:before="0" w:after="200" w:line="240" w:lineRule="auto"/>
      <w:jc w:val="left"/>
    </w:pPr>
    <w:rPr>
      <w:rFonts w:asciiTheme="minorHAnsi" w:eastAsiaTheme="minorHAnsi" w:hAnsiTheme="minorHAnsi" w:cstheme="minorBidi"/>
      <w:i/>
      <w:iCs/>
      <w:color w:val="373737" w:themeColor="text2"/>
      <w:szCs w:val="18"/>
    </w:rPr>
  </w:style>
  <w:style w:type="table" w:customStyle="1" w:styleId="Tabukasmriekou5tmavzvraznenie61">
    <w:name w:val="Tabuľka s mriežkou 5 – tmavá – zvýraznenie 61"/>
    <w:basedOn w:val="TableNormal"/>
    <w:uiPriority w:val="50"/>
    <w:rsid w:val="00932C3E"/>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E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BAB8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BAB8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BAB8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BAB80" w:themeFill="accent6"/>
      </w:tcPr>
    </w:tblStylePr>
    <w:tblStylePr w:type="band1Vert">
      <w:tblPr/>
      <w:tcPr>
        <w:shd w:val="clear" w:color="auto" w:fill="D0DDCC" w:themeFill="accent6" w:themeFillTint="66"/>
      </w:tcPr>
    </w:tblStylePr>
    <w:tblStylePr w:type="band1Horz">
      <w:tblPr/>
      <w:tcPr>
        <w:shd w:val="clear" w:color="auto" w:fill="D0DDCC" w:themeFill="accent6" w:themeFillTint="66"/>
      </w:tcPr>
    </w:tblStylePr>
  </w:style>
  <w:style w:type="character" w:customStyle="1" w:styleId="FooterChar">
    <w:name w:val="Footer Char"/>
    <w:basedOn w:val="DefaultParagraphFont"/>
    <w:link w:val="Footer"/>
    <w:uiPriority w:val="99"/>
    <w:rsid w:val="00D52AFB"/>
    <w:rPr>
      <w:rFonts w:ascii="Arial" w:hAnsi="Arial"/>
      <w:color w:val="373737"/>
      <w:sz w:val="22"/>
      <w:lang w:val="es-ES"/>
    </w:rPr>
  </w:style>
  <w:style w:type="paragraph" w:styleId="Revision">
    <w:name w:val="Revision"/>
    <w:hidden/>
    <w:uiPriority w:val="99"/>
    <w:semiHidden/>
    <w:rsid w:val="003B25C7"/>
    <w:rPr>
      <w:rFonts w:ascii="Arial" w:hAnsi="Arial"/>
      <w:sz w:val="18"/>
      <w:szCs w:val="24"/>
    </w:rPr>
  </w:style>
  <w:style w:type="paragraph" w:customStyle="1" w:styleId="Pavpage3">
    <w:name w:val="Pavé page 3"/>
    <w:basedOn w:val="Normal"/>
    <w:qFormat/>
    <w:rsid w:val="003C228A"/>
    <w:pPr>
      <w:spacing w:before="0" w:after="120" w:line="280" w:lineRule="atLeast"/>
      <w:jc w:val="left"/>
    </w:pPr>
    <w:rPr>
      <w:rFonts w:ascii="Helvetica" w:hAnsi="Helvetica" w:cs="Arial"/>
      <w:smallCaps/>
      <w:color w:val="DF6532"/>
      <w:sz w:val="44"/>
      <w:szCs w:val="44"/>
    </w:rPr>
  </w:style>
  <w:style w:type="character" w:styleId="FollowedHyperlink">
    <w:name w:val="FollowedHyperlink"/>
    <w:basedOn w:val="DefaultParagraphFont"/>
    <w:uiPriority w:val="99"/>
    <w:semiHidden/>
    <w:unhideWhenUsed/>
    <w:rsid w:val="00810ED5"/>
    <w:rPr>
      <w:color w:val="F07E31" w:themeColor="followedHyperlink"/>
      <w:u w:val="single"/>
    </w:rPr>
  </w:style>
  <w:style w:type="character" w:customStyle="1" w:styleId="shorttext">
    <w:name w:val="short_text"/>
    <w:basedOn w:val="DefaultParagraphFont"/>
    <w:rsid w:val="00190D63"/>
  </w:style>
  <w:style w:type="character" w:styleId="Emphasis">
    <w:name w:val="Emphasis"/>
    <w:basedOn w:val="DefaultParagraphFont"/>
    <w:uiPriority w:val="20"/>
    <w:qFormat/>
    <w:rsid w:val="00744BAA"/>
    <w:rPr>
      <w:i/>
      <w:iCs/>
    </w:rPr>
  </w:style>
  <w:style w:type="paragraph" w:styleId="HTMLPreformatted">
    <w:name w:val="HTML Preformatted"/>
    <w:basedOn w:val="Normal"/>
    <w:link w:val="HTMLPreformattedChar"/>
    <w:uiPriority w:val="99"/>
    <w:semiHidden/>
    <w:unhideWhenUsed/>
    <w:rsid w:val="00C36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36C67"/>
    <w:rPr>
      <w:rFonts w:ascii="Courier New" w:hAnsi="Courier New" w:cs="Courier New"/>
      <w:lang w:val="es-ES" w:eastAsia="es-ES"/>
    </w:rPr>
  </w:style>
  <w:style w:type="character" w:customStyle="1" w:styleId="NichtaufgelsteErwhnung1">
    <w:name w:val="Nicht aufgelöste Erwähnung1"/>
    <w:basedOn w:val="DefaultParagraphFont"/>
    <w:uiPriority w:val="99"/>
    <w:semiHidden/>
    <w:unhideWhenUsed/>
    <w:rsid w:val="005B75BD"/>
    <w:rPr>
      <w:color w:val="808080"/>
      <w:shd w:val="clear" w:color="auto" w:fill="E6E6E6"/>
    </w:rPr>
  </w:style>
  <w:style w:type="character" w:customStyle="1" w:styleId="UnresolvedMention1">
    <w:name w:val="Unresolved Mention1"/>
    <w:basedOn w:val="DefaultParagraphFont"/>
    <w:uiPriority w:val="99"/>
    <w:semiHidden/>
    <w:unhideWhenUsed/>
    <w:rsid w:val="001D32F7"/>
    <w:rPr>
      <w:color w:val="808080"/>
      <w:shd w:val="clear" w:color="auto" w:fill="E6E6E6"/>
    </w:rPr>
  </w:style>
  <w:style w:type="paragraph" w:customStyle="1" w:styleId="Normal12PTcouleurgris">
    <w:name w:val="Normal + 12PT couleur gris"/>
    <w:basedOn w:val="Normal"/>
    <w:qFormat/>
    <w:rsid w:val="00041A27"/>
    <w:pPr>
      <w:spacing w:before="0" w:after="0" w:line="259" w:lineRule="auto"/>
    </w:pPr>
    <w:rPr>
      <w:rFonts w:eastAsiaTheme="minorHAnsi" w:cs="Arial"/>
      <w:color w:val="6F6F6F"/>
      <w:sz w:val="24"/>
      <w:szCs w:val="18"/>
    </w:rPr>
  </w:style>
  <w:style w:type="table" w:customStyle="1" w:styleId="11">
    <w:name w:val="Πίνακας 1 με ανοιχτόχρωμο πλέγμα1"/>
    <w:basedOn w:val="TableNormal"/>
    <w:uiPriority w:val="46"/>
    <w:rsid w:val="00C1242D"/>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numbering" w:customStyle="1" w:styleId="1">
    <w:name w:val="Στυλ1"/>
    <w:uiPriority w:val="99"/>
    <w:rsid w:val="00801FF1"/>
    <w:pPr>
      <w:numPr>
        <w:numId w:val="15"/>
      </w:numPr>
    </w:pPr>
  </w:style>
  <w:style w:type="table" w:customStyle="1" w:styleId="Tabukasmriekou1svetl1">
    <w:name w:val="Tabuľka s mriežkou 1 – svetlá1"/>
    <w:basedOn w:val="TableNormal"/>
    <w:uiPriority w:val="46"/>
    <w:rsid w:val="00B25279"/>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paragraph" w:customStyle="1" w:styleId="H-Titre2">
    <w:name w:val="H-Titre 2"/>
    <w:basedOn w:val="Normal"/>
    <w:qFormat/>
    <w:rsid w:val="0004609A"/>
    <w:pPr>
      <w:spacing w:before="0" w:after="120" w:line="280" w:lineRule="atLeast"/>
      <w:jc w:val="left"/>
    </w:pPr>
    <w:rPr>
      <w:rFonts w:cs="Arial"/>
      <w:b/>
      <w:bCs/>
      <w:color w:val="FFFFFF" w:themeColor="background2"/>
      <w:szCs w:val="44"/>
    </w:rPr>
  </w:style>
  <w:style w:type="paragraph" w:customStyle="1" w:styleId="H-Titre1">
    <w:name w:val="H-Titre 1"/>
    <w:basedOn w:val="Normal"/>
    <w:qFormat/>
    <w:rsid w:val="00BC03B8"/>
    <w:pPr>
      <w:spacing w:before="0" w:after="120" w:line="280" w:lineRule="atLeast"/>
      <w:jc w:val="left"/>
    </w:pPr>
    <w:rPr>
      <w:rFonts w:cs="Arial"/>
      <w:b/>
      <w:color w:val="373737" w:themeColor="text1"/>
      <w:szCs w:val="60"/>
    </w:rPr>
  </w:style>
  <w:style w:type="paragraph" w:styleId="NormalWeb">
    <w:name w:val="Normal (Web)"/>
    <w:basedOn w:val="Normal"/>
    <w:uiPriority w:val="99"/>
    <w:unhideWhenUsed/>
    <w:rsid w:val="00BB68D4"/>
    <w:pPr>
      <w:spacing w:before="100" w:beforeAutospacing="1" w:after="100" w:afterAutospacing="1" w:line="240" w:lineRule="auto"/>
      <w:jc w:val="left"/>
    </w:pPr>
    <w:rPr>
      <w:rFonts w:ascii="Times New Roman" w:eastAsiaTheme="minorHAnsi" w:hAnsi="Times New Roman"/>
      <w:sz w:val="24"/>
    </w:rPr>
  </w:style>
  <w:style w:type="paragraph" w:styleId="Subtitle">
    <w:name w:val="Subtitle"/>
    <w:basedOn w:val="Normal"/>
    <w:link w:val="SubtitleChar"/>
    <w:uiPriority w:val="11"/>
    <w:qFormat/>
    <w:rsid w:val="00C008A4"/>
    <w:pPr>
      <w:numPr>
        <w:numId w:val="19"/>
      </w:numPr>
      <w:spacing w:before="120" w:after="120" w:line="280" w:lineRule="atLeast"/>
      <w:outlineLvl w:val="1"/>
    </w:pPr>
    <w:rPr>
      <w:b/>
      <w:sz w:val="16"/>
      <w:szCs w:val="16"/>
    </w:rPr>
  </w:style>
  <w:style w:type="character" w:customStyle="1" w:styleId="SubtitleChar">
    <w:name w:val="Subtitle Char"/>
    <w:basedOn w:val="DefaultParagraphFont"/>
    <w:link w:val="Subtitle"/>
    <w:uiPriority w:val="11"/>
    <w:rsid w:val="00C008A4"/>
    <w:rPr>
      <w:rFonts w:ascii="Arial" w:hAnsi="Arial"/>
      <w:b/>
      <w:sz w:val="16"/>
      <w:szCs w:val="16"/>
      <w:lang w:val="es-ES"/>
    </w:rPr>
  </w:style>
  <w:style w:type="character" w:customStyle="1" w:styleId="Heading4Char2Char1">
    <w:name w:val="Heading 4 Char2 Char1"/>
    <w:basedOn w:val="DefaultParagraphFont"/>
    <w:uiPriority w:val="99"/>
    <w:rsid w:val="00123367"/>
    <w:rPr>
      <w:rFonts w:ascii="Arial" w:hAnsi="Arial"/>
      <w:i/>
      <w:dstrike w:val="0"/>
      <w:color w:val="373737"/>
      <w:position w:val="6"/>
      <w:sz w:val="12"/>
      <w:vertAlign w:val="baseline"/>
      <w:lang w:val="es-ES"/>
    </w:rPr>
  </w:style>
  <w:style w:type="character" w:styleId="Strong">
    <w:name w:val="Strong"/>
    <w:basedOn w:val="DefaultParagraphFont"/>
    <w:uiPriority w:val="22"/>
    <w:qFormat/>
    <w:rsid w:val="00753F39"/>
    <w:rPr>
      <w:b/>
      <w:bCs/>
    </w:rPr>
  </w:style>
  <w:style w:type="table" w:customStyle="1" w:styleId="Mriekatabuky1">
    <w:name w:val="Mriežka tabuľky1"/>
    <w:basedOn w:val="TableNormal"/>
    <w:next w:val="TableGrid"/>
    <w:uiPriority w:val="39"/>
    <w:rsid w:val="00D12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TableNormal"/>
    <w:next w:val="TableGrid"/>
    <w:uiPriority w:val="39"/>
    <w:rsid w:val="009B2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TableNormal"/>
    <w:next w:val="TableGrid"/>
    <w:uiPriority w:val="39"/>
    <w:rsid w:val="00676E1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TableNormal"/>
    <w:next w:val="TableGrid"/>
    <w:uiPriority w:val="39"/>
    <w:rsid w:val="00546E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DefaultParagraphFont"/>
    <w:uiPriority w:val="99"/>
    <w:semiHidden/>
    <w:unhideWhenUsed/>
    <w:rsid w:val="00E828C2"/>
    <w:rPr>
      <w:color w:val="808080"/>
      <w:shd w:val="clear" w:color="auto" w:fill="E6E6E6"/>
    </w:rPr>
  </w:style>
  <w:style w:type="table" w:customStyle="1" w:styleId="Tabukasmriekou5tmavzvraznenie11">
    <w:name w:val="Tabuľka s mriežkou 5 – tmavá – zvýraznenie 11"/>
    <w:basedOn w:val="TableNormal"/>
    <w:uiPriority w:val="50"/>
    <w:rsid w:val="0036599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5D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E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E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E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E31" w:themeFill="accent1"/>
      </w:tcPr>
    </w:tblStylePr>
    <w:tblStylePr w:type="band1Vert">
      <w:tblPr/>
      <w:tcPr>
        <w:shd w:val="clear" w:color="auto" w:fill="F9CBAC" w:themeFill="accent1" w:themeFillTint="66"/>
      </w:tcPr>
    </w:tblStylePr>
    <w:tblStylePr w:type="band1Horz">
      <w:tblPr/>
      <w:tcPr>
        <w:shd w:val="clear" w:color="auto" w:fill="F9CBAC" w:themeFill="accent1" w:themeFillTint="66"/>
      </w:tcPr>
    </w:tblStylePr>
  </w:style>
  <w:style w:type="character" w:styleId="PlaceholderText">
    <w:name w:val="Placeholder Text"/>
    <w:basedOn w:val="DefaultParagraphFont"/>
    <w:uiPriority w:val="99"/>
    <w:semiHidden/>
    <w:rsid w:val="00C2385E"/>
    <w:rPr>
      <w:color w:val="808080"/>
    </w:rPr>
  </w:style>
  <w:style w:type="character" w:customStyle="1" w:styleId="NichtaufgelsteErwhnung3">
    <w:name w:val="Nicht aufgelöste Erwähnung3"/>
    <w:basedOn w:val="DefaultParagraphFont"/>
    <w:uiPriority w:val="99"/>
    <w:semiHidden/>
    <w:unhideWhenUsed/>
    <w:rsid w:val="00F83CA0"/>
    <w:rPr>
      <w:color w:val="808080"/>
      <w:shd w:val="clear" w:color="auto" w:fill="E6E6E6"/>
    </w:rPr>
  </w:style>
  <w:style w:type="character" w:customStyle="1" w:styleId="NichtaufgelsteErwhnung4">
    <w:name w:val="Nicht aufgelöste Erwähnung4"/>
    <w:basedOn w:val="DefaultParagraphFont"/>
    <w:uiPriority w:val="99"/>
    <w:semiHidden/>
    <w:unhideWhenUsed/>
    <w:rsid w:val="00CD220A"/>
    <w:rPr>
      <w:color w:val="808080"/>
      <w:shd w:val="clear" w:color="auto" w:fill="E6E6E6"/>
    </w:rPr>
  </w:style>
  <w:style w:type="character" w:customStyle="1" w:styleId="HStandardCar">
    <w:name w:val="H_Standard Car"/>
    <w:basedOn w:val="DefaultParagraphFont"/>
    <w:link w:val="HStandard"/>
    <w:rsid w:val="00BB6B80"/>
    <w:rPr>
      <w:rFonts w:ascii="Arial" w:hAnsi="Arial"/>
      <w:color w:val="373737" w:themeColor="text1"/>
      <w:lang w:val="es-ES"/>
    </w:rPr>
  </w:style>
  <w:style w:type="character" w:customStyle="1" w:styleId="UnresolvedMention2">
    <w:name w:val="Unresolved Mention2"/>
    <w:basedOn w:val="DefaultParagraphFont"/>
    <w:uiPriority w:val="99"/>
    <w:semiHidden/>
    <w:unhideWhenUsed/>
    <w:rsid w:val="00B508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125483">
      <w:bodyDiv w:val="1"/>
      <w:marLeft w:val="0"/>
      <w:marRight w:val="0"/>
      <w:marTop w:val="0"/>
      <w:marBottom w:val="0"/>
      <w:divBdr>
        <w:top w:val="none" w:sz="0" w:space="0" w:color="auto"/>
        <w:left w:val="none" w:sz="0" w:space="0" w:color="auto"/>
        <w:bottom w:val="none" w:sz="0" w:space="0" w:color="auto"/>
        <w:right w:val="none" w:sz="0" w:space="0" w:color="auto"/>
      </w:divBdr>
    </w:div>
    <w:div w:id="293565826">
      <w:bodyDiv w:val="1"/>
      <w:marLeft w:val="0"/>
      <w:marRight w:val="0"/>
      <w:marTop w:val="0"/>
      <w:marBottom w:val="0"/>
      <w:divBdr>
        <w:top w:val="none" w:sz="0" w:space="0" w:color="auto"/>
        <w:left w:val="none" w:sz="0" w:space="0" w:color="auto"/>
        <w:bottom w:val="none" w:sz="0" w:space="0" w:color="auto"/>
        <w:right w:val="none" w:sz="0" w:space="0" w:color="auto"/>
      </w:divBdr>
    </w:div>
    <w:div w:id="419108821">
      <w:bodyDiv w:val="1"/>
      <w:marLeft w:val="0"/>
      <w:marRight w:val="0"/>
      <w:marTop w:val="0"/>
      <w:marBottom w:val="0"/>
      <w:divBdr>
        <w:top w:val="none" w:sz="0" w:space="0" w:color="auto"/>
        <w:left w:val="none" w:sz="0" w:space="0" w:color="auto"/>
        <w:bottom w:val="none" w:sz="0" w:space="0" w:color="auto"/>
        <w:right w:val="none" w:sz="0" w:space="0" w:color="auto"/>
      </w:divBdr>
    </w:div>
    <w:div w:id="561716645">
      <w:bodyDiv w:val="1"/>
      <w:marLeft w:val="0"/>
      <w:marRight w:val="0"/>
      <w:marTop w:val="0"/>
      <w:marBottom w:val="0"/>
      <w:divBdr>
        <w:top w:val="none" w:sz="0" w:space="0" w:color="auto"/>
        <w:left w:val="none" w:sz="0" w:space="0" w:color="auto"/>
        <w:bottom w:val="none" w:sz="0" w:space="0" w:color="auto"/>
        <w:right w:val="none" w:sz="0" w:space="0" w:color="auto"/>
      </w:divBdr>
    </w:div>
    <w:div w:id="690491209">
      <w:bodyDiv w:val="1"/>
      <w:marLeft w:val="0"/>
      <w:marRight w:val="0"/>
      <w:marTop w:val="0"/>
      <w:marBottom w:val="0"/>
      <w:divBdr>
        <w:top w:val="none" w:sz="0" w:space="0" w:color="auto"/>
        <w:left w:val="none" w:sz="0" w:space="0" w:color="auto"/>
        <w:bottom w:val="none" w:sz="0" w:space="0" w:color="auto"/>
        <w:right w:val="none" w:sz="0" w:space="0" w:color="auto"/>
      </w:divBdr>
    </w:div>
    <w:div w:id="742029641">
      <w:bodyDiv w:val="1"/>
      <w:marLeft w:val="0"/>
      <w:marRight w:val="0"/>
      <w:marTop w:val="0"/>
      <w:marBottom w:val="0"/>
      <w:divBdr>
        <w:top w:val="none" w:sz="0" w:space="0" w:color="auto"/>
        <w:left w:val="none" w:sz="0" w:space="0" w:color="auto"/>
        <w:bottom w:val="none" w:sz="0" w:space="0" w:color="auto"/>
        <w:right w:val="none" w:sz="0" w:space="0" w:color="auto"/>
      </w:divBdr>
    </w:div>
    <w:div w:id="851915323">
      <w:bodyDiv w:val="1"/>
      <w:marLeft w:val="0"/>
      <w:marRight w:val="0"/>
      <w:marTop w:val="0"/>
      <w:marBottom w:val="0"/>
      <w:divBdr>
        <w:top w:val="none" w:sz="0" w:space="0" w:color="auto"/>
        <w:left w:val="none" w:sz="0" w:space="0" w:color="auto"/>
        <w:bottom w:val="none" w:sz="0" w:space="0" w:color="auto"/>
        <w:right w:val="none" w:sz="0" w:space="0" w:color="auto"/>
      </w:divBdr>
    </w:div>
    <w:div w:id="915817771">
      <w:bodyDiv w:val="1"/>
      <w:marLeft w:val="0"/>
      <w:marRight w:val="0"/>
      <w:marTop w:val="0"/>
      <w:marBottom w:val="0"/>
      <w:divBdr>
        <w:top w:val="none" w:sz="0" w:space="0" w:color="auto"/>
        <w:left w:val="none" w:sz="0" w:space="0" w:color="auto"/>
        <w:bottom w:val="none" w:sz="0" w:space="0" w:color="auto"/>
        <w:right w:val="none" w:sz="0" w:space="0" w:color="auto"/>
      </w:divBdr>
    </w:div>
    <w:div w:id="1475954411">
      <w:bodyDiv w:val="1"/>
      <w:marLeft w:val="0"/>
      <w:marRight w:val="0"/>
      <w:marTop w:val="0"/>
      <w:marBottom w:val="0"/>
      <w:divBdr>
        <w:top w:val="none" w:sz="0" w:space="0" w:color="auto"/>
        <w:left w:val="none" w:sz="0" w:space="0" w:color="auto"/>
        <w:bottom w:val="none" w:sz="0" w:space="0" w:color="auto"/>
        <w:right w:val="none" w:sz="0" w:space="0" w:color="auto"/>
      </w:divBdr>
    </w:div>
    <w:div w:id="1551265796">
      <w:bodyDiv w:val="1"/>
      <w:marLeft w:val="0"/>
      <w:marRight w:val="0"/>
      <w:marTop w:val="0"/>
      <w:marBottom w:val="0"/>
      <w:divBdr>
        <w:top w:val="none" w:sz="0" w:space="0" w:color="auto"/>
        <w:left w:val="none" w:sz="0" w:space="0" w:color="auto"/>
        <w:bottom w:val="none" w:sz="0" w:space="0" w:color="auto"/>
        <w:right w:val="none" w:sz="0" w:space="0" w:color="auto"/>
      </w:divBdr>
    </w:div>
    <w:div w:id="1555964403">
      <w:bodyDiv w:val="1"/>
      <w:marLeft w:val="0"/>
      <w:marRight w:val="0"/>
      <w:marTop w:val="0"/>
      <w:marBottom w:val="0"/>
      <w:divBdr>
        <w:top w:val="none" w:sz="0" w:space="0" w:color="auto"/>
        <w:left w:val="none" w:sz="0" w:space="0" w:color="auto"/>
        <w:bottom w:val="none" w:sz="0" w:space="0" w:color="auto"/>
        <w:right w:val="none" w:sz="0" w:space="0" w:color="auto"/>
      </w:divBdr>
    </w:div>
    <w:div w:id="1679383751">
      <w:bodyDiv w:val="1"/>
      <w:marLeft w:val="0"/>
      <w:marRight w:val="0"/>
      <w:marTop w:val="0"/>
      <w:marBottom w:val="0"/>
      <w:divBdr>
        <w:top w:val="none" w:sz="0" w:space="0" w:color="auto"/>
        <w:left w:val="none" w:sz="0" w:space="0" w:color="auto"/>
        <w:bottom w:val="none" w:sz="0" w:space="0" w:color="auto"/>
        <w:right w:val="none" w:sz="0" w:space="0" w:color="auto"/>
      </w:divBdr>
    </w:div>
    <w:div w:id="2005081885">
      <w:bodyDiv w:val="1"/>
      <w:marLeft w:val="0"/>
      <w:marRight w:val="0"/>
      <w:marTop w:val="0"/>
      <w:marBottom w:val="0"/>
      <w:divBdr>
        <w:top w:val="none" w:sz="0" w:space="0" w:color="auto"/>
        <w:left w:val="none" w:sz="0" w:space="0" w:color="auto"/>
        <w:bottom w:val="none" w:sz="0" w:space="0" w:color="auto"/>
        <w:right w:val="none" w:sz="0" w:space="0" w:color="auto"/>
      </w:divBdr>
    </w:div>
    <w:div w:id="2073506137">
      <w:bodyDiv w:val="1"/>
      <w:marLeft w:val="0"/>
      <w:marRight w:val="0"/>
      <w:marTop w:val="0"/>
      <w:marBottom w:val="0"/>
      <w:divBdr>
        <w:top w:val="none" w:sz="0" w:space="0" w:color="auto"/>
        <w:left w:val="none" w:sz="0" w:space="0" w:color="auto"/>
        <w:bottom w:val="none" w:sz="0" w:space="0" w:color="auto"/>
        <w:right w:val="none" w:sz="0" w:space="0" w:color="auto"/>
      </w:divBdr>
    </w:div>
    <w:div w:id="211736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enrd.ec.europa.eu/evaluation/publications/guidelines-assessment-rdp-results-how-prepare-reporting-evaluation-2017_es" TargetMode="External"/><Relationship Id="rId39" Type="http://schemas.openxmlformats.org/officeDocument/2006/relationships/image" Target="media/image5.png"/><Relationship Id="rId21" Type="http://schemas.openxmlformats.org/officeDocument/2006/relationships/hyperlink" Target="https://ec.europa.eu/agriculture/sites/agriculture/files/cap-indicators/impact/impact-indicators-fiches.pdf" TargetMode="External"/><Relationship Id="rId34" Type="http://schemas.openxmlformats.org/officeDocument/2006/relationships/hyperlink" Target="http://ec.europa.eu/eurostat/documents/4411192/4411431/Europe_2020_Targets.pdf" TargetMode="External"/><Relationship Id="rId42" Type="http://schemas.openxmlformats.org/officeDocument/2006/relationships/hyperlink" Target="https://www.envieval.eu/fileadmin/envieval/dissemination/deliverables/D9.5_Handbook_for_the_evaluation_of_environmental_impacts_of_RDPs.pdf" TargetMode="External"/><Relationship Id="rId47" Type="http://schemas.openxmlformats.org/officeDocument/2006/relationships/hyperlink" Target="https://ec.europa.eu/agriculture/sites/agriculture/files/evaluation/guidelines/2007-2013-ex-post_en.pdf" TargetMode="External"/><Relationship Id="rId50" Type="http://schemas.openxmlformats.org/officeDocument/2006/relationships/hyperlink" Target="https://enrd.ec.europa.eu/news-events/news/ex-post-evaluation-rdps-2007-2013_en" TargetMode="External"/><Relationship Id="rId55" Type="http://schemas.openxmlformats.org/officeDocument/2006/relationships/hyperlink" Target="https://ec.europa.eu/agriculture/sites/agriculture/files/evaluation/rural-development-reports/2014/investment-support-rdp/fulltext_en.pdf" TargetMode="External"/><Relationship Id="rId63" Type="http://schemas.openxmlformats.org/officeDocument/2006/relationships/image" Target="media/image15.png"/><Relationship Id="rId68" Type="http://schemas.openxmlformats.org/officeDocument/2006/relationships/image" Target="media/image20.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ec.europa.eu/agriculture/sites/agriculture/files/cap-indicators/impact/2016-impact-indicators-fich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ec.europa.eu/agriculture/sites/agriculture/files/cap-indicators/result/rd-target-indicators_en.pdf" TargetMode="External"/><Relationship Id="rId32" Type="http://schemas.openxmlformats.org/officeDocument/2006/relationships/hyperlink" Target="http://ec.europa.eu/eurostat/web/europe-2020-indicators/europe-2020-strategy/targets" TargetMode="External"/><Relationship Id="rId37" Type="http://schemas.openxmlformats.org/officeDocument/2006/relationships/footer" Target="footer5.xml"/><Relationship Id="rId40" Type="http://schemas.openxmlformats.org/officeDocument/2006/relationships/image" Target="media/image6.png"/><Relationship Id="rId45" Type="http://schemas.openxmlformats.org/officeDocument/2006/relationships/hyperlink" Target="https://www.envieval.eu/" TargetMode="External"/><Relationship Id="rId53" Type="http://schemas.openxmlformats.org/officeDocument/2006/relationships/hyperlink" Target="https://ec.europa.eu/agriculture/sites/agriculture/files/evaluation/guidelines/2007-2013-ex-post_en.pdf" TargetMode="External"/><Relationship Id="rId58" Type="http://schemas.openxmlformats.org/officeDocument/2006/relationships/image" Target="media/image10.png"/><Relationship Id="rId66"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ec.europa.eu/sfc/en/system/files/ged/RDP_Annex%2011.pdf" TargetMode="External"/><Relationship Id="rId28" Type="http://schemas.openxmlformats.org/officeDocument/2006/relationships/hyperlink" Target="https://enrd.ec.europa.eu/evaluation/publications/evaluation-innovation-rural-development-programmes-2014-2020_es" TargetMode="External"/><Relationship Id="rId36" Type="http://schemas.openxmlformats.org/officeDocument/2006/relationships/hyperlink" Target="https://enrd.ec.europa.eu/sites/enrd/files/uploaded-files/wp_evaluation_questions_2015.pdf" TargetMode="External"/><Relationship Id="rId49" Type="http://schemas.openxmlformats.org/officeDocument/2006/relationships/hyperlink" Target="https://enrd.ec.europa.eu/news-events/news/ex-post-evaluation-rdps-2007-2013_en" TargetMode="External"/><Relationship Id="rId57" Type="http://schemas.openxmlformats.org/officeDocument/2006/relationships/image" Target="media/image9.png"/><Relationship Id="rId61"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hyperlink" Target="https://enrd.ec.europa.eu/evaluation/publications/guidelines-assessment-rdp-results-how-prepare-reporting-evaluation-2017_en" TargetMode="External"/><Relationship Id="rId31" Type="http://schemas.openxmlformats.org/officeDocument/2006/relationships/hyperlink" Target="https://enrd.ec.europa.eu/evaluation/publications/evaluation-innovation-rural-development-programmes-2014-2020_es" TargetMode="External"/><Relationship Id="rId44" Type="http://schemas.openxmlformats.org/officeDocument/2006/relationships/image" Target="media/image8.emf"/><Relationship Id="rId52" Type="http://schemas.openxmlformats.org/officeDocument/2006/relationships/hyperlink" Target="http://enrd.ec.europa.eu/enrd-static/app_templates/enrd_assets/pdf/evaluation/epe_master.pdf" TargetMode="External"/><Relationship Id="rId60" Type="http://schemas.openxmlformats.org/officeDocument/2006/relationships/image" Target="media/image12.png"/><Relationship Id="rId65"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enrd.ec.europa.eu/sites/enrd/files/twg-01_rdp_results.pdf" TargetMode="External"/><Relationship Id="rId27" Type="http://schemas.openxmlformats.org/officeDocument/2006/relationships/hyperlink" Target="https://enrd.ec.europa.eu/evaluation/publications/evaluation-leaderclld_es" TargetMode="External"/><Relationship Id="rId30" Type="http://schemas.openxmlformats.org/officeDocument/2006/relationships/hyperlink" Target="https://ec.europa.eu/agriculture/cap-indicators/context_es" TargetMode="External"/><Relationship Id="rId35" Type="http://schemas.openxmlformats.org/officeDocument/2006/relationships/hyperlink" Target="https://ec.europa.eu/agriculture/cap-indicators/context/2016/2016-context-indicators-fiches.pdf" TargetMode="External"/><Relationship Id="rId43" Type="http://schemas.openxmlformats.org/officeDocument/2006/relationships/image" Target="media/image7.emf"/><Relationship Id="rId48" Type="http://schemas.openxmlformats.org/officeDocument/2006/relationships/hyperlink" Target="https://ec.europa.eu/agriculture/sites/agriculture/files/evaluation/guidelines/2007-2013-ex-post_en.pdf" TargetMode="External"/><Relationship Id="rId56" Type="http://schemas.openxmlformats.org/officeDocument/2006/relationships/hyperlink" Target="https://books.google.be/books?id=t-uPdSpvPBkC&amp;pg=PP1&amp;lpg=PP1&amp;dq=distinguishing+between+types+of+data+and+methods+of+collecting+them,&amp;source=bl&amp;ots=G26OEW8m2A&amp;sig=h528kvgUEhmDcInCs1LmMIXs8vI&amp;hl=de&amp;sa=X&amp;ved=2ahUKEwjMvZynlc7cAhUSbFAKHaHWCLEQ6AEwBHoECAUQAQ" TargetMode="External"/><Relationship Id="rId64" Type="http://schemas.openxmlformats.org/officeDocument/2006/relationships/image" Target="media/image16.png"/><Relationship Id="rId69" Type="http://schemas.openxmlformats.org/officeDocument/2006/relationships/image" Target="media/image21.jpeg"/><Relationship Id="rId8" Type="http://schemas.openxmlformats.org/officeDocument/2006/relationships/image" Target="media/image1.jpeg"/><Relationship Id="rId51" Type="http://schemas.openxmlformats.org/officeDocument/2006/relationships/hyperlink" Target="http://enrd.ec.europa.eu/enrd-static/app_templates/enrd_assets/pdf/evaluation/epe_master.pdf"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ec.europa.eu/agriculture/sites/agriculture/files/cap-indicators/result/complementary-result-indicator-fiches-pillar-ii_en.pdf" TargetMode="External"/><Relationship Id="rId33" Type="http://schemas.openxmlformats.org/officeDocument/2006/relationships/hyperlink" Target="http://ec.europa.eu/eurostat/web/products-statistical-books/-/KS-EZ-17-001" TargetMode="External"/><Relationship Id="rId38" Type="http://schemas.openxmlformats.org/officeDocument/2006/relationships/footer" Target="footer6.xml"/><Relationship Id="rId46" Type="http://schemas.openxmlformats.org/officeDocument/2006/relationships/hyperlink" Target="https://www.envieval.eu/fileadmin/envieval/dissemination/deliverables/D9.5_Handbook_for_the_evaluation_of_environmental_impacts_of_RDPs.pdf" TargetMode="External"/><Relationship Id="rId59" Type="http://schemas.openxmlformats.org/officeDocument/2006/relationships/image" Target="media/image11.png"/><Relationship Id="rId67" Type="http://schemas.openxmlformats.org/officeDocument/2006/relationships/image" Target="media/image19.png"/><Relationship Id="rId20" Type="http://schemas.openxmlformats.org/officeDocument/2006/relationships/image" Target="media/image4.emf"/><Relationship Id="rId41" Type="http://schemas.openxmlformats.org/officeDocument/2006/relationships/hyperlink" Target="https://www.envieval.eu/" TargetMode="External"/><Relationship Id="rId54" Type="http://schemas.openxmlformats.org/officeDocument/2006/relationships/hyperlink" Target="https://ec.europa.eu/agriculture/sites/agriculture/files/evaluation/guidelines/2007-2013-ex-post_en.pdf" TargetMode="External"/><Relationship Id="rId62" Type="http://schemas.openxmlformats.org/officeDocument/2006/relationships/image" Target="media/image14.png"/><Relationship Id="rId70" Type="http://schemas.openxmlformats.org/officeDocument/2006/relationships/header" Target="header5.xml"/></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es/ALL/?uri=CELEX:32014R0808" TargetMode="External"/><Relationship Id="rId3" Type="http://schemas.openxmlformats.org/officeDocument/2006/relationships/hyperlink" Target="http://eur-lex.europa.eu/legal-content/es/ALL/?uri=CELEX:32014R0808" TargetMode="External"/><Relationship Id="rId7" Type="http://schemas.openxmlformats.org/officeDocument/2006/relationships/hyperlink" Target="http://eur-lex.europa.eu/legal-content/ES/TXT/?uri=CELEX:32014R0834" TargetMode="External"/><Relationship Id="rId12" Type="http://schemas.openxmlformats.org/officeDocument/2006/relationships/hyperlink" Target="http://enrd.ec.europa.eu/enrd-static/app_templates/enrd_assets/pdf/evaluation/epe_master.pdf" TargetMode="External"/><Relationship Id="rId2" Type="http://schemas.openxmlformats.org/officeDocument/2006/relationships/hyperlink" Target="https://enrd.ec.europa.eu/sites/enrd/files/uploaded-files/twg-05-ep-june2015_0.pdf" TargetMode="External"/><Relationship Id="rId1" Type="http://schemas.openxmlformats.org/officeDocument/2006/relationships/hyperlink" Target="http://eur-lex.europa.eu/legal-content/es/ALL/?uri=CELEX:32013R1305" TargetMode="External"/><Relationship Id="rId6" Type="http://schemas.openxmlformats.org/officeDocument/2006/relationships/hyperlink" Target="http://eur-lex.europa.eu/legal-content/ES/TXT/?uri=celex:32013R1306" TargetMode="External"/><Relationship Id="rId11" Type="http://schemas.openxmlformats.org/officeDocument/2006/relationships/hyperlink" Target="https://enrd.ec.europa.eu/evaluation/publications/guidelines-assessment-rdp-results-how-prepare-reporting-evaluation-2017_en" TargetMode="External"/><Relationship Id="rId5" Type="http://schemas.openxmlformats.org/officeDocument/2006/relationships/hyperlink" Target="file:///C:\Users\wimmer\AppData\Local\Microsoft\Windows\INetCache\Content.Outlook\3TA5XJ7V\ur-lex.europa.eu\legal-content\EN\TXT\" TargetMode="External"/><Relationship Id="rId10" Type="http://schemas.openxmlformats.org/officeDocument/2006/relationships/hyperlink" Target="https://ec.europa.eu/agriculture/sites/agriculture/files/evaluation/guidelines/2017-update-technical-handbook-monitoring-evaluation-framework_en.pdf" TargetMode="External"/><Relationship Id="rId4" Type="http://schemas.openxmlformats.org/officeDocument/2006/relationships/hyperlink" Target="https://enrd.ec.europa.eu/evaluation/publications/summary-report-synthesis-evaluation-components-2017-enhanced-air-chapter-7_en" TargetMode="External"/><Relationship Id="rId9" Type="http://schemas.openxmlformats.org/officeDocument/2006/relationships/hyperlink" Target="https://ec.europa.eu/agriculture/sites/agriculture/files/evaluation/guidelines/2017-update-technical-handbook-monitoring-evaluation-framework_en.pdf" TargetMode="External"/></Relationships>
</file>

<file path=word/theme/theme1.xml><?xml version="1.0" encoding="utf-8"?>
<a:theme xmlns:a="http://schemas.openxmlformats.org/drawingml/2006/main" name="Larissa-Design">
  <a:themeElements>
    <a:clrScheme name="Helpdesk">
      <a:dk1>
        <a:srgbClr val="373737"/>
      </a:dk1>
      <a:lt1>
        <a:srgbClr val="FFFFFF"/>
      </a:lt1>
      <a:dk2>
        <a:srgbClr val="373737"/>
      </a:dk2>
      <a:lt2>
        <a:srgbClr val="FFFFFF"/>
      </a:lt2>
      <a:accent1>
        <a:srgbClr val="F07E31"/>
      </a:accent1>
      <a:accent2>
        <a:srgbClr val="BE4A35"/>
      </a:accent2>
      <a:accent3>
        <a:srgbClr val="59638E"/>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53F7E-CFC4-416B-9609-0A52076D9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8306</Words>
  <Characters>47345</Characters>
  <Application>Microsoft Office Word</Application>
  <DocSecurity>0</DocSecurity>
  <Lines>394</Lines>
  <Paragraphs>111</Paragraphs>
  <ScaleCrop>false</ScaleCrop>
  <HeadingPairs>
    <vt:vector size="6" baseType="variant">
      <vt:variant>
        <vt:lpstr>Title</vt:lpstr>
      </vt:variant>
      <vt:variant>
        <vt:i4>1</vt:i4>
      </vt:variant>
      <vt:variant>
        <vt:lpstr>Titel</vt:lpstr>
      </vt:variant>
      <vt:variant>
        <vt:i4>1</vt:i4>
      </vt:variant>
      <vt:variant>
        <vt:lpstr>Názov</vt:lpstr>
      </vt:variant>
      <vt:variant>
        <vt:i4>1</vt:i4>
      </vt:variant>
    </vt:vector>
  </HeadingPairs>
  <TitlesOfParts>
    <vt:vector size="3" baseType="lpstr">
      <vt:lpstr/>
      <vt:lpstr/>
      <vt:lpstr/>
    </vt:vector>
  </TitlesOfParts>
  <LinksUpToDate>false</LinksUpToDate>
  <CharactersWithSpaces>55540</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2018-11-20T10:10:00Z</dcterms:created>
  <dcterms:modified xsi:type="dcterms:W3CDTF">2018-11-20T13:50:00Z</dcterms:modified>
</cp:coreProperties>
</file>