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57216" behindDoc="1" locked="0" layoutInCell="1" allowOverlap="1" wp14:anchorId="6C8EB33A" wp14:editId="397EA611">
                <wp:simplePos x="0" y="0"/>
                <wp:positionH relativeFrom="page">
                  <wp:posOffset>1952625</wp:posOffset>
                </wp:positionH>
                <wp:positionV relativeFrom="page">
                  <wp:posOffset>5019675</wp:posOffset>
                </wp:positionV>
                <wp:extent cx="4962525" cy="3855720"/>
                <wp:effectExtent l="0" t="0" r="9525" b="11430"/>
                <wp:wrapTight wrapText="bothSides">
                  <wp:wrapPolygon edited="0">
                    <wp:start x="0" y="0"/>
                    <wp:lineTo x="0" y="21557"/>
                    <wp:lineTo x="21559" y="21557"/>
                    <wp:lineTo x="21559"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77" w:rsidRPr="00DD6E53" w:rsidRDefault="004C3777" w:rsidP="00E05D08">
                            <w:pPr>
                              <w:pStyle w:val="HTitle1"/>
                            </w:pPr>
                            <w:r>
                              <w:t xml:space="preserve">Riktlinjer </w:t>
                            </w:r>
                          </w:p>
                          <w:p w:rsidR="004C3777" w:rsidRPr="00DD6E53" w:rsidRDefault="004C3777" w:rsidP="00C947BA">
                            <w:pPr>
                              <w:pStyle w:val="HTitle2"/>
                              <w:jc w:val="left"/>
                            </w:pPr>
                            <w:bookmarkStart w:id="1" w:name="_Hlk501355929"/>
                            <w:r>
                              <w:t xml:space="preserve">Utvärdering av innovation i </w:t>
                            </w:r>
                            <w:r>
                              <w:br/>
                              <w:t>landsbygdsprogram 2014–2020</w:t>
                            </w:r>
                            <w:bookmarkEnd w:id="1"/>
                            <w:r>
                              <w:t xml:space="preserve"> </w:t>
                            </w:r>
                          </w:p>
                          <w:p w:rsidR="004C3777" w:rsidRPr="00DD6E53" w:rsidRDefault="004C3777" w:rsidP="00E05D08">
                            <w:pPr>
                              <w:rPr>
                                <w:color w:val="6F6F6F"/>
                                <w:sz w:val="28"/>
                                <w:szCs w:val="28"/>
                              </w:rPr>
                            </w:pPr>
                          </w:p>
                          <w:p w:rsidR="004C3777" w:rsidRDefault="004C3777" w:rsidP="00E05D08">
                            <w:pPr>
                              <w:pStyle w:val="HTitle3"/>
                            </w:pPr>
                            <w:r>
                              <w:t xml:space="preserve">December 2017 </w:t>
                            </w:r>
                          </w:p>
                          <w:p w:rsidR="004C3777" w:rsidRDefault="004C3777" w:rsidP="00E05D08">
                            <w:pPr>
                              <w:pStyle w:val="HTitle3"/>
                            </w:pPr>
                          </w:p>
                          <w:p w:rsidR="004C3777" w:rsidRDefault="004C3777" w:rsidP="00E05D08">
                            <w:pPr>
                              <w:pStyle w:val="HTitle3"/>
                            </w:pPr>
                          </w:p>
                          <w:p w:rsidR="004C3777" w:rsidRDefault="004C3777" w:rsidP="00E05D08">
                            <w:pPr>
                              <w:pStyle w:val="HTitle3"/>
                            </w:pPr>
                          </w:p>
                          <w:p w:rsidR="004C3777" w:rsidRPr="00912430" w:rsidRDefault="004C3777" w:rsidP="00912430">
                            <w:pPr>
                              <w:rPr>
                                <w:color w:val="auto"/>
                                <w:sz w:val="18"/>
                                <w:szCs w:val="18"/>
                              </w:rPr>
                            </w:pPr>
                            <w:r>
                              <w:rPr>
                                <w:i/>
                                <w:sz w:val="18"/>
                                <w:szCs w:val="18"/>
                              </w:rPr>
                              <w:t xml:space="preserve">Detta dokument innehåller en översättning av en version från december 2017 av ”Riktlinjer: Utvärdering av innovation i landsbygdsprogram 2014–2020”. Översättningen syftar till att göra riktlinjerna mer användbara och tillgängliga för alla berörda aktörer. Observera att den engelska versionen bör användas som slutgiltig referenstext. Den engelska versionen finns tillgänglig på </w:t>
                            </w:r>
                            <w:hyperlink r:id="rId8" w:tgtFrame="_blank" w:history="1">
                              <w:r>
                                <w:rPr>
                                  <w:rStyle w:val="Hyperlink"/>
                                  <w:i/>
                                  <w:sz w:val="18"/>
                                  <w:szCs w:val="18"/>
                                </w:rPr>
                                <w:t>följande länk</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B33A" id="_x0000_t202" coordsize="21600,21600" o:spt="202" path="m,l,21600r21600,l21600,xe">
                <v:stroke joinstyle="miter"/>
                <v:path gradientshapeok="t" o:connecttype="rect"/>
              </v:shapetype>
              <v:shape id="Text Box 5" o:spid="_x0000_s1026" type="#_x0000_t202" style="position:absolute;left:0;text-align:left;margin-left:153.75pt;margin-top:395.25pt;width:390.75pt;height:30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" filled="f" stroked="f">
                <v:textbox inset="0,0,0,0">
                  <w:txbxContent>
                    <w:p w:rsidR="004C3777" w:rsidRPr="00DD6E53" w:rsidRDefault="004C3777" w:rsidP="00E05D08">
                      <w:pPr>
                        <w:pStyle w:val="HTitle1"/>
                      </w:pPr>
                      <w:r>
                        <w:t xml:space="preserve">Riktlinjer </w:t>
                      </w:r>
                    </w:p>
                    <w:p w:rsidR="004C3777" w:rsidRPr="00DD6E53" w:rsidRDefault="004C3777" w:rsidP="00C947BA">
                      <w:pPr>
                        <w:pStyle w:val="HTitle2"/>
                        <w:jc w:val="left"/>
                      </w:pPr>
                      <w:bookmarkStart w:id="2" w:name="_Hlk501355929"/>
                      <w:r>
                        <w:t xml:space="preserve">Utvärdering av innovation i </w:t>
                      </w:r>
                      <w:r>
                        <w:br/>
                        <w:t>landsbygdsprogram 2014–2020</w:t>
                      </w:r>
                      <w:bookmarkEnd w:id="2"/>
                      <w:r>
                        <w:t xml:space="preserve"> </w:t>
                      </w:r>
                    </w:p>
                    <w:p w:rsidR="004C3777" w:rsidRPr="00DD6E53" w:rsidRDefault="004C3777" w:rsidP="00E05D08">
                      <w:pPr>
                        <w:rPr>
                          <w:color w:val="6F6F6F"/>
                          <w:sz w:val="28"/>
                          <w:szCs w:val="28"/>
                        </w:rPr>
                      </w:pPr>
                    </w:p>
                    <w:p w:rsidR="004C3777" w:rsidRDefault="004C3777" w:rsidP="00E05D08">
                      <w:pPr>
                        <w:pStyle w:val="HTitle3"/>
                      </w:pPr>
                      <w:r>
                        <w:t xml:space="preserve">December 2017 </w:t>
                      </w:r>
                    </w:p>
                    <w:p w:rsidR="004C3777" w:rsidRDefault="004C3777" w:rsidP="00E05D08">
                      <w:pPr>
                        <w:pStyle w:val="HTitle3"/>
                      </w:pPr>
                    </w:p>
                    <w:p w:rsidR="004C3777" w:rsidRDefault="004C3777" w:rsidP="00E05D08">
                      <w:pPr>
                        <w:pStyle w:val="HTitle3"/>
                      </w:pPr>
                    </w:p>
                    <w:p w:rsidR="004C3777" w:rsidRDefault="004C3777" w:rsidP="00E05D08">
                      <w:pPr>
                        <w:pStyle w:val="HTitle3"/>
                      </w:pPr>
                    </w:p>
                    <w:p w:rsidR="004C3777" w:rsidRPr="00912430" w:rsidRDefault="004C3777" w:rsidP="00912430">
                      <w:pPr>
                        <w:rPr>
                          <w:color w:val="auto"/>
                          <w:sz w:val="18"/>
                          <w:szCs w:val="18"/>
                        </w:rPr>
                      </w:pPr>
                      <w:r>
                        <w:rPr>
                          <w:i/>
                          <w:sz w:val="18"/>
                          <w:szCs w:val="18"/>
                        </w:rPr>
                        <w:t xml:space="preserve">Detta dokument innehåller en översättning av en version från december 2017 av ”Riktlinjer: Utvärdering av innovation i landsbygdsprogram 2014–2020”. Översättningen syftar till att göra riktlinjerna mer användbara och tillgängliga för alla berörda aktörer. Observera att den engelska versionen bör användas som slutgiltig referenstext. Den engelska versionen finns tillgänglig på </w:t>
                      </w:r>
                      <w:hyperlink r:id="rId9" w:tgtFrame="_blank" w:history="1">
                        <w:r>
                          <w:rPr>
                            <w:rStyle w:val="Hyperlink"/>
                            <w:i/>
                            <w:sz w:val="18"/>
                            <w:szCs w:val="18"/>
                          </w:rPr>
                          <w:t>följande länk</w:t>
                        </w:r>
                      </w:hyperlink>
                      <w:r>
                        <w:rPr>
                          <w:rStyle w:val="Hyperlink"/>
                          <w:color w:val="auto"/>
                          <w:sz w:val="18"/>
                          <w:szCs w:val="18"/>
                          <w:u w:val="none"/>
                        </w:rPr>
                        <w:t>.</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60288"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4C3777" w:rsidRPr="007F1B7F" w:rsidRDefault="004C3777" w:rsidP="00E05D08">
                            <w:pPr>
                              <w:pStyle w:val="Normal12PTcouleurgris"/>
                              <w:rPr>
                                <w:sz w:val="18"/>
                              </w:rPr>
                            </w:pPr>
                            <w:r>
                              <w:rPr>
                                <w:sz w:val="18"/>
                              </w:rPr>
                              <w:t>Meddelande om upphovsrätt</w:t>
                            </w:r>
                          </w:p>
                          <w:p w:rsidR="004C3777" w:rsidRPr="007F1B7F" w:rsidRDefault="004C3777" w:rsidP="00E05D08">
                            <w:pPr>
                              <w:pStyle w:val="Normal12PTcouleurgris"/>
                              <w:rPr>
                                <w:sz w:val="18"/>
                              </w:rPr>
                            </w:pPr>
                            <w:r>
                              <w:rPr>
                                <w:sz w:val="18"/>
                              </w:rPr>
                              <w:t>© Europeiska unionen, 2017</w:t>
                            </w:r>
                          </w:p>
                          <w:p w:rsidR="004C3777" w:rsidRPr="007F1B7F" w:rsidRDefault="004C3777" w:rsidP="00E05D08">
                            <w:pPr>
                              <w:pStyle w:val="Normal12PTcouleurgris"/>
                              <w:rPr>
                                <w:sz w:val="18"/>
                              </w:rPr>
                            </w:pPr>
                            <w:r>
                              <w:rPr>
                                <w:sz w:val="18"/>
                              </w:rPr>
                              <w:t>Kopiering tillåten med angivande av källan.</w:t>
                            </w:r>
                          </w:p>
                          <w:p w:rsidR="004C3777" w:rsidRPr="0002668A" w:rsidRDefault="004C3777" w:rsidP="00E05D08">
                            <w:pPr>
                              <w:pStyle w:val="Normal12PTcouleurgris"/>
                              <w:rPr>
                                <w:sz w:val="18"/>
                              </w:rPr>
                            </w:pPr>
                            <w:r>
                              <w:rPr>
                                <w:bCs/>
                                <w:sz w:val="18"/>
                                <w:u w:val="single"/>
                              </w:rPr>
                              <w:t>Rekommenderad hänvisning</w:t>
                            </w:r>
                            <w:r>
                              <w:rPr>
                                <w:bCs/>
                                <w:sz w:val="18"/>
                              </w:rPr>
                              <w:t>:</w:t>
                            </w:r>
                            <w:r>
                              <w:rPr>
                                <w:sz w:val="18"/>
                              </w:rPr>
                              <w:t xml:space="preserve"> </w:t>
                            </w:r>
                          </w:p>
                          <w:p w:rsidR="004C3777" w:rsidRPr="0002668A" w:rsidRDefault="004C3777" w:rsidP="00E05D08">
                            <w:pPr>
                              <w:pStyle w:val="Normal12PTcouleurgris"/>
                              <w:rPr>
                                <w:sz w:val="18"/>
                              </w:rPr>
                            </w:pPr>
                            <w:r>
                              <w:rPr>
                                <w:sz w:val="18"/>
                              </w:rPr>
                              <w:t xml:space="preserve">Europeiska kommissionen, generaldirektoratet för jordbruk och landsbygdsutveckling, enhet C.4 (2017): </w:t>
                            </w:r>
                            <w:r>
                              <w:rPr>
                                <w:i/>
                                <w:sz w:val="18"/>
                              </w:rPr>
                              <w:t>Riktlinjer:</w:t>
                            </w:r>
                            <w:r>
                              <w:rPr>
                                <w:sz w:val="18"/>
                              </w:rPr>
                              <w:t xml:space="preserve"> </w:t>
                            </w:r>
                            <w:r>
                              <w:rPr>
                                <w:i/>
                                <w:sz w:val="18"/>
                              </w:rPr>
                              <w:t>Utvärdering av innovation i landsbygdsprogram 2014–2020</w:t>
                            </w:r>
                            <w:r>
                              <w:rPr>
                                <w:sz w:val="18"/>
                              </w:rPr>
                              <w:t>.</w:t>
                            </w:r>
                          </w:p>
                          <w:p w:rsidR="004C3777" w:rsidRPr="0002668A" w:rsidRDefault="004C3777" w:rsidP="00E05D08">
                            <w:pPr>
                              <w:pStyle w:val="Normal12PTcouleurgris"/>
                              <w:rPr>
                                <w:bCs/>
                                <w:sz w:val="18"/>
                                <w:u w:val="single"/>
                              </w:rPr>
                            </w:pPr>
                            <w:r>
                              <w:rPr>
                                <w:bCs/>
                                <w:sz w:val="18"/>
                                <w:u w:val="single"/>
                              </w:rPr>
                              <w:t>Ansvarsfriskrivning:</w:t>
                            </w:r>
                          </w:p>
                          <w:p w:rsidR="004C3777" w:rsidRPr="0002668A" w:rsidRDefault="004C3777" w:rsidP="00E05D08">
                            <w:pPr>
                              <w:pStyle w:val="Normal12PTcouleurgris"/>
                              <w:rPr>
                                <w:sz w:val="18"/>
                              </w:rPr>
                            </w:pPr>
                            <w:r>
                              <w:rPr>
                                <w:sz w:val="18"/>
                              </w:rPr>
                              <w:t>Informationen och synsätten i denna rapport tillhör författarna och återspeglar inte nödvändigtvis kommissionens officiella åsikt. Kommissionen garanterar inte riktigheten för de uppgifter som ingår i denna rapport. Varken kommissionen eller någon annan som agerar för kommissionens räkning kan hållas ansvarig för hur den information som ingår i rapporten kan ha använts.</w:t>
                            </w:r>
                          </w:p>
                          <w:p w:rsidR="004C3777" w:rsidRPr="000B1DDA" w:rsidRDefault="004C3777" w:rsidP="00E05D08">
                            <w:pPr>
                              <w:pStyle w:val="Normal12PTcouleurgris"/>
                            </w:pPr>
                          </w:p>
                          <w:p w:rsidR="004C3777" w:rsidRPr="004D4D87" w:rsidRDefault="004C3777"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C3777" w:rsidRPr="00E05D08" w:rsidRDefault="004C3777" w:rsidP="00E05D08">
                            <w:pPr>
                              <w:pStyle w:val="Normal12PTcouleurgris"/>
                              <w:rPr>
                                <w:color w:val="BFBFBF"/>
                              </w:rPr>
                            </w:pPr>
                          </w:p>
                          <w:p w:rsidR="004C3777" w:rsidRPr="007F1B7F" w:rsidRDefault="004C3777" w:rsidP="00E05D08">
                            <w:pPr>
                              <w:pStyle w:val="Normal12PTcouleurgris"/>
                              <w:rPr>
                                <w:sz w:val="18"/>
                              </w:rPr>
                            </w:pPr>
                            <w:r>
                              <w:rPr>
                                <w:sz w:val="18"/>
                              </w:rPr>
                              <w:t>Helpdesken för utvärdering ansvarar för utvärderingsfunktionen inom det europeiska nätverket för landsbygdsutveckling genom att ge vägledning om utvärdering av principer och landsbygdsprogram. Dessa hanteras och leds av enhet C.4 för övervakning och utvärdering på Europeiska kommissionens generaldirektorat för jordbruk och landsbygdsutveckling. För att förbättra utvärderingen av EU:s politik för landsbygdsutveckling ger helpdesken för utvärdering stöd till alla berörda aktörer, särskilt generaldirektoratet för jordbruk och landsbygdsutveckling, nationella myndigheter, myndigheter som förvaltar landsbygdsprogram och utvärderare av landsbygdsprogram, genom att ta fram och sprida lämpliga metoder och verktyg, genom att samla in och utbyta god praxis, genom kapacitetsuppbyggnad, och genom att kommunicera med nätverksmedlemmar om tematiska utvärderingsrelaterade områden.</w:t>
                            </w:r>
                          </w:p>
                          <w:p w:rsidR="004C3777" w:rsidRPr="007F1B7F" w:rsidRDefault="004C3777" w:rsidP="00E05D08">
                            <w:pPr>
                              <w:pStyle w:val="Normal12PTcouleurgris"/>
                              <w:rPr>
                                <w:sz w:val="18"/>
                              </w:rPr>
                            </w:pPr>
                            <w:r>
                              <w:rPr>
                                <w:sz w:val="18"/>
                              </w:rPr>
                              <w:t>Mer information om den europeiska helpdesken för utvärdering av landsbygdsutveckling finns på Europa-servern på internet (http://enrd.ec.europa.eu).</w:t>
                            </w:r>
                          </w:p>
                          <w:p w:rsidR="004C3777" w:rsidRPr="00811EF1" w:rsidRDefault="004C3777"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4C3777" w:rsidRPr="007F1B7F" w:rsidRDefault="004C3777" w:rsidP="00E05D08">
                      <w:pPr>
                        <w:pStyle w:val="Normal12PTcouleurgris"/>
                        <w:rPr>
                          <w:sz w:val="18"/>
                        </w:rPr>
                      </w:pPr>
                      <w:r>
                        <w:rPr>
                          <w:sz w:val="18"/>
                        </w:rPr>
                        <w:t>Meddelande om upphovsrätt</w:t>
                      </w:r>
                    </w:p>
                    <w:p w:rsidR="004C3777" w:rsidRPr="007F1B7F" w:rsidRDefault="004C3777" w:rsidP="00E05D08">
                      <w:pPr>
                        <w:pStyle w:val="Normal12PTcouleurgris"/>
                        <w:rPr>
                          <w:sz w:val="18"/>
                        </w:rPr>
                      </w:pPr>
                      <w:r>
                        <w:rPr>
                          <w:sz w:val="18"/>
                        </w:rPr>
                        <w:t>© Europeiska unionen, 2017</w:t>
                      </w:r>
                    </w:p>
                    <w:p w:rsidR="004C3777" w:rsidRPr="007F1B7F" w:rsidRDefault="004C3777" w:rsidP="00E05D08">
                      <w:pPr>
                        <w:pStyle w:val="Normal12PTcouleurgris"/>
                        <w:rPr>
                          <w:sz w:val="18"/>
                        </w:rPr>
                      </w:pPr>
                      <w:r>
                        <w:rPr>
                          <w:sz w:val="18"/>
                        </w:rPr>
                        <w:t>Kopiering tillåten med angivande av källan.</w:t>
                      </w:r>
                    </w:p>
                    <w:p w:rsidR="004C3777" w:rsidRPr="0002668A" w:rsidRDefault="004C3777" w:rsidP="00E05D08">
                      <w:pPr>
                        <w:pStyle w:val="Normal12PTcouleurgris"/>
                        <w:rPr>
                          <w:sz w:val="18"/>
                        </w:rPr>
                      </w:pPr>
                      <w:r>
                        <w:rPr>
                          <w:bCs/>
                          <w:sz w:val="18"/>
                          <w:u w:val="single"/>
                        </w:rPr>
                        <w:t>Rekommenderad hänvisning</w:t>
                      </w:r>
                      <w:r>
                        <w:rPr>
                          <w:bCs/>
                          <w:sz w:val="18"/>
                        </w:rPr>
                        <w:t>:</w:t>
                      </w:r>
                      <w:r>
                        <w:rPr>
                          <w:sz w:val="18"/>
                        </w:rPr>
                        <w:t xml:space="preserve"> </w:t>
                      </w:r>
                    </w:p>
                    <w:p w:rsidR="004C3777" w:rsidRPr="0002668A" w:rsidRDefault="004C3777" w:rsidP="00E05D08">
                      <w:pPr>
                        <w:pStyle w:val="Normal12PTcouleurgris"/>
                        <w:rPr>
                          <w:sz w:val="18"/>
                        </w:rPr>
                      </w:pPr>
                      <w:r>
                        <w:rPr>
                          <w:sz w:val="18"/>
                        </w:rPr>
                        <w:t xml:space="preserve">Europeiska kommissionen, generaldirektoratet för jordbruk och landsbygdsutveckling, enhet C.4 (2017): </w:t>
                      </w:r>
                      <w:r>
                        <w:rPr>
                          <w:i/>
                          <w:sz w:val="18"/>
                        </w:rPr>
                        <w:t>Riktlinjer:</w:t>
                      </w:r>
                      <w:r>
                        <w:rPr>
                          <w:sz w:val="18"/>
                        </w:rPr>
                        <w:t xml:space="preserve"> </w:t>
                      </w:r>
                      <w:r>
                        <w:rPr>
                          <w:i/>
                          <w:sz w:val="18"/>
                        </w:rPr>
                        <w:t>Utvärdering av innovation i landsbygdsprogram 2014–2020</w:t>
                      </w:r>
                      <w:r>
                        <w:rPr>
                          <w:sz w:val="18"/>
                        </w:rPr>
                        <w:t>.</w:t>
                      </w:r>
                    </w:p>
                    <w:p w:rsidR="004C3777" w:rsidRPr="0002668A" w:rsidRDefault="004C3777" w:rsidP="00E05D08">
                      <w:pPr>
                        <w:pStyle w:val="Normal12PTcouleurgris"/>
                        <w:rPr>
                          <w:bCs/>
                          <w:sz w:val="18"/>
                          <w:u w:val="single"/>
                        </w:rPr>
                      </w:pPr>
                      <w:r>
                        <w:rPr>
                          <w:bCs/>
                          <w:sz w:val="18"/>
                          <w:u w:val="single"/>
                        </w:rPr>
                        <w:t>Ansvarsfriskrivning:</w:t>
                      </w:r>
                    </w:p>
                    <w:p w:rsidR="004C3777" w:rsidRPr="0002668A" w:rsidRDefault="004C3777" w:rsidP="00E05D08">
                      <w:pPr>
                        <w:pStyle w:val="Normal12PTcouleurgris"/>
                        <w:rPr>
                          <w:sz w:val="18"/>
                        </w:rPr>
                      </w:pPr>
                      <w:r>
                        <w:rPr>
                          <w:sz w:val="18"/>
                        </w:rPr>
                        <w:t>Informationen och synsätten i denna rapport tillhör författarna och återspeglar inte nödvändigtvis kommissionens officiella åsikt. Kommissionen garanterar inte riktigheten för de uppgifter som ingår i denna rapport. Varken kommissionen eller någon annan som agerar för kommissionens räkning kan hållas ansvarig för hur den information som ingår i rapporten kan ha använts.</w:t>
                      </w:r>
                    </w:p>
                    <w:p w:rsidR="004C3777" w:rsidRPr="000B1DDA" w:rsidRDefault="004C3777" w:rsidP="00E05D08">
                      <w:pPr>
                        <w:pStyle w:val="Normal12PTcouleurgris"/>
                      </w:pPr>
                    </w:p>
                    <w:p w:rsidR="004C3777" w:rsidRPr="004D4D87" w:rsidRDefault="004C3777"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C3777" w:rsidRPr="00E05D08" w:rsidRDefault="004C3777" w:rsidP="00E05D08">
                      <w:pPr>
                        <w:pStyle w:val="Normal12PTcouleurgris"/>
                        <w:rPr>
                          <w:color w:val="BFBFBF"/>
                        </w:rPr>
                      </w:pPr>
                    </w:p>
                    <w:p w:rsidR="004C3777" w:rsidRPr="007F1B7F" w:rsidRDefault="004C3777" w:rsidP="00E05D08">
                      <w:pPr>
                        <w:pStyle w:val="Normal12PTcouleurgris"/>
                        <w:rPr>
                          <w:sz w:val="18"/>
                        </w:rPr>
                      </w:pPr>
                      <w:r>
                        <w:rPr>
                          <w:sz w:val="18"/>
                        </w:rPr>
                        <w:t>Helpdesken för utvärdering ansvarar för utvärderingsfunktionen inom det europeiska nätverket för landsbygdsutveckling genom att ge vägledning om utvärdering av principer och landsbygdsprogram. Dessa hanteras och leds av enhet C.4 för övervakning och utvärdering på Europeiska kommissionens generaldirektorat för jordbruk och landsbygdsutveckling. För att förbättra utvärderingen av EU:s politik för landsbygdsutveckling ger helpdesken för utvärdering stöd till alla berörda aktörer, särskilt generaldirektoratet för jordbruk och landsbygdsutveckling, nationella myndigheter, myndigheter som förvaltar landsbygdsprogram och utvärderare av landsbygdsprogram, genom att ta fram och sprida lämpliga metoder och verktyg, genom att samla in och utbyta god praxis, genom kapacitetsuppbyggnad, och genom att kommunicera med nätverksmedlemmar om tematiska utvärderingsrelaterade områden.</w:t>
                      </w:r>
                    </w:p>
                    <w:p w:rsidR="004C3777" w:rsidRPr="007F1B7F" w:rsidRDefault="004C3777" w:rsidP="00E05D08">
                      <w:pPr>
                        <w:pStyle w:val="Normal12PTcouleurgris"/>
                        <w:rPr>
                          <w:sz w:val="18"/>
                        </w:rPr>
                      </w:pPr>
                      <w:r>
                        <w:rPr>
                          <w:sz w:val="18"/>
                        </w:rPr>
                        <w:t>Mer information om den europeiska helpdesken för utvärdering av landsbygdsutveckling finns på Europa-servern på internet (http://enrd.ec.europa.eu).</w:t>
                      </w:r>
                    </w:p>
                    <w:p w:rsidR="004C3777" w:rsidRPr="00811EF1" w:rsidRDefault="004C3777"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62336"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77" w:rsidRPr="002D3552" w:rsidRDefault="004C3777" w:rsidP="00E05D08">
                            <w:pPr>
                              <w:pStyle w:val="HTitle1"/>
                            </w:pPr>
                            <w:r>
                              <w:t xml:space="preserve">Riktlinjer </w:t>
                            </w:r>
                          </w:p>
                          <w:p w:rsidR="004C3777" w:rsidRPr="00DD6E53" w:rsidRDefault="004C3777" w:rsidP="00C947BA">
                            <w:pPr>
                              <w:pStyle w:val="HTitle2"/>
                              <w:jc w:val="left"/>
                            </w:pPr>
                            <w:r>
                              <w:t xml:space="preserve">Utvärdering av innovation i </w:t>
                            </w:r>
                            <w:r>
                              <w:br/>
                              <w:t xml:space="preserve">landsbygdsprogram 2014–2020 </w:t>
                            </w:r>
                          </w:p>
                          <w:p w:rsidR="004C3777" w:rsidRPr="00DD6E53" w:rsidRDefault="004C3777" w:rsidP="00E05D08">
                            <w:pPr>
                              <w:rPr>
                                <w:color w:val="6F6F6F"/>
                                <w:sz w:val="28"/>
                                <w:szCs w:val="28"/>
                              </w:rPr>
                            </w:pPr>
                          </w:p>
                          <w:p w:rsidR="004C3777" w:rsidRDefault="004C3777" w:rsidP="00E05D08">
                            <w:pPr>
                              <w:pStyle w:val="HTitle3"/>
                            </w:pPr>
                            <w:r>
                              <w:t xml:space="preserve">December 2017 </w:t>
                            </w:r>
                          </w:p>
                          <w:p w:rsidR="004C3777" w:rsidRPr="00BE49CF" w:rsidRDefault="004C3777"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4C3777" w:rsidRPr="002D3552" w:rsidRDefault="004C3777" w:rsidP="00E05D08">
                      <w:pPr>
                        <w:pStyle w:val="HTitle1"/>
                      </w:pPr>
                      <w:r>
                        <w:t xml:space="preserve">Riktlinjer </w:t>
                      </w:r>
                    </w:p>
                    <w:p w:rsidR="004C3777" w:rsidRPr="00DD6E53" w:rsidRDefault="004C3777" w:rsidP="00C947BA">
                      <w:pPr>
                        <w:pStyle w:val="HTitle2"/>
                        <w:jc w:val="left"/>
                      </w:pPr>
                      <w:r>
                        <w:t xml:space="preserve">Utvärdering av innovation i </w:t>
                      </w:r>
                      <w:r>
                        <w:br/>
                        <w:t xml:space="preserve">landsbygdsprogram 2014–2020 </w:t>
                      </w:r>
                    </w:p>
                    <w:p w:rsidR="004C3777" w:rsidRPr="00DD6E53" w:rsidRDefault="004C3777" w:rsidP="00E05D08">
                      <w:pPr>
                        <w:rPr>
                          <w:color w:val="6F6F6F"/>
                          <w:sz w:val="28"/>
                          <w:szCs w:val="28"/>
                        </w:rPr>
                      </w:pPr>
                    </w:p>
                    <w:p w:rsidR="004C3777" w:rsidRDefault="004C3777" w:rsidP="00E05D08">
                      <w:pPr>
                        <w:pStyle w:val="HTitle3"/>
                      </w:pPr>
                      <w:r>
                        <w:t xml:space="preserve">December 2017 </w:t>
                      </w:r>
                    </w:p>
                    <w:p w:rsidR="004C3777" w:rsidRPr="00BE49CF" w:rsidRDefault="004C3777"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Innehåll</w:t>
      </w:r>
    </w:p>
    <w:p w:rsidR="000913CD" w:rsidRDefault="009837FF">
      <w:pPr>
        <w:pStyle w:val="TOC1"/>
        <w:tabs>
          <w:tab w:val="right" w:leader="dot" w:pos="9040"/>
        </w:tabs>
        <w:rPr>
          <w:rFonts w:asciiTheme="minorHAnsi" w:eastAsiaTheme="minorEastAsia" w:hAnsiTheme="minorHAnsi"/>
          <w:b w:val="0"/>
          <w:caps w:val="0"/>
          <w:noProof/>
          <w:color w:val="auto"/>
          <w:sz w:val="22"/>
          <w:lang w:val="en-US"/>
        </w:rPr>
      </w:pPr>
      <w:r>
        <w:rPr>
          <w:rFonts w:ascii="Helvetica LT Pro" w:eastAsia="Times New Roman" w:hAnsi="Helvetica LT Pro" w:cs="Times New Roman"/>
          <w:caps w:val="0"/>
          <w:color w:val="000000" w:themeColor="text1"/>
          <w:szCs w:val="20"/>
        </w:rPr>
        <w:fldChar w:fldCharType="begin"/>
      </w:r>
      <w:r w:rsidR="00133DA6">
        <w:rPr>
          <w:rFonts w:ascii="Helvetica LT Pro" w:eastAsia="Times New Roman" w:hAnsi="Helvetica LT Pro" w:cs="Times New Roman"/>
          <w:color w:val="000000" w:themeColor="text1"/>
          <w:szCs w:val="20"/>
        </w:rPr>
        <w:instrText xml:space="preserve"> TOC \h \z \t "H_Heading 1,1,H_Heading 2,2,H_Heading 3,</w:instrText>
      </w:r>
      <w:r>
        <w:rPr>
          <w:rFonts w:ascii="Helvetica LT Pro" w:eastAsia="Times New Roman" w:hAnsi="Helvetica LT Pro" w:cs="Times New Roman"/>
          <w:caps w:val="0"/>
          <w:color w:val="000000" w:themeColor="text1"/>
          <w:szCs w:val="20"/>
        </w:rPr>
        <w:instrText xml:space="preserve">3" </w:instrText>
      </w:r>
      <w:r>
        <w:rPr>
          <w:rFonts w:ascii="Helvetica LT Pro" w:eastAsia="Times New Roman" w:hAnsi="Helvetica LT Pro" w:cs="Times New Roman"/>
          <w:caps w:val="0"/>
          <w:color w:val="000000" w:themeColor="text1"/>
          <w:szCs w:val="20"/>
        </w:rPr>
        <w:fldChar w:fldCharType="separate"/>
      </w:r>
      <w:hyperlink w:anchor="_Toc508290297" w:history="1">
        <w:r w:rsidR="000913CD" w:rsidRPr="005B15FE">
          <w:rPr>
            <w:rStyle w:val="Hyperlink"/>
            <w:noProof/>
          </w:rPr>
          <w:t>1.</w:t>
        </w:r>
        <w:r w:rsidR="000913CD">
          <w:rPr>
            <w:rFonts w:asciiTheme="minorHAnsi" w:eastAsiaTheme="minorEastAsia" w:hAnsiTheme="minorHAnsi"/>
            <w:b w:val="0"/>
            <w:caps w:val="0"/>
            <w:noProof/>
            <w:color w:val="auto"/>
            <w:sz w:val="22"/>
            <w:lang w:val="en-US"/>
          </w:rPr>
          <w:tab/>
        </w:r>
        <w:r w:rsidR="000913CD" w:rsidRPr="005B15FE">
          <w:rPr>
            <w:rStyle w:val="Hyperlink"/>
            <w:noProof/>
          </w:rPr>
          <w:t>DEN BEGREPPSMÄSSIGA RAMEN</w:t>
        </w:r>
        <w:r w:rsidR="000913CD">
          <w:rPr>
            <w:noProof/>
            <w:webHidden/>
          </w:rPr>
          <w:tab/>
        </w:r>
        <w:r w:rsidR="000913CD">
          <w:rPr>
            <w:noProof/>
            <w:webHidden/>
          </w:rPr>
          <w:fldChar w:fldCharType="begin"/>
        </w:r>
        <w:r w:rsidR="000913CD">
          <w:rPr>
            <w:noProof/>
            <w:webHidden/>
          </w:rPr>
          <w:instrText xml:space="preserve"> PAGEREF _Toc508290297 \h </w:instrText>
        </w:r>
        <w:r w:rsidR="000913CD">
          <w:rPr>
            <w:noProof/>
            <w:webHidden/>
          </w:rPr>
        </w:r>
        <w:r w:rsidR="000913CD">
          <w:rPr>
            <w:noProof/>
            <w:webHidden/>
          </w:rPr>
          <w:fldChar w:fldCharType="separate"/>
        </w:r>
        <w:r w:rsidR="000A2ED1">
          <w:rPr>
            <w:noProof/>
            <w:webHidden/>
          </w:rPr>
          <w:t>3</w:t>
        </w:r>
        <w:r w:rsidR="000913CD">
          <w:rPr>
            <w:noProof/>
            <w:webHidden/>
          </w:rPr>
          <w:fldChar w:fldCharType="end"/>
        </w:r>
      </w:hyperlink>
    </w:p>
    <w:p w:rsidR="000913CD" w:rsidRDefault="00D55696" w:rsidP="000913CD">
      <w:pPr>
        <w:pStyle w:val="TOC2"/>
        <w:rPr>
          <w:rFonts w:asciiTheme="minorHAnsi" w:eastAsiaTheme="minorEastAsia" w:hAnsiTheme="minorHAnsi"/>
          <w:noProof/>
          <w:color w:val="auto"/>
          <w:sz w:val="22"/>
          <w:lang w:val="en-US"/>
        </w:rPr>
      </w:pPr>
      <w:hyperlink w:anchor="_Toc508290298" w:history="1">
        <w:r w:rsidR="000913CD" w:rsidRPr="005B15FE">
          <w:rPr>
            <w:rStyle w:val="Hyperlink"/>
            <w:noProof/>
          </w:rPr>
          <w:t>1.1</w:t>
        </w:r>
        <w:r w:rsidR="000913CD">
          <w:rPr>
            <w:rFonts w:asciiTheme="minorHAnsi" w:eastAsiaTheme="minorEastAsia" w:hAnsiTheme="minorHAnsi"/>
            <w:noProof/>
            <w:color w:val="auto"/>
            <w:sz w:val="22"/>
            <w:lang w:val="en-US"/>
          </w:rPr>
          <w:tab/>
        </w:r>
        <w:r w:rsidR="000913CD" w:rsidRPr="005B15FE">
          <w:rPr>
            <w:rStyle w:val="Hyperlink"/>
            <w:noProof/>
          </w:rPr>
          <w:t>Innovation och landsbygdsutveckling</w:t>
        </w:r>
        <w:r w:rsidR="000913CD">
          <w:rPr>
            <w:noProof/>
            <w:webHidden/>
          </w:rPr>
          <w:tab/>
        </w:r>
        <w:r w:rsidR="000913CD">
          <w:rPr>
            <w:noProof/>
            <w:webHidden/>
          </w:rPr>
          <w:fldChar w:fldCharType="begin"/>
        </w:r>
        <w:r w:rsidR="000913CD">
          <w:rPr>
            <w:noProof/>
            <w:webHidden/>
          </w:rPr>
          <w:instrText xml:space="preserve"> PAGEREF _Toc508290298 \h </w:instrText>
        </w:r>
        <w:r w:rsidR="000913CD">
          <w:rPr>
            <w:noProof/>
            <w:webHidden/>
          </w:rPr>
        </w:r>
        <w:r w:rsidR="000913CD">
          <w:rPr>
            <w:noProof/>
            <w:webHidden/>
          </w:rPr>
          <w:fldChar w:fldCharType="separate"/>
        </w:r>
        <w:r w:rsidR="000A2ED1">
          <w:rPr>
            <w:noProof/>
            <w:webHidden/>
          </w:rPr>
          <w:t>3</w:t>
        </w:r>
        <w:r w:rsidR="000913CD">
          <w:rPr>
            <w:noProof/>
            <w:webHidden/>
          </w:rPr>
          <w:fldChar w:fldCharType="end"/>
        </w:r>
      </w:hyperlink>
    </w:p>
    <w:p w:rsidR="000913CD" w:rsidRDefault="00D55696" w:rsidP="000913CD">
      <w:pPr>
        <w:pStyle w:val="TOC2"/>
        <w:rPr>
          <w:rFonts w:asciiTheme="minorHAnsi" w:eastAsiaTheme="minorEastAsia" w:hAnsiTheme="minorHAnsi"/>
          <w:noProof/>
          <w:color w:val="auto"/>
          <w:sz w:val="22"/>
          <w:lang w:val="en-US"/>
        </w:rPr>
      </w:pPr>
      <w:hyperlink w:anchor="_Toc508290299" w:history="1">
        <w:r w:rsidR="000913CD" w:rsidRPr="005B15FE">
          <w:rPr>
            <w:rStyle w:val="Hyperlink"/>
            <w:noProof/>
          </w:rPr>
          <w:t>1.2</w:t>
        </w:r>
        <w:r w:rsidR="000913CD">
          <w:rPr>
            <w:rFonts w:asciiTheme="minorHAnsi" w:eastAsiaTheme="minorEastAsia" w:hAnsiTheme="minorHAnsi"/>
            <w:noProof/>
            <w:color w:val="auto"/>
            <w:sz w:val="22"/>
            <w:lang w:val="en-US"/>
          </w:rPr>
          <w:tab/>
        </w:r>
        <w:r w:rsidR="000913CD" w:rsidRPr="005B15FE">
          <w:rPr>
            <w:rStyle w:val="Hyperlink"/>
            <w:noProof/>
          </w:rPr>
          <w:t>Den politiska ramen inom EU</w:t>
        </w:r>
        <w:r w:rsidR="000913CD">
          <w:rPr>
            <w:noProof/>
            <w:webHidden/>
          </w:rPr>
          <w:tab/>
        </w:r>
        <w:r w:rsidR="000913CD">
          <w:rPr>
            <w:noProof/>
            <w:webHidden/>
          </w:rPr>
          <w:fldChar w:fldCharType="begin"/>
        </w:r>
        <w:r w:rsidR="000913CD">
          <w:rPr>
            <w:noProof/>
            <w:webHidden/>
          </w:rPr>
          <w:instrText xml:space="preserve"> PAGEREF _Toc508290299 \h </w:instrText>
        </w:r>
        <w:r w:rsidR="000913CD">
          <w:rPr>
            <w:noProof/>
            <w:webHidden/>
          </w:rPr>
        </w:r>
        <w:r w:rsidR="000913CD">
          <w:rPr>
            <w:noProof/>
            <w:webHidden/>
          </w:rPr>
          <w:fldChar w:fldCharType="separate"/>
        </w:r>
        <w:r w:rsidR="000A2ED1">
          <w:rPr>
            <w:noProof/>
            <w:webHidden/>
          </w:rPr>
          <w:t>11</w:t>
        </w:r>
        <w:r w:rsidR="000913CD">
          <w:rPr>
            <w:noProof/>
            <w:webHidden/>
          </w:rPr>
          <w:fldChar w:fldCharType="end"/>
        </w:r>
      </w:hyperlink>
    </w:p>
    <w:p w:rsidR="000913CD" w:rsidRDefault="00D55696">
      <w:pPr>
        <w:pStyle w:val="TOC3"/>
        <w:tabs>
          <w:tab w:val="right" w:leader="dot" w:pos="9040"/>
        </w:tabs>
        <w:rPr>
          <w:rFonts w:asciiTheme="minorHAnsi" w:eastAsiaTheme="minorEastAsia" w:hAnsiTheme="minorHAnsi"/>
          <w:noProof/>
          <w:color w:val="auto"/>
          <w:sz w:val="22"/>
          <w:lang w:val="en-US"/>
        </w:rPr>
      </w:pPr>
      <w:hyperlink w:anchor="_Toc508290300" w:history="1">
        <w:r w:rsidR="000913CD" w:rsidRPr="005B15FE">
          <w:rPr>
            <w:rStyle w:val="Hyperlink"/>
            <w:noProof/>
          </w:rPr>
          <w:t>1.2.1</w:t>
        </w:r>
        <w:r w:rsidR="000913CD">
          <w:rPr>
            <w:rFonts w:asciiTheme="minorHAnsi" w:eastAsiaTheme="minorEastAsia" w:hAnsiTheme="minorHAnsi"/>
            <w:noProof/>
            <w:color w:val="auto"/>
            <w:sz w:val="22"/>
            <w:lang w:val="en-US"/>
          </w:rPr>
          <w:tab/>
        </w:r>
        <w:r w:rsidR="000913CD" w:rsidRPr="005B15FE">
          <w:rPr>
            <w:rStyle w:val="Hyperlink"/>
            <w:noProof/>
          </w:rPr>
          <w:t>Den politiska ramen för innovation inom EU och i landsbygdsutvecklingspolitiken</w:t>
        </w:r>
        <w:r w:rsidR="000913CD">
          <w:rPr>
            <w:noProof/>
            <w:webHidden/>
          </w:rPr>
          <w:tab/>
        </w:r>
        <w:r w:rsidR="000913CD">
          <w:rPr>
            <w:noProof/>
            <w:webHidden/>
          </w:rPr>
          <w:fldChar w:fldCharType="begin"/>
        </w:r>
        <w:r w:rsidR="000913CD">
          <w:rPr>
            <w:noProof/>
            <w:webHidden/>
          </w:rPr>
          <w:instrText xml:space="preserve"> PAGEREF _Toc508290300 \h </w:instrText>
        </w:r>
        <w:r w:rsidR="000913CD">
          <w:rPr>
            <w:noProof/>
            <w:webHidden/>
          </w:rPr>
        </w:r>
        <w:r w:rsidR="000913CD">
          <w:rPr>
            <w:noProof/>
            <w:webHidden/>
          </w:rPr>
          <w:fldChar w:fldCharType="separate"/>
        </w:r>
        <w:r w:rsidR="000A2ED1">
          <w:rPr>
            <w:noProof/>
            <w:webHidden/>
          </w:rPr>
          <w:t>11</w:t>
        </w:r>
        <w:r w:rsidR="000913CD">
          <w:rPr>
            <w:noProof/>
            <w:webHidden/>
          </w:rPr>
          <w:fldChar w:fldCharType="end"/>
        </w:r>
      </w:hyperlink>
    </w:p>
    <w:p w:rsidR="000913CD" w:rsidRDefault="00D55696">
      <w:pPr>
        <w:pStyle w:val="TOC3"/>
        <w:tabs>
          <w:tab w:val="right" w:leader="dot" w:pos="9040"/>
        </w:tabs>
        <w:rPr>
          <w:rFonts w:asciiTheme="minorHAnsi" w:eastAsiaTheme="minorEastAsia" w:hAnsiTheme="minorHAnsi"/>
          <w:noProof/>
          <w:color w:val="auto"/>
          <w:sz w:val="22"/>
          <w:lang w:val="en-US"/>
        </w:rPr>
      </w:pPr>
      <w:hyperlink w:anchor="_Toc508290301" w:history="1">
        <w:r w:rsidR="000913CD" w:rsidRPr="005B15FE">
          <w:rPr>
            <w:rStyle w:val="Hyperlink"/>
            <w:noProof/>
          </w:rPr>
          <w:t>1.2.2</w:t>
        </w:r>
        <w:r w:rsidR="000913CD">
          <w:rPr>
            <w:rFonts w:asciiTheme="minorHAnsi" w:eastAsiaTheme="minorEastAsia" w:hAnsiTheme="minorHAnsi"/>
            <w:noProof/>
            <w:color w:val="auto"/>
            <w:sz w:val="22"/>
            <w:lang w:val="en-US"/>
          </w:rPr>
          <w:tab/>
        </w:r>
        <w:r w:rsidR="000913CD" w:rsidRPr="005B15FE">
          <w:rPr>
            <w:rStyle w:val="Hyperlink"/>
            <w:noProof/>
          </w:rPr>
          <w:t>De gemensamma utvärderingsfaktorerna för innovation</w:t>
        </w:r>
        <w:r w:rsidR="000913CD">
          <w:rPr>
            <w:noProof/>
            <w:webHidden/>
          </w:rPr>
          <w:tab/>
        </w:r>
        <w:r w:rsidR="000913CD">
          <w:rPr>
            <w:noProof/>
            <w:webHidden/>
          </w:rPr>
          <w:fldChar w:fldCharType="begin"/>
        </w:r>
        <w:r w:rsidR="000913CD">
          <w:rPr>
            <w:noProof/>
            <w:webHidden/>
          </w:rPr>
          <w:instrText xml:space="preserve"> PAGEREF _Toc508290301 \h </w:instrText>
        </w:r>
        <w:r w:rsidR="000913CD">
          <w:rPr>
            <w:noProof/>
            <w:webHidden/>
          </w:rPr>
        </w:r>
        <w:r w:rsidR="000913CD">
          <w:rPr>
            <w:noProof/>
            <w:webHidden/>
          </w:rPr>
          <w:fldChar w:fldCharType="separate"/>
        </w:r>
        <w:r w:rsidR="000A2ED1">
          <w:rPr>
            <w:noProof/>
            <w:webHidden/>
          </w:rPr>
          <w:t>14</w:t>
        </w:r>
        <w:r w:rsidR="000913CD">
          <w:rPr>
            <w:noProof/>
            <w:webHidden/>
          </w:rPr>
          <w:fldChar w:fldCharType="end"/>
        </w:r>
      </w:hyperlink>
    </w:p>
    <w:p w:rsidR="000913CD" w:rsidRDefault="00D55696" w:rsidP="000913CD">
      <w:pPr>
        <w:pStyle w:val="TOC2"/>
        <w:rPr>
          <w:rFonts w:asciiTheme="minorHAnsi" w:eastAsiaTheme="minorEastAsia" w:hAnsiTheme="minorHAnsi"/>
          <w:noProof/>
          <w:color w:val="auto"/>
          <w:sz w:val="22"/>
          <w:lang w:val="en-US"/>
        </w:rPr>
      </w:pPr>
      <w:hyperlink w:anchor="_Toc508290302" w:history="1">
        <w:r w:rsidR="000913CD" w:rsidRPr="005B15FE">
          <w:rPr>
            <w:rStyle w:val="Hyperlink"/>
            <w:noProof/>
          </w:rPr>
          <w:t>1.3</w:t>
        </w:r>
        <w:r w:rsidR="000913CD">
          <w:rPr>
            <w:rFonts w:asciiTheme="minorHAnsi" w:eastAsiaTheme="minorEastAsia" w:hAnsiTheme="minorHAnsi"/>
            <w:noProof/>
            <w:color w:val="auto"/>
            <w:sz w:val="22"/>
            <w:lang w:val="en-US"/>
          </w:rPr>
          <w:tab/>
        </w:r>
        <w:r w:rsidR="000913CD" w:rsidRPr="005B15FE">
          <w:rPr>
            <w:rStyle w:val="Hyperlink"/>
            <w:noProof/>
          </w:rPr>
          <w:t>Utmaningar vid utvärdering av innovation</w:t>
        </w:r>
        <w:r w:rsidR="000913CD">
          <w:rPr>
            <w:noProof/>
            <w:webHidden/>
          </w:rPr>
          <w:tab/>
        </w:r>
        <w:r w:rsidR="000913CD">
          <w:rPr>
            <w:noProof/>
            <w:webHidden/>
          </w:rPr>
          <w:fldChar w:fldCharType="begin"/>
        </w:r>
        <w:r w:rsidR="000913CD">
          <w:rPr>
            <w:noProof/>
            <w:webHidden/>
          </w:rPr>
          <w:instrText xml:space="preserve"> PAGEREF _Toc508290302 \h </w:instrText>
        </w:r>
        <w:r w:rsidR="000913CD">
          <w:rPr>
            <w:noProof/>
            <w:webHidden/>
          </w:rPr>
        </w:r>
        <w:r w:rsidR="000913CD">
          <w:rPr>
            <w:noProof/>
            <w:webHidden/>
          </w:rPr>
          <w:fldChar w:fldCharType="separate"/>
        </w:r>
        <w:r w:rsidR="000A2ED1">
          <w:rPr>
            <w:noProof/>
            <w:webHidden/>
          </w:rPr>
          <w:t>17</w:t>
        </w:r>
        <w:r w:rsidR="000913CD">
          <w:rPr>
            <w:noProof/>
            <w:webHidden/>
          </w:rPr>
          <w:fldChar w:fldCharType="end"/>
        </w:r>
      </w:hyperlink>
    </w:p>
    <w:p w:rsidR="000913CD" w:rsidRDefault="00D55696">
      <w:pPr>
        <w:pStyle w:val="TOC1"/>
        <w:tabs>
          <w:tab w:val="right" w:leader="dot" w:pos="9040"/>
        </w:tabs>
        <w:rPr>
          <w:rFonts w:asciiTheme="minorHAnsi" w:eastAsiaTheme="minorEastAsia" w:hAnsiTheme="minorHAnsi"/>
          <w:b w:val="0"/>
          <w:caps w:val="0"/>
          <w:noProof/>
          <w:color w:val="auto"/>
          <w:sz w:val="22"/>
          <w:lang w:val="en-US"/>
        </w:rPr>
      </w:pPr>
      <w:hyperlink w:anchor="_Toc508290303" w:history="1">
        <w:r w:rsidR="000913CD" w:rsidRPr="005B15FE">
          <w:rPr>
            <w:rStyle w:val="Hyperlink"/>
            <w:noProof/>
          </w:rPr>
          <w:t>2.</w:t>
        </w:r>
        <w:r w:rsidR="000913CD">
          <w:rPr>
            <w:rFonts w:asciiTheme="minorHAnsi" w:eastAsiaTheme="minorEastAsia" w:hAnsiTheme="minorHAnsi"/>
            <w:b w:val="0"/>
            <w:caps w:val="0"/>
            <w:noProof/>
            <w:color w:val="auto"/>
            <w:sz w:val="22"/>
            <w:lang w:val="en-US"/>
          </w:rPr>
          <w:tab/>
        </w:r>
        <w:r w:rsidR="000913CD" w:rsidRPr="005B15FE">
          <w:rPr>
            <w:rStyle w:val="Hyperlink"/>
            <w:noProof/>
          </w:rPr>
          <w:t>Utvärdering av innovation i landsbygdsprogram</w:t>
        </w:r>
        <w:r w:rsidR="000913CD">
          <w:rPr>
            <w:noProof/>
            <w:webHidden/>
          </w:rPr>
          <w:tab/>
        </w:r>
        <w:r w:rsidR="000913CD">
          <w:rPr>
            <w:noProof/>
            <w:webHidden/>
          </w:rPr>
          <w:fldChar w:fldCharType="begin"/>
        </w:r>
        <w:r w:rsidR="000913CD">
          <w:rPr>
            <w:noProof/>
            <w:webHidden/>
          </w:rPr>
          <w:instrText xml:space="preserve"> PAGEREF _Toc508290303 \h </w:instrText>
        </w:r>
        <w:r w:rsidR="000913CD">
          <w:rPr>
            <w:noProof/>
            <w:webHidden/>
          </w:rPr>
        </w:r>
        <w:r w:rsidR="000913CD">
          <w:rPr>
            <w:noProof/>
            <w:webHidden/>
          </w:rPr>
          <w:fldChar w:fldCharType="separate"/>
        </w:r>
        <w:r w:rsidR="000A2ED1">
          <w:rPr>
            <w:noProof/>
            <w:webHidden/>
          </w:rPr>
          <w:t>19</w:t>
        </w:r>
        <w:r w:rsidR="000913CD">
          <w:rPr>
            <w:noProof/>
            <w:webHidden/>
          </w:rPr>
          <w:fldChar w:fldCharType="end"/>
        </w:r>
      </w:hyperlink>
    </w:p>
    <w:p w:rsidR="000913CD" w:rsidRDefault="00D55696" w:rsidP="000913CD">
      <w:pPr>
        <w:pStyle w:val="TOC2"/>
        <w:rPr>
          <w:rFonts w:asciiTheme="minorHAnsi" w:eastAsiaTheme="minorEastAsia" w:hAnsiTheme="minorHAnsi"/>
          <w:noProof/>
          <w:color w:val="auto"/>
          <w:sz w:val="22"/>
          <w:lang w:val="en-US"/>
        </w:rPr>
      </w:pPr>
      <w:hyperlink w:anchor="_Toc508290304" w:history="1">
        <w:r w:rsidR="000913CD" w:rsidRPr="005B15FE">
          <w:rPr>
            <w:rStyle w:val="Hyperlink"/>
            <w:noProof/>
          </w:rPr>
          <w:t>2.1</w:t>
        </w:r>
        <w:r w:rsidR="000913CD">
          <w:rPr>
            <w:rFonts w:asciiTheme="minorHAnsi" w:eastAsiaTheme="minorEastAsia" w:hAnsiTheme="minorHAnsi"/>
            <w:noProof/>
            <w:color w:val="auto"/>
            <w:sz w:val="22"/>
            <w:lang w:val="en-US"/>
          </w:rPr>
          <w:tab/>
        </w:r>
        <w:r w:rsidR="000913CD" w:rsidRPr="005B15FE">
          <w:rPr>
            <w:rStyle w:val="Hyperlink"/>
            <w:noProof/>
          </w:rPr>
          <w:t>Förslag till strategi för att utvärdera innovation i landsbygdsprogram 2014–2020 (översikt)</w:t>
        </w:r>
        <w:r w:rsidR="000913CD">
          <w:rPr>
            <w:noProof/>
            <w:webHidden/>
          </w:rPr>
          <w:tab/>
        </w:r>
        <w:r w:rsidR="000913CD">
          <w:rPr>
            <w:noProof/>
            <w:webHidden/>
          </w:rPr>
          <w:fldChar w:fldCharType="begin"/>
        </w:r>
        <w:r w:rsidR="000913CD">
          <w:rPr>
            <w:noProof/>
            <w:webHidden/>
          </w:rPr>
          <w:instrText xml:space="preserve"> PAGEREF _Toc508290304 \h </w:instrText>
        </w:r>
        <w:r w:rsidR="000913CD">
          <w:rPr>
            <w:noProof/>
            <w:webHidden/>
          </w:rPr>
        </w:r>
        <w:r w:rsidR="000913CD">
          <w:rPr>
            <w:noProof/>
            <w:webHidden/>
          </w:rPr>
          <w:fldChar w:fldCharType="separate"/>
        </w:r>
        <w:r w:rsidR="000A2ED1">
          <w:rPr>
            <w:noProof/>
            <w:webHidden/>
          </w:rPr>
          <w:t>19</w:t>
        </w:r>
        <w:r w:rsidR="000913CD">
          <w:rPr>
            <w:noProof/>
            <w:webHidden/>
          </w:rPr>
          <w:fldChar w:fldCharType="end"/>
        </w:r>
      </w:hyperlink>
    </w:p>
    <w:p w:rsidR="000913CD" w:rsidRDefault="00D55696" w:rsidP="000913CD">
      <w:pPr>
        <w:pStyle w:val="TOC2"/>
        <w:rPr>
          <w:rFonts w:asciiTheme="minorHAnsi" w:eastAsiaTheme="minorEastAsia" w:hAnsiTheme="minorHAnsi"/>
          <w:noProof/>
          <w:color w:val="auto"/>
          <w:sz w:val="22"/>
          <w:lang w:val="en-US"/>
        </w:rPr>
      </w:pPr>
      <w:hyperlink w:anchor="_Toc508290305" w:history="1">
        <w:r w:rsidR="000913CD" w:rsidRPr="005B15FE">
          <w:rPr>
            <w:rStyle w:val="Hyperlink"/>
            <w:noProof/>
          </w:rPr>
          <w:t>2.2</w:t>
        </w:r>
        <w:r w:rsidR="000913CD">
          <w:rPr>
            <w:rFonts w:asciiTheme="minorHAnsi" w:eastAsiaTheme="minorEastAsia" w:hAnsiTheme="minorHAnsi"/>
            <w:noProof/>
            <w:color w:val="auto"/>
            <w:sz w:val="22"/>
            <w:lang w:val="en-US"/>
          </w:rPr>
          <w:tab/>
        </w:r>
        <w:r w:rsidR="000913CD" w:rsidRPr="005B15FE">
          <w:rPr>
            <w:rStyle w:val="Hyperlink"/>
            <w:noProof/>
          </w:rPr>
          <w:t>Granskning av innovationspotentialen i landsbygdsprogrammets åtgärder/delåtgärder (rekommenderas)</w:t>
        </w:r>
        <w:r w:rsidR="000913CD">
          <w:rPr>
            <w:noProof/>
            <w:webHidden/>
          </w:rPr>
          <w:tab/>
        </w:r>
        <w:r w:rsidR="000913CD">
          <w:rPr>
            <w:noProof/>
            <w:webHidden/>
          </w:rPr>
          <w:fldChar w:fldCharType="begin"/>
        </w:r>
        <w:r w:rsidR="000913CD">
          <w:rPr>
            <w:noProof/>
            <w:webHidden/>
          </w:rPr>
          <w:instrText xml:space="preserve"> PAGEREF _Toc508290305 \h </w:instrText>
        </w:r>
        <w:r w:rsidR="000913CD">
          <w:rPr>
            <w:noProof/>
            <w:webHidden/>
          </w:rPr>
        </w:r>
        <w:r w:rsidR="000913CD">
          <w:rPr>
            <w:noProof/>
            <w:webHidden/>
          </w:rPr>
          <w:fldChar w:fldCharType="separate"/>
        </w:r>
        <w:r w:rsidR="000A2ED1">
          <w:rPr>
            <w:noProof/>
            <w:webHidden/>
          </w:rPr>
          <w:t>22</w:t>
        </w:r>
        <w:r w:rsidR="000913CD">
          <w:rPr>
            <w:noProof/>
            <w:webHidden/>
          </w:rPr>
          <w:fldChar w:fldCharType="end"/>
        </w:r>
      </w:hyperlink>
    </w:p>
    <w:p w:rsidR="000913CD" w:rsidRDefault="00D55696" w:rsidP="000913CD">
      <w:pPr>
        <w:pStyle w:val="TOC2"/>
        <w:rPr>
          <w:rFonts w:asciiTheme="minorHAnsi" w:eastAsiaTheme="minorEastAsia" w:hAnsiTheme="minorHAnsi"/>
          <w:noProof/>
          <w:color w:val="auto"/>
          <w:sz w:val="22"/>
          <w:lang w:val="en-US"/>
        </w:rPr>
      </w:pPr>
      <w:hyperlink w:anchor="_Toc508290306" w:history="1">
        <w:r w:rsidR="000913CD" w:rsidRPr="005B15FE">
          <w:rPr>
            <w:rStyle w:val="Hyperlink"/>
            <w:noProof/>
          </w:rPr>
          <w:t>2.3</w:t>
        </w:r>
        <w:r w:rsidR="000913CD">
          <w:rPr>
            <w:rFonts w:asciiTheme="minorHAnsi" w:eastAsiaTheme="minorEastAsia" w:hAnsiTheme="minorHAnsi"/>
            <w:noProof/>
            <w:color w:val="auto"/>
            <w:sz w:val="22"/>
            <w:lang w:val="en-US"/>
          </w:rPr>
          <w:tab/>
        </w:r>
        <w:r w:rsidR="000913CD" w:rsidRPr="005B15FE">
          <w:rPr>
            <w:rStyle w:val="Hyperlink"/>
            <w:noProof/>
          </w:rPr>
          <w:t>Komplettering av de gemensamma utvärderingsfaktorerna för innovation (rekommenderas)</w:t>
        </w:r>
        <w:r w:rsidR="000913CD">
          <w:rPr>
            <w:noProof/>
            <w:webHidden/>
          </w:rPr>
          <w:tab/>
        </w:r>
        <w:r w:rsidR="000913CD">
          <w:rPr>
            <w:noProof/>
            <w:webHidden/>
          </w:rPr>
          <w:fldChar w:fldCharType="begin"/>
        </w:r>
        <w:r w:rsidR="000913CD">
          <w:rPr>
            <w:noProof/>
            <w:webHidden/>
          </w:rPr>
          <w:instrText xml:space="preserve"> PAGEREF _Toc508290306 \h </w:instrText>
        </w:r>
        <w:r w:rsidR="000913CD">
          <w:rPr>
            <w:noProof/>
            <w:webHidden/>
          </w:rPr>
        </w:r>
        <w:r w:rsidR="000913CD">
          <w:rPr>
            <w:noProof/>
            <w:webHidden/>
          </w:rPr>
          <w:fldChar w:fldCharType="separate"/>
        </w:r>
        <w:r w:rsidR="000A2ED1">
          <w:rPr>
            <w:noProof/>
            <w:webHidden/>
          </w:rPr>
          <w:t>25</w:t>
        </w:r>
        <w:r w:rsidR="000913CD">
          <w:rPr>
            <w:noProof/>
            <w:webHidden/>
          </w:rPr>
          <w:fldChar w:fldCharType="end"/>
        </w:r>
      </w:hyperlink>
    </w:p>
    <w:p w:rsidR="000913CD" w:rsidRDefault="00D55696" w:rsidP="000913CD">
      <w:pPr>
        <w:pStyle w:val="TOC2"/>
        <w:rPr>
          <w:rFonts w:asciiTheme="minorHAnsi" w:eastAsiaTheme="minorEastAsia" w:hAnsiTheme="minorHAnsi"/>
          <w:noProof/>
          <w:color w:val="auto"/>
          <w:sz w:val="22"/>
          <w:lang w:val="en-US"/>
        </w:rPr>
      </w:pPr>
      <w:hyperlink w:anchor="_Toc508290307" w:history="1">
        <w:r w:rsidR="000913CD" w:rsidRPr="005B15FE">
          <w:rPr>
            <w:rStyle w:val="Hyperlink"/>
            <w:noProof/>
            <w:snapToGrid w:val="0"/>
          </w:rPr>
          <w:t>2.4</w:t>
        </w:r>
        <w:r w:rsidR="000913CD">
          <w:rPr>
            <w:rFonts w:asciiTheme="minorHAnsi" w:eastAsiaTheme="minorEastAsia" w:hAnsiTheme="minorHAnsi"/>
            <w:noProof/>
            <w:color w:val="auto"/>
            <w:sz w:val="22"/>
            <w:lang w:val="en-US"/>
          </w:rPr>
          <w:tab/>
        </w:r>
        <w:r w:rsidR="000913CD" w:rsidRPr="005B15FE">
          <w:rPr>
            <w:rStyle w:val="Hyperlink"/>
            <w:noProof/>
          </w:rPr>
          <w:t>Besvarande av relevanta gemensamma utvärderingsfrågor (obligatoriskt)</w:t>
        </w:r>
        <w:r w:rsidR="000913CD">
          <w:rPr>
            <w:noProof/>
            <w:webHidden/>
          </w:rPr>
          <w:tab/>
        </w:r>
        <w:r w:rsidR="000913CD">
          <w:rPr>
            <w:noProof/>
            <w:webHidden/>
          </w:rPr>
          <w:fldChar w:fldCharType="begin"/>
        </w:r>
        <w:r w:rsidR="000913CD">
          <w:rPr>
            <w:noProof/>
            <w:webHidden/>
          </w:rPr>
          <w:instrText xml:space="preserve"> PAGEREF _Toc508290307 \h </w:instrText>
        </w:r>
        <w:r w:rsidR="000913CD">
          <w:rPr>
            <w:noProof/>
            <w:webHidden/>
          </w:rPr>
        </w:r>
        <w:r w:rsidR="000913CD">
          <w:rPr>
            <w:noProof/>
            <w:webHidden/>
          </w:rPr>
          <w:fldChar w:fldCharType="separate"/>
        </w:r>
        <w:r w:rsidR="000A2ED1">
          <w:rPr>
            <w:noProof/>
            <w:webHidden/>
          </w:rPr>
          <w:t>27</w:t>
        </w:r>
        <w:r w:rsidR="000913CD">
          <w:rPr>
            <w:noProof/>
            <w:webHidden/>
          </w:rPr>
          <w:fldChar w:fldCharType="end"/>
        </w:r>
      </w:hyperlink>
    </w:p>
    <w:p w:rsidR="000913CD" w:rsidRDefault="00D55696">
      <w:pPr>
        <w:pStyle w:val="TOC3"/>
        <w:tabs>
          <w:tab w:val="right" w:leader="dot" w:pos="9040"/>
        </w:tabs>
        <w:rPr>
          <w:rFonts w:asciiTheme="minorHAnsi" w:eastAsiaTheme="minorEastAsia" w:hAnsiTheme="minorHAnsi"/>
          <w:noProof/>
          <w:color w:val="auto"/>
          <w:sz w:val="22"/>
          <w:lang w:val="en-US"/>
        </w:rPr>
      </w:pPr>
      <w:hyperlink w:anchor="_Toc508290308" w:history="1">
        <w:r w:rsidR="000913CD" w:rsidRPr="005B15FE">
          <w:rPr>
            <w:rStyle w:val="Hyperlink"/>
            <w:noProof/>
          </w:rPr>
          <w:t>2.4.1</w:t>
        </w:r>
        <w:r w:rsidR="000913CD">
          <w:rPr>
            <w:rFonts w:asciiTheme="minorHAnsi" w:eastAsiaTheme="minorEastAsia" w:hAnsiTheme="minorHAnsi"/>
            <w:noProof/>
            <w:color w:val="auto"/>
            <w:sz w:val="22"/>
            <w:lang w:val="en-US"/>
          </w:rPr>
          <w:tab/>
        </w:r>
        <w:r w:rsidR="000913CD" w:rsidRPr="005B15FE">
          <w:rPr>
            <w:rStyle w:val="Hyperlink"/>
            <w:noProof/>
          </w:rPr>
          <w:t>Gemensam utvärderingsfråga nr 1: ”I vilken utsträckning har insatserna inom landsbygdsprogrammet bidragit till innovation, samarbete och utveckling av en kunskapsbas i landsbygdsområden?”</w:t>
        </w:r>
        <w:r w:rsidR="000913CD">
          <w:rPr>
            <w:noProof/>
            <w:webHidden/>
          </w:rPr>
          <w:tab/>
        </w:r>
        <w:r w:rsidR="000913CD">
          <w:rPr>
            <w:noProof/>
            <w:webHidden/>
          </w:rPr>
          <w:fldChar w:fldCharType="begin"/>
        </w:r>
        <w:r w:rsidR="000913CD">
          <w:rPr>
            <w:noProof/>
            <w:webHidden/>
          </w:rPr>
          <w:instrText xml:space="preserve"> PAGEREF _Toc508290308 \h </w:instrText>
        </w:r>
        <w:r w:rsidR="000913CD">
          <w:rPr>
            <w:noProof/>
            <w:webHidden/>
          </w:rPr>
        </w:r>
        <w:r w:rsidR="000913CD">
          <w:rPr>
            <w:noProof/>
            <w:webHidden/>
          </w:rPr>
          <w:fldChar w:fldCharType="separate"/>
        </w:r>
        <w:r w:rsidR="000A2ED1">
          <w:rPr>
            <w:noProof/>
            <w:webHidden/>
          </w:rPr>
          <w:t>28</w:t>
        </w:r>
        <w:r w:rsidR="000913CD">
          <w:rPr>
            <w:noProof/>
            <w:webHidden/>
          </w:rPr>
          <w:fldChar w:fldCharType="end"/>
        </w:r>
      </w:hyperlink>
    </w:p>
    <w:p w:rsidR="000913CD" w:rsidRDefault="00D55696">
      <w:pPr>
        <w:pStyle w:val="TOC3"/>
        <w:tabs>
          <w:tab w:val="right" w:leader="dot" w:pos="9040"/>
        </w:tabs>
        <w:rPr>
          <w:rFonts w:asciiTheme="minorHAnsi" w:eastAsiaTheme="minorEastAsia" w:hAnsiTheme="minorHAnsi"/>
          <w:noProof/>
          <w:color w:val="auto"/>
          <w:sz w:val="22"/>
          <w:lang w:val="en-US"/>
        </w:rPr>
      </w:pPr>
      <w:hyperlink w:anchor="_Toc508290309" w:history="1">
        <w:r w:rsidR="000913CD" w:rsidRPr="005B15FE">
          <w:rPr>
            <w:rStyle w:val="Hyperlink"/>
            <w:noProof/>
          </w:rPr>
          <w:t>2.4.2</w:t>
        </w:r>
        <w:r w:rsidR="000913CD">
          <w:rPr>
            <w:rFonts w:asciiTheme="minorHAnsi" w:eastAsiaTheme="minorEastAsia" w:hAnsiTheme="minorHAnsi"/>
            <w:noProof/>
            <w:color w:val="auto"/>
            <w:sz w:val="22"/>
            <w:lang w:val="en-US"/>
          </w:rPr>
          <w:tab/>
        </w:r>
        <w:r w:rsidR="000913CD" w:rsidRPr="005B15FE">
          <w:rPr>
            <w:rStyle w:val="Hyperlink"/>
            <w:noProof/>
          </w:rPr>
          <w:t>Gemensam utvärderingsfråga nr 2: ”I vilken utsträckning har insatserna inom landsbygdsprogrammet stärkt banden mellan jordbruk, livsmedelsproduktion och skogsbruk samt forskning och innovation, även för att få till stånd förbättrad miljöförvaltning och miljöprestanda?”</w:t>
        </w:r>
        <w:r w:rsidR="000913CD">
          <w:rPr>
            <w:noProof/>
            <w:webHidden/>
          </w:rPr>
          <w:tab/>
        </w:r>
        <w:r w:rsidR="000913CD">
          <w:rPr>
            <w:noProof/>
            <w:webHidden/>
          </w:rPr>
          <w:fldChar w:fldCharType="begin"/>
        </w:r>
        <w:r w:rsidR="000913CD">
          <w:rPr>
            <w:noProof/>
            <w:webHidden/>
          </w:rPr>
          <w:instrText xml:space="preserve"> PAGEREF _Toc508290309 \h </w:instrText>
        </w:r>
        <w:r w:rsidR="000913CD">
          <w:rPr>
            <w:noProof/>
            <w:webHidden/>
          </w:rPr>
        </w:r>
        <w:r w:rsidR="000913CD">
          <w:rPr>
            <w:noProof/>
            <w:webHidden/>
          </w:rPr>
          <w:fldChar w:fldCharType="separate"/>
        </w:r>
        <w:r w:rsidR="000A2ED1">
          <w:rPr>
            <w:noProof/>
            <w:webHidden/>
          </w:rPr>
          <w:t>40</w:t>
        </w:r>
        <w:r w:rsidR="000913CD">
          <w:rPr>
            <w:noProof/>
            <w:webHidden/>
          </w:rPr>
          <w:fldChar w:fldCharType="end"/>
        </w:r>
      </w:hyperlink>
    </w:p>
    <w:p w:rsidR="000913CD" w:rsidRDefault="00D55696">
      <w:pPr>
        <w:pStyle w:val="TOC3"/>
        <w:tabs>
          <w:tab w:val="right" w:leader="dot" w:pos="9040"/>
        </w:tabs>
        <w:rPr>
          <w:rFonts w:asciiTheme="minorHAnsi" w:eastAsiaTheme="minorEastAsia" w:hAnsiTheme="minorHAnsi"/>
          <w:noProof/>
          <w:color w:val="auto"/>
          <w:sz w:val="22"/>
          <w:lang w:val="en-US"/>
        </w:rPr>
      </w:pPr>
      <w:hyperlink w:anchor="_Toc508290310" w:history="1">
        <w:r w:rsidR="000913CD" w:rsidRPr="005B15FE">
          <w:rPr>
            <w:rStyle w:val="Hyperlink"/>
            <w:noProof/>
          </w:rPr>
          <w:t>2.4.3</w:t>
        </w:r>
        <w:r w:rsidR="000913CD">
          <w:rPr>
            <w:rFonts w:asciiTheme="minorHAnsi" w:eastAsiaTheme="minorEastAsia" w:hAnsiTheme="minorHAnsi"/>
            <w:noProof/>
            <w:color w:val="auto"/>
            <w:sz w:val="22"/>
            <w:lang w:val="en-US"/>
          </w:rPr>
          <w:tab/>
        </w:r>
        <w:r w:rsidR="000913CD" w:rsidRPr="005B15FE">
          <w:rPr>
            <w:rStyle w:val="Hyperlink"/>
            <w:noProof/>
          </w:rPr>
          <w:t>Gemensam utvärderingsfråga nr 21: ”I vilken utsträckning har det nationella landsbygdsnätverket bidragit till att uppnå de mål som anges i artikel 54.2 i förordning (EU) nr 1305/2013?”</w:t>
        </w:r>
        <w:r w:rsidR="000913CD">
          <w:rPr>
            <w:noProof/>
            <w:webHidden/>
          </w:rPr>
          <w:tab/>
        </w:r>
        <w:r w:rsidR="000913CD">
          <w:rPr>
            <w:noProof/>
            <w:webHidden/>
          </w:rPr>
          <w:fldChar w:fldCharType="begin"/>
        </w:r>
        <w:r w:rsidR="000913CD">
          <w:rPr>
            <w:noProof/>
            <w:webHidden/>
          </w:rPr>
          <w:instrText xml:space="preserve"> PAGEREF _Toc508290310 \h </w:instrText>
        </w:r>
        <w:r w:rsidR="000913CD">
          <w:rPr>
            <w:noProof/>
            <w:webHidden/>
          </w:rPr>
        </w:r>
        <w:r w:rsidR="000913CD">
          <w:rPr>
            <w:noProof/>
            <w:webHidden/>
          </w:rPr>
          <w:fldChar w:fldCharType="separate"/>
        </w:r>
        <w:r w:rsidR="000A2ED1">
          <w:rPr>
            <w:noProof/>
            <w:webHidden/>
          </w:rPr>
          <w:t>49</w:t>
        </w:r>
        <w:r w:rsidR="000913CD">
          <w:rPr>
            <w:noProof/>
            <w:webHidden/>
          </w:rPr>
          <w:fldChar w:fldCharType="end"/>
        </w:r>
      </w:hyperlink>
    </w:p>
    <w:p w:rsidR="000913CD" w:rsidRDefault="00D55696">
      <w:pPr>
        <w:pStyle w:val="TOC3"/>
        <w:tabs>
          <w:tab w:val="right" w:leader="dot" w:pos="9040"/>
        </w:tabs>
        <w:rPr>
          <w:rFonts w:asciiTheme="minorHAnsi" w:eastAsiaTheme="minorEastAsia" w:hAnsiTheme="minorHAnsi"/>
          <w:noProof/>
          <w:color w:val="auto"/>
          <w:sz w:val="22"/>
          <w:lang w:val="en-US"/>
        </w:rPr>
      </w:pPr>
      <w:hyperlink w:anchor="_Toc508290311" w:history="1">
        <w:r w:rsidR="000913CD" w:rsidRPr="005B15FE">
          <w:rPr>
            <w:rStyle w:val="Hyperlink"/>
            <w:noProof/>
          </w:rPr>
          <w:t>2.4.4</w:t>
        </w:r>
        <w:r w:rsidR="000913CD">
          <w:rPr>
            <w:rFonts w:asciiTheme="minorHAnsi" w:eastAsiaTheme="minorEastAsia" w:hAnsiTheme="minorHAnsi"/>
            <w:noProof/>
            <w:color w:val="auto"/>
            <w:sz w:val="22"/>
            <w:lang w:val="en-US"/>
          </w:rPr>
          <w:tab/>
        </w:r>
        <w:r w:rsidR="000913CD" w:rsidRPr="005B15FE">
          <w:rPr>
            <w:rStyle w:val="Hyperlink"/>
            <w:noProof/>
          </w:rPr>
          <w:t>Gemensam utvärderingsfråga nr 23: ”I vilken utsträckning har landsbygdsprogrammet bidragit till Europa 2020-strategins överordnade mål att 3 % av EU:s BNP ska investeras i forskning och utveckling och innovation?”</w:t>
        </w:r>
        <w:r w:rsidR="000913CD">
          <w:rPr>
            <w:noProof/>
            <w:webHidden/>
          </w:rPr>
          <w:tab/>
        </w:r>
        <w:r w:rsidR="000913CD">
          <w:rPr>
            <w:noProof/>
            <w:webHidden/>
          </w:rPr>
          <w:fldChar w:fldCharType="begin"/>
        </w:r>
        <w:r w:rsidR="000913CD">
          <w:rPr>
            <w:noProof/>
            <w:webHidden/>
          </w:rPr>
          <w:instrText xml:space="preserve"> PAGEREF _Toc508290311 \h </w:instrText>
        </w:r>
        <w:r w:rsidR="000913CD">
          <w:rPr>
            <w:noProof/>
            <w:webHidden/>
          </w:rPr>
        </w:r>
        <w:r w:rsidR="000913CD">
          <w:rPr>
            <w:noProof/>
            <w:webHidden/>
          </w:rPr>
          <w:fldChar w:fldCharType="separate"/>
        </w:r>
        <w:r w:rsidR="000A2ED1">
          <w:rPr>
            <w:noProof/>
            <w:webHidden/>
          </w:rPr>
          <w:t>62</w:t>
        </w:r>
        <w:r w:rsidR="000913CD">
          <w:rPr>
            <w:noProof/>
            <w:webHidden/>
          </w:rPr>
          <w:fldChar w:fldCharType="end"/>
        </w:r>
      </w:hyperlink>
    </w:p>
    <w:p w:rsidR="000913CD" w:rsidRDefault="00D55696">
      <w:pPr>
        <w:pStyle w:val="TOC3"/>
        <w:tabs>
          <w:tab w:val="right" w:leader="dot" w:pos="9040"/>
        </w:tabs>
        <w:rPr>
          <w:rFonts w:asciiTheme="minorHAnsi" w:eastAsiaTheme="minorEastAsia" w:hAnsiTheme="minorHAnsi"/>
          <w:noProof/>
          <w:color w:val="auto"/>
          <w:sz w:val="22"/>
          <w:lang w:val="en-US"/>
        </w:rPr>
      </w:pPr>
      <w:hyperlink w:anchor="_Toc508290312" w:history="1">
        <w:r w:rsidR="000913CD" w:rsidRPr="005B15FE">
          <w:rPr>
            <w:rStyle w:val="Hyperlink"/>
            <w:noProof/>
          </w:rPr>
          <w:t>2.4.5</w:t>
        </w:r>
        <w:r w:rsidR="000913CD">
          <w:rPr>
            <w:rFonts w:asciiTheme="minorHAnsi" w:eastAsiaTheme="minorEastAsia" w:hAnsiTheme="minorHAnsi"/>
            <w:noProof/>
            <w:color w:val="auto"/>
            <w:sz w:val="22"/>
            <w:lang w:val="en-US"/>
          </w:rPr>
          <w:tab/>
        </w:r>
        <w:r w:rsidR="000913CD" w:rsidRPr="005B15FE">
          <w:rPr>
            <w:rStyle w:val="Hyperlink"/>
            <w:noProof/>
          </w:rPr>
          <w:t>Gemensam utvärderingsfråga nr 30: ”I vilken utsträckning har insatserna inom landsbygdsprogrammet bidragit till att främja innovation?”</w:t>
        </w:r>
        <w:r w:rsidR="000913CD">
          <w:rPr>
            <w:noProof/>
            <w:webHidden/>
          </w:rPr>
          <w:tab/>
        </w:r>
        <w:r w:rsidR="000913CD">
          <w:rPr>
            <w:noProof/>
            <w:webHidden/>
          </w:rPr>
          <w:fldChar w:fldCharType="begin"/>
        </w:r>
        <w:r w:rsidR="000913CD">
          <w:rPr>
            <w:noProof/>
            <w:webHidden/>
          </w:rPr>
          <w:instrText xml:space="preserve"> PAGEREF _Toc508290312 \h </w:instrText>
        </w:r>
        <w:r w:rsidR="000913CD">
          <w:rPr>
            <w:noProof/>
            <w:webHidden/>
          </w:rPr>
        </w:r>
        <w:r w:rsidR="000913CD">
          <w:rPr>
            <w:noProof/>
            <w:webHidden/>
          </w:rPr>
          <w:fldChar w:fldCharType="separate"/>
        </w:r>
        <w:r w:rsidR="000A2ED1">
          <w:rPr>
            <w:noProof/>
            <w:webHidden/>
          </w:rPr>
          <w:t>70</w:t>
        </w:r>
        <w:r w:rsidR="000913CD">
          <w:rPr>
            <w:noProof/>
            <w:webHidden/>
          </w:rPr>
          <w:fldChar w:fldCharType="end"/>
        </w:r>
      </w:hyperlink>
    </w:p>
    <w:p w:rsidR="000913CD" w:rsidRDefault="00D55696">
      <w:pPr>
        <w:pStyle w:val="TOC1"/>
        <w:tabs>
          <w:tab w:val="right" w:leader="dot" w:pos="9040"/>
        </w:tabs>
        <w:rPr>
          <w:rFonts w:asciiTheme="minorHAnsi" w:eastAsiaTheme="minorEastAsia" w:hAnsiTheme="minorHAnsi"/>
          <w:b w:val="0"/>
          <w:caps w:val="0"/>
          <w:noProof/>
          <w:color w:val="auto"/>
          <w:sz w:val="22"/>
          <w:lang w:val="en-US"/>
        </w:rPr>
      </w:pPr>
      <w:hyperlink w:anchor="_Toc508290313" w:history="1">
        <w:r w:rsidR="000913CD" w:rsidRPr="005B15FE">
          <w:rPr>
            <w:rStyle w:val="Hyperlink"/>
            <w:noProof/>
          </w:rPr>
          <w:t>3.</w:t>
        </w:r>
        <w:r w:rsidR="000913CD">
          <w:rPr>
            <w:rFonts w:asciiTheme="minorHAnsi" w:eastAsiaTheme="minorEastAsia" w:hAnsiTheme="minorHAnsi"/>
            <w:b w:val="0"/>
            <w:caps w:val="0"/>
            <w:noProof/>
            <w:color w:val="auto"/>
            <w:sz w:val="22"/>
            <w:lang w:val="en-US"/>
          </w:rPr>
          <w:tab/>
        </w:r>
        <w:r w:rsidR="000913CD" w:rsidRPr="005B15FE">
          <w:rPr>
            <w:rStyle w:val="Hyperlink"/>
            <w:noProof/>
          </w:rPr>
          <w:t>BILAGOR</w:t>
        </w:r>
        <w:r w:rsidR="000913CD">
          <w:rPr>
            <w:noProof/>
            <w:webHidden/>
          </w:rPr>
          <w:tab/>
        </w:r>
        <w:r w:rsidR="000913CD">
          <w:rPr>
            <w:noProof/>
            <w:webHidden/>
          </w:rPr>
          <w:fldChar w:fldCharType="begin"/>
        </w:r>
        <w:r w:rsidR="000913CD">
          <w:rPr>
            <w:noProof/>
            <w:webHidden/>
          </w:rPr>
          <w:instrText xml:space="preserve"> PAGEREF _Toc508290313 \h </w:instrText>
        </w:r>
        <w:r w:rsidR="000913CD">
          <w:rPr>
            <w:noProof/>
            <w:webHidden/>
          </w:rPr>
        </w:r>
        <w:r w:rsidR="000913CD">
          <w:rPr>
            <w:noProof/>
            <w:webHidden/>
          </w:rPr>
          <w:fldChar w:fldCharType="separate"/>
        </w:r>
        <w:r w:rsidR="000A2ED1">
          <w:rPr>
            <w:noProof/>
            <w:webHidden/>
          </w:rPr>
          <w:t>83</w:t>
        </w:r>
        <w:r w:rsidR="000913CD">
          <w:rPr>
            <w:noProof/>
            <w:webHidden/>
          </w:rPr>
          <w:fldChar w:fldCharType="end"/>
        </w:r>
      </w:hyperlink>
    </w:p>
    <w:p w:rsidR="000913CD" w:rsidRDefault="00D55696" w:rsidP="000913CD">
      <w:pPr>
        <w:pStyle w:val="TOC2"/>
        <w:rPr>
          <w:rFonts w:asciiTheme="minorHAnsi" w:eastAsiaTheme="minorEastAsia" w:hAnsiTheme="minorHAnsi"/>
          <w:noProof/>
          <w:color w:val="auto"/>
          <w:sz w:val="22"/>
          <w:lang w:val="en-US"/>
        </w:rPr>
      </w:pPr>
      <w:hyperlink w:anchor="_Toc508290314" w:history="1">
        <w:r w:rsidR="000913CD" w:rsidRPr="005B15FE">
          <w:rPr>
            <w:rStyle w:val="Hyperlink"/>
            <w:noProof/>
          </w:rPr>
          <w:t>3.1</w:t>
        </w:r>
        <w:r w:rsidR="000913CD">
          <w:rPr>
            <w:rFonts w:asciiTheme="minorHAnsi" w:eastAsiaTheme="minorEastAsia" w:hAnsiTheme="minorHAnsi"/>
            <w:noProof/>
            <w:color w:val="auto"/>
            <w:sz w:val="22"/>
            <w:lang w:val="en-US"/>
          </w:rPr>
          <w:tab/>
        </w:r>
        <w:r w:rsidR="000913CD" w:rsidRPr="005B15FE">
          <w:rPr>
            <w:rStyle w:val="Hyperlink"/>
            <w:noProof/>
          </w:rPr>
          <w:t>Ordlista</w:t>
        </w:r>
        <w:r w:rsidR="000913CD">
          <w:rPr>
            <w:noProof/>
            <w:webHidden/>
          </w:rPr>
          <w:tab/>
        </w:r>
        <w:r w:rsidR="000913CD">
          <w:rPr>
            <w:noProof/>
            <w:webHidden/>
          </w:rPr>
          <w:fldChar w:fldCharType="begin"/>
        </w:r>
        <w:r w:rsidR="000913CD">
          <w:rPr>
            <w:noProof/>
            <w:webHidden/>
          </w:rPr>
          <w:instrText xml:space="preserve"> PAGEREF _Toc508290314 \h </w:instrText>
        </w:r>
        <w:r w:rsidR="000913CD">
          <w:rPr>
            <w:noProof/>
            <w:webHidden/>
          </w:rPr>
        </w:r>
        <w:r w:rsidR="000913CD">
          <w:rPr>
            <w:noProof/>
            <w:webHidden/>
          </w:rPr>
          <w:fldChar w:fldCharType="separate"/>
        </w:r>
        <w:r w:rsidR="000A2ED1">
          <w:rPr>
            <w:noProof/>
            <w:webHidden/>
          </w:rPr>
          <w:t>83</w:t>
        </w:r>
        <w:r w:rsidR="000913CD">
          <w:rPr>
            <w:noProof/>
            <w:webHidden/>
          </w:rPr>
          <w:fldChar w:fldCharType="end"/>
        </w:r>
      </w:hyperlink>
    </w:p>
    <w:p w:rsidR="000913CD" w:rsidRDefault="00D55696" w:rsidP="000913CD">
      <w:pPr>
        <w:pStyle w:val="TOC2"/>
        <w:rPr>
          <w:rFonts w:asciiTheme="minorHAnsi" w:eastAsiaTheme="minorEastAsia" w:hAnsiTheme="minorHAnsi"/>
          <w:noProof/>
          <w:color w:val="auto"/>
          <w:sz w:val="22"/>
          <w:lang w:val="en-US"/>
        </w:rPr>
      </w:pPr>
      <w:hyperlink w:anchor="_Toc508290315" w:history="1">
        <w:r w:rsidR="000913CD" w:rsidRPr="005B15FE">
          <w:rPr>
            <w:rStyle w:val="Hyperlink"/>
            <w:noProof/>
          </w:rPr>
          <w:t>3.2</w:t>
        </w:r>
        <w:r w:rsidR="000913CD">
          <w:rPr>
            <w:rFonts w:asciiTheme="minorHAnsi" w:eastAsiaTheme="minorEastAsia" w:hAnsiTheme="minorHAnsi"/>
            <w:noProof/>
            <w:color w:val="auto"/>
            <w:sz w:val="22"/>
            <w:lang w:val="en-US"/>
          </w:rPr>
          <w:tab/>
        </w:r>
        <w:r w:rsidR="000913CD" w:rsidRPr="005B15FE">
          <w:rPr>
            <w:rStyle w:val="Hyperlink"/>
            <w:noProof/>
          </w:rPr>
          <w:t>Identifiering av innovationspotential i landsbygdsprogrammet: steg för steg</w:t>
        </w:r>
        <w:r w:rsidR="000913CD">
          <w:rPr>
            <w:noProof/>
            <w:webHidden/>
          </w:rPr>
          <w:tab/>
        </w:r>
        <w:r w:rsidR="000913CD">
          <w:rPr>
            <w:noProof/>
            <w:webHidden/>
          </w:rPr>
          <w:fldChar w:fldCharType="begin"/>
        </w:r>
        <w:r w:rsidR="000913CD">
          <w:rPr>
            <w:noProof/>
            <w:webHidden/>
          </w:rPr>
          <w:instrText xml:space="preserve"> PAGEREF _Toc508290315 \h </w:instrText>
        </w:r>
        <w:r w:rsidR="000913CD">
          <w:rPr>
            <w:noProof/>
            <w:webHidden/>
          </w:rPr>
        </w:r>
        <w:r w:rsidR="000913CD">
          <w:rPr>
            <w:noProof/>
            <w:webHidden/>
          </w:rPr>
          <w:fldChar w:fldCharType="separate"/>
        </w:r>
        <w:r w:rsidR="000A2ED1">
          <w:rPr>
            <w:noProof/>
            <w:webHidden/>
          </w:rPr>
          <w:t>85</w:t>
        </w:r>
        <w:r w:rsidR="000913CD">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Tabeller och figurer</w:t>
      </w:r>
    </w:p>
    <w:p w:rsidR="000913CD" w:rsidRDefault="00E05D08">
      <w:pPr>
        <w:pStyle w:val="TOC2"/>
        <w:rPr>
          <w:rFonts w:asciiTheme="minorHAnsi" w:eastAsiaTheme="minorEastAsia" w:hAnsiTheme="minorHAnsi"/>
          <w:noProof/>
          <w:color w:val="auto"/>
          <w:sz w:val="22"/>
          <w:lang w:val="en-US"/>
        </w:rPr>
      </w:pPr>
      <w:r>
        <w:rPr>
          <w:rStyle w:val="Hyperlink"/>
          <w14:scene3d>
            <w14:camera w14:prst="orthographicFront"/>
            <w14:lightRig w14:rig="threePt" w14:dir="t">
              <w14:rot w14:lat="0" w14:lon="0" w14:rev="0"/>
            </w14:lightRig>
          </w14:scene3d>
        </w:rPr>
        <w:fldChar w:fldCharType="begin"/>
      </w:r>
      <w:r w:rsidR="00133DA6">
        <w:rPr>
          <w:rStyle w:val="Hyperlink"/>
          <w14:scene3d>
            <w14:camera w14:prst="orthographicFront"/>
            <w14:lightRig w14:rig="threePt" w14:dir="t">
              <w14:rot w14:lat="0" w14:lon="0" w14:rev="0"/>
            </w14:lightRig>
          </w14:scene3d>
        </w:rPr>
        <w:instrText xml:space="preserve"> TOC \h \z \t "H_Heading_tables,</w:instrText>
      </w:r>
      <w:r>
        <w:rPr>
          <w:rStyle w:val="Hyperlink"/>
          <w14:scene3d>
            <w14:camera w14:prst="orthographicFront"/>
            <w14:lightRig w14:rig="threePt" w14:dir="t">
              <w14:rot w14:lat="0" w14:lon="0" w14:rev="0"/>
            </w14:lightRig>
          </w14:scene3d>
        </w:rPr>
        <w:instrText xml:space="preserve">2" </w:instrText>
      </w:r>
      <w:r>
        <w:rPr>
          <w:rStyle w:val="Hyperlink"/>
          <w14:scene3d>
            <w14:camera w14:prst="orthographicFront"/>
            <w14:lightRig w14:rig="threePt" w14:dir="t">
              <w14:rot w14:lat="0" w14:lon="0" w14:rev="0"/>
            </w14:lightRig>
          </w14:scene3d>
        </w:rPr>
        <w:fldChar w:fldCharType="separate"/>
      </w:r>
      <w:hyperlink w:anchor="_Toc508290380" w:history="1">
        <w:r w:rsidR="000913CD" w:rsidRPr="008139AA">
          <w:rPr>
            <w:rStyle w:val="Hyperlink"/>
            <w:noProof/>
            <w14:scene3d>
              <w14:camera w14:prst="orthographicFront"/>
              <w14:lightRig w14:rig="threePt" w14:dir="t">
                <w14:rot w14:lat="0" w14:lon="0" w14:rev="0"/>
              </w14:lightRig>
            </w14:scene3d>
          </w:rPr>
          <w:t>Tabell 1.</w:t>
        </w:r>
        <w:r w:rsidR="000913CD">
          <w:rPr>
            <w:rFonts w:asciiTheme="minorHAnsi" w:eastAsiaTheme="minorEastAsia" w:hAnsiTheme="minorHAnsi"/>
            <w:noProof/>
            <w:color w:val="auto"/>
            <w:sz w:val="22"/>
            <w:lang w:val="en-US"/>
          </w:rPr>
          <w:tab/>
        </w:r>
        <w:r w:rsidR="000913CD" w:rsidRPr="008139AA">
          <w:rPr>
            <w:rStyle w:val="Hyperlink"/>
            <w:noProof/>
          </w:rPr>
          <w:t>Utvärderingsfaktorer och informationskällor med anknytning till gemensam utvärderingsfråga nr 1</w:t>
        </w:r>
        <w:r w:rsidR="000913CD">
          <w:rPr>
            <w:noProof/>
            <w:webHidden/>
          </w:rPr>
          <w:tab/>
        </w:r>
        <w:r w:rsidR="000913CD">
          <w:rPr>
            <w:noProof/>
            <w:webHidden/>
          </w:rPr>
          <w:fldChar w:fldCharType="begin"/>
        </w:r>
        <w:r w:rsidR="000913CD">
          <w:rPr>
            <w:noProof/>
            <w:webHidden/>
          </w:rPr>
          <w:instrText xml:space="preserve"> PAGEREF _Toc508290380 \h </w:instrText>
        </w:r>
        <w:r w:rsidR="000913CD">
          <w:rPr>
            <w:noProof/>
            <w:webHidden/>
          </w:rPr>
        </w:r>
        <w:r w:rsidR="000913CD">
          <w:rPr>
            <w:noProof/>
            <w:webHidden/>
          </w:rPr>
          <w:fldChar w:fldCharType="separate"/>
        </w:r>
        <w:r w:rsidR="000A2ED1">
          <w:rPr>
            <w:noProof/>
            <w:webHidden/>
          </w:rPr>
          <w:t>33</w:t>
        </w:r>
        <w:r w:rsidR="000913CD">
          <w:rPr>
            <w:noProof/>
            <w:webHidden/>
          </w:rPr>
          <w:fldChar w:fldCharType="end"/>
        </w:r>
      </w:hyperlink>
    </w:p>
    <w:p w:rsidR="000913CD" w:rsidRDefault="00D55696">
      <w:pPr>
        <w:pStyle w:val="TOC2"/>
        <w:rPr>
          <w:rFonts w:asciiTheme="minorHAnsi" w:eastAsiaTheme="minorEastAsia" w:hAnsiTheme="minorHAnsi"/>
          <w:noProof/>
          <w:color w:val="auto"/>
          <w:sz w:val="22"/>
          <w:lang w:val="en-US"/>
        </w:rPr>
      </w:pPr>
      <w:hyperlink w:anchor="_Toc508290381" w:history="1">
        <w:r w:rsidR="000913CD" w:rsidRPr="008139AA">
          <w:rPr>
            <w:rStyle w:val="Hyperlink"/>
            <w:noProof/>
            <w14:scene3d>
              <w14:camera w14:prst="orthographicFront"/>
              <w14:lightRig w14:rig="threePt" w14:dir="t">
                <w14:rot w14:lat="0" w14:lon="0" w14:rev="0"/>
              </w14:lightRig>
            </w14:scene3d>
          </w:rPr>
          <w:t>Tabell 2.</w:t>
        </w:r>
        <w:r w:rsidR="000913CD">
          <w:rPr>
            <w:rFonts w:asciiTheme="minorHAnsi" w:eastAsiaTheme="minorEastAsia" w:hAnsiTheme="minorHAnsi"/>
            <w:noProof/>
            <w:color w:val="auto"/>
            <w:sz w:val="22"/>
            <w:lang w:val="en-US"/>
          </w:rPr>
          <w:tab/>
        </w:r>
        <w:r w:rsidR="000913CD" w:rsidRPr="008139AA">
          <w:rPr>
            <w:rStyle w:val="Hyperlink"/>
            <w:noProof/>
          </w:rPr>
          <w:t>Rekommenderade metoder för gemensam utvärderingsfråga nr 1</w:t>
        </w:r>
        <w:r w:rsidR="000913CD">
          <w:rPr>
            <w:noProof/>
            <w:webHidden/>
          </w:rPr>
          <w:tab/>
        </w:r>
        <w:r w:rsidR="000913CD">
          <w:rPr>
            <w:noProof/>
            <w:webHidden/>
          </w:rPr>
          <w:fldChar w:fldCharType="begin"/>
        </w:r>
        <w:r w:rsidR="000913CD">
          <w:rPr>
            <w:noProof/>
            <w:webHidden/>
          </w:rPr>
          <w:instrText xml:space="preserve"> PAGEREF _Toc508290381 \h </w:instrText>
        </w:r>
        <w:r w:rsidR="000913CD">
          <w:rPr>
            <w:noProof/>
            <w:webHidden/>
          </w:rPr>
        </w:r>
        <w:r w:rsidR="000913CD">
          <w:rPr>
            <w:noProof/>
            <w:webHidden/>
          </w:rPr>
          <w:fldChar w:fldCharType="separate"/>
        </w:r>
        <w:r w:rsidR="000A2ED1">
          <w:rPr>
            <w:noProof/>
            <w:webHidden/>
          </w:rPr>
          <w:t>36</w:t>
        </w:r>
        <w:r w:rsidR="000913CD">
          <w:rPr>
            <w:noProof/>
            <w:webHidden/>
          </w:rPr>
          <w:fldChar w:fldCharType="end"/>
        </w:r>
      </w:hyperlink>
    </w:p>
    <w:p w:rsidR="000913CD" w:rsidRDefault="00D55696">
      <w:pPr>
        <w:pStyle w:val="TOC2"/>
        <w:rPr>
          <w:rFonts w:asciiTheme="minorHAnsi" w:eastAsiaTheme="minorEastAsia" w:hAnsiTheme="minorHAnsi"/>
          <w:noProof/>
          <w:color w:val="auto"/>
          <w:sz w:val="22"/>
          <w:lang w:val="en-US"/>
        </w:rPr>
      </w:pPr>
      <w:hyperlink w:anchor="_Toc508290382" w:history="1">
        <w:r w:rsidR="000913CD" w:rsidRPr="008139AA">
          <w:rPr>
            <w:rStyle w:val="Hyperlink"/>
            <w:noProof/>
            <w14:scene3d>
              <w14:camera w14:prst="orthographicFront"/>
              <w14:lightRig w14:rig="threePt" w14:dir="t">
                <w14:rot w14:lat="0" w14:lon="0" w14:rev="0"/>
              </w14:lightRig>
            </w14:scene3d>
          </w:rPr>
          <w:t>Tabell 3.</w:t>
        </w:r>
        <w:r w:rsidR="000913CD">
          <w:rPr>
            <w:rFonts w:asciiTheme="minorHAnsi" w:eastAsiaTheme="minorEastAsia" w:hAnsiTheme="minorHAnsi"/>
            <w:noProof/>
            <w:color w:val="auto"/>
            <w:sz w:val="22"/>
            <w:lang w:val="en-US"/>
          </w:rPr>
          <w:tab/>
        </w:r>
        <w:r w:rsidR="000913CD" w:rsidRPr="008139AA">
          <w:rPr>
            <w:rStyle w:val="Hyperlink"/>
            <w:noProof/>
          </w:rPr>
          <w:t>Bedömningskriterier, indikatorer, databehov och datakällor</w:t>
        </w:r>
        <w:r w:rsidR="000913CD">
          <w:rPr>
            <w:noProof/>
            <w:webHidden/>
          </w:rPr>
          <w:tab/>
        </w:r>
        <w:r w:rsidR="000913CD">
          <w:rPr>
            <w:noProof/>
            <w:webHidden/>
          </w:rPr>
          <w:fldChar w:fldCharType="begin"/>
        </w:r>
        <w:r w:rsidR="000913CD">
          <w:rPr>
            <w:noProof/>
            <w:webHidden/>
          </w:rPr>
          <w:instrText xml:space="preserve"> PAGEREF _Toc508290382 \h </w:instrText>
        </w:r>
        <w:r w:rsidR="000913CD">
          <w:rPr>
            <w:noProof/>
            <w:webHidden/>
          </w:rPr>
        </w:r>
        <w:r w:rsidR="000913CD">
          <w:rPr>
            <w:noProof/>
            <w:webHidden/>
          </w:rPr>
          <w:fldChar w:fldCharType="separate"/>
        </w:r>
        <w:r w:rsidR="000A2ED1">
          <w:rPr>
            <w:noProof/>
            <w:webHidden/>
          </w:rPr>
          <w:t>44</w:t>
        </w:r>
        <w:r w:rsidR="000913CD">
          <w:rPr>
            <w:noProof/>
            <w:webHidden/>
          </w:rPr>
          <w:fldChar w:fldCharType="end"/>
        </w:r>
      </w:hyperlink>
    </w:p>
    <w:p w:rsidR="000913CD" w:rsidRDefault="00D55696">
      <w:pPr>
        <w:pStyle w:val="TOC2"/>
        <w:rPr>
          <w:rFonts w:asciiTheme="minorHAnsi" w:eastAsiaTheme="minorEastAsia" w:hAnsiTheme="minorHAnsi"/>
          <w:noProof/>
          <w:color w:val="auto"/>
          <w:sz w:val="22"/>
          <w:lang w:val="en-US"/>
        </w:rPr>
      </w:pPr>
      <w:hyperlink w:anchor="_Toc508290383" w:history="1">
        <w:r w:rsidR="000913CD" w:rsidRPr="008139AA">
          <w:rPr>
            <w:rStyle w:val="Hyperlink"/>
            <w:noProof/>
            <w14:scene3d>
              <w14:camera w14:prst="orthographicFront"/>
              <w14:lightRig w14:rig="threePt" w14:dir="t">
                <w14:rot w14:lat="0" w14:lon="0" w14:rev="0"/>
              </w14:lightRig>
            </w14:scene3d>
          </w:rPr>
          <w:t>Tabell 4.</w:t>
        </w:r>
        <w:r w:rsidR="000913CD">
          <w:rPr>
            <w:rFonts w:asciiTheme="minorHAnsi" w:eastAsiaTheme="minorEastAsia" w:hAnsiTheme="minorHAnsi"/>
            <w:noProof/>
            <w:color w:val="auto"/>
            <w:sz w:val="22"/>
            <w:lang w:val="en-US"/>
          </w:rPr>
          <w:tab/>
        </w:r>
        <w:r w:rsidR="000913CD" w:rsidRPr="008139AA">
          <w:rPr>
            <w:rStyle w:val="Hyperlink"/>
            <w:noProof/>
          </w:rPr>
          <w:t>Rekommenderade metoder för gemensam utvärderingsfråga nr 2</w:t>
        </w:r>
        <w:r w:rsidR="000913CD">
          <w:rPr>
            <w:noProof/>
            <w:webHidden/>
          </w:rPr>
          <w:tab/>
        </w:r>
        <w:r w:rsidR="000913CD">
          <w:rPr>
            <w:noProof/>
            <w:webHidden/>
          </w:rPr>
          <w:fldChar w:fldCharType="begin"/>
        </w:r>
        <w:r w:rsidR="000913CD">
          <w:rPr>
            <w:noProof/>
            <w:webHidden/>
          </w:rPr>
          <w:instrText xml:space="preserve"> PAGEREF _Toc508290383 \h </w:instrText>
        </w:r>
        <w:r w:rsidR="000913CD">
          <w:rPr>
            <w:noProof/>
            <w:webHidden/>
          </w:rPr>
        </w:r>
        <w:r w:rsidR="000913CD">
          <w:rPr>
            <w:noProof/>
            <w:webHidden/>
          </w:rPr>
          <w:fldChar w:fldCharType="separate"/>
        </w:r>
        <w:r w:rsidR="000A2ED1">
          <w:rPr>
            <w:noProof/>
            <w:webHidden/>
          </w:rPr>
          <w:t>46</w:t>
        </w:r>
        <w:r w:rsidR="000913CD">
          <w:rPr>
            <w:noProof/>
            <w:webHidden/>
          </w:rPr>
          <w:fldChar w:fldCharType="end"/>
        </w:r>
      </w:hyperlink>
    </w:p>
    <w:p w:rsidR="000913CD" w:rsidRDefault="00D55696">
      <w:pPr>
        <w:pStyle w:val="TOC2"/>
        <w:rPr>
          <w:rFonts w:asciiTheme="minorHAnsi" w:eastAsiaTheme="minorEastAsia" w:hAnsiTheme="minorHAnsi"/>
          <w:noProof/>
          <w:color w:val="auto"/>
          <w:sz w:val="22"/>
          <w:lang w:val="en-US"/>
        </w:rPr>
      </w:pPr>
      <w:hyperlink w:anchor="_Toc508290384" w:history="1">
        <w:r w:rsidR="000913CD" w:rsidRPr="008139AA">
          <w:rPr>
            <w:rStyle w:val="Hyperlink"/>
            <w:noProof/>
            <w14:scene3d>
              <w14:camera w14:prst="orthographicFront"/>
              <w14:lightRig w14:rig="threePt" w14:dir="t">
                <w14:rot w14:lat="0" w14:lon="0" w14:rev="0"/>
              </w14:lightRig>
            </w14:scene3d>
          </w:rPr>
          <w:t>Tabell 5.</w:t>
        </w:r>
        <w:r w:rsidR="000913CD">
          <w:rPr>
            <w:rFonts w:asciiTheme="minorHAnsi" w:eastAsiaTheme="minorEastAsia" w:hAnsiTheme="minorHAnsi"/>
            <w:noProof/>
            <w:color w:val="auto"/>
            <w:sz w:val="22"/>
            <w:lang w:val="en-US"/>
          </w:rPr>
          <w:tab/>
        </w:r>
        <w:r w:rsidR="000913CD" w:rsidRPr="008139AA">
          <w:rPr>
            <w:rStyle w:val="Hyperlink"/>
            <w:noProof/>
          </w:rPr>
          <w:t>Förslag på kompletterande bedömningskriterier, indikatorer och uppgifter för att kunna besvara gemensam utvärderingsfråga nr 21</w:t>
        </w:r>
        <w:r w:rsidR="000913CD">
          <w:rPr>
            <w:noProof/>
            <w:webHidden/>
          </w:rPr>
          <w:tab/>
        </w:r>
        <w:r w:rsidR="000913CD">
          <w:rPr>
            <w:noProof/>
            <w:webHidden/>
          </w:rPr>
          <w:fldChar w:fldCharType="begin"/>
        </w:r>
        <w:r w:rsidR="000913CD">
          <w:rPr>
            <w:noProof/>
            <w:webHidden/>
          </w:rPr>
          <w:instrText xml:space="preserve"> PAGEREF _Toc508290384 \h </w:instrText>
        </w:r>
        <w:r w:rsidR="000913CD">
          <w:rPr>
            <w:noProof/>
            <w:webHidden/>
          </w:rPr>
        </w:r>
        <w:r w:rsidR="000913CD">
          <w:rPr>
            <w:noProof/>
            <w:webHidden/>
          </w:rPr>
          <w:fldChar w:fldCharType="separate"/>
        </w:r>
        <w:r w:rsidR="000A2ED1">
          <w:rPr>
            <w:noProof/>
            <w:webHidden/>
          </w:rPr>
          <w:t>55</w:t>
        </w:r>
        <w:r w:rsidR="000913CD">
          <w:rPr>
            <w:noProof/>
            <w:webHidden/>
          </w:rPr>
          <w:fldChar w:fldCharType="end"/>
        </w:r>
      </w:hyperlink>
    </w:p>
    <w:p w:rsidR="000913CD" w:rsidRDefault="00D55696">
      <w:pPr>
        <w:pStyle w:val="TOC2"/>
        <w:rPr>
          <w:rFonts w:asciiTheme="minorHAnsi" w:eastAsiaTheme="minorEastAsia" w:hAnsiTheme="minorHAnsi"/>
          <w:noProof/>
          <w:color w:val="auto"/>
          <w:sz w:val="22"/>
          <w:lang w:val="en-US"/>
        </w:rPr>
      </w:pPr>
      <w:hyperlink w:anchor="_Toc508290385" w:history="1">
        <w:r w:rsidR="000913CD" w:rsidRPr="008139AA">
          <w:rPr>
            <w:rStyle w:val="Hyperlink"/>
            <w:noProof/>
            <w14:scene3d>
              <w14:camera w14:prst="orthographicFront"/>
              <w14:lightRig w14:rig="threePt" w14:dir="t">
                <w14:rot w14:lat="0" w14:lon="0" w14:rev="0"/>
              </w14:lightRig>
            </w14:scene3d>
          </w:rPr>
          <w:t>Tabell 6.</w:t>
        </w:r>
        <w:r w:rsidR="000913CD">
          <w:rPr>
            <w:rFonts w:asciiTheme="minorHAnsi" w:eastAsiaTheme="minorEastAsia" w:hAnsiTheme="minorHAnsi"/>
            <w:noProof/>
            <w:color w:val="auto"/>
            <w:sz w:val="22"/>
            <w:lang w:val="en-US"/>
          </w:rPr>
          <w:tab/>
        </w:r>
        <w:r w:rsidR="000913CD" w:rsidRPr="008139AA">
          <w:rPr>
            <w:rStyle w:val="Hyperlink"/>
            <w:noProof/>
          </w:rPr>
          <w:t>Rekommenderade metoder för gemensam utvärderingsfråga nr 21</w:t>
        </w:r>
        <w:r w:rsidR="000913CD">
          <w:rPr>
            <w:noProof/>
            <w:webHidden/>
          </w:rPr>
          <w:tab/>
        </w:r>
        <w:r w:rsidR="000913CD">
          <w:rPr>
            <w:noProof/>
            <w:webHidden/>
          </w:rPr>
          <w:fldChar w:fldCharType="begin"/>
        </w:r>
        <w:r w:rsidR="000913CD">
          <w:rPr>
            <w:noProof/>
            <w:webHidden/>
          </w:rPr>
          <w:instrText xml:space="preserve"> PAGEREF _Toc508290385 \h </w:instrText>
        </w:r>
        <w:r w:rsidR="000913CD">
          <w:rPr>
            <w:noProof/>
            <w:webHidden/>
          </w:rPr>
        </w:r>
        <w:r w:rsidR="000913CD">
          <w:rPr>
            <w:noProof/>
            <w:webHidden/>
          </w:rPr>
          <w:fldChar w:fldCharType="separate"/>
        </w:r>
        <w:r w:rsidR="000A2ED1">
          <w:rPr>
            <w:noProof/>
            <w:webHidden/>
          </w:rPr>
          <w:t>59</w:t>
        </w:r>
        <w:r w:rsidR="000913CD">
          <w:rPr>
            <w:noProof/>
            <w:webHidden/>
          </w:rPr>
          <w:fldChar w:fldCharType="end"/>
        </w:r>
      </w:hyperlink>
    </w:p>
    <w:p w:rsidR="000913CD" w:rsidRDefault="00D55696">
      <w:pPr>
        <w:pStyle w:val="TOC2"/>
        <w:rPr>
          <w:rFonts w:asciiTheme="minorHAnsi" w:eastAsiaTheme="minorEastAsia" w:hAnsiTheme="minorHAnsi"/>
          <w:noProof/>
          <w:color w:val="auto"/>
          <w:sz w:val="22"/>
          <w:lang w:val="en-US"/>
        </w:rPr>
      </w:pPr>
      <w:hyperlink w:anchor="_Toc508290386" w:history="1">
        <w:r w:rsidR="000913CD" w:rsidRPr="008139AA">
          <w:rPr>
            <w:rStyle w:val="Hyperlink"/>
            <w:noProof/>
            <w14:scene3d>
              <w14:camera w14:prst="orthographicFront"/>
              <w14:lightRig w14:rig="threePt" w14:dir="t">
                <w14:rot w14:lat="0" w14:lon="0" w14:rev="0"/>
              </w14:lightRig>
            </w14:scene3d>
          </w:rPr>
          <w:t>Tabell 7.</w:t>
        </w:r>
        <w:r w:rsidR="000913CD">
          <w:rPr>
            <w:rFonts w:asciiTheme="minorHAnsi" w:eastAsiaTheme="minorEastAsia" w:hAnsiTheme="minorHAnsi"/>
            <w:noProof/>
            <w:color w:val="auto"/>
            <w:sz w:val="22"/>
            <w:lang w:val="en-US"/>
          </w:rPr>
          <w:tab/>
        </w:r>
        <w:r w:rsidR="000913CD" w:rsidRPr="008139AA">
          <w:rPr>
            <w:rStyle w:val="Hyperlink"/>
            <w:noProof/>
          </w:rPr>
          <w:t>Bedömningskriterier, indikatorer och uppgifter som behövs för att besvara gemensam utvärderingsfråga nr 23</w:t>
        </w:r>
        <w:r w:rsidR="000913CD">
          <w:rPr>
            <w:noProof/>
            <w:webHidden/>
          </w:rPr>
          <w:tab/>
        </w:r>
        <w:r w:rsidR="000913CD">
          <w:rPr>
            <w:noProof/>
            <w:webHidden/>
          </w:rPr>
          <w:fldChar w:fldCharType="begin"/>
        </w:r>
        <w:r w:rsidR="000913CD">
          <w:rPr>
            <w:noProof/>
            <w:webHidden/>
          </w:rPr>
          <w:instrText xml:space="preserve"> PAGEREF _Toc508290386 \h </w:instrText>
        </w:r>
        <w:r w:rsidR="000913CD">
          <w:rPr>
            <w:noProof/>
            <w:webHidden/>
          </w:rPr>
        </w:r>
        <w:r w:rsidR="000913CD">
          <w:rPr>
            <w:noProof/>
            <w:webHidden/>
          </w:rPr>
          <w:fldChar w:fldCharType="separate"/>
        </w:r>
        <w:r w:rsidR="000A2ED1">
          <w:rPr>
            <w:noProof/>
            <w:webHidden/>
          </w:rPr>
          <w:t>65</w:t>
        </w:r>
        <w:r w:rsidR="000913CD">
          <w:rPr>
            <w:noProof/>
            <w:webHidden/>
          </w:rPr>
          <w:fldChar w:fldCharType="end"/>
        </w:r>
      </w:hyperlink>
    </w:p>
    <w:p w:rsidR="000913CD" w:rsidRDefault="00D55696">
      <w:pPr>
        <w:pStyle w:val="TOC2"/>
        <w:rPr>
          <w:rFonts w:asciiTheme="minorHAnsi" w:eastAsiaTheme="minorEastAsia" w:hAnsiTheme="minorHAnsi"/>
          <w:noProof/>
          <w:color w:val="auto"/>
          <w:sz w:val="22"/>
          <w:lang w:val="en-US"/>
        </w:rPr>
      </w:pPr>
      <w:hyperlink w:anchor="_Toc508290387" w:history="1">
        <w:r w:rsidR="000913CD" w:rsidRPr="008139AA">
          <w:rPr>
            <w:rStyle w:val="Hyperlink"/>
            <w:noProof/>
            <w14:scene3d>
              <w14:camera w14:prst="orthographicFront"/>
              <w14:lightRig w14:rig="threePt" w14:dir="t">
                <w14:rot w14:lat="0" w14:lon="0" w14:rev="0"/>
              </w14:lightRig>
            </w14:scene3d>
          </w:rPr>
          <w:t>Tabell 8.</w:t>
        </w:r>
        <w:r w:rsidR="000913CD">
          <w:rPr>
            <w:rFonts w:asciiTheme="minorHAnsi" w:eastAsiaTheme="minorEastAsia" w:hAnsiTheme="minorHAnsi"/>
            <w:noProof/>
            <w:color w:val="auto"/>
            <w:sz w:val="22"/>
            <w:lang w:val="en-US"/>
          </w:rPr>
          <w:tab/>
        </w:r>
        <w:r w:rsidR="000913CD" w:rsidRPr="008139AA">
          <w:rPr>
            <w:rStyle w:val="Hyperlink"/>
            <w:noProof/>
          </w:rPr>
          <w:t>Exempel på planerade och faktiska värden för gemensamma och kompletterande indikatorer</w:t>
        </w:r>
        <w:r w:rsidR="000913CD">
          <w:rPr>
            <w:noProof/>
            <w:webHidden/>
          </w:rPr>
          <w:tab/>
        </w:r>
        <w:r w:rsidR="000913CD">
          <w:rPr>
            <w:noProof/>
            <w:webHidden/>
          </w:rPr>
          <w:fldChar w:fldCharType="begin"/>
        </w:r>
        <w:r w:rsidR="000913CD">
          <w:rPr>
            <w:noProof/>
            <w:webHidden/>
          </w:rPr>
          <w:instrText xml:space="preserve"> PAGEREF _Toc508290387 \h </w:instrText>
        </w:r>
        <w:r w:rsidR="000913CD">
          <w:rPr>
            <w:noProof/>
            <w:webHidden/>
          </w:rPr>
        </w:r>
        <w:r w:rsidR="000913CD">
          <w:rPr>
            <w:noProof/>
            <w:webHidden/>
          </w:rPr>
          <w:fldChar w:fldCharType="separate"/>
        </w:r>
        <w:r w:rsidR="000A2ED1">
          <w:rPr>
            <w:noProof/>
            <w:webHidden/>
          </w:rPr>
          <w:t>68</w:t>
        </w:r>
        <w:r w:rsidR="000913CD">
          <w:rPr>
            <w:noProof/>
            <w:webHidden/>
          </w:rPr>
          <w:fldChar w:fldCharType="end"/>
        </w:r>
      </w:hyperlink>
    </w:p>
    <w:p w:rsidR="000913CD" w:rsidRDefault="00D55696">
      <w:pPr>
        <w:pStyle w:val="TOC2"/>
        <w:rPr>
          <w:rFonts w:asciiTheme="minorHAnsi" w:eastAsiaTheme="minorEastAsia" w:hAnsiTheme="minorHAnsi"/>
          <w:noProof/>
          <w:color w:val="auto"/>
          <w:sz w:val="22"/>
          <w:lang w:val="en-US"/>
        </w:rPr>
      </w:pPr>
      <w:hyperlink w:anchor="_Toc508290388" w:history="1">
        <w:r w:rsidR="000913CD" w:rsidRPr="008139AA">
          <w:rPr>
            <w:rStyle w:val="Hyperlink"/>
            <w:noProof/>
            <w14:scene3d>
              <w14:camera w14:prst="orthographicFront"/>
              <w14:lightRig w14:rig="threePt" w14:dir="t">
                <w14:rot w14:lat="0" w14:lon="0" w14:rev="0"/>
              </w14:lightRig>
            </w14:scene3d>
          </w:rPr>
          <w:t>Tabell 9.</w:t>
        </w:r>
        <w:r w:rsidR="000913CD">
          <w:rPr>
            <w:rFonts w:asciiTheme="minorHAnsi" w:eastAsiaTheme="minorEastAsia" w:hAnsiTheme="minorHAnsi"/>
            <w:noProof/>
            <w:color w:val="auto"/>
            <w:sz w:val="22"/>
            <w:lang w:val="en-US"/>
          </w:rPr>
          <w:tab/>
        </w:r>
        <w:r w:rsidR="000913CD" w:rsidRPr="008139AA">
          <w:rPr>
            <w:rStyle w:val="Hyperlink"/>
            <w:noProof/>
          </w:rPr>
          <w:t>Utvärderingsfaktorer med koppling till gemensam utvärderingsfråga nr 30</w:t>
        </w:r>
        <w:r w:rsidR="000913CD">
          <w:rPr>
            <w:noProof/>
            <w:webHidden/>
          </w:rPr>
          <w:tab/>
        </w:r>
        <w:r w:rsidR="000913CD">
          <w:rPr>
            <w:noProof/>
            <w:webHidden/>
          </w:rPr>
          <w:fldChar w:fldCharType="begin"/>
        </w:r>
        <w:r w:rsidR="000913CD">
          <w:rPr>
            <w:noProof/>
            <w:webHidden/>
          </w:rPr>
          <w:instrText xml:space="preserve"> PAGEREF _Toc508290388 \h </w:instrText>
        </w:r>
        <w:r w:rsidR="000913CD">
          <w:rPr>
            <w:noProof/>
            <w:webHidden/>
          </w:rPr>
        </w:r>
        <w:r w:rsidR="000913CD">
          <w:rPr>
            <w:noProof/>
            <w:webHidden/>
          </w:rPr>
          <w:fldChar w:fldCharType="separate"/>
        </w:r>
        <w:r w:rsidR="000A2ED1">
          <w:rPr>
            <w:noProof/>
            <w:webHidden/>
          </w:rPr>
          <w:t>73</w:t>
        </w:r>
        <w:r w:rsidR="000913CD">
          <w:rPr>
            <w:noProof/>
            <w:webHidden/>
          </w:rPr>
          <w:fldChar w:fldCharType="end"/>
        </w:r>
      </w:hyperlink>
    </w:p>
    <w:p w:rsidR="001A12C3" w:rsidRPr="00530DA6" w:rsidRDefault="00E05D08" w:rsidP="000913CD">
      <w:pPr>
        <w:tabs>
          <w:tab w:val="left" w:pos="1540"/>
          <w:tab w:val="right" w:leader="dot" w:pos="9016"/>
        </w:tabs>
        <w:ind w:left="1170" w:hanging="1170"/>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rsidR="000913CD" w:rsidRDefault="002F11D9">
      <w:pPr>
        <w:pStyle w:val="TOC4"/>
        <w:tabs>
          <w:tab w:val="left" w:pos="1100"/>
          <w:tab w:val="right" w:leader="dot" w:pos="9040"/>
        </w:tabs>
        <w:rPr>
          <w:rFonts w:asciiTheme="minorHAnsi" w:eastAsiaTheme="minorEastAsia" w:hAnsiTheme="minorHAnsi"/>
          <w:color w:val="auto"/>
          <w:sz w:val="22"/>
          <w:lang w:val="en-US"/>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w:instrText>
      </w:r>
      <w:r w:rsidR="00133DA6">
        <w:rPr>
          <w:rStyle w:val="Hyperlink"/>
          <w14:scene3d>
            <w14:camera w14:prst="orthographicFront"/>
            <w14:lightRig w14:rig="threePt" w14:dir="t">
              <w14:rot w14:lat="0" w14:lon="0" w14:rev="0"/>
            </w14:lightRig>
          </w14:scene3d>
        </w:rPr>
        <w:instrText xml:space="preserve"> \z \t "H_Heading_figures,</w:instrText>
      </w:r>
      <w:r>
        <w:rPr>
          <w:rStyle w:val="Hyperlink"/>
          <w14:scene3d>
            <w14:camera w14:prst="orthographicFront"/>
            <w14:lightRig w14:rig="threePt" w14:dir="t">
              <w14:rot w14:lat="0" w14:lon="0" w14:rev="0"/>
            </w14:lightRig>
          </w14:scene3d>
        </w:rPr>
        <w:instrText xml:space="preserve">4" </w:instrText>
      </w:r>
      <w:r>
        <w:rPr>
          <w:rStyle w:val="Hyperlink"/>
          <w14:scene3d>
            <w14:camera w14:prst="orthographicFront"/>
            <w14:lightRig w14:rig="threePt" w14:dir="t">
              <w14:rot w14:lat="0" w14:lon="0" w14:rev="0"/>
            </w14:lightRig>
          </w14:scene3d>
        </w:rPr>
        <w:fldChar w:fldCharType="separate"/>
      </w:r>
      <w:hyperlink w:anchor="_Toc508290394" w:history="1">
        <w:r w:rsidR="000913CD" w:rsidRPr="002D593A">
          <w:rPr>
            <w:rStyle w:val="Hyperlink"/>
          </w:rPr>
          <w:t>Figur 1.</w:t>
        </w:r>
        <w:r w:rsidR="000913CD">
          <w:rPr>
            <w:rFonts w:asciiTheme="minorHAnsi" w:eastAsiaTheme="minorEastAsia" w:hAnsiTheme="minorHAnsi"/>
            <w:color w:val="auto"/>
            <w:sz w:val="22"/>
            <w:lang w:val="en-US"/>
          </w:rPr>
          <w:tab/>
        </w:r>
        <w:r w:rsidR="000913CD" w:rsidRPr="002D593A">
          <w:rPr>
            <w:rStyle w:val="Hyperlink"/>
          </w:rPr>
          <w:t>Förenklad bild av hur landsbygdsprogram främjar innovation</w:t>
        </w:r>
        <w:r w:rsidR="000913CD">
          <w:rPr>
            <w:webHidden/>
          </w:rPr>
          <w:tab/>
        </w:r>
        <w:r w:rsidR="000913CD">
          <w:rPr>
            <w:webHidden/>
          </w:rPr>
          <w:fldChar w:fldCharType="begin"/>
        </w:r>
        <w:r w:rsidR="000913CD">
          <w:rPr>
            <w:webHidden/>
          </w:rPr>
          <w:instrText xml:space="preserve"> PAGEREF _Toc508290394 \h </w:instrText>
        </w:r>
        <w:r w:rsidR="000913CD">
          <w:rPr>
            <w:webHidden/>
          </w:rPr>
        </w:r>
        <w:r w:rsidR="000913CD">
          <w:rPr>
            <w:webHidden/>
          </w:rPr>
          <w:fldChar w:fldCharType="separate"/>
        </w:r>
        <w:r w:rsidR="000A2ED1">
          <w:rPr>
            <w:webHidden/>
          </w:rPr>
          <w:t>4</w:t>
        </w:r>
        <w:r w:rsidR="000913CD">
          <w:rPr>
            <w:webHidden/>
          </w:rPr>
          <w:fldChar w:fldCharType="end"/>
        </w:r>
      </w:hyperlink>
    </w:p>
    <w:p w:rsidR="000913CD" w:rsidRDefault="00D55696">
      <w:pPr>
        <w:pStyle w:val="TOC4"/>
        <w:tabs>
          <w:tab w:val="left" w:pos="1100"/>
          <w:tab w:val="right" w:leader="dot" w:pos="9040"/>
        </w:tabs>
        <w:rPr>
          <w:rFonts w:asciiTheme="minorHAnsi" w:eastAsiaTheme="minorEastAsia" w:hAnsiTheme="minorHAnsi"/>
          <w:color w:val="auto"/>
          <w:sz w:val="22"/>
          <w:lang w:val="en-US"/>
        </w:rPr>
      </w:pPr>
      <w:hyperlink w:anchor="_Toc508290395" w:history="1">
        <w:r w:rsidR="000913CD" w:rsidRPr="002D593A">
          <w:rPr>
            <w:rStyle w:val="Hyperlink"/>
          </w:rPr>
          <w:t>Figur 2.</w:t>
        </w:r>
        <w:r w:rsidR="000913CD">
          <w:rPr>
            <w:rFonts w:asciiTheme="minorHAnsi" w:eastAsiaTheme="minorEastAsia" w:hAnsiTheme="minorHAnsi"/>
            <w:color w:val="auto"/>
            <w:sz w:val="22"/>
            <w:lang w:val="en-US"/>
          </w:rPr>
          <w:tab/>
        </w:r>
        <w:r w:rsidR="000913CD" w:rsidRPr="002D593A">
          <w:rPr>
            <w:rStyle w:val="Hyperlink"/>
          </w:rPr>
          <w:t>Den politiska ramen för innovation inom EU och i landsbygdsutvecklingspolitiken</w:t>
        </w:r>
        <w:r w:rsidR="000913CD">
          <w:rPr>
            <w:webHidden/>
          </w:rPr>
          <w:tab/>
        </w:r>
        <w:r w:rsidR="000913CD">
          <w:rPr>
            <w:webHidden/>
          </w:rPr>
          <w:fldChar w:fldCharType="begin"/>
        </w:r>
        <w:r w:rsidR="000913CD">
          <w:rPr>
            <w:webHidden/>
          </w:rPr>
          <w:instrText xml:space="preserve"> PAGEREF _Toc508290395 \h </w:instrText>
        </w:r>
        <w:r w:rsidR="000913CD">
          <w:rPr>
            <w:webHidden/>
          </w:rPr>
        </w:r>
        <w:r w:rsidR="000913CD">
          <w:rPr>
            <w:webHidden/>
          </w:rPr>
          <w:fldChar w:fldCharType="separate"/>
        </w:r>
        <w:r w:rsidR="000A2ED1">
          <w:rPr>
            <w:webHidden/>
          </w:rPr>
          <w:t>11</w:t>
        </w:r>
        <w:r w:rsidR="000913CD">
          <w:rPr>
            <w:webHidden/>
          </w:rPr>
          <w:fldChar w:fldCharType="end"/>
        </w:r>
      </w:hyperlink>
    </w:p>
    <w:p w:rsidR="000913CD" w:rsidRDefault="00D55696">
      <w:pPr>
        <w:pStyle w:val="TOC4"/>
        <w:tabs>
          <w:tab w:val="left" w:pos="1100"/>
          <w:tab w:val="right" w:leader="dot" w:pos="9040"/>
        </w:tabs>
        <w:rPr>
          <w:rFonts w:asciiTheme="minorHAnsi" w:eastAsiaTheme="minorEastAsia" w:hAnsiTheme="minorHAnsi"/>
          <w:color w:val="auto"/>
          <w:sz w:val="22"/>
          <w:lang w:val="en-US"/>
        </w:rPr>
      </w:pPr>
      <w:hyperlink w:anchor="_Toc508290396" w:history="1">
        <w:r w:rsidR="000913CD" w:rsidRPr="002D593A">
          <w:rPr>
            <w:rStyle w:val="Hyperlink"/>
          </w:rPr>
          <w:t>Figur 3.</w:t>
        </w:r>
        <w:r w:rsidR="000913CD">
          <w:rPr>
            <w:rFonts w:asciiTheme="minorHAnsi" w:eastAsiaTheme="minorEastAsia" w:hAnsiTheme="minorHAnsi"/>
            <w:color w:val="auto"/>
            <w:sz w:val="22"/>
            <w:lang w:val="en-US"/>
          </w:rPr>
          <w:tab/>
        </w:r>
        <w:r w:rsidR="000913CD" w:rsidRPr="002D593A">
          <w:rPr>
            <w:rStyle w:val="Hyperlink"/>
          </w:rPr>
          <w:t>De gemensamma utvärderingsfaktorerna för utvärdering av innovation</w:t>
        </w:r>
        <w:r w:rsidR="000913CD">
          <w:rPr>
            <w:webHidden/>
          </w:rPr>
          <w:tab/>
        </w:r>
        <w:r w:rsidR="000913CD">
          <w:rPr>
            <w:webHidden/>
          </w:rPr>
          <w:fldChar w:fldCharType="begin"/>
        </w:r>
        <w:r w:rsidR="000913CD">
          <w:rPr>
            <w:webHidden/>
          </w:rPr>
          <w:instrText xml:space="preserve"> PAGEREF _Toc508290396 \h </w:instrText>
        </w:r>
        <w:r w:rsidR="000913CD">
          <w:rPr>
            <w:webHidden/>
          </w:rPr>
        </w:r>
        <w:r w:rsidR="000913CD">
          <w:rPr>
            <w:webHidden/>
          </w:rPr>
          <w:fldChar w:fldCharType="separate"/>
        </w:r>
        <w:r w:rsidR="000A2ED1">
          <w:rPr>
            <w:webHidden/>
          </w:rPr>
          <w:t>16</w:t>
        </w:r>
        <w:r w:rsidR="000913CD">
          <w:rPr>
            <w:webHidden/>
          </w:rPr>
          <w:fldChar w:fldCharType="end"/>
        </w:r>
      </w:hyperlink>
    </w:p>
    <w:p w:rsidR="000913CD" w:rsidRDefault="00D55696">
      <w:pPr>
        <w:pStyle w:val="TOC4"/>
        <w:tabs>
          <w:tab w:val="left" w:pos="1100"/>
          <w:tab w:val="right" w:leader="dot" w:pos="9040"/>
        </w:tabs>
        <w:rPr>
          <w:rFonts w:asciiTheme="minorHAnsi" w:eastAsiaTheme="minorEastAsia" w:hAnsiTheme="minorHAnsi"/>
          <w:color w:val="auto"/>
          <w:sz w:val="22"/>
          <w:lang w:val="en-US"/>
        </w:rPr>
      </w:pPr>
      <w:hyperlink w:anchor="_Toc508290397" w:history="1">
        <w:r w:rsidR="000913CD" w:rsidRPr="002D593A">
          <w:rPr>
            <w:rStyle w:val="Hyperlink"/>
          </w:rPr>
          <w:t>Figur 4.</w:t>
        </w:r>
        <w:r w:rsidR="000913CD">
          <w:rPr>
            <w:rFonts w:asciiTheme="minorHAnsi" w:eastAsiaTheme="minorEastAsia" w:hAnsiTheme="minorHAnsi"/>
            <w:color w:val="auto"/>
            <w:sz w:val="22"/>
            <w:lang w:val="en-US"/>
          </w:rPr>
          <w:tab/>
        </w:r>
        <w:r w:rsidR="000913CD" w:rsidRPr="002D593A">
          <w:rPr>
            <w:rStyle w:val="Hyperlink"/>
          </w:rPr>
          <w:t>Hantering av utvärderingen av innovation i landsbygdsprogram 2014–2020</w:t>
        </w:r>
        <w:r w:rsidR="000913CD">
          <w:rPr>
            <w:webHidden/>
          </w:rPr>
          <w:tab/>
        </w:r>
        <w:r w:rsidR="000913CD">
          <w:rPr>
            <w:webHidden/>
          </w:rPr>
          <w:fldChar w:fldCharType="begin"/>
        </w:r>
        <w:r w:rsidR="000913CD">
          <w:rPr>
            <w:webHidden/>
          </w:rPr>
          <w:instrText xml:space="preserve"> PAGEREF _Toc508290397 \h </w:instrText>
        </w:r>
        <w:r w:rsidR="000913CD">
          <w:rPr>
            <w:webHidden/>
          </w:rPr>
        </w:r>
        <w:r w:rsidR="000913CD">
          <w:rPr>
            <w:webHidden/>
          </w:rPr>
          <w:fldChar w:fldCharType="separate"/>
        </w:r>
        <w:r w:rsidR="000A2ED1">
          <w:rPr>
            <w:webHidden/>
          </w:rPr>
          <w:t>19</w:t>
        </w:r>
        <w:r w:rsidR="000913CD">
          <w:rPr>
            <w:webHidden/>
          </w:rPr>
          <w:fldChar w:fldCharType="end"/>
        </w:r>
      </w:hyperlink>
    </w:p>
    <w:p w:rsidR="000913CD" w:rsidRDefault="00D55696">
      <w:pPr>
        <w:pStyle w:val="TOC4"/>
        <w:tabs>
          <w:tab w:val="left" w:pos="1100"/>
          <w:tab w:val="right" w:leader="dot" w:pos="9040"/>
        </w:tabs>
        <w:rPr>
          <w:rFonts w:asciiTheme="minorHAnsi" w:eastAsiaTheme="minorEastAsia" w:hAnsiTheme="minorHAnsi"/>
          <w:color w:val="auto"/>
          <w:sz w:val="22"/>
          <w:lang w:val="en-US"/>
        </w:rPr>
      </w:pPr>
      <w:hyperlink w:anchor="_Toc508290398" w:history="1">
        <w:r w:rsidR="000913CD" w:rsidRPr="002D593A">
          <w:rPr>
            <w:rStyle w:val="Hyperlink"/>
          </w:rPr>
          <w:t>Figur 5.</w:t>
        </w:r>
        <w:r w:rsidR="000913CD">
          <w:rPr>
            <w:rFonts w:asciiTheme="minorHAnsi" w:eastAsiaTheme="minorEastAsia" w:hAnsiTheme="minorHAnsi"/>
            <w:color w:val="auto"/>
            <w:sz w:val="22"/>
            <w:lang w:val="en-US"/>
          </w:rPr>
          <w:tab/>
        </w:r>
        <w:r w:rsidR="000913CD" w:rsidRPr="002D593A">
          <w:rPr>
            <w:rStyle w:val="Hyperlink"/>
          </w:rPr>
          <w:t>Rapporteringskrav med avseende på innovation</w:t>
        </w:r>
        <w:r w:rsidR="000913CD">
          <w:rPr>
            <w:webHidden/>
          </w:rPr>
          <w:tab/>
        </w:r>
        <w:r w:rsidR="000913CD">
          <w:rPr>
            <w:webHidden/>
          </w:rPr>
          <w:fldChar w:fldCharType="begin"/>
        </w:r>
        <w:r w:rsidR="000913CD">
          <w:rPr>
            <w:webHidden/>
          </w:rPr>
          <w:instrText xml:space="preserve"> PAGEREF _Toc508290398 \h </w:instrText>
        </w:r>
        <w:r w:rsidR="000913CD">
          <w:rPr>
            <w:webHidden/>
          </w:rPr>
        </w:r>
        <w:r w:rsidR="000913CD">
          <w:rPr>
            <w:webHidden/>
          </w:rPr>
          <w:fldChar w:fldCharType="separate"/>
        </w:r>
        <w:r w:rsidR="000A2ED1">
          <w:rPr>
            <w:webHidden/>
          </w:rPr>
          <w:t>20</w:t>
        </w:r>
        <w:r w:rsidR="000913CD">
          <w:rPr>
            <w:webHidden/>
          </w:rPr>
          <w:fldChar w:fldCharType="end"/>
        </w:r>
      </w:hyperlink>
    </w:p>
    <w:p w:rsidR="000913CD" w:rsidRDefault="00D55696">
      <w:pPr>
        <w:pStyle w:val="TOC4"/>
        <w:tabs>
          <w:tab w:val="left" w:pos="1100"/>
          <w:tab w:val="right" w:leader="dot" w:pos="9040"/>
        </w:tabs>
        <w:rPr>
          <w:rFonts w:asciiTheme="minorHAnsi" w:eastAsiaTheme="minorEastAsia" w:hAnsiTheme="minorHAnsi"/>
          <w:color w:val="auto"/>
          <w:sz w:val="22"/>
          <w:lang w:val="en-US"/>
        </w:rPr>
      </w:pPr>
      <w:hyperlink w:anchor="_Toc508290399" w:history="1">
        <w:r w:rsidR="000913CD" w:rsidRPr="002D593A">
          <w:rPr>
            <w:rStyle w:val="Hyperlink"/>
          </w:rPr>
          <w:t>Figur 6.</w:t>
        </w:r>
        <w:r w:rsidR="000913CD">
          <w:rPr>
            <w:rFonts w:asciiTheme="minorHAnsi" w:eastAsiaTheme="minorEastAsia" w:hAnsiTheme="minorHAnsi"/>
            <w:color w:val="auto"/>
            <w:sz w:val="22"/>
            <w:lang w:val="en-US"/>
          </w:rPr>
          <w:tab/>
        </w:r>
        <w:r w:rsidR="000913CD" w:rsidRPr="002D593A">
          <w:rPr>
            <w:rStyle w:val="Hyperlink"/>
          </w:rPr>
          <w:t>Strategi för utvärdering av innovation i landsbygdsprogram</w:t>
        </w:r>
        <w:r w:rsidR="000913CD">
          <w:rPr>
            <w:webHidden/>
          </w:rPr>
          <w:tab/>
        </w:r>
        <w:r w:rsidR="000913CD">
          <w:rPr>
            <w:webHidden/>
          </w:rPr>
          <w:fldChar w:fldCharType="begin"/>
        </w:r>
        <w:r w:rsidR="000913CD">
          <w:rPr>
            <w:webHidden/>
          </w:rPr>
          <w:instrText xml:space="preserve"> PAGEREF _Toc508290399 \h </w:instrText>
        </w:r>
        <w:r w:rsidR="000913CD">
          <w:rPr>
            <w:webHidden/>
          </w:rPr>
        </w:r>
        <w:r w:rsidR="000913CD">
          <w:rPr>
            <w:webHidden/>
          </w:rPr>
          <w:fldChar w:fldCharType="separate"/>
        </w:r>
        <w:r w:rsidR="000A2ED1">
          <w:rPr>
            <w:webHidden/>
          </w:rPr>
          <w:t>22</w:t>
        </w:r>
        <w:r w:rsidR="000913CD">
          <w:rPr>
            <w:webHidden/>
          </w:rPr>
          <w:fldChar w:fldCharType="end"/>
        </w:r>
      </w:hyperlink>
    </w:p>
    <w:p w:rsidR="000913CD" w:rsidRDefault="00D55696">
      <w:pPr>
        <w:pStyle w:val="TOC4"/>
        <w:tabs>
          <w:tab w:val="left" w:pos="1100"/>
          <w:tab w:val="right" w:leader="dot" w:pos="9040"/>
        </w:tabs>
        <w:rPr>
          <w:rFonts w:asciiTheme="minorHAnsi" w:eastAsiaTheme="minorEastAsia" w:hAnsiTheme="minorHAnsi"/>
          <w:color w:val="auto"/>
          <w:sz w:val="22"/>
          <w:lang w:val="en-US"/>
        </w:rPr>
      </w:pPr>
      <w:hyperlink w:anchor="_Toc508290400" w:history="1">
        <w:r w:rsidR="000913CD" w:rsidRPr="002D593A">
          <w:rPr>
            <w:rStyle w:val="Hyperlink"/>
          </w:rPr>
          <w:t>Figur 7.</w:t>
        </w:r>
        <w:r w:rsidR="000913CD">
          <w:rPr>
            <w:rFonts w:asciiTheme="minorHAnsi" w:eastAsiaTheme="minorEastAsia" w:hAnsiTheme="minorHAnsi"/>
            <w:color w:val="auto"/>
            <w:sz w:val="22"/>
            <w:lang w:val="en-US"/>
          </w:rPr>
          <w:tab/>
        </w:r>
        <w:r w:rsidR="000913CD" w:rsidRPr="002D593A">
          <w:rPr>
            <w:rStyle w:val="Hyperlink"/>
          </w:rPr>
          <w:t>Stegen i granskningen av innovationspotentialen i landsbygdsprogrammets åtgärder/delåtgärder</w:t>
        </w:r>
        <w:r w:rsidR="000913CD">
          <w:rPr>
            <w:webHidden/>
          </w:rPr>
          <w:tab/>
        </w:r>
        <w:r w:rsidR="000913CD">
          <w:rPr>
            <w:webHidden/>
          </w:rPr>
          <w:fldChar w:fldCharType="begin"/>
        </w:r>
        <w:r w:rsidR="000913CD">
          <w:rPr>
            <w:webHidden/>
          </w:rPr>
          <w:instrText xml:space="preserve"> PAGEREF _Toc508290400 \h </w:instrText>
        </w:r>
        <w:r w:rsidR="000913CD">
          <w:rPr>
            <w:webHidden/>
          </w:rPr>
        </w:r>
        <w:r w:rsidR="000913CD">
          <w:rPr>
            <w:webHidden/>
          </w:rPr>
          <w:fldChar w:fldCharType="separate"/>
        </w:r>
        <w:r w:rsidR="000A2ED1">
          <w:rPr>
            <w:webHidden/>
          </w:rPr>
          <w:t>23</w:t>
        </w:r>
        <w:r w:rsidR="000913CD">
          <w:rPr>
            <w:webHidden/>
          </w:rPr>
          <w:fldChar w:fldCharType="end"/>
        </w:r>
      </w:hyperlink>
    </w:p>
    <w:p w:rsidR="000913CD" w:rsidRDefault="00D55696">
      <w:pPr>
        <w:pStyle w:val="TOC4"/>
        <w:tabs>
          <w:tab w:val="left" w:pos="1100"/>
          <w:tab w:val="right" w:leader="dot" w:pos="9040"/>
        </w:tabs>
        <w:rPr>
          <w:rFonts w:asciiTheme="minorHAnsi" w:eastAsiaTheme="minorEastAsia" w:hAnsiTheme="minorHAnsi"/>
          <w:color w:val="auto"/>
          <w:sz w:val="22"/>
          <w:lang w:val="en-US"/>
        </w:rPr>
      </w:pPr>
      <w:hyperlink w:anchor="_Toc508290401" w:history="1">
        <w:r w:rsidR="000913CD" w:rsidRPr="002D593A">
          <w:rPr>
            <w:rStyle w:val="Hyperlink"/>
          </w:rPr>
          <w:t>Figur 8.</w:t>
        </w:r>
        <w:r w:rsidR="000913CD">
          <w:rPr>
            <w:rFonts w:asciiTheme="minorHAnsi" w:eastAsiaTheme="minorEastAsia" w:hAnsiTheme="minorHAnsi"/>
            <w:color w:val="auto"/>
            <w:sz w:val="22"/>
            <w:lang w:val="en-US"/>
          </w:rPr>
          <w:tab/>
        </w:r>
        <w:r w:rsidR="000913CD" w:rsidRPr="002D593A">
          <w:rPr>
            <w:rStyle w:val="Hyperlink"/>
          </w:rPr>
          <w:t xml:space="preserve">Exempel på en interventionslogik som </w:t>
        </w:r>
        <w:bookmarkStart w:id="3" w:name="_GoBack"/>
        <w:bookmarkEnd w:id="3"/>
        <w:r w:rsidR="000913CD" w:rsidRPr="002D593A">
          <w:rPr>
            <w:rStyle w:val="Hyperlink"/>
          </w:rPr>
          <w:t>är kopplad till gemensam utvärderingsfråga nr 1</w:t>
        </w:r>
        <w:r w:rsidR="000913CD">
          <w:rPr>
            <w:webHidden/>
          </w:rPr>
          <w:tab/>
        </w:r>
        <w:r w:rsidR="000913CD">
          <w:rPr>
            <w:webHidden/>
          </w:rPr>
          <w:fldChar w:fldCharType="begin"/>
        </w:r>
        <w:r w:rsidR="000913CD">
          <w:rPr>
            <w:webHidden/>
          </w:rPr>
          <w:instrText xml:space="preserve"> PAGEREF _Toc508290401 \h </w:instrText>
        </w:r>
        <w:r w:rsidR="000913CD">
          <w:rPr>
            <w:webHidden/>
          </w:rPr>
        </w:r>
        <w:r w:rsidR="000913CD">
          <w:rPr>
            <w:webHidden/>
          </w:rPr>
          <w:fldChar w:fldCharType="separate"/>
        </w:r>
        <w:r w:rsidR="000A2ED1">
          <w:rPr>
            <w:webHidden/>
          </w:rPr>
          <w:t>32</w:t>
        </w:r>
        <w:r w:rsidR="000913CD">
          <w:rPr>
            <w:webHidden/>
          </w:rPr>
          <w:fldChar w:fldCharType="end"/>
        </w:r>
      </w:hyperlink>
    </w:p>
    <w:p w:rsidR="000913CD" w:rsidRDefault="00D55696">
      <w:pPr>
        <w:pStyle w:val="TOC4"/>
        <w:tabs>
          <w:tab w:val="left" w:pos="1100"/>
          <w:tab w:val="right" w:leader="dot" w:pos="9040"/>
        </w:tabs>
        <w:rPr>
          <w:rFonts w:asciiTheme="minorHAnsi" w:eastAsiaTheme="minorEastAsia" w:hAnsiTheme="minorHAnsi"/>
          <w:color w:val="auto"/>
          <w:sz w:val="22"/>
          <w:lang w:val="en-US"/>
        </w:rPr>
      </w:pPr>
      <w:hyperlink w:anchor="_Toc508290402" w:history="1">
        <w:r w:rsidR="000913CD" w:rsidRPr="002D593A">
          <w:rPr>
            <w:rStyle w:val="Hyperlink"/>
          </w:rPr>
          <w:t>Figur 9.</w:t>
        </w:r>
        <w:r w:rsidR="000913CD">
          <w:rPr>
            <w:rFonts w:asciiTheme="minorHAnsi" w:eastAsiaTheme="minorEastAsia" w:hAnsiTheme="minorHAnsi"/>
            <w:color w:val="auto"/>
            <w:sz w:val="22"/>
            <w:lang w:val="en-US"/>
          </w:rPr>
          <w:tab/>
        </w:r>
        <w:r w:rsidR="000913CD" w:rsidRPr="002D593A">
          <w:rPr>
            <w:rStyle w:val="Hyperlink"/>
          </w:rPr>
          <w:t>Exempel på innovationspotential hos varje delåtgärd inom åtgärd M16</w:t>
        </w:r>
        <w:r w:rsidR="000913CD">
          <w:rPr>
            <w:webHidden/>
          </w:rPr>
          <w:tab/>
        </w:r>
        <w:r w:rsidR="000913CD">
          <w:rPr>
            <w:webHidden/>
          </w:rPr>
          <w:fldChar w:fldCharType="begin"/>
        </w:r>
        <w:r w:rsidR="000913CD">
          <w:rPr>
            <w:webHidden/>
          </w:rPr>
          <w:instrText xml:space="preserve"> PAGEREF _Toc508290402 \h </w:instrText>
        </w:r>
        <w:r w:rsidR="000913CD">
          <w:rPr>
            <w:webHidden/>
          </w:rPr>
        </w:r>
        <w:r w:rsidR="000913CD">
          <w:rPr>
            <w:webHidden/>
          </w:rPr>
          <w:fldChar w:fldCharType="separate"/>
        </w:r>
        <w:r w:rsidR="000A2ED1">
          <w:rPr>
            <w:webHidden/>
          </w:rPr>
          <w:t>42</w:t>
        </w:r>
        <w:r w:rsidR="000913CD">
          <w:rPr>
            <w:webHidden/>
          </w:rPr>
          <w:fldChar w:fldCharType="end"/>
        </w:r>
      </w:hyperlink>
    </w:p>
    <w:p w:rsidR="000913CD" w:rsidRDefault="00D55696">
      <w:pPr>
        <w:pStyle w:val="TOC4"/>
        <w:tabs>
          <w:tab w:val="left" w:pos="1100"/>
          <w:tab w:val="right" w:leader="dot" w:pos="9040"/>
        </w:tabs>
        <w:rPr>
          <w:rFonts w:asciiTheme="minorHAnsi" w:eastAsiaTheme="minorEastAsia" w:hAnsiTheme="minorHAnsi"/>
          <w:color w:val="auto"/>
          <w:sz w:val="22"/>
          <w:lang w:val="en-US"/>
        </w:rPr>
      </w:pPr>
      <w:hyperlink w:anchor="_Toc508290403" w:history="1">
        <w:r w:rsidR="000913CD" w:rsidRPr="002D593A">
          <w:rPr>
            <w:rStyle w:val="Hyperlink"/>
          </w:rPr>
          <w:t>Figur 10.</w:t>
        </w:r>
        <w:r w:rsidR="000913CD">
          <w:rPr>
            <w:rFonts w:asciiTheme="minorHAnsi" w:eastAsiaTheme="minorEastAsia" w:hAnsiTheme="minorHAnsi"/>
            <w:color w:val="auto"/>
            <w:sz w:val="22"/>
            <w:lang w:val="en-US"/>
          </w:rPr>
          <w:tab/>
        </w:r>
        <w:r w:rsidR="000913CD" w:rsidRPr="002D593A">
          <w:rPr>
            <w:rStyle w:val="Hyperlink"/>
          </w:rPr>
          <w:t>Det nationella landsbygdsnätverkets interventionslogik för innovation</w:t>
        </w:r>
        <w:r w:rsidR="000913CD">
          <w:rPr>
            <w:webHidden/>
          </w:rPr>
          <w:tab/>
        </w:r>
        <w:r w:rsidR="000913CD">
          <w:rPr>
            <w:webHidden/>
          </w:rPr>
          <w:fldChar w:fldCharType="begin"/>
        </w:r>
        <w:r w:rsidR="000913CD">
          <w:rPr>
            <w:webHidden/>
          </w:rPr>
          <w:instrText xml:space="preserve"> PAGEREF _Toc508290403 \h </w:instrText>
        </w:r>
        <w:r w:rsidR="000913CD">
          <w:rPr>
            <w:webHidden/>
          </w:rPr>
        </w:r>
        <w:r w:rsidR="000913CD">
          <w:rPr>
            <w:webHidden/>
          </w:rPr>
          <w:fldChar w:fldCharType="separate"/>
        </w:r>
        <w:r w:rsidR="000A2ED1">
          <w:rPr>
            <w:webHidden/>
          </w:rPr>
          <w:t>53</w:t>
        </w:r>
        <w:r w:rsidR="000913CD">
          <w:rPr>
            <w:webHidden/>
          </w:rPr>
          <w:fldChar w:fldCharType="end"/>
        </w:r>
      </w:hyperlink>
    </w:p>
    <w:p w:rsidR="000913CD" w:rsidRDefault="00D55696">
      <w:pPr>
        <w:pStyle w:val="TOC4"/>
        <w:tabs>
          <w:tab w:val="left" w:pos="1100"/>
          <w:tab w:val="right" w:leader="dot" w:pos="9040"/>
        </w:tabs>
        <w:rPr>
          <w:rFonts w:asciiTheme="minorHAnsi" w:eastAsiaTheme="minorEastAsia" w:hAnsiTheme="minorHAnsi"/>
          <w:color w:val="auto"/>
          <w:sz w:val="22"/>
          <w:lang w:val="en-US"/>
        </w:rPr>
      </w:pPr>
      <w:hyperlink w:anchor="_Toc508290404" w:history="1">
        <w:r w:rsidR="000913CD" w:rsidRPr="002D593A">
          <w:rPr>
            <w:rStyle w:val="Hyperlink"/>
          </w:rPr>
          <w:t>Figur 11.</w:t>
        </w:r>
        <w:r w:rsidR="000913CD">
          <w:rPr>
            <w:rFonts w:asciiTheme="minorHAnsi" w:eastAsiaTheme="minorEastAsia" w:hAnsiTheme="minorHAnsi"/>
            <w:color w:val="auto"/>
            <w:sz w:val="22"/>
            <w:lang w:val="en-US"/>
          </w:rPr>
          <w:tab/>
        </w:r>
        <w:r w:rsidR="000913CD" w:rsidRPr="002D593A">
          <w:rPr>
            <w:rStyle w:val="Hyperlink"/>
          </w:rPr>
          <w:t>Exempel på interventionslogik för gemensam utvärderingsfråga nr 30</w:t>
        </w:r>
        <w:r w:rsidR="000913CD">
          <w:rPr>
            <w:webHidden/>
          </w:rPr>
          <w:tab/>
        </w:r>
        <w:r w:rsidR="000913CD">
          <w:rPr>
            <w:webHidden/>
          </w:rPr>
          <w:fldChar w:fldCharType="begin"/>
        </w:r>
        <w:r w:rsidR="000913CD">
          <w:rPr>
            <w:webHidden/>
          </w:rPr>
          <w:instrText xml:space="preserve"> PAGEREF _Toc508290404 \h </w:instrText>
        </w:r>
        <w:r w:rsidR="000913CD">
          <w:rPr>
            <w:webHidden/>
          </w:rPr>
        </w:r>
        <w:r w:rsidR="000913CD">
          <w:rPr>
            <w:webHidden/>
          </w:rPr>
          <w:fldChar w:fldCharType="separate"/>
        </w:r>
        <w:r w:rsidR="000A2ED1">
          <w:rPr>
            <w:webHidden/>
          </w:rPr>
          <w:t>71</w:t>
        </w:r>
        <w:r w:rsidR="000913CD">
          <w:rPr>
            <w:webHidden/>
          </w:rPr>
          <w:fldChar w:fldCharType="end"/>
        </w:r>
      </w:hyperlink>
    </w:p>
    <w:p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Författarnas tack</w:t>
      </w:r>
    </w:p>
    <w:p w:rsidR="00E05D08" w:rsidRPr="00E05D08" w:rsidRDefault="00E05D08" w:rsidP="00E05D08">
      <w:pPr>
        <w:spacing w:after="120" w:line="280" w:lineRule="atLeast"/>
        <w:mirrorIndents/>
        <w:rPr>
          <w:rFonts w:eastAsia="Times New Roman" w:cs="Times New Roman"/>
          <w:i/>
          <w:szCs w:val="20"/>
        </w:rPr>
      </w:pPr>
      <w:r>
        <w:rPr>
          <w:i/>
          <w:szCs w:val="20"/>
        </w:rPr>
        <w:t xml:space="preserve">Riktlinjerna har utarbetats av ett expertteam från den europeiska helpdesken för utvärdering av landsbygdsutveckling (European Evaluation Helpdesk for Rural Development) (Boru Douthwaite, Marili Parissaki, Andreas Resch, Jela Tvrdonova, Valérie Dumont, Matteo Metta, Myles Stiffler och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Olika experter har fungerat som expertgranskare (Anna Maria Augustyn, Simona Cristiano, Anikó Juhász och Bill Slee) eller bidragit med sin kunskap om utvärderingsmetoder (Bart Van Herck och Dimitris Skuras). </w:t>
      </w:r>
    </w:p>
    <w:p w:rsidR="00E05D08" w:rsidRPr="00E05D08" w:rsidRDefault="00E05D08" w:rsidP="00E05D08">
      <w:pPr>
        <w:spacing w:after="120" w:line="280" w:lineRule="atLeast"/>
        <w:mirrorIndents/>
        <w:rPr>
          <w:rFonts w:eastAsia="Times New Roman" w:cs="Times New Roman"/>
          <w:i/>
          <w:szCs w:val="20"/>
        </w:rPr>
      </w:pPr>
      <w:r>
        <w:rPr>
          <w:i/>
          <w:szCs w:val="20"/>
        </w:rPr>
        <w:t>Representanter från generaldirektoratet för jordbruk och landsbygdsutveckling har säkerställt att riktlinjerna stämmer överens med EU:s politiska ram.</w:t>
      </w:r>
    </w:p>
    <w:p w:rsidR="00E05D08" w:rsidRPr="00E05D08" w:rsidRDefault="00E05D08" w:rsidP="00E05D08">
      <w:pPr>
        <w:spacing w:after="120" w:line="280" w:lineRule="atLeast"/>
        <w:mirrorIndents/>
        <w:rPr>
          <w:rFonts w:eastAsia="Times New Roman" w:cs="Times New Roman"/>
          <w:i/>
          <w:szCs w:val="20"/>
        </w:rPr>
      </w:pPr>
      <w:r>
        <w:rPr>
          <w:i/>
          <w:szCs w:val="20"/>
        </w:rPr>
        <w:t>Representanter från medlemsstaterna lämnade synpunkter på utkasten till riktlinjerna under den rådgivande gruppens möte den 22 mars 2017 och under det elfte mötet för expertgruppen för övervakning och utvärdering av den gemensamma jordbrukspolitiken den 10 maj 2017.</w:t>
      </w:r>
      <w:r w:rsidR="00F639C6">
        <w:rPr>
          <w:i/>
          <w:szCs w:val="20"/>
        </w:rPr>
        <w:t xml:space="preserve"> </w:t>
      </w:r>
    </w:p>
    <w:p w:rsidR="00E05D08" w:rsidRPr="00E05D08" w:rsidRDefault="00E05D08" w:rsidP="00E05D08">
      <w:pPr>
        <w:spacing w:after="120" w:line="280" w:lineRule="atLeast"/>
        <w:mirrorIndents/>
        <w:rPr>
          <w:rFonts w:eastAsia="Times New Roman" w:cs="Times New Roman"/>
          <w:i/>
          <w:szCs w:val="20"/>
        </w:rPr>
      </w:pPr>
      <w:r>
        <w:rPr>
          <w:i/>
          <w:szCs w:val="20"/>
        </w:rPr>
        <w:t>Kontaktpunkten för det europeiska nätverket för landsbygdsutveckling och det europeiska innovationspartnerskapets servicepunkt ombads också att kommentera riktlinjerna.</w:t>
      </w:r>
    </w:p>
    <w:p w:rsidR="00E05D08" w:rsidRPr="00E05D08" w:rsidRDefault="00E05D08" w:rsidP="00E05D08">
      <w:pPr>
        <w:spacing w:after="0" w:line="240" w:lineRule="auto"/>
        <w:rPr>
          <w:rFonts w:eastAsia="Times New Roman" w:cs="Times New Roman"/>
          <w:szCs w:val="20"/>
        </w:rPr>
      </w:pPr>
      <w:r>
        <w:br w:type="page"/>
      </w:r>
    </w:p>
    <w:p w:rsidR="00E05D08" w:rsidRPr="00F639C6" w:rsidRDefault="00E05D08" w:rsidP="00E05D08">
      <w:pPr>
        <w:spacing w:after="120" w:line="280" w:lineRule="atLeast"/>
        <w:mirrorIndents/>
        <w:rPr>
          <w:rFonts w:eastAsia="Times New Roman" w:cs="Arial"/>
          <w:smallCaps/>
          <w:color w:val="F07E31"/>
          <w:sz w:val="36"/>
          <w:szCs w:val="60"/>
          <w:lang w:eastAsia="de-DE"/>
        </w:rPr>
        <w:sectPr w:rsidR="00E05D08" w:rsidRPr="00F639C6"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INLEDNING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Varför utvärdera innovation i landsbygdsprogram? </w:t>
      </w:r>
    </w:p>
    <w:p w:rsidR="00A45935" w:rsidRPr="00E05D08" w:rsidRDefault="00E05D08" w:rsidP="00E05D08">
      <w:pPr>
        <w:spacing w:after="120" w:line="280" w:lineRule="atLeast"/>
        <w:mirrorIndents/>
        <w:rPr>
          <w:rFonts w:eastAsia="Times New Roman" w:cs="Times New Roman"/>
          <w:bCs/>
          <w:iCs/>
          <w:color w:val="000000"/>
          <w:szCs w:val="20"/>
        </w:rPr>
      </w:pPr>
      <w:r>
        <w:rPr>
          <w:b/>
          <w:bCs/>
          <w:i/>
          <w:iCs/>
          <w:szCs w:val="20"/>
        </w:rPr>
        <w:t>Innovation är ett av de tre övergripande målen för landsbygdspolitiken</w:t>
      </w:r>
      <w:r>
        <w:rPr>
          <w:rFonts w:eastAsia="Times New Roman" w:cs="Arial"/>
          <w:b/>
          <w:bCs/>
          <w:iCs/>
          <w:color w:val="000000"/>
          <w:szCs w:val="20"/>
          <w:vertAlign w:val="superscript"/>
          <w:lang w:eastAsia="de-DE"/>
        </w:rPr>
        <w:footnoteReference w:id="1"/>
      </w:r>
      <w:r>
        <w:rPr>
          <w:b/>
          <w:bCs/>
          <w:i/>
          <w:iCs/>
          <w:szCs w:val="20"/>
        </w:rPr>
        <w:t xml:space="preserve"> och kan hanteras genom de insatser som genomförs inom ramen för åtgärderna och fokusområdena i landsbygdsprogrammen 2014–2020</w:t>
      </w:r>
      <w:r>
        <w:rPr>
          <w:rFonts w:eastAsia="Times New Roman" w:cs="Arial"/>
          <w:b/>
          <w:i/>
          <w:iCs/>
          <w:szCs w:val="20"/>
          <w:vertAlign w:val="superscript"/>
          <w:lang w:eastAsia="de-DE"/>
        </w:rPr>
        <w:footnoteReference w:id="2"/>
      </w:r>
      <w:r>
        <w:rPr>
          <w:b/>
          <w:bCs/>
          <w:i/>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Pr>
          <w:b/>
        </w:rPr>
        <w:t>Utvärderingen av innovation</w:t>
      </w:r>
      <w:r>
        <w:t xml:space="preserve"> </w:t>
      </w:r>
      <w:r>
        <w:rPr>
          <w:b/>
          <w:szCs w:val="20"/>
        </w:rPr>
        <w:t>syftar till att fastställa vilka framsteg som gjorts mot detta övergripande mål</w:t>
      </w:r>
      <w:r>
        <w:rPr>
          <w:rFonts w:eastAsia="Times New Roman" w:cs="Arial"/>
          <w:bCs/>
          <w:iCs/>
          <w:color w:val="000000"/>
          <w:szCs w:val="20"/>
          <w:vertAlign w:val="superscript"/>
          <w:lang w:eastAsia="de-DE"/>
        </w:rPr>
        <w:footnoteReference w:id="3"/>
      </w:r>
      <w:r>
        <w:t>. Bidragen av de innovationer som stöds av Europeiska jordbruksfonden för landsbygdsutveckling (Ejflu) till målen för landsbygdsprogrammen och EU:s politik bedöms i syfte att besvara gemensamma utvärderingsfrågor som rör innovation.</w:t>
      </w:r>
    </w:p>
    <w:p w:rsidR="00A45935" w:rsidRPr="00E05D08" w:rsidRDefault="00A45935" w:rsidP="00E05D08">
      <w:pPr>
        <w:spacing w:after="120" w:line="280" w:lineRule="atLeast"/>
        <w:mirrorIndents/>
        <w:rPr>
          <w:rFonts w:eastAsia="Times New Roman" w:cs="Times New Roman"/>
          <w:szCs w:val="20"/>
        </w:rPr>
      </w:pPr>
      <w:r>
        <w:t>Det finns olika anledningar till varför innovation bör utvärderas:</w:t>
      </w:r>
    </w:p>
    <w:p w:rsidR="00A45935" w:rsidRPr="00B05B45" w:rsidRDefault="00A45935" w:rsidP="00D77B96">
      <w:pPr>
        <w:pStyle w:val="Hlistbullet"/>
      </w:pPr>
      <w:r>
        <w:rPr>
          <w:b/>
        </w:rPr>
        <w:t>Att fastställa ansvarigheten för interventioner inom landsbygdsutveckling</w:t>
      </w:r>
      <w:r>
        <w:t xml:space="preserve"> och visa hur de har främjat innovation i landsbygdsområden och bidragit till programmens resultat och effekter på målen för landsbygdspolitiken och Europa 2020-strategin. </w:t>
      </w:r>
    </w:p>
    <w:p w:rsidR="00A45935" w:rsidRPr="00B05B45" w:rsidRDefault="00A45935" w:rsidP="00D77B96">
      <w:pPr>
        <w:pStyle w:val="Hlistbullet"/>
      </w:pPr>
      <w:r>
        <w:rPr>
          <w:b/>
        </w:rPr>
        <w:t>Att ge Ejflus stöd för innovation en bättre målinriktning</w:t>
      </w:r>
      <w:r>
        <w:t xml:space="preserve"> genom att välja ut de stödmottagare och områden med de mest relevanta programmen samt de åtgärder som är lämpligast och mest stödberättigade. </w:t>
      </w:r>
    </w:p>
    <w:p w:rsidR="00A45935" w:rsidRPr="00B05B45" w:rsidRDefault="00A45935" w:rsidP="00D77B96">
      <w:pPr>
        <w:pStyle w:val="Hlistbullet"/>
      </w:pPr>
      <w:r>
        <w:rPr>
          <w:b/>
        </w:rPr>
        <w:t>Att förbättra de berörda aktörernas gemensamma kunskap</w:t>
      </w:r>
      <w:r>
        <w:t xml:space="preserve"> om hur innovativa projekt bör stödjas och genomföras genom att dra lärdom av tidigare erfarenheter och få en förståelse för villkoren för framgång. </w:t>
      </w:r>
    </w:p>
    <w:p w:rsidR="00A45935" w:rsidRPr="00E05D08"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631616" behindDoc="0" locked="0" layoutInCell="1" allowOverlap="1" wp14:anchorId="4554A0C8" wp14:editId="6744DD29">
                <wp:simplePos x="0" y="0"/>
                <wp:positionH relativeFrom="column">
                  <wp:posOffset>3114675</wp:posOffset>
                </wp:positionH>
                <wp:positionV relativeFrom="paragraph">
                  <wp:posOffset>190500</wp:posOffset>
                </wp:positionV>
                <wp:extent cx="2649855" cy="2944495"/>
                <wp:effectExtent l="0" t="0" r="17145" b="27305"/>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2944495"/>
                        </a:xfrm>
                        <a:prstGeom prst="round2DiagRect">
                          <a:avLst>
                            <a:gd name="adj1" fmla="val 8733"/>
                            <a:gd name="adj2" fmla="val 0"/>
                          </a:avLst>
                        </a:prstGeom>
                        <a:noFill/>
                        <a:ln w="25400" cap="flat" cmpd="sng" algn="ctr">
                          <a:solidFill>
                            <a:srgbClr val="BE4A35"/>
                          </a:solidFill>
                          <a:prstDash val="solid"/>
                        </a:ln>
                        <a:effectLst/>
                      </wps:spPr>
                      <wps:txbx>
                        <w:txbxContent>
                          <w:p w:rsidR="004C3777" w:rsidRPr="00D74B10" w:rsidRDefault="004C3777" w:rsidP="00E05D08">
                            <w:pPr>
                              <w:pStyle w:val="HBox"/>
                            </w:pPr>
                            <w:r>
                              <w:rPr>
                                <w:noProof/>
                                <w:lang w:val="en-GB" w:eastAsia="en-GB"/>
                              </w:rPr>
                              <w:drawing>
                                <wp:inline distT="0" distB="0" distL="0" distR="0" wp14:anchorId="296DBDDC" wp14:editId="72196A46">
                                  <wp:extent cx="664845" cy="487680"/>
                                  <wp:effectExtent l="0" t="0" r="0" b="7620"/>
                                  <wp:docPr id="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Det huvudsakliga syftet med dokumentet är att komplettera andra riktlinjer och erbjuda råd till de berörda aktörer som medverkar i utvärderingen av landsbygdsprogrammet om hur de kan genomföra utvärderingen för att </w:t>
                            </w:r>
                            <w:r>
                              <w:rPr>
                                <w:b/>
                              </w:rPr>
                              <w:t xml:space="preserve">svara på gemensamma utvärderingsfrågor som rör innovation. </w:t>
                            </w:r>
                            <w:r>
                              <w:t>Eftersom programmens effekter på innovation i landsbygdsområden kan förväntas vara</w:t>
                            </w:r>
                            <w:r>
                              <w:rPr>
                                <w:b/>
                              </w:rPr>
                              <w:t xml:space="preserve"> långsiktiga </w:t>
                            </w:r>
                            <w:r>
                              <w:t>är riktlinjerna särskilt inriktade på den utvärdering som kommer att rapporteras i den årliga genomföranderapport som ska lämnas in 2019 och den efterföljande utvärderingen.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A0C8" id="Rectangle: Diagonal Corners Rounded 90" o:spid="_x0000_s1029" style="position:absolute;left:0;text-align:left;margin-left:245.25pt;margin-top:15pt;width:208.65pt;height:231.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2944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" adj="-11796480,,5400" path="m231412,l2649855,r,l2649855,2713083v,127805,-103607,231412,-231412,231412l,2944495r,l,231412c,103607,103607,,231412,xe" filled="f" strokecolor="#be4a35" strokeweight="2pt">
                <v:stroke joinstyle="miter"/>
                <v:formulas/>
                <v:path arrowok="t" o:connecttype="custom" o:connectlocs="231412,0;2649855,0;2649855,0;2649855,2713083;2418443,2944495;0,2944495;0,2944495;0,231412;231412,0" o:connectangles="0,0,0,0,0,0,0,0,0" textboxrect="0,0,2649855,2944495"/>
                <v:textbox>
                  <w:txbxContent>
                    <w:p w:rsidR="004C3777" w:rsidRPr="00D74B10" w:rsidRDefault="004C3777" w:rsidP="00E05D08">
                      <w:pPr>
                        <w:pStyle w:val="HBox"/>
                      </w:pPr>
                      <w:r>
                        <w:rPr>
                          <w:noProof/>
                          <w:lang w:val="en-GB" w:eastAsia="en-GB"/>
                        </w:rPr>
                        <w:drawing>
                          <wp:inline distT="0" distB="0" distL="0" distR="0" wp14:anchorId="296DBDDC" wp14:editId="72196A46">
                            <wp:extent cx="664845" cy="487680"/>
                            <wp:effectExtent l="0" t="0" r="0" b="7620"/>
                            <wp:docPr id="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Det huvudsakliga syftet med dokumentet är att komplettera andra riktlinjer och erbjuda råd till de berörda aktörer som medverkar i utvärderingen av landsbygdsprogrammet om hur de kan genomföra utvärderingen för att </w:t>
                      </w:r>
                      <w:r>
                        <w:rPr>
                          <w:b/>
                        </w:rPr>
                        <w:t xml:space="preserve">svara på gemensamma utvärderingsfrågor som rör innovation. </w:t>
                      </w:r>
                      <w:r>
                        <w:t>Eftersom programmens effekter på innovation i landsbygdsområden kan förväntas vara</w:t>
                      </w:r>
                      <w:r>
                        <w:rPr>
                          <w:b/>
                        </w:rPr>
                        <w:t xml:space="preserve"> långsiktiga </w:t>
                      </w:r>
                      <w:r>
                        <w:t>är riktlinjerna särskilt inriktade på den utvärdering som kommer att rapporteras i den årliga genomföranderapport som ska lämnas in 2019 och den efterföljande utvärderingen.</w:t>
                      </w:r>
                    </w:p>
                  </w:txbxContent>
                </v:textbox>
                <w10:wrap type="square"/>
              </v:shape>
            </w:pict>
          </mc:Fallback>
        </mc:AlternateContent>
      </w:r>
      <w:r>
        <w:rPr>
          <w:b/>
          <w:color w:val="57825E"/>
          <w:szCs w:val="20"/>
        </w:rPr>
        <w:t>Varför behövs dessa riktlinjer?</w:t>
      </w:r>
    </w:p>
    <w:p w:rsidR="00A45935" w:rsidRPr="00E05D08" w:rsidRDefault="00A45935" w:rsidP="00E05D08">
      <w:pPr>
        <w:spacing w:after="120" w:line="280" w:lineRule="atLeast"/>
        <w:mirrorIndents/>
        <w:rPr>
          <w:rFonts w:eastAsia="Times New Roman" w:cs="Times New Roman"/>
          <w:szCs w:val="20"/>
        </w:rPr>
      </w:pPr>
      <w:r>
        <w:rPr>
          <w:b/>
          <w:szCs w:val="20"/>
        </w:rPr>
        <w:t>Utvärdering av innovation har blivit allt viktigare</w:t>
      </w:r>
      <w:r>
        <w:t xml:space="preserve"> under programperioden 2014–2020 eftersom frågan har fått en alltmer framträdande roll på den allmänna politiska agendan. Landsbygdsprogrammen kan stödja innovationsprocesserna och generera konkreta och immateriella resultat både inom programområdet och inom innovationssystemet som helhet. </w:t>
      </w:r>
    </w:p>
    <w:p w:rsidR="00A45935" w:rsidRPr="00E05D08" w:rsidRDefault="00A45935" w:rsidP="00E05D08">
      <w:pPr>
        <w:spacing w:after="120" w:line="280" w:lineRule="atLeast"/>
        <w:mirrorIndents/>
        <w:rPr>
          <w:rFonts w:eastAsia="Times New Roman" w:cs="Times New Roman"/>
          <w:szCs w:val="20"/>
        </w:rPr>
      </w:pPr>
      <w:r>
        <w:rPr>
          <w:b/>
          <w:szCs w:val="20"/>
        </w:rPr>
        <w:t xml:space="preserve">Identifieringen av dessa effekter medför flera utmaningar när det gäller metoderna </w:t>
      </w:r>
      <w:r>
        <w:t>för utvärderingen:</w:t>
      </w:r>
      <w:r>
        <w:rPr>
          <w:b/>
          <w:szCs w:val="20"/>
        </w:rPr>
        <w:t xml:space="preserve"> </w:t>
      </w:r>
      <w:r>
        <w:t>Hur ska ämnet för utvärderingen identifieras? Vilka effekter som bidrar till innovationsprocesserna i landsbygdsområden kan härledas till landsbygdsprogrammet? Hur kan bidragen av de innovationer som genererats genom Ejflus stöd till de övergripande resultaten och effekterna av landsbygdsprogrammet bedömas? Hur kan man mäta om de politiska målen på regional nivå, nationell nivå och EU-nivå har uppnåtts?</w:t>
      </w:r>
    </w:p>
    <w:p w:rsidR="00055039" w:rsidRDefault="00A45935" w:rsidP="00A6785E">
      <w:r>
        <w:t>Rapporten</w:t>
      </w:r>
      <w:r>
        <w:rPr>
          <w:b/>
        </w:rPr>
        <w:t xml:space="preserve"> </w:t>
      </w:r>
      <w:r>
        <w:rPr>
          <w:b/>
          <w:i/>
          <w:szCs w:val="20"/>
        </w:rPr>
        <w:t>Evaluation of innovation in RDPs 2014-2020</w:t>
      </w:r>
      <w:r>
        <w:rPr>
          <w:b/>
        </w:rPr>
        <w:t xml:space="preserve"> (Utvärdering av innovation i landsbygdsprogram 2014–2020) från den fjärde tematiska arbetsgruppen </w:t>
      </w:r>
      <w:r>
        <w:t xml:space="preserve">inom helpdesken för utvärdering syftade till att 1) undersöka och hantera de största utmaningarna vid utvärderingen av </w:t>
      </w:r>
      <w:r>
        <w:lastRenderedPageBreak/>
        <w:t xml:space="preserve">innovation, 2) granska befintliga erfarenheter av utvärdering inom området, 3) fastställa och utforma praktiska lösningar för utvärdering av innovation inom landsbygdsprogrammet, 4) ta fram </w:t>
      </w:r>
      <w:r>
        <w:rPr>
          <w:b/>
        </w:rPr>
        <w:t xml:space="preserve">icke-bindande riktlinjer för att besvara gemensamma utvärderingsfrågor som rör innovation </w:t>
      </w:r>
      <w:r>
        <w:t xml:space="preserve">genom att komplettera de befintliga riktlinjerna och det gemensamma uppföljnings- och utvärderingssystemet.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Vilka är målgrupperna för dessa riktlinjer?</w:t>
      </w:r>
    </w:p>
    <w:p w:rsidR="00A45935" w:rsidRPr="00E05D08" w:rsidRDefault="00A45935" w:rsidP="00E05D08">
      <w:pPr>
        <w:spacing w:after="120" w:line="280" w:lineRule="atLeast"/>
        <w:mirrorIndents/>
        <w:rPr>
          <w:rFonts w:eastAsia="Times New Roman" w:cs="Times New Roman"/>
          <w:szCs w:val="20"/>
        </w:rPr>
      </w:pPr>
      <w:r>
        <w:t xml:space="preserve">Dessa riktlinjer, </w:t>
      </w:r>
      <w:r>
        <w:rPr>
          <w:i/>
          <w:szCs w:val="20"/>
        </w:rPr>
        <w:t>Utvärdering av innovation i landsbygdsprogram 2014–2020</w:t>
      </w:r>
      <w:r>
        <w:t>, har utarbetats för olika grupper av intressenter inom landsbygdsutveckling:</w:t>
      </w:r>
    </w:p>
    <w:p w:rsidR="00A45935" w:rsidRPr="00E16522" w:rsidRDefault="00A45935" w:rsidP="00D77B96">
      <w:r>
        <w:rPr>
          <w:b/>
        </w:rPr>
        <w:t>Förvaltande myndigheter</w:t>
      </w:r>
      <w:r>
        <w:t xml:space="preserve"> kommer att hitta information om utvärderingen av innovation på programnivå, inklusive de innovationsrelaterade utvärderingsfrågornas koncept, politiska ram och inriktning. Praktiska riktlinjer ges för att visa hur utvärderingen kan förberedas, hanteras och koordineras och hur innovationernas bidrag till landsbygdsprogrammens mål kan bedömas. </w:t>
      </w:r>
    </w:p>
    <w:p w:rsidR="00A45935" w:rsidRPr="00C37C7A" w:rsidRDefault="00A45935" w:rsidP="00C37C7A">
      <w:r>
        <w:rPr>
          <w:b/>
        </w:rPr>
        <w:t xml:space="preserve">Utvärderingsexperter </w:t>
      </w:r>
      <w:r>
        <w:t xml:space="preserve">kommer att hitta lösningar på olika problem i samband med utvärderingen av innovation (t.ex. hur innovationspotentialen i landsbygdsprogrammet ska förhandsgranskas vid fastställandet av programmets interventionslogik och hur innovationernas bidrag till uppfyllandet av programmets mål, resultat och effekter ska analyseras). Utvärderare kommer även att få stöd för att välja ut den bästa utvärderingsmetoden och samla in bevis för att besvara utvärderingsfrågorna. </w:t>
      </w:r>
    </w:p>
    <w:p w:rsidR="00A45935" w:rsidRPr="00E16522" w:rsidRDefault="00A45935" w:rsidP="00AA5817">
      <w:pPr>
        <w:pStyle w:val="HStandard"/>
      </w:pPr>
      <w:r>
        <w:rPr>
          <w:b/>
        </w:rPr>
        <w:t>Andra berörda aktörer</w:t>
      </w:r>
      <w:r>
        <w:t xml:space="preserve"> kan använda riktlinjerna som referensdokument, däribland </w:t>
      </w:r>
      <w:r>
        <w:rPr>
          <w:b/>
        </w:rPr>
        <w:t xml:space="preserve">tjänstemän inom Europeiska kommissionen </w:t>
      </w:r>
      <w:r>
        <w:t xml:space="preserve">(för frågor som uppstår angående utvärderingen av innovation), </w:t>
      </w:r>
      <w:r>
        <w:rPr>
          <w:b/>
        </w:rPr>
        <w:t xml:space="preserve">operativa grupper inom det europeiska innovationspartnerskapet </w:t>
      </w:r>
      <w:r>
        <w:t xml:space="preserve">(som bakgrundsinformation vid utformning av projekt och för förståelsen av deras innovationspotential), </w:t>
      </w:r>
      <w:r>
        <w:rPr>
          <w:b/>
        </w:rPr>
        <w:t>medlemmar i lokala aktionsgrupper</w:t>
      </w:r>
      <w:r>
        <w:t xml:space="preserve"> (vid utvärdering/egenbedömning av innovativa faktorer i deras strategier för lokalt ledd utveckling [LLU] och deras effekter på innovation i landsbygdsområdena), samt </w:t>
      </w:r>
      <w:r>
        <w:rPr>
          <w:b/>
        </w:rPr>
        <w:t>nationella landsbygdsnätverk</w:t>
      </w:r>
      <w:r>
        <w:t xml:space="preserve"> som inrättar och stöder lokala aktionsgrupper och operativa grupper inom det europeiska innovationspartnerskapet.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Hur är riktlinjerna utformade?</w:t>
      </w:r>
    </w:p>
    <w:p w:rsidR="00A45935" w:rsidRPr="00E05D08" w:rsidRDefault="00A45935" w:rsidP="00E05D08">
      <w:pPr>
        <w:spacing w:after="120" w:line="280" w:lineRule="atLeast"/>
        <w:mirrorIndents/>
        <w:rPr>
          <w:rFonts w:eastAsia="Times New Roman" w:cs="Times New Roman"/>
          <w:szCs w:val="20"/>
        </w:rPr>
      </w:pPr>
      <w:r>
        <w:t xml:space="preserve">Riktlinjerna består av tre olika delar: </w:t>
      </w:r>
    </w:p>
    <w:p w:rsidR="00A45935" w:rsidRPr="00E05D08" w:rsidRDefault="00A45935" w:rsidP="00E05D08">
      <w:pPr>
        <w:spacing w:after="120" w:line="280" w:lineRule="atLeast"/>
        <w:mirrorIndents/>
        <w:rPr>
          <w:rFonts w:eastAsia="Times New Roman" w:cs="Times New Roman"/>
          <w:szCs w:val="20"/>
        </w:rPr>
      </w:pPr>
      <w:r>
        <w:t xml:space="preserve">I </w:t>
      </w:r>
      <w:r>
        <w:rPr>
          <w:b/>
          <w:color w:val="F07E31"/>
          <w:szCs w:val="20"/>
        </w:rPr>
        <w:t xml:space="preserve">kapitel 1 </w:t>
      </w:r>
      <w:r>
        <w:t xml:space="preserve">förklaras innovationssystemet i landsbygdsområde och konceptet för utvärdering av innovation inom landsbygdsutveckling. Genom konceptet presenteras den politiska ramen för EU och landsbygdsprogrammet och hur de samverkar med varandra, såväl som en översikt över gemensamma utvärderingsfaktorer. I kapitel 1.3 diskuteras även utmaningar i samband med utvärdering av innovation inom politik för landsbygdsutveckling. </w:t>
      </w:r>
    </w:p>
    <w:p w:rsidR="00A45935" w:rsidRPr="00E05D08" w:rsidRDefault="00A45935" w:rsidP="00E05D08">
      <w:pPr>
        <w:spacing w:after="120" w:line="280" w:lineRule="atLeast"/>
        <w:mirrorIndents/>
        <w:rPr>
          <w:rFonts w:eastAsia="Times New Roman" w:cs="Times New Roman"/>
          <w:szCs w:val="20"/>
        </w:rPr>
      </w:pPr>
      <w:r>
        <w:t xml:space="preserve">I </w:t>
      </w:r>
      <w:r>
        <w:rPr>
          <w:b/>
          <w:color w:val="F07E31"/>
          <w:szCs w:val="20"/>
        </w:rPr>
        <w:t>kapitel 2</w:t>
      </w:r>
      <w:r>
        <w:rPr>
          <w:color w:val="F07E31"/>
          <w:szCs w:val="20"/>
        </w:rPr>
        <w:t xml:space="preserve"> </w:t>
      </w:r>
      <w:r>
        <w:t xml:space="preserve">informeras förvaltande myndigheter om särskilda frågor med anknytning till utvärdering av innovation och rapporteringskrav. Kapitel 2.2 innehåller en förklaring av tillvägagångssätten för att besvara de innovationsrelaterade utvärderingsfrågorna samt särskilda riktlinjer för var och en av de gemensamma utvärderingsfrågorna nummer 1, 2, 21, 23 och 30 avseende de aspekter som rör innovation. Informationen omfattar en beskrivning av vilka metoder som är lämpliga för utvärdering av innovation.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Kapitel 3 </w:t>
      </w:r>
      <w:r>
        <w:t xml:space="preserve">(bilagor) innehåller en ordlista och en beskrivning av de olika stegen för identifiering av landsbygdsprogrammets innovationspotential.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rsidR="00A45935" w:rsidRPr="00967CFD" w:rsidRDefault="00A45935" w:rsidP="00582F60">
      <w:pPr>
        <w:pStyle w:val="HHeading1"/>
        <w:tabs>
          <w:tab w:val="clear" w:pos="567"/>
        </w:tabs>
      </w:pPr>
      <w:bookmarkStart w:id="6" w:name="_Toc508290297"/>
      <w:r>
        <w:lastRenderedPageBreak/>
        <w:t>DEN BEGREPPSMÄSSIGA RAMEN</w:t>
      </w:r>
      <w:bookmarkEnd w:id="5"/>
      <w:bookmarkEnd w:id="6"/>
    </w:p>
    <w:p w:rsidR="00A45935" w:rsidRPr="00967CFD" w:rsidRDefault="00405B0B" w:rsidP="00C37C7A">
      <w:pPr>
        <w:pStyle w:val="HHeading2"/>
      </w:pPr>
      <w:bookmarkStart w:id="7" w:name="Innovation_RD"/>
      <w:bookmarkStart w:id="8" w:name="_Toc501382121"/>
      <w:bookmarkStart w:id="9" w:name="_Toc508290298"/>
      <w:bookmarkStart w:id="10" w:name="_Toc493151895"/>
      <w:bookmarkEnd w:id="7"/>
      <w:r>
        <w:rPr>
          <w:noProof/>
          <w:lang w:val="en-GB" w:eastAsia="en-GB"/>
        </w:rPr>
        <mc:AlternateContent>
          <mc:Choice Requires="wps">
            <w:drawing>
              <wp:anchor distT="0" distB="0" distL="114300" distR="114300" simplePos="0" relativeHeight="251633664" behindDoc="0" locked="0" layoutInCell="1" allowOverlap="1" wp14:anchorId="1BDC614C" wp14:editId="766A6DA5">
                <wp:simplePos x="0" y="0"/>
                <wp:positionH relativeFrom="column">
                  <wp:posOffset>3031490</wp:posOffset>
                </wp:positionH>
                <wp:positionV relativeFrom="paragraph">
                  <wp:posOffset>240665</wp:posOffset>
                </wp:positionV>
                <wp:extent cx="2642235" cy="2926080"/>
                <wp:effectExtent l="0" t="0" r="24765" b="26670"/>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2926080"/>
                        </a:xfrm>
                        <a:prstGeom prst="round2DiagRect">
                          <a:avLst>
                            <a:gd name="adj1" fmla="val 6695"/>
                            <a:gd name="adj2" fmla="val 0"/>
                          </a:avLst>
                        </a:prstGeom>
                        <a:noFill/>
                        <a:ln w="25400" cap="flat" cmpd="sng" algn="ctr">
                          <a:solidFill>
                            <a:srgbClr val="BE4A35"/>
                          </a:solidFill>
                          <a:prstDash val="solid"/>
                        </a:ln>
                        <a:effectLst/>
                      </wps:spPr>
                      <wps:txbx>
                        <w:txbxContent>
                          <w:p w:rsidR="004C3777" w:rsidRDefault="004C3777" w:rsidP="00E05D08">
                            <w:pPr>
                              <w:pStyle w:val="HStandard"/>
                            </w:pPr>
                            <w:r>
                              <w:rPr>
                                <w:noProof/>
                                <w:lang w:val="en-GB" w:eastAsia="en-GB"/>
                              </w:rPr>
                              <w:drawing>
                                <wp:inline distT="0" distB="0" distL="0" distR="0" wp14:anchorId="540EF8F6" wp14:editId="5D71E72F">
                                  <wp:extent cx="664845" cy="487680"/>
                                  <wp:effectExtent l="0" t="0" r="0" b="7620"/>
                                  <wp:docPr id="8"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Innovation beskrivs ofta som </w:t>
                            </w:r>
                            <w:r>
                              <w:rPr>
                                <w:b/>
                                <w:color w:val="BE4A35"/>
                                <w:sz w:val="18"/>
                              </w:rPr>
                              <w:t>en ny idé som visar sig vara framgångsrik i praktiken.</w:t>
                            </w:r>
                            <w:r>
                              <w:rPr>
                                <w:sz w:val="18"/>
                              </w:rPr>
                              <w:t xml:space="preserve"> Innovation kan vara teknisk, men även icke-teknisk, organisatorisk eller social. Innovation kan vara baserad på ny, men även traditionell, praxis i ett nytt geografiskt eller miljömässigt sammanhang. Den nya idén kan vara en ny produkt, praxis, tjänst, produktionsprocess eller ett nytt sätt att organisera saker och ting etc. En sådan ny idé blir endast en innovation om den är allmänt godtagen och visar sig användbar i praktiken.</w:t>
                            </w:r>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614C" id="Rectangle: Diagonal Corners Rounded 32" o:spid="_x0000_s1030" style="position:absolute;left:0;text-align:left;margin-left:238.7pt;margin-top:18.95pt;width:208.05pt;height:230.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2926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" adj="-11796480,,5400" path="m176898,l2642235,r,l2642235,2749182v,97698,-79200,176898,-176898,176898l,2926080r,l,176898c,79200,79200,,176898,xe" filled="f" strokecolor="#be4a35" strokeweight="2pt">
                <v:stroke joinstyle="miter"/>
                <v:formulas/>
                <v:path arrowok="t" o:connecttype="custom" o:connectlocs="176898,0;2642235,0;2642235,0;2642235,2749182;2465337,2926080;0,2926080;0,2926080;0,176898;176898,0" o:connectangles="0,0,0,0,0,0,0,0,0" textboxrect="0,0,2642235,2926080"/>
                <v:textbox>
                  <w:txbxContent>
                    <w:p w:rsidR="004C3777" w:rsidRDefault="004C3777" w:rsidP="00E05D08">
                      <w:pPr>
                        <w:pStyle w:val="HStandard"/>
                      </w:pPr>
                      <w:r>
                        <w:rPr>
                          <w:noProof/>
                          <w:lang w:val="en-GB" w:eastAsia="en-GB"/>
                        </w:rPr>
                        <w:drawing>
                          <wp:inline distT="0" distB="0" distL="0" distR="0" wp14:anchorId="540EF8F6" wp14:editId="5D71E72F">
                            <wp:extent cx="664845" cy="487680"/>
                            <wp:effectExtent l="0" t="0" r="0" b="7620"/>
                            <wp:docPr id="8"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Innovation beskrivs ofta som </w:t>
                      </w:r>
                      <w:r>
                        <w:rPr>
                          <w:b/>
                          <w:color w:val="BE4A35"/>
                          <w:sz w:val="18"/>
                        </w:rPr>
                        <w:t>en ny idé som visar sig vara framgångsrik i praktiken.</w:t>
                      </w:r>
                      <w:r>
                        <w:rPr>
                          <w:sz w:val="18"/>
                        </w:rPr>
                        <w:t xml:space="preserve"> Innovation kan vara teknisk, men även icke-teknisk, organisatorisk eller social. Innovation kan vara baserad på ny, men även traditionell, praxis i ett nytt geografiskt eller miljömässigt sammanhang. Den nya idén kan vara en ny produkt, praxis, tjänst, produktionsprocess eller ett nytt sätt att organisera saker och ting etc. En sådan ny idé blir endast en innovation om den är allmänt godtagen och visar sig användbar i praktiken.</w:t>
                      </w:r>
                      <w:r>
                        <w:rPr>
                          <w:sz w:val="18"/>
                          <w:vertAlign w:val="superscript"/>
                        </w:rPr>
                        <w:t>4</w:t>
                      </w:r>
                      <w:r>
                        <w:rPr>
                          <w:sz w:val="18"/>
                        </w:rPr>
                        <w:t xml:space="preserve"> </w:t>
                      </w:r>
                    </w:p>
                  </w:txbxContent>
                </v:textbox>
                <w10:wrap type="square"/>
              </v:shape>
            </w:pict>
          </mc:Fallback>
        </mc:AlternateContent>
      </w:r>
      <w:r>
        <w:t>Innovation och landsbygdsutveckling</w:t>
      </w:r>
      <w:bookmarkEnd w:id="8"/>
      <w:bookmarkEnd w:id="9"/>
      <w:r>
        <w:t xml:space="preserve"> </w:t>
      </w:r>
      <w:bookmarkEnd w:id="10"/>
    </w:p>
    <w:p w:rsidR="00A45935" w:rsidRPr="00E05D08" w:rsidRDefault="00A45935" w:rsidP="00230C31">
      <w:pPr>
        <w:pStyle w:val="HHeading4"/>
      </w:pPr>
      <w:r>
        <w:t>Hur kan vi förstå innovation?</w:t>
      </w:r>
    </w:p>
    <w:p w:rsidR="00A45935" w:rsidRPr="00E05D08" w:rsidRDefault="00A45935" w:rsidP="00E05D08">
      <w:pPr>
        <w:spacing w:after="120" w:line="280" w:lineRule="atLeast"/>
        <w:mirrorIndents/>
        <w:rPr>
          <w:rFonts w:eastAsia="Times New Roman" w:cs="Times New Roman"/>
          <w:szCs w:val="20"/>
        </w:rPr>
      </w:pPr>
      <w:r>
        <w:rPr>
          <w:b/>
          <w:szCs w:val="20"/>
        </w:rPr>
        <w:t xml:space="preserve">Inom ramen för landsbygdsutveckling inom EU </w:t>
      </w:r>
      <w:r>
        <w:t>har en ganska bred syn på innovation antagits</w:t>
      </w:r>
      <w:r>
        <w:rPr>
          <w:rStyle w:val="FootnoteReference"/>
          <w:rFonts w:eastAsia="Times New Roman" w:cs="Times New Roman"/>
          <w:color w:val="FFFFFF" w:themeColor="background1"/>
          <w:szCs w:val="20"/>
          <w:lang w:eastAsia="de-DE"/>
        </w:rPr>
        <w:footnoteReference w:id="4"/>
      </w:r>
      <w:r>
        <w:t>.</w:t>
      </w:r>
      <w:bookmarkStart w:id="11" w:name="_Hlk501370282"/>
      <w:r w:rsidR="003039D5">
        <w:t xml:space="preserve"> </w:t>
      </w:r>
      <w:r>
        <w:t xml:space="preserve">Denna </w:t>
      </w:r>
      <w:r>
        <w:rPr>
          <w:b/>
          <w:szCs w:val="20"/>
        </w:rPr>
        <w:t>breda syn på innovation</w:t>
      </w:r>
      <w:r>
        <w:t xml:space="preserve"> gör att den kan anpassas till olika socioekonomiska och miljömässiga situationer i hela EU. Den hänför sig till landsbygdsprogrammets utformning och dess förmåga att samverka med det befintliga sammanhanget och att säkerställa nya lösningar för landsbygdens utmaningar och behov. Sådana lösningar är inte nödvändigtvis radikala och omfattande, utan de kan även gälla mindre förändringar som kan lägga grunden för större insatser. </w:t>
      </w:r>
    </w:p>
    <w:p w:rsidR="00A45935" w:rsidRPr="00E05D08" w:rsidRDefault="00A45935" w:rsidP="00230C31">
      <w:pPr>
        <w:pStyle w:val="HHeading4"/>
      </w:pPr>
      <w:r>
        <w:t>Hur kan interventioner inom landsbygdsprogrammet bidra till innovation?</w:t>
      </w:r>
    </w:p>
    <w:p w:rsidR="00A45935" w:rsidRPr="00E05D08" w:rsidRDefault="00A45935" w:rsidP="00E05D08">
      <w:pPr>
        <w:spacing w:after="120" w:line="280" w:lineRule="atLeast"/>
        <w:mirrorIndents/>
        <w:rPr>
          <w:rFonts w:eastAsia="Times New Roman" w:cs="Times New Roman"/>
          <w:szCs w:val="20"/>
        </w:rPr>
      </w:pPr>
      <w:r>
        <w:rPr>
          <w:b/>
          <w:szCs w:val="20"/>
        </w:rPr>
        <w:t>Politiken för landsbygdsutveckling är utformad för att främja innovation</w:t>
      </w:r>
      <w:r>
        <w:t xml:space="preserve"> (teknisk, institutionell och social) som en faktor som gör det möjligt att uppnå landsbygdsutvecklingens mål och prioriteringar och att hantera dess utmaningar. Åtgärder/delåtgärder och stödmottagare (t.ex. operativa grupper inom det europeiska innovationspartnerskapet, lokala aktionsgrupper, lantbrukare etc.) inom landsbygdsprogrammet producerar resultat och effekter som bidrar till uppfyllandet av programmets mål och som både influerar och influeras av det innovationssystem som de är en del av. </w:t>
      </w:r>
    </w:p>
    <w:p w:rsidR="00A45935" w:rsidRPr="00E05D08" w:rsidRDefault="00674A4B" w:rsidP="00E05D08">
      <w:pPr>
        <w:spacing w:after="120" w:line="280" w:lineRule="atLeast"/>
        <w:mirrorIndents/>
        <w:rPr>
          <w:rFonts w:eastAsia="Times New Roman" w:cs="Times New Roman"/>
          <w:szCs w:val="20"/>
        </w:rPr>
      </w:pPr>
      <w:r>
        <w:rPr>
          <w:b/>
          <w:szCs w:val="20"/>
        </w:rPr>
        <w:t>Innovationssystemet</w:t>
      </w:r>
      <w:r>
        <w:t xml:space="preserve"> på lokal, regional, nationell eller överstatlig nivå omfattar en ganska heterogen grupp av innovationsaktörer, däribland landsbygdsentreprenörer (t.ex. lantbrukare och skogsbrukare), insats- och turistbranscher, bearbetningsföretag, näringsidkare, tillsynsmyndigheter, forskare, rådgivningstjänster, statliga organisationer och organisationer i det civila samhället. Interaktiv experimentell utbildning bland dessa aktörer spelar en viktig roll för innovationssystemet eftersom den bidrar till att nya idéer (för systemet) används. Flödet av teknik och information bland aktörer är nyckeln till innovationsprocessen inom innovationssystemet. </w:t>
      </w:r>
    </w:p>
    <w:p w:rsidR="00405B0B" w:rsidRDefault="00405B0B">
      <w:pPr>
        <w:jc w:val="left"/>
        <w:rPr>
          <w:rFonts w:eastAsia="Times New Roman" w:cs="Times New Roman"/>
          <w:b/>
          <w:szCs w:val="20"/>
        </w:rPr>
      </w:pPr>
      <w:r>
        <w:br w:type="page"/>
      </w:r>
    </w:p>
    <w:p w:rsidR="00BE62C8" w:rsidRDefault="009D1F1B" w:rsidP="00E05D08">
      <w:pPr>
        <w:spacing w:after="120" w:line="280" w:lineRule="atLeast"/>
        <w:mirrorIndents/>
        <w:rPr>
          <w:b/>
          <w:szCs w:val="20"/>
        </w:rPr>
      </w:pPr>
      <w:r>
        <w:rPr>
          <w:noProof/>
          <w:szCs w:val="20"/>
          <w:lang w:val="en-GB" w:eastAsia="en-GB"/>
        </w:rPr>
        <w:lastRenderedPageBreak/>
        <mc:AlternateContent>
          <mc:Choice Requires="wps">
            <w:drawing>
              <wp:anchor distT="0" distB="0" distL="114300" distR="114300" simplePos="0" relativeHeight="251680768" behindDoc="0" locked="0" layoutInCell="1" allowOverlap="1" wp14:anchorId="04D861B7" wp14:editId="7FCE29D8">
                <wp:simplePos x="0" y="0"/>
                <wp:positionH relativeFrom="column">
                  <wp:posOffset>0</wp:posOffset>
                </wp:positionH>
                <wp:positionV relativeFrom="paragraph">
                  <wp:posOffset>0</wp:posOffset>
                </wp:positionV>
                <wp:extent cx="5811520" cy="2389505"/>
                <wp:effectExtent l="0" t="0" r="17780" b="10795"/>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389505"/>
                        </a:xfrm>
                        <a:prstGeom prst="round2DiagRect">
                          <a:avLst>
                            <a:gd name="adj1" fmla="val 7093"/>
                            <a:gd name="adj2" fmla="val 0"/>
                          </a:avLst>
                        </a:prstGeom>
                        <a:noFill/>
                        <a:ln w="25400" cap="flat" cmpd="sng" algn="ctr">
                          <a:solidFill>
                            <a:srgbClr val="BE4A35"/>
                          </a:solidFill>
                          <a:prstDash val="solid"/>
                        </a:ln>
                        <a:effectLst/>
                      </wps:spPr>
                      <wps:txbx>
                        <w:txbxContent>
                          <w:p w:rsidR="004C3777" w:rsidRPr="00270814" w:rsidRDefault="004C3777" w:rsidP="00674A4B">
                            <w:pPr>
                              <w:pStyle w:val="HBox"/>
                            </w:pPr>
                            <w:r>
                              <w:rPr>
                                <w:noProof/>
                                <w:lang w:val="en-GB" w:eastAsia="en-GB"/>
                              </w:rPr>
                              <w:drawing>
                                <wp:inline distT="0" distB="0" distL="0" distR="0" wp14:anchorId="09C68D96" wp14:editId="2132592F">
                                  <wp:extent cx="664845" cy="487680"/>
                                  <wp:effectExtent l="0" t="0" r="0" b="7620"/>
                                  <wp:docPr id="9"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Vid sidan av politiken för landsbygdsutveckling </w:t>
                            </w:r>
                            <w:r>
                              <w:rPr>
                                <w:b/>
                                <w:color w:val="BE4A35"/>
                              </w:rPr>
                              <w:t>kan innovationssystemet påverkas av många andra faktorer</w:t>
                            </w:r>
                            <w:r>
                              <w:t xml:space="preserve"> i landsbygdsområdena, däribland forskning, utbildning, skatteregler och andra program som finansieras av EU-fonder (Horisont 2020, operativa program som finansieras av ESI-fonderna) och som stöder innovativa åtgärder och processer. Marknadens efterfrågan på innovationer kan också spela en viktig roll.</w:t>
                            </w:r>
                          </w:p>
                          <w:p w:rsidR="004C3777" w:rsidRPr="00D74B10" w:rsidRDefault="004C3777" w:rsidP="00674A4B">
                            <w:pPr>
                              <w:pStyle w:val="HBox"/>
                            </w:pPr>
                            <w:r>
                              <w:t>Innovationens spridning till allmänheten beror inte bara på hur stark en kreativ idé är, utan även på marknadsmöjligheterna, hur villig sektorn är att ta till vara på idén, kostnadseffektiviteten, kunskap och uppfattningar, tillfälliga externa faktorer etc. Det är omöjligt att förutse hur dessa faktorer kommer att samverka för att omvandla en ny idé till en innovation. Därför går det bara i efterhand att avgöra om en ny idé har lett till en verklig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61B7" id="Rectangle: Diagonal Corners Rounded 53" o:spid="_x0000_s1031" style="position:absolute;left:0;text-align:left;margin-left:0;margin-top:0;width:457.6pt;height:18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389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" adj="-11796480,,5400" path="m169488,l5811520,r,l5811520,2220017v,93606,-75882,169488,-169488,169488l,2389505r,l,169488c,75882,75882,,169488,xe" filled="f" strokecolor="#be4a35" strokeweight="2pt">
                <v:stroke joinstyle="miter"/>
                <v:formulas/>
                <v:path arrowok="t" o:connecttype="custom" o:connectlocs="169488,0;5811520,0;5811520,0;5811520,2220017;5642032,2389505;0,2389505;0,2389505;0,169488;169488,0" o:connectangles="0,0,0,0,0,0,0,0,0" textboxrect="0,0,5811520,2389505"/>
                <v:textbox>
                  <w:txbxContent>
                    <w:p w:rsidR="004C3777" w:rsidRPr="00270814" w:rsidRDefault="004C3777" w:rsidP="00674A4B">
                      <w:pPr>
                        <w:pStyle w:val="HBox"/>
                      </w:pPr>
                      <w:r>
                        <w:rPr>
                          <w:noProof/>
                          <w:lang w:val="en-GB" w:eastAsia="en-GB"/>
                        </w:rPr>
                        <w:drawing>
                          <wp:inline distT="0" distB="0" distL="0" distR="0" wp14:anchorId="09C68D96" wp14:editId="2132592F">
                            <wp:extent cx="664845" cy="487680"/>
                            <wp:effectExtent l="0" t="0" r="0" b="7620"/>
                            <wp:docPr id="9"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Vid sidan av politiken för landsbygdsutveckling </w:t>
                      </w:r>
                      <w:r>
                        <w:rPr>
                          <w:b/>
                          <w:color w:val="BE4A35"/>
                        </w:rPr>
                        <w:t>kan innovationssystemet påverkas av många andra faktorer</w:t>
                      </w:r>
                      <w:r>
                        <w:t xml:space="preserve"> i landsbygdsområdena, däribland forskning, utbildning, skatteregler och andra program som finansieras av EU-fonder (Horisont 2020, operativa program som finansieras av ESI-fonderna) och som stöder innovativa åtgärder och processer. Marknadens efterfrågan på innovationer kan också spela en viktig roll.</w:t>
                      </w:r>
                    </w:p>
                    <w:p w:rsidR="004C3777" w:rsidRPr="00D74B10" w:rsidRDefault="004C3777" w:rsidP="00674A4B">
                      <w:pPr>
                        <w:pStyle w:val="HBox"/>
                      </w:pPr>
                      <w:r>
                        <w:t>Innovationens spridning till allmänheten beror inte bara på hur stark en kreativ idé är, utan även på marknadsmöjligheterna, hur villig sektorn är att ta till vara på idén, kostnadseffektiviteten, kunskap och uppfattningar, tillfälliga externa faktorer etc. Det är omöjligt att förutse hur dessa faktorer kommer att samverka för att omvandla en ny idé till en innovation. Därför går det bara i efterhand att avgöra om en ny idé har lett till en verklig innovation.</w:t>
                      </w:r>
                    </w:p>
                  </w:txbxContent>
                </v:textbox>
                <w10:wrap type="square"/>
              </v:shape>
            </w:pict>
          </mc:Fallback>
        </mc:AlternateContent>
      </w:r>
    </w:p>
    <w:p w:rsidR="00A45935" w:rsidRPr="00E05D08" w:rsidRDefault="00BE62C8" w:rsidP="00E05D08">
      <w:pPr>
        <w:spacing w:after="120" w:line="280" w:lineRule="atLeast"/>
        <w:mirrorIndents/>
        <w:rPr>
          <w:rFonts w:eastAsia="Times New Roman" w:cs="Times New Roman"/>
          <w:szCs w:val="20"/>
        </w:rPr>
      </w:pPr>
      <w:r>
        <w:rPr>
          <w:b/>
          <w:szCs w:val="20"/>
        </w:rPr>
        <w:t>I</w:t>
      </w:r>
      <w:r w:rsidR="00A45935">
        <w:rPr>
          <w:b/>
          <w:szCs w:val="20"/>
        </w:rPr>
        <w:t>nnovationsprocessen omfattar tre handlingsvägar</w:t>
      </w:r>
      <w:r w:rsidR="00A45935">
        <w:t xml:space="preserve">. </w:t>
      </w:r>
    </w:p>
    <w:p w:rsidR="00A45935" w:rsidRPr="00987055" w:rsidRDefault="00A45935" w:rsidP="008C0B17">
      <w:pPr>
        <w:numPr>
          <w:ilvl w:val="0"/>
          <w:numId w:val="66"/>
        </w:numPr>
        <w:mirrorIndents/>
        <w:rPr>
          <w:szCs w:val="20"/>
        </w:rPr>
      </w:pPr>
      <w:r>
        <w:rPr>
          <w:b/>
          <w:color w:val="F07E31"/>
          <w:szCs w:val="20"/>
        </w:rPr>
        <w:t>Handlingsväg 1:</w:t>
      </w:r>
      <w:r>
        <w:t xml:space="preserve"> insamling och utveckling av nya idéer (dvs. nya synsätt, metoder,</w:t>
      </w:r>
      <w:r>
        <w:rPr>
          <w:rFonts w:ascii="Times New Roman" w:hAnsi="Times New Roman"/>
          <w:sz w:val="24"/>
          <w:szCs w:val="20"/>
        </w:rPr>
        <w:t xml:space="preserve"> </w:t>
      </w:r>
      <w:r>
        <w:t xml:space="preserve">produkter, rutiner, tjänster, produktionsprocesser/teknik, nya organisationssätt eller nya former av samarbete och utbildning). </w:t>
      </w:r>
    </w:p>
    <w:p w:rsidR="00A45935" w:rsidRDefault="00A45935" w:rsidP="008C0B17">
      <w:pPr>
        <w:numPr>
          <w:ilvl w:val="0"/>
          <w:numId w:val="66"/>
        </w:numPr>
        <w:mirrorIndents/>
        <w:rPr>
          <w:szCs w:val="20"/>
        </w:rPr>
      </w:pPr>
      <w:r>
        <w:rPr>
          <w:b/>
          <w:color w:val="F07E31"/>
          <w:szCs w:val="20"/>
        </w:rPr>
        <w:t>Handlingsväg 2:</w:t>
      </w:r>
      <w:r>
        <w:rPr>
          <w:b/>
          <w:szCs w:val="20"/>
        </w:rPr>
        <w:t xml:space="preserve"> </w:t>
      </w:r>
      <w:r>
        <w:t xml:space="preserve">utnyttjande av individers kapacitet samt kapaciteten hos kunskapen och innovationssystemet i sig vad gäller att experimentera, organisera och använda nya idéer och tillvägagångssätt. </w:t>
      </w:r>
    </w:p>
    <w:p w:rsidR="00A45935" w:rsidRPr="00987055" w:rsidRDefault="00A45935" w:rsidP="008C0B17">
      <w:pPr>
        <w:numPr>
          <w:ilvl w:val="0"/>
          <w:numId w:val="66"/>
        </w:numPr>
        <w:mirrorIndents/>
        <w:rPr>
          <w:szCs w:val="20"/>
        </w:rPr>
      </w:pPr>
      <w:r>
        <w:rPr>
          <w:b/>
          <w:color w:val="F07E31"/>
          <w:szCs w:val="20"/>
        </w:rPr>
        <w:t>Handlingsväg 3:</w:t>
      </w:r>
      <w:r>
        <w:t xml:space="preserve"> skapande av gynnsamma förutsättningar för nya innovativa processer i den institutionella och politiska miljön. </w:t>
      </w:r>
      <w:bookmarkStart w:id="12" w:name="_Toc476660915"/>
      <w:bookmarkStart w:id="13" w:name="_Toc476661047"/>
    </w:p>
    <w:p w:rsidR="00A45935" w:rsidRPr="0095292E" w:rsidRDefault="00A45935" w:rsidP="0095292E">
      <w:pPr>
        <w:mirrorIndents/>
        <w:rPr>
          <w:szCs w:val="20"/>
        </w:rPr>
      </w:pPr>
      <w:r>
        <w:t>De tre handlingsvägarna ska inte ses som isolerade processer, utan snarare som överlappande och sammanlänkade ingångsvägar till innovation (figur 1).</w:t>
      </w:r>
    </w:p>
    <w:p w:rsidR="00A45935" w:rsidRDefault="00674A4B" w:rsidP="00147EAF">
      <w:pPr>
        <w:pStyle w:val="HHeadingfigures"/>
        <w:tabs>
          <w:tab w:val="clear" w:pos="964"/>
        </w:tabs>
      </w:pPr>
      <w:bookmarkStart w:id="14" w:name="Pathways"/>
      <w:bookmarkStart w:id="15" w:name="_Toc508290394"/>
      <w:bookmarkEnd w:id="14"/>
      <w:r>
        <w:t>Förenklad bild av hur landsbygdsprogram främjar innovation</w:t>
      </w:r>
      <w:bookmarkEnd w:id="15"/>
      <w:r>
        <w:t xml:space="preserve"> </w:t>
      </w:r>
      <w:bookmarkEnd w:id="12"/>
      <w:bookmarkEnd w:id="13"/>
    </w:p>
    <w:p w:rsidR="009D1F1B" w:rsidRPr="009D1F1B" w:rsidRDefault="0038546A" w:rsidP="009D1F1B">
      <w:pPr>
        <w:pStyle w:val="HStandard"/>
      </w:pPr>
      <w:r w:rsidRPr="0038546A">
        <w:rPr>
          <w:noProof/>
          <w:lang w:val="en-GB" w:eastAsia="en-GB"/>
        </w:rPr>
        <w:drawing>
          <wp:inline distT="0" distB="0" distL="0" distR="0">
            <wp:extent cx="5731510" cy="3331556"/>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31556"/>
                    </a:xfrm>
                    <a:prstGeom prst="rect">
                      <a:avLst/>
                    </a:prstGeom>
                    <a:noFill/>
                    <a:ln>
                      <a:noFill/>
                    </a:ln>
                  </pic:spPr>
                </pic:pic>
              </a:graphicData>
            </a:graphic>
          </wp:inline>
        </w:drawing>
      </w:r>
    </w:p>
    <w:p w:rsidR="00A45935" w:rsidRPr="00E05D08" w:rsidRDefault="00A45935" w:rsidP="00E05D08">
      <w:pPr>
        <w:spacing w:after="0" w:line="280" w:lineRule="atLeast"/>
        <w:jc w:val="center"/>
        <w:rPr>
          <w:rFonts w:eastAsia="Times New Roman" w:cs="Arial"/>
          <w:szCs w:val="18"/>
          <w:lang w:eastAsia="de-DE"/>
        </w:rPr>
      </w:pP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lastRenderedPageBreak/>
        <w:t>Källa: Europeiska helpdesken för utvärdering av landsbygdsutveckling, 2017.</w:t>
      </w:r>
    </w:p>
    <w:p w:rsidR="000E1D4B" w:rsidRDefault="00A45935" w:rsidP="00E05D08">
      <w:pPr>
        <w:spacing w:after="120" w:line="280" w:lineRule="atLeast"/>
        <w:mirrorIndents/>
        <w:rPr>
          <w:rFonts w:eastAsia="Times New Roman" w:cs="Times New Roman"/>
          <w:szCs w:val="20"/>
        </w:rPr>
      </w:pPr>
      <w:r>
        <w:t xml:space="preserve">Programmets åtgärder/delåtgärder och kombinationen av dessa kan bidra till en, två eller alla tre handlingsvägar i olika omfattning beroende på programmets specifika metoder för att stödja innovation (se </w:t>
      </w:r>
      <w:hyperlink w:anchor="Policy_framework" w:history="1">
        <w:r>
          <w:rPr>
            <w:rStyle w:val="Hyperlink"/>
            <w:sz w:val="20"/>
            <w:szCs w:val="20"/>
          </w:rPr>
          <w:t>avsnitt 1.2.1</w:t>
        </w:r>
      </w:hyperlink>
      <w:r>
        <w:t xml:space="preserve">). </w:t>
      </w:r>
      <w:bookmarkStart w:id="16"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35712" behindDoc="0" locked="0" layoutInCell="1" allowOverlap="1" wp14:anchorId="1771AA66" wp14:editId="665AB1F5">
                <wp:simplePos x="0" y="0"/>
                <wp:positionH relativeFrom="column">
                  <wp:posOffset>-63500</wp:posOffset>
                </wp:positionH>
                <wp:positionV relativeFrom="paragraph">
                  <wp:posOffset>-635</wp:posOffset>
                </wp:positionV>
                <wp:extent cx="2832735" cy="4339590"/>
                <wp:effectExtent l="0" t="0" r="24765" b="2286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339590"/>
                        </a:xfrm>
                        <a:prstGeom prst="round2DiagRect">
                          <a:avLst>
                            <a:gd name="adj1" fmla="val 6641"/>
                            <a:gd name="adj2" fmla="val 0"/>
                          </a:avLst>
                        </a:prstGeom>
                        <a:noFill/>
                        <a:ln w="25400" cap="flat" cmpd="sng" algn="ctr">
                          <a:solidFill>
                            <a:srgbClr val="F07E31"/>
                          </a:solidFill>
                          <a:prstDash val="solid"/>
                        </a:ln>
                        <a:effectLst/>
                      </wps:spPr>
                      <wps:txbx>
                        <w:txbxContent>
                          <w:p w:rsidR="004C3777" w:rsidRPr="00E05D08" w:rsidRDefault="004C3777"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1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Exempel på hur landsbygdsprogrammet kan ge stöd åt handlingsväg 1</w:t>
                            </w:r>
                          </w:p>
                          <w:p w:rsidR="004C3777" w:rsidRPr="00230C31" w:rsidRDefault="004C3777" w:rsidP="00230C31">
                            <w:pPr>
                              <w:pStyle w:val="Hlistbullet"/>
                              <w:rPr>
                                <w:sz w:val="18"/>
                                <w:szCs w:val="18"/>
                              </w:rPr>
                            </w:pPr>
                            <w:r>
                              <w:rPr>
                                <w:sz w:val="18"/>
                                <w:szCs w:val="18"/>
                              </w:rPr>
                              <w:t xml:space="preserve">Utveckling, provning och marknadsföring av en maskin för mekanisk kontroll av ogräsinvasion på jordbruksmark (t.ex. insatser som utförs enligt artiklarna 17 och 35 i förordning (EU) nr 1305/2013). </w:t>
                            </w:r>
                          </w:p>
                          <w:p w:rsidR="004C3777" w:rsidRPr="00230C31" w:rsidRDefault="004C3777" w:rsidP="00230C31">
                            <w:pPr>
                              <w:pStyle w:val="Hlistbullet"/>
                              <w:rPr>
                                <w:sz w:val="18"/>
                                <w:szCs w:val="18"/>
                              </w:rPr>
                            </w:pPr>
                            <w:r>
                              <w:rPr>
                                <w:sz w:val="18"/>
                                <w:szCs w:val="18"/>
                              </w:rPr>
                              <w:t xml:space="preserve">Provning och tillhandahållande av nya typer av tjänster på landsbygden (t.ex. insatser som utförs enligt artiklarna 20 och 35 i förordning (EU) nr 1305/2013). </w:t>
                            </w:r>
                          </w:p>
                          <w:p w:rsidR="004C3777" w:rsidRPr="00230C31" w:rsidRDefault="004C3777" w:rsidP="00230C31">
                            <w:pPr>
                              <w:pStyle w:val="Hlistbullet"/>
                              <w:rPr>
                                <w:sz w:val="18"/>
                                <w:szCs w:val="18"/>
                              </w:rPr>
                            </w:pPr>
                            <w:r>
                              <w:rPr>
                                <w:sz w:val="18"/>
                                <w:szCs w:val="18"/>
                              </w:rPr>
                              <w:t>Införande av nya sätt att anordna möten, konferenser och utbildningar (t.ex. med hjälp av förenklingstekniker, rundabordskonferenser) (t.ex. insatser som utförs enligt artikel 14 i förordning (EU)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AA66" id="Rectangle: Diagonal Corners Rounded 55" o:spid="_x0000_s1032" style="position:absolute;left:0;text-align:left;margin-left:-5pt;margin-top:-.05pt;width:223.05pt;height:34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4339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" adj="-11796480,,5400" path="m188122,l2832735,r,l2832735,4151468v,103897,-84225,188122,-188122,188122l,4339590r,l,188122c,84225,84225,,188122,xe" filled="f" strokecolor="#f07e31" strokeweight="2pt">
                <v:stroke joinstyle="miter"/>
                <v:formulas/>
                <v:path arrowok="t" o:connecttype="custom" o:connectlocs="188122,0;2832735,0;2832735,0;2832735,4151468;2644613,4339590;0,4339590;0,4339590;0,188122;188122,0" o:connectangles="0,0,0,0,0,0,0,0,0" textboxrect="0,0,2832735,4339590"/>
                <v:textbox>
                  <w:txbxContent>
                    <w:p w:rsidR="004C3777" w:rsidRPr="00E05D08" w:rsidRDefault="004C3777"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1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Exempel på hur landsbygdsprogrammet kan ge stöd åt handlingsväg 1</w:t>
                      </w:r>
                    </w:p>
                    <w:p w:rsidR="004C3777" w:rsidRPr="00230C31" w:rsidRDefault="004C3777" w:rsidP="00230C31">
                      <w:pPr>
                        <w:pStyle w:val="Hlistbullet"/>
                        <w:rPr>
                          <w:sz w:val="18"/>
                          <w:szCs w:val="18"/>
                        </w:rPr>
                      </w:pPr>
                      <w:r>
                        <w:rPr>
                          <w:sz w:val="18"/>
                          <w:szCs w:val="18"/>
                        </w:rPr>
                        <w:t xml:space="preserve">Utveckling, provning och marknadsföring av en maskin för mekanisk kontroll av ogräsinvasion på jordbruksmark (t.ex. insatser som utförs enligt artiklarna 17 och 35 i förordning (EU) nr 1305/2013). </w:t>
                      </w:r>
                    </w:p>
                    <w:p w:rsidR="004C3777" w:rsidRPr="00230C31" w:rsidRDefault="004C3777" w:rsidP="00230C31">
                      <w:pPr>
                        <w:pStyle w:val="Hlistbullet"/>
                        <w:rPr>
                          <w:sz w:val="18"/>
                          <w:szCs w:val="18"/>
                        </w:rPr>
                      </w:pPr>
                      <w:r>
                        <w:rPr>
                          <w:sz w:val="18"/>
                          <w:szCs w:val="18"/>
                        </w:rPr>
                        <w:t xml:space="preserve">Provning och tillhandahållande av nya typer av tjänster på landsbygden (t.ex. insatser som utförs enligt artiklarna 20 och 35 i förordning (EU) nr 1305/2013). </w:t>
                      </w:r>
                    </w:p>
                    <w:p w:rsidR="004C3777" w:rsidRPr="00230C31" w:rsidRDefault="004C3777" w:rsidP="00230C31">
                      <w:pPr>
                        <w:pStyle w:val="Hlistbullet"/>
                        <w:rPr>
                          <w:sz w:val="18"/>
                          <w:szCs w:val="18"/>
                        </w:rPr>
                      </w:pPr>
                      <w:r>
                        <w:rPr>
                          <w:sz w:val="18"/>
                          <w:szCs w:val="18"/>
                        </w:rPr>
                        <w:t>Införande av nya sätt att anordna möten, konferenser och utbildningar (t.ex. med hjälp av förenklingstekniker, rundabordskonferenser) (t.ex. insatser som utförs enligt artikel 14 i förordning (EU) nr 1305/2013).</w:t>
                      </w:r>
                    </w:p>
                  </w:txbxContent>
                </v:textbox>
                <w10:wrap type="square"/>
              </v:shape>
            </w:pict>
          </mc:Fallback>
        </mc:AlternateContent>
      </w:r>
      <w:r>
        <w:rPr>
          <w:b/>
          <w:color w:val="F07E31"/>
          <w:szCs w:val="20"/>
        </w:rPr>
        <w:t>Den första handlingsvägen</w:t>
      </w:r>
      <w:r>
        <w:t xml:space="preserve"> kan beskrivas som förmågan att identifiera och främja lovande idéer som kan leda till en innovation av något slag (teknisk, icke-teknisk, social, organisatorisk etc.). En sådan ny idé har förutsättning att bli en verklig innovation som i idealiska fall tillgodoser ett specifikt behov eller skapar möjligheter som kan utnyttjas av många. De två främsta metoderna för att främja idéer som kan ligga till grund för innovationsprocesser är 1) att använda ett individuellt tillvägagångssätt (identifiera och hjälpa en man/kvinna med en idé), eller 2) att låta olika berörda aktörer arbeta i grupp för att upptäcka nya idéer att arbeta vidare med (sammanföra de främsta aktörerna i en grupp där man tillsammans besitter all nödvändig kompletterande kunskap för att ta fram ett innovationsprojekt). </w:t>
      </w:r>
    </w:p>
    <w:bookmarkEnd w:id="16"/>
    <w:p w:rsidR="000E1D4B" w:rsidRDefault="00A45935" w:rsidP="00E05D08">
      <w:pPr>
        <w:spacing w:after="120" w:line="280" w:lineRule="atLeast"/>
        <w:mirrorIndents/>
        <w:rPr>
          <w:rFonts w:eastAsia="Times New Roman" w:cs="Times New Roman"/>
          <w:szCs w:val="20"/>
        </w:rPr>
      </w:pPr>
      <w:r>
        <w:t xml:space="preserve">För att vara innovativ måste idén, eller åtminstone vissa aspekter av den, vara ny för den aktuella miljön eller platsen och erbjuda ett trovärdigt löfte om att vara användbar (dvs. hjälpa en eller flera av de berörda aktörerna att göra något annorlunda, bättre eller billigare, tillgodose ett behov eller utveckla en möjlighet). </w:t>
      </w:r>
    </w:p>
    <w:p w:rsidR="000E1D4B" w:rsidRDefault="000E1D4B">
      <w:pPr>
        <w:rPr>
          <w:rFonts w:eastAsia="Times New Roman" w:cs="Times New Roman"/>
          <w:szCs w:val="20"/>
        </w:rPr>
      </w:pPr>
    </w:p>
    <w:p w:rsidR="00A45935" w:rsidRPr="00E05D08" w:rsidRDefault="00A45935" w:rsidP="00E05D08">
      <w:pPr>
        <w:spacing w:after="120" w:line="280" w:lineRule="atLeast"/>
        <w:mirrorIndents/>
        <w:rPr>
          <w:rFonts w:eastAsia="Times New Roman" w:cs="Times New Roman"/>
          <w:szCs w:val="20"/>
        </w:rPr>
      </w:pPr>
      <w:r>
        <w:rPr>
          <w:b/>
          <w:color w:val="F07E31"/>
          <w:szCs w:val="20"/>
        </w:rPr>
        <w:t>Den andra handlingsvägen</w:t>
      </w:r>
      <w:r>
        <w:t xml:space="preserve"> gäller möjligheten att bygga kapacitet för innovation. Denna handlingsväg är, under vissa omständigheter, ett resultat av genomförandet av den första handlingsvägen. Landsbygdsprogrammet kan underlätta processen med att identifiera utmaningar och möjligheter för utvecklingen och sammanföra intresserade och relevanta innovationsaktörer (t.ex. via operativa grupper inom det europeiska innovationspartnerskapet</w:t>
      </w:r>
      <w:r>
        <w:rPr>
          <w:rFonts w:eastAsia="Times New Roman" w:cs="Times New Roman"/>
          <w:szCs w:val="20"/>
          <w:vertAlign w:val="superscript"/>
          <w:lang w:eastAsia="de-DE"/>
        </w:rPr>
        <w:footnoteReference w:id="5"/>
      </w:r>
      <w:r>
        <w:t xml:space="preserve"> som provar innovativa metoder genom samarbete mellan relevanta aktörer med kompletterande kunskap [t.ex. lantbrukare, företag, rådgivningstjänster, forskare m.fl.]) för att uppnå målen för ett innovativt projekt). Detta bidrar till att överbrygga klyftan mellan vetenskap och praktik genom att bygga upp nödvändiga färdigheter och kunskaper. Synergieffekter som skapas genom projekt med flera aktörer som finansieras inom ramen för EU:s forsknings- och innovationsprogram Horisont 2020 kan också skapa fördelar</w:t>
      </w:r>
      <w:r>
        <w:rPr>
          <w:rFonts w:eastAsia="Times New Roman" w:cs="Times New Roman"/>
          <w:szCs w:val="20"/>
          <w:vertAlign w:val="superscript"/>
          <w:lang w:eastAsia="de-DE"/>
        </w:rPr>
        <w:footnoteReference w:id="6"/>
      </w:r>
      <w:r>
        <w:t xml:space="preserve"> </w:t>
      </w:r>
      <w:r>
        <w:rPr>
          <w:rFonts w:eastAsia="Times New Roman" w:cs="Times New Roman"/>
          <w:szCs w:val="20"/>
          <w:vertAlign w:val="superscript"/>
          <w:lang w:eastAsia="de-DE"/>
        </w:rPr>
        <w:footnoteReference w:id="7"/>
      </w:r>
      <w:r>
        <w:t xml:space="preserve">. Operativa grupper kan skapa sociotekniska nischer. En socioteknisk nisch är ett skyddat utrymme där berörda personer kan lära sig om och experimentera med nya tekniker och/eller institutioner och/eller nya </w:t>
      </w:r>
      <w:r>
        <w:lastRenderedPageBreak/>
        <w:t>tillvägagångssätt. Om nischerna är noggrant utformade och sammankopplade kan de fungera som byggstenar för bredare sociala förändringar mot en hållbar utveckling</w:t>
      </w:r>
      <w:r>
        <w:rPr>
          <w:rFonts w:eastAsia="Times New Roman" w:cs="Arial"/>
          <w:szCs w:val="20"/>
          <w:vertAlign w:val="superscript"/>
          <w:lang w:eastAsia="de-DE"/>
        </w:rPr>
        <w:footnoteReference w:id="8"/>
      </w:r>
      <w:r>
        <w:rPr>
          <w:rStyle w:val="FootnoteReference"/>
          <w:rFonts w:eastAsia="Times New Roman" w:cs="Times New Roman"/>
          <w:color w:val="FFFFFF" w:themeColor="background1"/>
          <w:szCs w:val="20"/>
          <w:lang w:eastAsia="de-DE"/>
        </w:rPr>
        <w:footnoteReference w:id="9"/>
      </w:r>
      <w:r>
        <w:rPr>
          <w:rStyle w:val="FootnoteReference"/>
          <w:rFonts w:eastAsia="Times New Roman" w:cs="Times New Roman"/>
          <w:color w:val="FFFFFF" w:themeColor="background1"/>
          <w:szCs w:val="20"/>
          <w:lang w:eastAsia="de-DE"/>
        </w:rPr>
        <w:footnoteReference w:id="10"/>
      </w:r>
      <w:r>
        <w:rPr>
          <w:rStyle w:val="FootnoteReference"/>
          <w:rFonts w:eastAsia="Times New Roman" w:cs="Times New Roman"/>
          <w:color w:val="FFFFFF" w:themeColor="background1"/>
          <w:szCs w:val="20"/>
          <w:lang w:eastAsia="de-DE"/>
        </w:rPr>
        <w:footnoteReference w:id="11"/>
      </w:r>
      <w:r>
        <w:t xml:space="preserve">. </w:t>
      </w:r>
    </w:p>
    <w:p w:rsidR="00A45935" w:rsidRPr="00E05D08" w:rsidRDefault="00133DA6" w:rsidP="002F0ABF">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56192" behindDoc="0" locked="0" layoutInCell="1" allowOverlap="1" wp14:anchorId="413F6F10" wp14:editId="573F6A8B">
                <wp:simplePos x="0" y="0"/>
                <wp:positionH relativeFrom="column">
                  <wp:posOffset>-190500</wp:posOffset>
                </wp:positionH>
                <wp:positionV relativeFrom="paragraph">
                  <wp:posOffset>120650</wp:posOffset>
                </wp:positionV>
                <wp:extent cx="6090263" cy="3867150"/>
                <wp:effectExtent l="0" t="0" r="25400" b="19050"/>
                <wp:wrapNone/>
                <wp:docPr id="57" name="Rectangle: Diagonal Corners Rounded 57"/>
                <wp:cNvGraphicFramePr/>
                <a:graphic xmlns:a="http://schemas.openxmlformats.org/drawingml/2006/main">
                  <a:graphicData uri="http://schemas.microsoft.com/office/word/2010/wordprocessingShape">
                    <wps:wsp>
                      <wps:cNvSpPr/>
                      <wps:spPr>
                        <a:xfrm>
                          <a:off x="0" y="0"/>
                          <a:ext cx="6090263" cy="3867150"/>
                        </a:xfrm>
                        <a:prstGeom prst="round2DiagRect">
                          <a:avLst>
                            <a:gd name="adj1" fmla="val 6633"/>
                            <a:gd name="adj2" fmla="val 0"/>
                          </a:avLst>
                        </a:prstGeom>
                        <a:noFill/>
                        <a:ln w="25400" cap="flat" cmpd="sng" algn="ctr">
                          <a:solidFill>
                            <a:srgbClr val="F07E31"/>
                          </a:solidFill>
                          <a:prstDash val="solid"/>
                        </a:ln>
                        <a:effectLst/>
                      </wps:spPr>
                      <wps:txbx>
                        <w:txbxContent>
                          <w:p w:rsidR="004C3777" w:rsidRPr="002F0ABF" w:rsidRDefault="004C3777" w:rsidP="00E05D08">
                            <w:pPr>
                              <w:pStyle w:val="Normal12PTcouleurgris"/>
                              <w:rPr>
                                <w:b/>
                                <w:color w:val="F07E31"/>
                                <w:sz w:val="16"/>
                                <w:szCs w:val="16"/>
                              </w:rPr>
                            </w:pPr>
                            <w:r>
                              <w:rPr>
                                <w:noProof/>
                                <w:lang w:val="en-GB" w:eastAsia="en-GB"/>
                              </w:rPr>
                              <w:drawing>
                                <wp:inline distT="0" distB="0" distL="0" distR="0" wp14:anchorId="6B2497E0" wp14:editId="75E35DBD">
                                  <wp:extent cx="353060" cy="359410"/>
                                  <wp:effectExtent l="0" t="0" r="8890" b="2540"/>
                                  <wp:docPr id="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szCs w:val="16"/>
                              </w:rPr>
                              <w:t>Exempel på hur landsbygdsprogrammet kan ge stöd åt handlingsväg 2</w:t>
                            </w:r>
                          </w:p>
                          <w:p w:rsidR="004C3777" w:rsidRPr="002F0ABF" w:rsidRDefault="004C3777" w:rsidP="00E05D08">
                            <w:pPr>
                              <w:pStyle w:val="Normal12PTcouleurgris"/>
                              <w:rPr>
                                <w:sz w:val="16"/>
                                <w:szCs w:val="16"/>
                              </w:rPr>
                            </w:pPr>
                            <w:r>
                              <w:rPr>
                                <w:sz w:val="16"/>
                                <w:szCs w:val="16"/>
                              </w:rPr>
                              <w:t>Följande viktiga kompetenser och färdigheter hos innovationsaktörer</w:t>
                            </w:r>
                            <w:r>
                              <w:rPr>
                                <w:sz w:val="16"/>
                                <w:szCs w:val="16"/>
                                <w:vertAlign w:val="superscript"/>
                              </w:rPr>
                              <w:t>9</w:t>
                            </w:r>
                            <w:r>
                              <w:rPr>
                                <w:sz w:val="16"/>
                                <w:szCs w:val="16"/>
                              </w:rPr>
                              <w:t xml:space="preserve"> kan stödjas av landsbygdsprogrammet och påverka insatserna för ”innovationskapacitet”: </w:t>
                            </w:r>
                          </w:p>
                          <w:p w:rsidR="004C3777" w:rsidRPr="002F0ABF" w:rsidRDefault="004C3777" w:rsidP="00E05D08">
                            <w:pPr>
                              <w:pStyle w:val="Hlistbullet"/>
                              <w:rPr>
                                <w:sz w:val="16"/>
                                <w:szCs w:val="16"/>
                              </w:rPr>
                            </w:pPr>
                            <w:r>
                              <w:rPr>
                                <w:sz w:val="16"/>
                                <w:szCs w:val="16"/>
                              </w:rPr>
                              <w:t>tekniska och ämnesspecifika kunskaper och kompetenser som krävs för att få nya idéer att fungera i praktiken, däribland förmågan att identifiera och välja mellan olika alternativ (t.ex. insatser som utförs enligt artiklarna 14, 15 och 35 i förordning (EU) nr 1305/2013).</w:t>
                            </w:r>
                          </w:p>
                          <w:p w:rsidR="004C3777" w:rsidRPr="002F0ABF" w:rsidRDefault="004C3777" w:rsidP="00E05D08">
                            <w:pPr>
                              <w:pStyle w:val="Hlistbullet"/>
                              <w:rPr>
                                <w:sz w:val="16"/>
                                <w:szCs w:val="16"/>
                              </w:rPr>
                            </w:pPr>
                            <w:r>
                              <w:rPr>
                                <w:sz w:val="16"/>
                                <w:szCs w:val="16"/>
                              </w:rPr>
                              <w:t>Organisatoriska och mjuka färdigheter som krävs för att underlätta och inrätta</w:t>
                            </w:r>
                            <w:r>
                              <w:rPr>
                                <w:sz w:val="16"/>
                                <w:szCs w:val="16"/>
                                <w:vertAlign w:val="superscript"/>
                              </w:rPr>
                              <w:t>10</w:t>
                            </w:r>
                            <w:r>
                              <w:rPr>
                                <w:sz w:val="16"/>
                                <w:szCs w:val="16"/>
                              </w:rPr>
                              <w:t xml:space="preserve"> innovationsprocesser, däribland förmågan att bygga relationer och nätverk mellan berörda aktörer, förmågan att gå igenom upprepade cykler med definiering av mål, planering och återkoppling samt förmågan att identifiera systemets dynamik och utmaningar (t.ex. insatser som utförs enligt artikel 35 i förordning (EU) nr 1305/2013).</w:t>
                            </w:r>
                          </w:p>
                          <w:p w:rsidR="004C3777" w:rsidRPr="002F0ABF" w:rsidRDefault="004C3777" w:rsidP="00E05D08">
                            <w:pPr>
                              <w:pStyle w:val="Hlistbullet"/>
                              <w:rPr>
                                <w:sz w:val="16"/>
                                <w:szCs w:val="16"/>
                              </w:rPr>
                            </w:pPr>
                            <w:r>
                              <w:rPr>
                                <w:sz w:val="16"/>
                                <w:szCs w:val="16"/>
                              </w:rPr>
                              <w:t>Förbättrad kapacitet för effektiva gemensamma åtgärder</w:t>
                            </w:r>
                            <w:r>
                              <w:rPr>
                                <w:sz w:val="16"/>
                                <w:szCs w:val="16"/>
                                <w:vertAlign w:val="superscript"/>
                              </w:rPr>
                              <w:t>11</w:t>
                            </w:r>
                            <w:r>
                              <w:rPr>
                                <w:sz w:val="16"/>
                                <w:szCs w:val="16"/>
                              </w:rPr>
                              <w:t xml:space="preserve"> (t.ex. att organisera demonstrations- och informationsverksamheten på ett samarbetsbaserat sätt i syfte att överföra erfarenheter och kunskap mellan aktörer eller för att säkerställa ett samarbete mellan aktörer inom leveranskedjan för tillhandahållande av biomassa för produktion av livsmedel och energi etc.) (t.ex. insatser som utförs enligt artiklarna 14, 15 och 35 i förordning (EU) nr 1305/2013).</w:t>
                            </w:r>
                          </w:p>
                          <w:p w:rsidR="004C3777" w:rsidRPr="002F0ABF" w:rsidRDefault="004C3777" w:rsidP="00E05D08">
                            <w:pPr>
                              <w:pStyle w:val="Hlistbullet"/>
                              <w:rPr>
                                <w:sz w:val="16"/>
                                <w:szCs w:val="16"/>
                              </w:rPr>
                            </w:pPr>
                            <w:r>
                              <w:rPr>
                                <w:sz w:val="16"/>
                                <w:szCs w:val="16"/>
                              </w:rPr>
                              <w:t>Landsbygdsprogrammens interventioner kan bygga kapacitet att utveckla innovationer genom att skapa möjligheter för kunskapsöverföring (t.ex. tjänster, utbildning och handledning) (t.ex. insatser som utförs enligt artikel 15 i förordning (EU) nr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F6F10" id="Rectangle: Diagonal Corners Rounded 57" o:spid="_x0000_s1033" style="position:absolute;left:0;text-align:left;margin-left:-15pt;margin-top:9.5pt;width:479.55pt;height:3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0263,386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" adj="-11796480,,5400" path="m256508,l6090263,r,l6090263,3610642v,141665,-114843,256508,-256508,256508l,3867150r,l,256508c,114843,114843,,256508,xe" filled="f" strokecolor="#f07e31" strokeweight="2pt">
                <v:stroke joinstyle="miter"/>
                <v:formulas/>
                <v:path arrowok="t" o:connecttype="custom" o:connectlocs="256508,0;6090263,0;6090263,0;6090263,3610642;5833755,3867150;0,3867150;0,3867150;0,256508;256508,0" o:connectangles="0,0,0,0,0,0,0,0,0" textboxrect="0,0,6090263,3867150"/>
                <v:textbox inset=",0,,0">
                  <w:txbxContent>
                    <w:p w:rsidR="004C3777" w:rsidRPr="002F0ABF" w:rsidRDefault="004C3777" w:rsidP="00E05D08">
                      <w:pPr>
                        <w:pStyle w:val="Normal12PTcouleurgris"/>
                        <w:rPr>
                          <w:b/>
                          <w:color w:val="F07E31"/>
                          <w:sz w:val="16"/>
                          <w:szCs w:val="16"/>
                        </w:rPr>
                      </w:pPr>
                      <w:r>
                        <w:rPr>
                          <w:noProof/>
                          <w:lang w:val="en-GB" w:eastAsia="en-GB"/>
                        </w:rPr>
                        <w:drawing>
                          <wp:inline distT="0" distB="0" distL="0" distR="0" wp14:anchorId="6B2497E0" wp14:editId="75E35DBD">
                            <wp:extent cx="353060" cy="359410"/>
                            <wp:effectExtent l="0" t="0" r="8890" b="2540"/>
                            <wp:docPr id="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szCs w:val="16"/>
                        </w:rPr>
                        <w:t>Exempel på hur landsbygdsprogrammet kan ge stöd åt handlingsväg 2</w:t>
                      </w:r>
                    </w:p>
                    <w:p w:rsidR="004C3777" w:rsidRPr="002F0ABF" w:rsidRDefault="004C3777" w:rsidP="00E05D08">
                      <w:pPr>
                        <w:pStyle w:val="Normal12PTcouleurgris"/>
                        <w:rPr>
                          <w:sz w:val="16"/>
                          <w:szCs w:val="16"/>
                        </w:rPr>
                      </w:pPr>
                      <w:r>
                        <w:rPr>
                          <w:sz w:val="16"/>
                          <w:szCs w:val="16"/>
                        </w:rPr>
                        <w:t>Följande viktiga kompetenser och färdigheter hos innovationsaktörer</w:t>
                      </w:r>
                      <w:r>
                        <w:rPr>
                          <w:sz w:val="16"/>
                          <w:szCs w:val="16"/>
                          <w:vertAlign w:val="superscript"/>
                        </w:rPr>
                        <w:t>9</w:t>
                      </w:r>
                      <w:r>
                        <w:rPr>
                          <w:sz w:val="16"/>
                          <w:szCs w:val="16"/>
                        </w:rPr>
                        <w:t xml:space="preserve"> kan stödjas av landsbygdsprogrammet och påverka insatserna för ”innovationskapacitet”: </w:t>
                      </w:r>
                    </w:p>
                    <w:p w:rsidR="004C3777" w:rsidRPr="002F0ABF" w:rsidRDefault="004C3777" w:rsidP="00E05D08">
                      <w:pPr>
                        <w:pStyle w:val="Hlistbullet"/>
                        <w:rPr>
                          <w:sz w:val="16"/>
                          <w:szCs w:val="16"/>
                        </w:rPr>
                      </w:pPr>
                      <w:r>
                        <w:rPr>
                          <w:sz w:val="16"/>
                          <w:szCs w:val="16"/>
                        </w:rPr>
                        <w:t>tekniska och ämnesspecifika kunskaper och kompetenser som krävs för att få nya idéer att fungera i praktiken, däribland förmågan att identifiera och välja mellan olika alternativ (t.ex. insatser som utförs enligt artiklarna 14, 15 och 35 i förordning (EU) nr 1305/2013).</w:t>
                      </w:r>
                    </w:p>
                    <w:p w:rsidR="004C3777" w:rsidRPr="002F0ABF" w:rsidRDefault="004C3777" w:rsidP="00E05D08">
                      <w:pPr>
                        <w:pStyle w:val="Hlistbullet"/>
                        <w:rPr>
                          <w:sz w:val="16"/>
                          <w:szCs w:val="16"/>
                        </w:rPr>
                      </w:pPr>
                      <w:r>
                        <w:rPr>
                          <w:sz w:val="16"/>
                          <w:szCs w:val="16"/>
                        </w:rPr>
                        <w:t>Organisatoriska och mjuka färdigheter som krävs för att underlätta och inrätta</w:t>
                      </w:r>
                      <w:r>
                        <w:rPr>
                          <w:sz w:val="16"/>
                          <w:szCs w:val="16"/>
                          <w:vertAlign w:val="superscript"/>
                        </w:rPr>
                        <w:t>10</w:t>
                      </w:r>
                      <w:r>
                        <w:rPr>
                          <w:sz w:val="16"/>
                          <w:szCs w:val="16"/>
                        </w:rPr>
                        <w:t xml:space="preserve"> innovationsprocesser, däribland förmågan att bygga relationer och nätverk mellan berörda aktörer, förmågan att gå igenom upprepade cykler med definiering av mål, planering och återkoppling samt förmågan att identifiera systemets dynamik och utmaningar (t.ex. insatser som utförs enligt artikel 35 i förordning (EU) nr 1305/2013).</w:t>
                      </w:r>
                    </w:p>
                    <w:p w:rsidR="004C3777" w:rsidRPr="002F0ABF" w:rsidRDefault="004C3777" w:rsidP="00E05D08">
                      <w:pPr>
                        <w:pStyle w:val="Hlistbullet"/>
                        <w:rPr>
                          <w:sz w:val="16"/>
                          <w:szCs w:val="16"/>
                        </w:rPr>
                      </w:pPr>
                      <w:r>
                        <w:rPr>
                          <w:sz w:val="16"/>
                          <w:szCs w:val="16"/>
                        </w:rPr>
                        <w:t>Förbättrad kapacitet för effektiva gemensamma åtgärder</w:t>
                      </w:r>
                      <w:r>
                        <w:rPr>
                          <w:sz w:val="16"/>
                          <w:szCs w:val="16"/>
                          <w:vertAlign w:val="superscript"/>
                        </w:rPr>
                        <w:t>11</w:t>
                      </w:r>
                      <w:r>
                        <w:rPr>
                          <w:sz w:val="16"/>
                          <w:szCs w:val="16"/>
                        </w:rPr>
                        <w:t xml:space="preserve"> (t.ex. att organisera demonstrations- och informationsverksamheten på ett samarbetsbaserat sätt i syfte att överföra erfarenheter och kunskap mellan aktörer eller för att säkerställa ett samarbete mellan aktörer inom leveranskedjan för tillhandahållande av biomassa för produktion av livsmedel och energi etc.) (t.ex. insatser som utförs enligt artiklarna 14, 15 och 35 i förordning (EU) nr 1305/2013).</w:t>
                      </w:r>
                    </w:p>
                    <w:p w:rsidR="004C3777" w:rsidRPr="002F0ABF" w:rsidRDefault="004C3777" w:rsidP="00E05D08">
                      <w:pPr>
                        <w:pStyle w:val="Hlistbullet"/>
                        <w:rPr>
                          <w:sz w:val="16"/>
                          <w:szCs w:val="16"/>
                        </w:rPr>
                      </w:pPr>
                      <w:r>
                        <w:rPr>
                          <w:sz w:val="16"/>
                          <w:szCs w:val="16"/>
                        </w:rPr>
                        <w:t>Landsbygdsprogrammens interventioner kan bygga kapacitet att utveckla innovationer genom att skapa möjligheter för kunskapsöverföring (t.ex. tjänster, utbildning och handledning) (t.ex. insatser som utförs enligt artikel 15 i förordning (EU) nr 1305/2013.</w:t>
                      </w:r>
                    </w:p>
                  </w:txbxContent>
                </v:textbox>
              </v:shape>
            </w:pict>
          </mc:Fallback>
        </mc:AlternateContent>
      </w:r>
      <w:r w:rsidR="00F74459">
        <w:br w:type="column"/>
      </w:r>
      <w:r w:rsidR="00F74459">
        <w:rPr>
          <w:rFonts w:eastAsia="Times New Roman" w:cs="Times New Roman"/>
          <w:noProof/>
          <w:szCs w:val="20"/>
          <w:lang w:val="en-GB" w:eastAsia="en-GB"/>
        </w:rPr>
        <w:lastRenderedPageBreak/>
        <mc:AlternateContent>
          <mc:Choice Requires="wps">
            <w:drawing>
              <wp:anchor distT="0" distB="0" distL="114300" distR="114300" simplePos="0" relativeHeight="251669504" behindDoc="0" locked="0" layoutInCell="1" allowOverlap="1" wp14:anchorId="22C70EC3" wp14:editId="5E91405F">
                <wp:simplePos x="0" y="0"/>
                <wp:positionH relativeFrom="column">
                  <wp:posOffset>2924175</wp:posOffset>
                </wp:positionH>
                <wp:positionV relativeFrom="paragraph">
                  <wp:posOffset>66675</wp:posOffset>
                </wp:positionV>
                <wp:extent cx="2832735" cy="8124825"/>
                <wp:effectExtent l="0" t="0" r="24765" b="28575"/>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8124825"/>
                        </a:xfrm>
                        <a:prstGeom prst="round2DiagRect">
                          <a:avLst>
                            <a:gd name="adj1" fmla="val 5907"/>
                            <a:gd name="adj2" fmla="val 0"/>
                          </a:avLst>
                        </a:prstGeom>
                        <a:noFill/>
                        <a:ln w="25400" cap="flat" cmpd="sng" algn="ctr">
                          <a:solidFill>
                            <a:srgbClr val="F07E31"/>
                          </a:solidFill>
                          <a:prstDash val="solid"/>
                        </a:ln>
                        <a:effectLst/>
                      </wps:spPr>
                      <wps:txbx>
                        <w:txbxContent>
                          <w:p w:rsidR="004C3777" w:rsidRPr="00E05D08" w:rsidRDefault="004C3777" w:rsidP="004508D0">
                            <w:pPr>
                              <w:pStyle w:val="Normal12PTcouleurgris"/>
                              <w:rPr>
                                <w:b/>
                                <w:color w:val="F07E31"/>
                              </w:rPr>
                            </w:pPr>
                            <w:r>
                              <w:rPr>
                                <w:noProof/>
                                <w:lang w:val="en-GB" w:eastAsia="en-GB"/>
                              </w:rPr>
                              <w:drawing>
                                <wp:inline distT="0" distB="0" distL="0" distR="0" wp14:anchorId="173BE9E4" wp14:editId="70887F41">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Exempel på hur landsbygdsprogrammet kan ge stöd åt handlingsväg 3</w:t>
                            </w:r>
                          </w:p>
                          <w:p w:rsidR="004C3777" w:rsidRPr="002B58E1" w:rsidRDefault="004C3777" w:rsidP="004508D0">
                            <w:pPr>
                              <w:pStyle w:val="Hlistbullet"/>
                              <w:rPr>
                                <w:sz w:val="18"/>
                                <w:szCs w:val="18"/>
                              </w:rPr>
                            </w:pPr>
                            <w:r>
                              <w:rPr>
                                <w:sz w:val="18"/>
                                <w:szCs w:val="18"/>
                              </w:rPr>
                              <w:t xml:space="preserve">Ett landsbygdsprogram som prioriterar informations- och utbildningsverksamhet (artikel 14 i förordning (EU) nr 1305/2013) och rådgivningstjänster (artikel 15 i förordning (EU) nr 1305/2013) utifrån de innovativa metoder som utarbetats i de egna operativa grupperna (artikel 35 i förordning (EU) nr 1305/2013) eller de innovativa metoder som utarbetats av operativa grupper i andra regioner eller länder (verksamhet inom nationella landsbygdsnätverk, tekniskt stöd). </w:t>
                            </w:r>
                          </w:p>
                          <w:p w:rsidR="004C3777" w:rsidRPr="002B58E1" w:rsidRDefault="004C3777" w:rsidP="004508D0">
                            <w:pPr>
                              <w:pStyle w:val="Hlistbullet"/>
                              <w:rPr>
                                <w:sz w:val="18"/>
                                <w:szCs w:val="18"/>
                              </w:rPr>
                            </w:pPr>
                            <w:r>
                              <w:rPr>
                                <w:sz w:val="18"/>
                                <w:szCs w:val="18"/>
                              </w:rPr>
                              <w:t>Ett landsbygdsprogram som förbättrar tillgången till internet på landsbygden hjälper lokala företag och lantbrukare att få tillgång till information och marknader och därigenom öka sin förmåga och motivation att delta i innovationsarbetet (t.ex. insatser som utförs enligt artikel 20 i förordning (EU) nr 1305/2013).</w:t>
                            </w:r>
                          </w:p>
                          <w:p w:rsidR="004C3777" w:rsidRPr="002B58E1" w:rsidRDefault="004C3777" w:rsidP="004508D0">
                            <w:pPr>
                              <w:pStyle w:val="Hlistbullet"/>
                              <w:rPr>
                                <w:b/>
                                <w:sz w:val="18"/>
                                <w:szCs w:val="18"/>
                              </w:rPr>
                            </w:pPr>
                            <w:r>
                              <w:rPr>
                                <w:sz w:val="18"/>
                                <w:szCs w:val="18"/>
                              </w:rPr>
                              <w:t>Ett landsbygdsprogram där en operativ grupp utvecklar innovativ utrustning för jordbearbetning för att ta till vara på skörderester kan uppmuntra innovativa investeringar och strängare tillämpning av lagstiftningen för att förbjuda bränning av skörderester (t.ex. insatser som utförs enligt artikel 17 i förordning (EU) nr 1305/2013).</w:t>
                            </w:r>
                          </w:p>
                          <w:p w:rsidR="004C3777" w:rsidRPr="002B58E1" w:rsidRDefault="004C3777" w:rsidP="004508D0">
                            <w:pPr>
                              <w:pStyle w:val="Hlistbullet"/>
                              <w:rPr>
                                <w:sz w:val="18"/>
                                <w:szCs w:val="18"/>
                              </w:rPr>
                            </w:pPr>
                            <w:r>
                              <w:rPr>
                                <w:sz w:val="18"/>
                                <w:szCs w:val="18"/>
                              </w:rPr>
                              <w:t>En åtgärd inom ett landsbygdsprogram som stöder inrättandet av korta livsmedelsförsörjningskedjor eller producentkooperativ kan förbättra relationerna och samarbetet mellan konsumenter och producenter för att skapa ett mer innovativt livsmedelssystem</w:t>
                            </w:r>
                            <w:r>
                              <w:rPr>
                                <w:sz w:val="18"/>
                                <w:szCs w:val="18"/>
                                <w:vertAlign w:val="superscript"/>
                              </w:rPr>
                              <w:t>13</w:t>
                            </w:r>
                            <w:r>
                              <w:rPr>
                                <w:sz w:val="18"/>
                                <w:szCs w:val="18"/>
                              </w:rPr>
                              <w:t xml:space="preserve"> (t.ex. insatser som utförs enligt artiklarna 16, 17 och 35 i förordning (EU)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C70EC3" id="Rectangle: Diagonal Corners Rounded 59" o:spid="_x0000_s1034" style="position:absolute;left:0;text-align:left;margin-left:230.25pt;margin-top:5.25pt;width:223.05pt;height:63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812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" adj="-11796480,,5400" path="m167330,l2832735,r,l2832735,7957495v,92414,-74916,167330,-167330,167330l,8124825r,l,167330c,74916,74916,,167330,xe" filled="f" strokecolor="#f07e31" strokeweight="2pt">
                <v:stroke joinstyle="miter"/>
                <v:formulas/>
                <v:path arrowok="t" o:connecttype="custom" o:connectlocs="167330,0;2832735,0;2832735,0;2832735,7957495;2665405,8124825;0,8124825;0,8124825;0,167330;167330,0" o:connectangles="0,0,0,0,0,0,0,0,0" textboxrect="0,0,2832735,8124825"/>
                <v:textbox>
                  <w:txbxContent>
                    <w:p w:rsidR="004C3777" w:rsidRPr="00E05D08" w:rsidRDefault="004C3777" w:rsidP="004508D0">
                      <w:pPr>
                        <w:pStyle w:val="Normal12PTcouleurgris"/>
                        <w:rPr>
                          <w:b/>
                          <w:color w:val="F07E31"/>
                        </w:rPr>
                      </w:pPr>
                      <w:r>
                        <w:rPr>
                          <w:noProof/>
                          <w:lang w:val="en-GB" w:eastAsia="en-GB"/>
                        </w:rPr>
                        <w:drawing>
                          <wp:inline distT="0" distB="0" distL="0" distR="0" wp14:anchorId="173BE9E4" wp14:editId="70887F41">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Exempel på hur landsbygdsprogrammet kan ge stöd åt handlingsväg 3</w:t>
                      </w:r>
                    </w:p>
                    <w:p w:rsidR="004C3777" w:rsidRPr="002B58E1" w:rsidRDefault="004C3777" w:rsidP="004508D0">
                      <w:pPr>
                        <w:pStyle w:val="Hlistbullet"/>
                        <w:rPr>
                          <w:sz w:val="18"/>
                          <w:szCs w:val="18"/>
                        </w:rPr>
                      </w:pPr>
                      <w:r>
                        <w:rPr>
                          <w:sz w:val="18"/>
                          <w:szCs w:val="18"/>
                        </w:rPr>
                        <w:t xml:space="preserve">Ett landsbygdsprogram som prioriterar informations- och utbildningsverksamhet (artikel 14 i förordning (EU) nr 1305/2013) och rådgivningstjänster (artikel 15 i förordning (EU) nr 1305/2013) utifrån de innovativa metoder som utarbetats i de egna operativa grupperna (artikel 35 i förordning (EU) nr 1305/2013) eller de innovativa metoder som utarbetats av operativa grupper i andra regioner eller länder (verksamhet inom nationella landsbygdsnätverk, tekniskt stöd). </w:t>
                      </w:r>
                    </w:p>
                    <w:p w:rsidR="004C3777" w:rsidRPr="002B58E1" w:rsidRDefault="004C3777" w:rsidP="004508D0">
                      <w:pPr>
                        <w:pStyle w:val="Hlistbullet"/>
                        <w:rPr>
                          <w:sz w:val="18"/>
                          <w:szCs w:val="18"/>
                        </w:rPr>
                      </w:pPr>
                      <w:r>
                        <w:rPr>
                          <w:sz w:val="18"/>
                          <w:szCs w:val="18"/>
                        </w:rPr>
                        <w:t>Ett landsbygdsprogram som förbättrar tillgången till internet på landsbygden hjälper lokala företag och lantbrukare att få tillgång till information och marknader och därigenom öka sin förmåga och motivation att delta i innovationsarbetet (t.ex. insatser som utförs enligt artikel 20 i förordning (EU) nr 1305/2013).</w:t>
                      </w:r>
                    </w:p>
                    <w:p w:rsidR="004C3777" w:rsidRPr="002B58E1" w:rsidRDefault="004C3777" w:rsidP="004508D0">
                      <w:pPr>
                        <w:pStyle w:val="Hlistbullet"/>
                        <w:rPr>
                          <w:b/>
                          <w:sz w:val="18"/>
                          <w:szCs w:val="18"/>
                        </w:rPr>
                      </w:pPr>
                      <w:r>
                        <w:rPr>
                          <w:sz w:val="18"/>
                          <w:szCs w:val="18"/>
                        </w:rPr>
                        <w:t>Ett landsbygdsprogram där en operativ grupp utvecklar innovativ utrustning för jordbearbetning för att ta till vara på skörderester kan uppmuntra innovativa investeringar och strängare tillämpning av lagstiftningen för att förbjuda bränning av skörderester (t.ex. insatser som utförs enligt artikel 17 i förordning (EU) nr 1305/2013).</w:t>
                      </w:r>
                    </w:p>
                    <w:p w:rsidR="004C3777" w:rsidRPr="002B58E1" w:rsidRDefault="004C3777" w:rsidP="004508D0">
                      <w:pPr>
                        <w:pStyle w:val="Hlistbullet"/>
                        <w:rPr>
                          <w:sz w:val="18"/>
                          <w:szCs w:val="18"/>
                        </w:rPr>
                      </w:pPr>
                      <w:r>
                        <w:rPr>
                          <w:sz w:val="18"/>
                          <w:szCs w:val="18"/>
                        </w:rPr>
                        <w:t>En åtgärd inom ett landsbygdsprogram som stöder inrättandet av korta livsmedelsförsörjningskedjor eller producentkooperativ kan förbättra relationerna och samarbetet mellan konsumenter och producenter för att skapa ett mer innovativt livsmedelssystem</w:t>
                      </w:r>
                      <w:r>
                        <w:rPr>
                          <w:sz w:val="18"/>
                          <w:szCs w:val="18"/>
                          <w:vertAlign w:val="superscript"/>
                        </w:rPr>
                        <w:t>13</w:t>
                      </w:r>
                      <w:r>
                        <w:rPr>
                          <w:sz w:val="18"/>
                          <w:szCs w:val="18"/>
                        </w:rPr>
                        <w:t xml:space="preserve"> (t.ex. insatser som utförs enligt artiklarna 16, 17 och 35 i förordning (EU) nr 1305/2013).</w:t>
                      </w:r>
                    </w:p>
                  </w:txbxContent>
                </v:textbox>
                <w10:wrap type="square"/>
              </v:shape>
            </w:pict>
          </mc:Fallback>
        </mc:AlternateContent>
      </w:r>
      <w:r w:rsidR="00F74459">
        <w:rPr>
          <w:b/>
          <w:color w:val="F07E31"/>
          <w:szCs w:val="20"/>
        </w:rPr>
        <w:t>Den tredje handlingsvägen</w:t>
      </w:r>
      <w:r w:rsidR="00F74459">
        <w:t xml:space="preserve"> gäller en förändring av de ramvillkor och den miljö som påverkar innovationssystemen. Detta omfattar en förbättring av olika gynnsamma villkor</w:t>
      </w:r>
      <w:r w:rsidR="00F74459">
        <w:rPr>
          <w:rFonts w:eastAsia="Times New Roman" w:cs="Times New Roman"/>
          <w:szCs w:val="20"/>
          <w:vertAlign w:val="superscript"/>
          <w:lang w:eastAsia="de-DE"/>
        </w:rPr>
        <w:footnoteReference w:id="12"/>
      </w:r>
      <w:r w:rsidR="00F74459">
        <w:t>, däribland</w:t>
      </w:r>
    </w:p>
    <w:p w:rsidR="00A45935" w:rsidRPr="0095292E" w:rsidRDefault="00A45935" w:rsidP="00230C31">
      <w:pPr>
        <w:pStyle w:val="Hlistbullet"/>
      </w:pPr>
      <w:r>
        <w:t xml:space="preserve">institutionella villkor (t.ex. tillhandahållande av mandat, normer, en politisk/lagstiftande miljö som stöder innovationer), </w:t>
      </w:r>
    </w:p>
    <w:p w:rsidR="00A45935" w:rsidRPr="0095292E" w:rsidRDefault="00A45935" w:rsidP="00230C31">
      <w:pPr>
        <w:pStyle w:val="Hlistbullet"/>
      </w:pPr>
      <w:r>
        <w:t xml:space="preserve">förfarandemässiga villkor (t.ex. källor </w:t>
      </w:r>
      <w:r w:rsidR="003E6011">
        <w:t xml:space="preserve">till </w:t>
      </w:r>
      <w:r>
        <w:t xml:space="preserve">flexibla medel som tillgodoser de berörda aktörernas behov i innovationsarbetet), </w:t>
      </w:r>
    </w:p>
    <w:p w:rsidR="00A45935" w:rsidRPr="0095292E" w:rsidRDefault="00A45935" w:rsidP="00230C31">
      <w:pPr>
        <w:pStyle w:val="Hlistbullet"/>
      </w:pPr>
      <w:r>
        <w:t xml:space="preserve">yrkesmässiga villkor (t.ex. tillgång till utbildningar som ger nödvändiga färdigheter, kunskaper och metoder för att gynna innovation), </w:t>
      </w:r>
    </w:p>
    <w:p w:rsidR="00A45935" w:rsidRPr="0095292E" w:rsidRDefault="00A45935" w:rsidP="00230C31">
      <w:pPr>
        <w:pStyle w:val="Hlistbullet"/>
      </w:pPr>
      <w:r>
        <w:t xml:space="preserve">organisatoriska villkor (t.ex. möjlighet att samverka med andra partner som är villiga att söka innovativa lösningar), </w:t>
      </w:r>
    </w:p>
    <w:p w:rsidR="00A45935" w:rsidRPr="0095292E" w:rsidRDefault="00A45935" w:rsidP="00230C31">
      <w:pPr>
        <w:pStyle w:val="Hlistbullet"/>
      </w:pPr>
      <w:r>
        <w:t xml:space="preserve">operativa villkor (t.ex. genom att möjliggöra gräns- eller sektorsöverskridande innovationer), </w:t>
      </w:r>
    </w:p>
    <w:p w:rsidR="00A45935" w:rsidRPr="0095292E" w:rsidRDefault="00A45935" w:rsidP="00230C31">
      <w:pPr>
        <w:pStyle w:val="Hlistbullet"/>
      </w:pPr>
      <w:r>
        <w:t xml:space="preserve">tekniska villkor (t.ex. stöd för nya tekniker och teknologier som är tillämpliga i ekonomiska sektorer och infrastruktur på landsbygden). </w:t>
      </w:r>
    </w:p>
    <w:p w:rsidR="00A45935" w:rsidRPr="00E05D08" w:rsidRDefault="00A45935" w:rsidP="00E05D08">
      <w:pPr>
        <w:spacing w:after="120" w:line="280" w:lineRule="atLeast"/>
        <w:mirrorIndents/>
        <w:rPr>
          <w:rFonts w:eastAsia="Times New Roman" w:cs="Times New Roman"/>
          <w:szCs w:val="20"/>
        </w:rPr>
      </w:pPr>
      <w:r>
        <w:t xml:space="preserve">Landsbygdsprogrammet kan stödja den tredje handlingsvägen genom att kombinera olika åtgärder/delåtgärder (t.ex. investeringsåtgärder som skapar en gynnsam miljö för alla typer av tekniska och teknologiska innovationer, kvalitets- och marknadsföringsåtgärder som stöder institutionella och förfarandemässiga villkor, </w:t>
      </w:r>
      <w:r>
        <w:lastRenderedPageBreak/>
        <w:t>överföring av kunskap samt rådgivande åtgärder som erbjuder en gynnsam yrkesmässig miljö)</w:t>
      </w:r>
      <w:r>
        <w:rPr>
          <w:rStyle w:val="FootnoteReference"/>
          <w:rFonts w:eastAsia="Times New Roman" w:cs="Times New Roman"/>
          <w:color w:val="FFFFFF" w:themeColor="background1"/>
          <w:szCs w:val="20"/>
          <w:lang w:eastAsia="de-DE"/>
        </w:rPr>
        <w:footnoteReference w:id="13"/>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Förutsättningarna för flera självförstärkande återkopplingssling</w:t>
      </w:r>
      <w:r w:rsidR="003E6011">
        <w:rPr>
          <w:b/>
          <w:szCs w:val="20"/>
        </w:rPr>
        <w:t>or</w:t>
      </w:r>
      <w:r>
        <w:t xml:space="preserve"> visas i </w:t>
      </w:r>
      <w:hyperlink w:anchor="Pathways" w:history="1">
        <w:r>
          <w:rPr>
            <w:rStyle w:val="Hyperlink"/>
            <w:sz w:val="20"/>
            <w:szCs w:val="20"/>
          </w:rPr>
          <w:t>figur 1</w:t>
        </w:r>
      </w:hyperlink>
      <w:r>
        <w:t>, till exempel följande:</w:t>
      </w:r>
    </w:p>
    <w:p w:rsidR="00A45935" w:rsidRPr="004508D0" w:rsidRDefault="00A45935" w:rsidP="00230C31">
      <w:pPr>
        <w:pStyle w:val="Hlistbullet"/>
      </w:pPr>
      <w:r>
        <w:t xml:space="preserve">Den tekniska och/eller den institutionella innovationsprocessen bygger innovationskapacitet i systemet som direkt återkopplas och påskyndar innovationens utveckling och förbättrar dess kvalitet. </w:t>
      </w:r>
    </w:p>
    <w:p w:rsidR="00A45935" w:rsidRPr="000828C6" w:rsidRDefault="00A45935" w:rsidP="00230C31">
      <w:pPr>
        <w:pStyle w:val="Hlistbullet"/>
      </w:pPr>
      <w:r>
        <w:t xml:space="preserve">Landsbygdsprogrammets interventioner till stöd för en innovationsvänlig politik (handlingsväg 3) leder till en snabbare innovationstakt som i sin tur leder till större innovationskapacitet. </w:t>
      </w:r>
    </w:p>
    <w:p w:rsidR="00A45935" w:rsidRPr="00E05D08" w:rsidRDefault="00A45935" w:rsidP="00E05D08">
      <w:pPr>
        <w:spacing w:after="120" w:line="280" w:lineRule="atLeast"/>
        <w:mirrorIndents/>
        <w:rPr>
          <w:rFonts w:eastAsia="Times New Roman" w:cs="Times New Roman"/>
          <w:szCs w:val="20"/>
        </w:rPr>
      </w:pPr>
      <w:r>
        <w:t>En ökning av innovationskapaciteten hjälper innovationsaktörerna att göra och använda kopplingar för att påverka en gynnsam institutionell eller politisk miljö till förmån för de innovationer som landsbygdsprogrammet strävar efter. Självförstärkande slingor är viktiga eftersom de skapar förutsättningar för en hävstångseffekt</w:t>
      </w:r>
      <w:r>
        <w:rPr>
          <w:rFonts w:eastAsia="Times New Roman" w:cs="Times New Roman"/>
          <w:szCs w:val="20"/>
          <w:vertAlign w:val="superscript"/>
          <w:lang w:eastAsia="de-DE"/>
        </w:rPr>
        <w:footnoteReference w:id="14"/>
      </w:r>
      <w:r>
        <w:t xml:space="preserve">, vilket innebär att relativt små insatser i ett landsbygdsprogram kan katalysera och stödja effekterna i större skala (t.ex. kan en energieffektiv innovativ lantbruksmetod som utarbetats av ett innovationsprojekt inom ramen för lantbruksprogrammet och spridits genom positiv återkoppling från nya användare locka andra att använda samma metod, vilket i sin tur leder till betydande energibesparingar i regionen). Innovationsprojekt kan dessutom leda till förbättrade åtgärder inom programmet. Ett innovationsprojekt kan till exempel fastställa om en framtida åtgärd för miljö- och klimatvänligt jordbruk är genomförbar och kostnadseffektiv. </w:t>
      </w:r>
    </w:p>
    <w:p w:rsidR="00A45935" w:rsidRPr="00E05D08" w:rsidRDefault="00A45935" w:rsidP="00230C31">
      <w:pPr>
        <w:pStyle w:val="HHeading4"/>
      </w:pPr>
      <w:r>
        <w:t xml:space="preserve">Hur samverkar landsbygdsprogrammet med det bredare innovationssystemet? </w:t>
      </w:r>
    </w:p>
    <w:p w:rsidR="00A45935" w:rsidRPr="00E05D08" w:rsidRDefault="00A45935" w:rsidP="00E05D08">
      <w:pPr>
        <w:spacing w:after="120" w:line="280" w:lineRule="atLeast"/>
        <w:mirrorIndents/>
        <w:rPr>
          <w:rFonts w:eastAsia="Times New Roman" w:cs="Times New Roman"/>
          <w:szCs w:val="20"/>
        </w:rPr>
      </w:pPr>
      <w:r>
        <w:t xml:space="preserve">Landsbygdsprogrammet leder till följande två typer av resultat som är kopplade till innovation: </w:t>
      </w:r>
    </w:p>
    <w:p w:rsidR="00A45935" w:rsidRPr="000828C6" w:rsidRDefault="00A45935" w:rsidP="001744D0">
      <w:pPr>
        <w:pStyle w:val="Hlistbullet"/>
      </w:pPr>
      <w:r>
        <w:rPr>
          <w:b/>
        </w:rPr>
        <w:t>Möjlighetsskapande resultat</w:t>
      </w:r>
      <w:r>
        <w:t xml:space="preserve"> som hänför sig till de tre handlingsvägarna (t.ex. förändringar när det gäller uppkomsten av och kvaliteten på nya innovativa idéer, innovationskapaciteten och den gynnsamma miljön). </w:t>
      </w:r>
    </w:p>
    <w:p w:rsidR="00A45935" w:rsidRPr="000828C6" w:rsidRDefault="00A45935" w:rsidP="001744D0">
      <w:pPr>
        <w:pStyle w:val="Hlistbullet"/>
      </w:pPr>
      <w:r>
        <w:rPr>
          <w:b/>
        </w:rPr>
        <w:t xml:space="preserve">Innovationsresultat </w:t>
      </w:r>
      <w:r>
        <w:t>som kan härledas till de möjlighetsskapande resultaten (t.ex. nya metoder, ökad inkomst, spridning av hållbara jordbruksmetoder).</w:t>
      </w:r>
    </w:p>
    <w:p w:rsidR="00A45935" w:rsidRPr="00E05D08" w:rsidRDefault="00A45935" w:rsidP="00E05D08">
      <w:pPr>
        <w:spacing w:after="120" w:line="280" w:lineRule="atLeast"/>
        <w:mirrorIndents/>
        <w:rPr>
          <w:rFonts w:eastAsia="Times New Roman" w:cs="Times New Roman"/>
          <w:szCs w:val="20"/>
        </w:rPr>
      </w:pPr>
      <w:r>
        <w:t>Båda typerna av resultat bidrar till programmets mål och kan bedömas med hjälp av lämpliga indikatorer. Om och hur de påverkar det befintliga innovationssystemet beror på hur programmets stödmottagare tolkar och förstår vad programmet erbjuder</w:t>
      </w:r>
      <w:r>
        <w:rPr>
          <w:rFonts w:eastAsia="Times New Roman" w:cs="Times New Roman"/>
          <w:szCs w:val="20"/>
          <w:vertAlign w:val="superscript"/>
          <w:lang w:eastAsia="de-DE"/>
        </w:rPr>
        <w:footnoteReference w:id="15"/>
      </w:r>
      <w:r>
        <w:t xml:space="preserve">. Deras reaktion påverkas även av historiska aspekter och andra pågående processer än landsbygdsprogrammet, vilket stimulerar följande aspekter av innovationsarbetet: </w:t>
      </w:r>
    </w:p>
    <w:p w:rsidR="00A45935" w:rsidRPr="00161D7E" w:rsidRDefault="00A45935" w:rsidP="001744D0">
      <w:pPr>
        <w:pStyle w:val="Hlistbullet"/>
      </w:pPr>
      <w:r>
        <w:t xml:space="preserve">Forskningsverksamhet avseende ny teknik och nya processer. </w:t>
      </w:r>
    </w:p>
    <w:p w:rsidR="00A45935" w:rsidRPr="00161D7E" w:rsidRDefault="00A45935" w:rsidP="001744D0">
      <w:pPr>
        <w:pStyle w:val="Hlistbullet"/>
      </w:pPr>
      <w:r>
        <w:t xml:space="preserve">Förlängnings- och utbildningssystem för främjande av innovation. </w:t>
      </w:r>
    </w:p>
    <w:p w:rsidR="00A45935" w:rsidRPr="00161D7E" w:rsidRDefault="00A45935" w:rsidP="001744D0">
      <w:pPr>
        <w:pStyle w:val="Hlistbullet"/>
      </w:pPr>
      <w:r>
        <w:t xml:space="preserve">Skatteåtgärder, kreditgarantier, innovativ upphandling. </w:t>
      </w:r>
    </w:p>
    <w:p w:rsidR="00A45935" w:rsidRPr="00161D7E" w:rsidRDefault="00A45935" w:rsidP="001744D0">
      <w:pPr>
        <w:pStyle w:val="Hlistbullet"/>
      </w:pPr>
      <w:r>
        <w:t>Horisont 2020 och andra av ESI-fondernas nationella/regionala program som ingår i samma innovationsstrategi som landsbygdsprogrammet.</w:t>
      </w:r>
    </w:p>
    <w:p w:rsidR="00A45935" w:rsidRPr="00161D7E" w:rsidRDefault="00A45935" w:rsidP="001744D0">
      <w:pPr>
        <w:pStyle w:val="Hlistbullet"/>
      </w:pPr>
      <w:r>
        <w:t>Efterfrågan på marknaden.</w:t>
      </w:r>
    </w:p>
    <w:p w:rsidR="00A45935" w:rsidRPr="00E05D08" w:rsidRDefault="00A45935" w:rsidP="00E05D08">
      <w:pPr>
        <w:spacing w:after="120" w:line="280" w:lineRule="atLeast"/>
        <w:mirrorIndents/>
        <w:rPr>
          <w:rFonts w:eastAsia="Times New Roman" w:cs="Times New Roman"/>
          <w:szCs w:val="20"/>
        </w:rPr>
      </w:pPr>
      <w:r>
        <w:lastRenderedPageBreak/>
        <w:t xml:space="preserve">Åtgärderna inom landsbygdsprogrammet kommer även att påverka hur andra pågående processer och insatser tolkas och används, och kommer även att påverkas av dem. </w:t>
      </w:r>
    </w:p>
    <w:p w:rsidR="00A45935" w:rsidRPr="00E05D08" w:rsidRDefault="00A45935" w:rsidP="00E05D08">
      <w:pPr>
        <w:spacing w:after="120" w:line="280" w:lineRule="atLeast"/>
        <w:mirrorIndents/>
        <w:rPr>
          <w:rFonts w:eastAsia="Times New Roman" w:cs="Times New Roman"/>
          <w:szCs w:val="20"/>
        </w:rPr>
      </w:pPr>
      <w:r>
        <w:t xml:space="preserve">Landsbygdsprogram genomförs inte i ett vakuum, utan ingår i ett komplicerat innovationssystem i det aktuella socioekonomiska sammanhanget. Programmets utgångsläge beror på den befintliga innovationsmiljön (dvs. innovationsaktörerna och deras samverkan, den befintliga gynnsamma miljön, efterfrågan på marknaden och andra insatser). </w:t>
      </w:r>
    </w:p>
    <w:p w:rsidR="000E0FE4" w:rsidRDefault="00A45935" w:rsidP="00E05D08">
      <w:pPr>
        <w:spacing w:after="120" w:line="280" w:lineRule="atLeast"/>
        <w:mirrorIndents/>
        <w:rPr>
          <w:rFonts w:eastAsia="Times New Roman" w:cs="Times New Roman"/>
          <w:szCs w:val="20"/>
        </w:rPr>
      </w:pPr>
      <w:r>
        <w:t xml:space="preserve">Syftet med all utvärdering är att med utgångspunkt i utgångsläget fördela eventuella förändringar av genomförandet av åtgärder och delåtgärder inom programmet.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7" w:name="_Toc493151896"/>
      <w:bookmarkStart w:id="18" w:name="_Toc501382122"/>
      <w:bookmarkStart w:id="19" w:name="_Toc508290299"/>
      <w:r>
        <w:lastRenderedPageBreak/>
        <w:t>Den politiska ramen inom EU</w:t>
      </w:r>
      <w:bookmarkEnd w:id="17"/>
      <w:bookmarkEnd w:id="18"/>
      <w:bookmarkEnd w:id="19"/>
      <w:r>
        <w:t xml:space="preserve"> </w:t>
      </w:r>
    </w:p>
    <w:p w:rsidR="00A45935" w:rsidRPr="00967CFD" w:rsidRDefault="00A45935" w:rsidP="009B603C">
      <w:pPr>
        <w:pStyle w:val="HHeading3"/>
        <w:spacing w:line="280" w:lineRule="exact"/>
      </w:pPr>
      <w:bookmarkStart w:id="20" w:name="Policy_framework"/>
      <w:bookmarkStart w:id="21" w:name="_Toc501382123"/>
      <w:bookmarkStart w:id="22" w:name="_Toc508290300"/>
      <w:bookmarkEnd w:id="20"/>
      <w:r>
        <w:t>Den politiska ramen för innovation inom EU och i landsbygdsutvecklingspolitiken</w:t>
      </w:r>
      <w:bookmarkEnd w:id="21"/>
      <w:bookmarkEnd w:id="22"/>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EU har två finansieringsinstrument som är specifikt avsedda för att stödja innovation inom jordbruk och skogsbruk</w:t>
      </w:r>
      <w:r>
        <w:rPr>
          <w:szCs w:val="20"/>
          <w:shd w:val="clear" w:color="auto" w:fill="FFFFFF"/>
        </w:rPr>
        <w:t>. Det ena är landsbygdsutvecklingspolitiken, som utgör en av den gemensamma jordbrukspolitikens två pelare. Det andra instrumentet är Horisont 2020</w:t>
      </w:r>
      <w:r>
        <w:rPr>
          <w:rFonts w:eastAsia="Times New Roman" w:cs="Times New Roman"/>
          <w:szCs w:val="20"/>
          <w:shd w:val="clear" w:color="auto" w:fill="FFFFFF"/>
          <w:vertAlign w:val="superscript"/>
          <w:lang w:eastAsia="de-DE"/>
        </w:rPr>
        <w:footnoteReference w:id="16"/>
      </w:r>
      <w:r>
        <w:rPr>
          <w:szCs w:val="20"/>
          <w:shd w:val="clear" w:color="auto" w:fill="FFFFFF"/>
        </w:rPr>
        <w:t>, EU:s ramprogram för forskning och innovation, som är grunden för genomförandet av flaggskeppsinitiativet Innovationsunionen</w:t>
      </w:r>
      <w:r>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Landsbygdsutvecklingspolitiken är utformad för att fungera i samverkan med Horisont 2020</w:t>
      </w:r>
      <w:r>
        <w:rPr>
          <w:szCs w:val="20"/>
          <w:shd w:val="clear" w:color="auto" w:fill="FFFFFF"/>
        </w:rPr>
        <w:t xml:space="preserve"> för att uppnå EU:s innovationsmål, i första hand målen för smart tillväxt. Bland EU:s överordnade mål för smart tillväxt ingår att öka de kombinerade offentliga och privata investeringarna inom forskning och utveckling (FoU) till 3 % av EU:s BNP samt att förbättra villkoren för FoU och innovation</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figures"/>
      </w:pPr>
      <w:bookmarkStart w:id="23" w:name="_Toc508290395"/>
      <w:r>
        <w:t>Den politiska ramen för innovation inom EU och i landsbygdsutvecklingspolitiken</w:t>
      </w:r>
      <w:bookmarkEnd w:id="23"/>
      <w:r>
        <w:t xml:space="preserve"> </w:t>
      </w:r>
    </w:p>
    <w:p w:rsidR="00A45935" w:rsidRPr="00E05D08" w:rsidRDefault="009D1F1B" w:rsidP="00E05D08">
      <w:pPr>
        <w:spacing w:before="60" w:after="200" w:line="276" w:lineRule="auto"/>
        <w:jc w:val="center"/>
        <w:rPr>
          <w:rFonts w:eastAsia="Calibri" w:cs="Arial"/>
          <w:szCs w:val="20"/>
        </w:rPr>
      </w:pPr>
      <w:r w:rsidRPr="009D1F1B">
        <w:rPr>
          <w:noProof/>
          <w:lang w:val="en-GB" w:eastAsia="en-GB"/>
        </w:rPr>
        <w:drawing>
          <wp:inline distT="0" distB="0" distL="0" distR="0">
            <wp:extent cx="6276975" cy="36419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9151" cy="3649034"/>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Källa: Europeiska helpdesken för utvärdering av landsbygdsutveckling, 2017.</w:t>
      </w:r>
    </w:p>
    <w:p w:rsidR="00A45935" w:rsidRPr="00E05D08" w:rsidRDefault="00A45935" w:rsidP="00E05D08">
      <w:pPr>
        <w:spacing w:after="120" w:line="280" w:lineRule="atLeast"/>
        <w:mirrorIndents/>
        <w:rPr>
          <w:rFonts w:eastAsia="Times New Roman" w:cs="Times New Roman"/>
          <w:szCs w:val="20"/>
        </w:rPr>
      </w:pPr>
      <w:r>
        <w:rPr>
          <w:b/>
          <w:szCs w:val="20"/>
        </w:rPr>
        <w:t>Den gemensamma jordbrukspolitiken spelar en viktig roll genom att bidra till smart tillväxt genom innovation</w:t>
      </w:r>
      <w:r>
        <w:t xml:space="preserve">. För att uppnå de tre målen för den gemensamma jordbrukspolitiken är det nödvändigt att skapa, utbyta och genomföra nya kunskaper, ny teknik, nya produkter och nya sätt att organisera, lära eller samarbeta. </w:t>
      </w:r>
    </w:p>
    <w:p w:rsidR="00A45935" w:rsidRPr="00E05D08" w:rsidRDefault="00A45935" w:rsidP="00E05D08">
      <w:pPr>
        <w:spacing w:after="120" w:line="280" w:lineRule="atLeast"/>
        <w:mirrorIndents/>
        <w:rPr>
          <w:rFonts w:eastAsia="Calibri" w:cs="Times New Roman"/>
          <w:szCs w:val="20"/>
        </w:rPr>
      </w:pPr>
      <w:r>
        <w:rPr>
          <w:b/>
          <w:szCs w:val="20"/>
        </w:rPr>
        <w:lastRenderedPageBreak/>
        <w:t>I utformningen av landsbygdsutvecklingspolitiken 2014–2020 betonas vikten av innovation</w:t>
      </w:r>
      <w:r>
        <w:t xml:space="preserve"> i programmets utformnings- och genomförandefas</w:t>
      </w:r>
      <w:r>
        <w:rPr>
          <w:rFonts w:eastAsia="Times New Roman" w:cs="Times New Roman"/>
          <w:szCs w:val="20"/>
          <w:vertAlign w:val="superscript"/>
          <w:lang w:eastAsia="de-DE"/>
        </w:rPr>
        <w:footnoteReference w:id="19"/>
      </w:r>
      <w:r>
        <w:t>. Innovation inom landsbygdsutvecklingen kan omfatta en rad olika områden, däribland utveckling på gårdarna, organisering av livsmedelskedjan och riskhantering, bevarande och förbättring av ekosystem, främjande av social integration, bekämpning av fattigdom, ekonomisk utveckling på landsbygden etc.</w:t>
      </w:r>
    </w:p>
    <w:p w:rsidR="00A45935" w:rsidRPr="00E05D08" w:rsidRDefault="00A45935" w:rsidP="00230C31">
      <w:pPr>
        <w:pStyle w:val="HHeading4"/>
        <w:rPr>
          <w:rFonts w:eastAsia="Calibri"/>
        </w:rPr>
      </w:pPr>
      <w:r>
        <w:t>Hur säkerställs innovation i landsbygdsprogrammen?</w:t>
      </w:r>
    </w:p>
    <w:p w:rsidR="00A45935" w:rsidRPr="00E05D08" w:rsidRDefault="00347A2C" w:rsidP="00E05D08">
      <w:pPr>
        <w:spacing w:after="120" w:line="280" w:lineRule="atLeast"/>
        <w:mirrorIndents/>
        <w:rPr>
          <w:rFonts w:eastAsia="Times New Roman" w:cs="Times New Roman"/>
          <w:szCs w:val="20"/>
        </w:rPr>
      </w:pPr>
      <w:r>
        <w:rPr>
          <w:b/>
          <w:szCs w:val="20"/>
        </w:rPr>
        <w:t>En beskrivning av programmets ”strategi för innovation i syfte att uppnå unionens prioriteringar för landsbygdsutveckling”</w:t>
      </w:r>
      <w:r>
        <w:t xml:space="preserve"> ingår i programmets strategi</w:t>
      </w:r>
      <w:r>
        <w:rPr>
          <w:rFonts w:eastAsia="Times New Roman" w:cs="Times New Roman"/>
          <w:szCs w:val="20"/>
          <w:vertAlign w:val="superscript"/>
          <w:lang w:eastAsia="de-DE"/>
        </w:rPr>
        <w:footnoteReference w:id="20"/>
      </w:r>
      <w:r>
        <w:t>. Denna beskrivning omfattar även det europeiska innovationspartnerskapet för produktivitet och hållbarhet inom jordbruket. Strategierna för var och en av unionens prioriteringar inriktas på de specifika behov på innovationsområdet som identifierats i swot-analysen och behovsbedömningen</w:t>
      </w:r>
      <w:r>
        <w:rPr>
          <w:rFonts w:eastAsia="Times New Roman" w:cs="Times New Roman"/>
          <w:szCs w:val="20"/>
          <w:vertAlign w:val="superscript"/>
          <w:lang w:eastAsia="de-DE"/>
        </w:rPr>
        <w:footnoteReference w:id="21"/>
      </w:r>
      <w:r>
        <w:t>. Alla unionens prioriteringar ska dessutom bidra till det övergripande målet gällande innovation</w:t>
      </w:r>
      <w:r>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Förutom att vara ett övergripande mål anses innovation i landsbygdsprogram även vara en del av två fokusområden för övergripande unionsprioritering 1, ”främjande av kunskapsöverföring och innovation inom jordbruket och skogsbruket och på landsbygden”: </w:t>
      </w:r>
    </w:p>
    <w:p w:rsidR="00A45935" w:rsidRPr="00165BF1" w:rsidRDefault="00A45935" w:rsidP="008C0B17">
      <w:pPr>
        <w:numPr>
          <w:ilvl w:val="0"/>
          <w:numId w:val="70"/>
        </w:numPr>
        <w:mirrorIndents/>
        <w:rPr>
          <w:szCs w:val="20"/>
        </w:rPr>
      </w:pPr>
      <w:r>
        <w:t>Fokusområde 1A: främja innovation, samarbete och utveckling av kunskap på landsbygden.</w:t>
      </w:r>
    </w:p>
    <w:p w:rsidR="00A45935" w:rsidRPr="00165BF1" w:rsidRDefault="00A45935" w:rsidP="008C0B17">
      <w:pPr>
        <w:numPr>
          <w:ilvl w:val="0"/>
          <w:numId w:val="70"/>
        </w:numPr>
        <w:mirrorIndents/>
        <w:rPr>
          <w:szCs w:val="20"/>
        </w:rPr>
      </w:pPr>
      <w:r>
        <w:t>Fokusområde 1B: stärka banden mellan jordbruk, livsmedelsproduktion och skogsbruk samt forskning och innovation, även för att få till stånd förbättrad miljöförvaltning och miljöprestanda.</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Landsbygdsprogrammen är oerhört flexibla när det gäller att använda och kombinera åtgärder</w:t>
      </w:r>
      <w:r>
        <w:t xml:space="preserve"> för att tillgodose särskilda territoriella och innovationsrelaterade behov och deras förmåga att uppnå synergieffekter. Åtgärderna kan planeras enligt olika prioriteringar och inom olika fokusområden i syfte att maximera deras bidrag till de relevanta målen. </w:t>
      </w:r>
      <w:r>
        <w:rPr>
          <w:szCs w:val="20"/>
          <w:shd w:val="clear" w:color="auto" w:fill="FFFFFF"/>
        </w:rPr>
        <w:t>Vissa programåtgärder kan även ha mer direkta effekter på innovation, främst inom fokusområdena 1A och 1B:</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 Kunskapsöverförings- och informationsåtgärder.</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M2 Rådgivningstjänster.</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M16 Samarbete (stöd för inrättande och drift av operativa grupper inom EIP-Agri).</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M19 Leader/LLU, vilken främjar innovation som en av Leader-principerna och uppmuntrar småskaliga innovationsåtgärder inom alla aspekter av livet på landsbygden (ekonomiska, sociala och miljömässiga).</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Innovationsfrämjande åtgärder kan även planeras inom andra fokusområden.</w:t>
      </w:r>
      <w:r>
        <w:t xml:space="preserve"> M16 kan till exempel kopplas till de flesta fokusområden och prioriteringar för landsbygdsutveckling. Den är den viktigaste åtgärden inom landsbygdsutvecklingen för att stödja det </w:t>
      </w:r>
      <w:r>
        <w:rPr>
          <w:b/>
          <w:szCs w:val="20"/>
          <w:shd w:val="clear" w:color="auto" w:fill="FFFFFF"/>
        </w:rPr>
        <w:t>europeiska innovationspartnerskapet för produktivitet och hållbarhet inom jordbruket</w:t>
      </w:r>
      <w:r>
        <w:rPr>
          <w:szCs w:val="20"/>
          <w:shd w:val="clear" w:color="auto" w:fill="FFFFFF"/>
        </w:rPr>
        <w:t xml:space="preserve"> (EIP-Agri).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9D1F1B"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637760" behindDoc="0" locked="0" layoutInCell="1" allowOverlap="1" wp14:anchorId="1D4D9A2B" wp14:editId="6C2B6B46">
                <wp:simplePos x="0" y="0"/>
                <wp:positionH relativeFrom="page">
                  <wp:posOffset>921385</wp:posOffset>
                </wp:positionH>
                <wp:positionV relativeFrom="paragraph">
                  <wp:posOffset>407670</wp:posOffset>
                </wp:positionV>
                <wp:extent cx="5671820" cy="4367530"/>
                <wp:effectExtent l="0" t="0" r="24130" b="13970"/>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367530"/>
                        </a:xfrm>
                        <a:prstGeom prst="round2DiagRect">
                          <a:avLst>
                            <a:gd name="adj1" fmla="val 6224"/>
                            <a:gd name="adj2" fmla="val 0"/>
                          </a:avLst>
                        </a:prstGeom>
                        <a:noFill/>
                        <a:ln w="25400" cap="flat" cmpd="sng" algn="ctr">
                          <a:solidFill>
                            <a:srgbClr val="BE4A35"/>
                          </a:solidFill>
                          <a:prstDash val="solid"/>
                        </a:ln>
                        <a:effectLst/>
                      </wps:spPr>
                      <wps:txbx>
                        <w:txbxContent>
                          <w:p w:rsidR="004C3777" w:rsidRPr="002F0ABF" w:rsidRDefault="004C3777" w:rsidP="00E05D08">
                            <w:pPr>
                              <w:pStyle w:val="HStandard"/>
                              <w:rPr>
                                <w:sz w:val="18"/>
                                <w:szCs w:val="18"/>
                              </w:rPr>
                            </w:pPr>
                            <w:r>
                              <w:rPr>
                                <w:noProof/>
                                <w:lang w:val="en-GB" w:eastAsia="en-GB"/>
                              </w:rPr>
                              <w:drawing>
                                <wp:inline distT="0" distB="0" distL="0" distR="0" wp14:anchorId="4EDFA20B" wp14:editId="74585CD4">
                                  <wp:extent cx="664845" cy="487680"/>
                                  <wp:effectExtent l="0" t="0" r="0" b="7620"/>
                                  <wp:docPr id="14"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EIP-Agri är en del av Europa 2020-strategin för att påskynda innovation inom EU genom att främja en konkurrenskraftig och hållbar jord- och skogsbrukssektor som producerar mer med mindre insatser. EIP-Agri bidrar till en stabil försörjning av livsmedel, foder och biomaterial i harmoni med de grundläggande naturresurser som jordbruket är beroende av. Genom EIP-Agri sammanförs innovationsaktörer (lantbrukare, rådgivare, forskare, företag, icke-statliga organisationer etc.) på EU-nivå och inom landsbygdsprogrammen i form av operativa grupper. Sådana innovationer kan vara tekniska, men även icke-tekniska, organisatoriska eller sociala. Innovation kan vara baserad på ny, men även traditionell, praxis i ett nytt geografiskt eller miljömässigt sammanhang. De operativa grupperna inom det europeiska innovationspartnerskapet är projektbaserade och arbetar med ett särskilt (praktiskt) problem eller en särskild möjlighet som kan leda till en innovation och bidra till att programmets mål uppnås. Varje operativ grupp består av de nyckelaktörer (t.ex. lantbrukare, rådgivare, forskare, företag, icke-statliga organisationer) som har bäst förutsättningar att förverkliga projektets mål, dela med sig av erfarenheterna av genomförandet och sprida resultaten till en bred publik. Den operativa gruppen tar till vara på olika typer av kunskap (praktisk, vetenskaplig, teknisk, organisatorisk etc.) på ett interaktivt sätt. Ett praktiskt tillvägagångssätt för att stödja detta är s.k. ”innovationsförmedling”. Genom förordningen erbjuds fyra möjligheter att finansiera innovationsförmedling </w:t>
                            </w:r>
                            <w:r>
                              <w:rPr>
                                <w:sz w:val="18"/>
                                <w:szCs w:val="18"/>
                                <w:vertAlign w:val="superscript"/>
                              </w:rPr>
                              <w:t>23</w:t>
                            </w:r>
                            <w:r>
                              <w:rPr>
                                <w:sz w:val="18"/>
                                <w:szCs w:val="18"/>
                              </w:rPr>
                              <w:t xml:space="preserve">. Innovationsförmedling kan spela en viktig roll när det gäller att upptäcka innovativa idéer och underlätta inrättandet av operativa grupper, särskilt genom att sammanföra olika innovationsaktörer (lantbrukare, forskare, rådgivare, icke-statliga organisationer etc.) i interaktiva innovationsprojekt. En ”innovationsförmedlare” söker efter initiativ på gräsrotsnivå, hjälper till att förfina innovativa idéer och erbjuder stöd för att hitta partner och finansiering. Förmedlarens huvuduppgift är att ta fram ett väl underbyggt förslag till ett innovativt projekt.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9A2B" id="Rectangle: Diagonal Corners Rounded 58" o:spid="_x0000_s1035" style="position:absolute;left:0;text-align:left;margin-left:72.55pt;margin-top:32.1pt;width:446.6pt;height:343.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367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" adj="-11796480,,5400" path="m271835,l5671820,r,l5671820,4095695v,150130,-121705,271835,-271835,271835l,4367530r,l,271835c,121705,121705,,271835,xe" filled="f" strokecolor="#be4a35" strokeweight="2pt">
                <v:stroke joinstyle="miter"/>
                <v:formulas/>
                <v:path arrowok="t" o:connecttype="custom" o:connectlocs="271835,0;5671820,0;5671820,0;5671820,4095695;5399985,4367530;0,4367530;0,4367530;0,271835;271835,0" o:connectangles="0,0,0,0,0,0,0,0,0" textboxrect="0,0,5671820,4367530"/>
                <v:textbox inset=",,,0">
                  <w:txbxContent>
                    <w:p w:rsidR="004C3777" w:rsidRPr="002F0ABF" w:rsidRDefault="004C3777" w:rsidP="00E05D08">
                      <w:pPr>
                        <w:pStyle w:val="HStandard"/>
                        <w:rPr>
                          <w:sz w:val="18"/>
                          <w:szCs w:val="18"/>
                        </w:rPr>
                      </w:pPr>
                      <w:r>
                        <w:rPr>
                          <w:noProof/>
                          <w:lang w:val="en-GB" w:eastAsia="en-GB"/>
                        </w:rPr>
                        <w:drawing>
                          <wp:inline distT="0" distB="0" distL="0" distR="0" wp14:anchorId="4EDFA20B" wp14:editId="74585CD4">
                            <wp:extent cx="664845" cy="487680"/>
                            <wp:effectExtent l="0" t="0" r="0" b="7620"/>
                            <wp:docPr id="14"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EIP-Agri är en del av Europa 2020-strategin för att påskynda innovation inom EU genom att främja en konkurrenskraftig och hållbar jord- och skogsbrukssektor som producerar mer med mindre insatser. EIP-Agri bidrar till en stabil försörjning av livsmedel, foder och biomaterial i harmoni med de grundläggande naturresurser som jordbruket är beroende av. Genom EIP-Agri sammanförs innovationsaktörer (lantbrukare, rådgivare, forskare, företag, icke-statliga organisationer etc.) på EU-nivå och inom landsbygdsprogrammen i form av operativa grupper. Sådana innovationer kan vara tekniska, men även icke-tekniska, organisatoriska eller sociala. Innovation kan vara baserad på ny, men även traditionell, praxis i ett nytt geografiskt eller miljömässigt sammanhang. De operativa grupperna inom det europeiska innovationspartnerskapet är projektbaserade och arbetar med ett särskilt (praktiskt) problem eller en särskild möjlighet som kan leda till en innovation och bidra till att programmets mål uppnås. Varje operativ grupp består av de nyckelaktörer (t.ex. lantbrukare, rådgivare, forskare, företag, icke-statliga organisationer) som har bäst förutsättningar att förverkliga projektets mål, dela med sig av erfarenheterna av genomförandet och sprida resultaten till en bred publik. Den operativa gruppen tar till vara på olika typer av kunskap (praktisk, vetenskaplig, teknisk, organisatorisk etc.) på ett interaktivt sätt. Ett praktiskt tillvägagångssätt för att stödja detta är s.k. ”innovationsförmedling”. Genom förordningen erbjuds fyra möjligheter att finansiera innovationsförmedling </w:t>
                      </w:r>
                      <w:r>
                        <w:rPr>
                          <w:sz w:val="18"/>
                          <w:szCs w:val="18"/>
                          <w:vertAlign w:val="superscript"/>
                        </w:rPr>
                        <w:t>23</w:t>
                      </w:r>
                      <w:r>
                        <w:rPr>
                          <w:sz w:val="18"/>
                          <w:szCs w:val="18"/>
                        </w:rPr>
                        <w:t xml:space="preserve">. Innovationsförmedling kan spela en viktig roll när det gäller att upptäcka innovativa idéer och underlätta inrättandet av operativa grupper, särskilt genom att sammanföra olika innovationsaktörer (lantbrukare, forskare, rådgivare, icke-statliga organisationer etc.) i interaktiva innovationsprojekt. En ”innovationsförmedlare” söker efter initiativ på gräsrotsnivå, hjälper till att förfina innovativa idéer och erbjuder stöd för att hitta partner och finansiering. Förmedlarens huvuduppgift är att ta fram ett väl underbyggt förslag till ett innovativt projekt.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Andra åtgärder</w:t>
      </w:r>
      <w:r>
        <w:rPr>
          <w:rFonts w:eastAsia="Times New Roman" w:cs="Times New Roman"/>
          <w:szCs w:val="20"/>
          <w:shd w:val="clear" w:color="auto" w:fill="FFFFFF"/>
          <w:vertAlign w:val="superscript"/>
          <w:lang w:eastAsia="de-DE"/>
        </w:rPr>
        <w:footnoteReference w:id="24"/>
      </w:r>
      <w:r>
        <w:rPr>
          <w:szCs w:val="20"/>
          <w:shd w:val="clear" w:color="auto" w:fill="FFFFFF"/>
        </w:rPr>
        <w:t xml:space="preserve"> som specifikt omfattar innovation är till exempel</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inrättandet av producentgrupper och producentorganisationer vars verksamhet bland annat omfattar ”organiseringen och underlättandet av innovationsprocesserna”</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(M 9),</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innovation som en av de sju principerna för Leader/LLU</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(M 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Varje åtgärd/delåtgärd inom landsbygdsprogrammet har i princip potential att främja innovation. </w:t>
      </w:r>
      <w:r>
        <w:rPr>
          <w:szCs w:val="20"/>
          <w:shd w:val="clear" w:color="auto" w:fill="FFFFFF"/>
        </w:rPr>
        <w:t xml:space="preserve">Den specifika innovationsstrategi som valts genom programmet uttrycks i kriterierna för stödberättigande och urval för innovationsprojekt och i kombinationen av åtgärder till stöd för innovation inom fokusområdena (kunskapsspridning, rådgivningstjänster, samarbete, investering, nätverksarbete etc.). </w:t>
      </w:r>
      <w:r>
        <w:t xml:space="preserve">Förvaltande myndigheter kan använda olika strategier för att organisera och kombinera dessa mjuka (t.ex. åtgärderna 1, 2 och 16) och hårda åtgärder </w:t>
      </w:r>
      <w:r>
        <w:rPr>
          <w:szCs w:val="20"/>
          <w:shd w:val="clear" w:color="auto" w:fill="FFFFFF"/>
        </w:rPr>
        <w:t>(stöd till investeringar, territoriell utveckling, marknadsföring, miljö, natur etc.)</w:t>
      </w:r>
      <w:r>
        <w:rPr>
          <w:b/>
          <w:szCs w:val="20"/>
          <w:shd w:val="clear" w:color="auto" w:fill="FFFFFF"/>
        </w:rPr>
        <w:t xml:space="preserve"> </w:t>
      </w:r>
      <w:r>
        <w:t>för att främja innovation</w:t>
      </w:r>
      <w:r>
        <w:rPr>
          <w:szCs w:val="20"/>
          <w:shd w:val="clear" w:color="auto" w:fill="FFFFFF"/>
        </w:rPr>
        <w:t>.</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Innovationer kan leda till sekundära bidrag till andra fokusområden.</w:t>
      </w:r>
      <w:r>
        <w:rPr>
          <w:szCs w:val="20"/>
          <w:shd w:val="clear" w:color="auto" w:fill="FFFFFF"/>
        </w:rPr>
        <w:t xml:space="preserve"> Det samarbete som planeras i fokusområde 2A kan till exempel medföra en innovativ strategi för att stärka den biologiska mångfalden och därigenom leda till sekundära bidrag till fokusområde 4A. Innovativa åtgärder i en operativ grupp kan utvecklas till en ny teknik som hjälper till att minska skador till följd av jorderosion som orsakats av </w:t>
      </w:r>
      <w:r>
        <w:rPr>
          <w:szCs w:val="20"/>
          <w:shd w:val="clear" w:color="auto" w:fill="FFFFFF"/>
        </w:rPr>
        <w:lastRenderedPageBreak/>
        <w:t>primär jordbruksproduktion (fokusområde 4C). Detta leder även till ökad konkurrenskraft och tillgång till marknader (ett sekundärt bidrag till fokusområde 2A).</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Olika nätverk inom ramen för landsbygdsutvecklingspolitiken spelar en viktig roll i främjandet av innovation:</w:t>
      </w:r>
    </w:p>
    <w:p w:rsidR="00A45935" w:rsidRPr="0081188E" w:rsidRDefault="00A45935" w:rsidP="001744D0">
      <w:pPr>
        <w:pStyle w:val="Hlistbullet"/>
      </w:pPr>
      <w:r>
        <w:rPr>
          <w:b/>
          <w:shd w:val="clear" w:color="auto" w:fill="FFFFFF"/>
        </w:rPr>
        <w:t>Nätverket för det europeiska innovationspartnerskapet</w:t>
      </w:r>
      <w:r>
        <w:rPr>
          <w:shd w:val="clear" w:color="auto" w:fill="FFFFFF"/>
        </w:rPr>
        <w:t xml:space="preserve"> är ett nytt nätverk under perioden 2014–2020 som har inrättats särskilt för att stödja EIP-Agri</w:t>
      </w:r>
      <w:r>
        <w:rPr>
          <w:rFonts w:cs="Arial"/>
          <w:vertAlign w:val="superscript"/>
        </w:rPr>
        <w:footnoteReference w:id="27"/>
      </w:r>
      <w:r>
        <w:rPr>
          <w:shd w:val="clear" w:color="auto" w:fill="FFFFFF"/>
        </w:rPr>
        <w:t xml:space="preserve"> – det europeiska innovationspartnerskapet för produktivitet och hållbarhet inom jordbruket. De viktigaste målen för nätverket för det europeiska innovationspartnerskapet är att sammanföra de operativa grupperna inom det europeiska innovationspartnerskapet, att underlätta utbytet av kunskap, sakkunskap och god praxis samt att inrätta en dialog mellan jordbruks- och forskarsamhället. Nätverket för EIP-Agri drivs av Europeiska kommissionen (GD jordbruk och landsbygdsutveckling) med stöd av servicepunkten. Servicepunkten arbetar med att underlätta nätverksarbetet, förbättra kommunikationen och sprida kunskap genom konferenser, fokusgrupper, workshoppar, seminarier och publikationer. Det huvudsakliga syftet är att stimulera samverkan mellan alla aktörer som är involverade i EIP-Agri: lantbrukare, forskare, rådgivare, icke-statliga organisationer, företag, offentliga myndigheter etc. Det europeiska innovationspartnerskapet har även en interaktiv webbplattform som stöder nätverksfunktionerna. Den skapar nätverksmöjligheter för alla berörda parter inom innovationsarbetet, framför allt operativa grupper, rådgivningstjänster, forskare, lantbrukare och andra aktörer som behöver utbyta kunskap</w:t>
      </w:r>
      <w:r>
        <w:t>.</w:t>
      </w:r>
    </w:p>
    <w:p w:rsidR="00EA0974" w:rsidRDefault="00A45935" w:rsidP="001744D0">
      <w:pPr>
        <w:pStyle w:val="Hlistbullet"/>
        <w:rPr>
          <w:shd w:val="clear" w:color="auto" w:fill="FFFFFF"/>
        </w:rPr>
      </w:pPr>
      <w:r>
        <w:rPr>
          <w:b/>
          <w:shd w:val="clear" w:color="auto" w:fill="FFFFFF"/>
        </w:rPr>
        <w:t>Nationella landsbygdsnätverk</w:t>
      </w:r>
      <w:r>
        <w:rPr>
          <w:shd w:val="clear" w:color="auto" w:fill="FFFFFF"/>
        </w:rPr>
        <w:t xml:space="preserve"> främjar innovation inom jordbruket, livsmedelsproduktionen och skogsbruket samt på landsbygden</w:t>
      </w:r>
      <w:r>
        <w:rPr>
          <w:rFonts w:cs="Arial"/>
          <w:vertAlign w:val="superscript"/>
        </w:rPr>
        <w:footnoteReference w:id="28"/>
      </w:r>
      <w:r>
        <w:rPr>
          <w:shd w:val="clear" w:color="auto" w:fill="FFFFFF"/>
        </w:rPr>
        <w:t>. De stöds på EU-nivå av det europeiska nätverket för landsbygdsutveckling. Nationella landsbygdsnätverk kan fungera som innovationsförmedlare</w:t>
      </w:r>
      <w:r>
        <w:rPr>
          <w:rFonts w:cs="Arial"/>
          <w:shd w:val="clear" w:color="auto" w:fill="FFFFFF"/>
          <w:vertAlign w:val="superscript"/>
        </w:rPr>
        <w:footnoteReference w:id="29"/>
      </w:r>
      <w:r>
        <w:rPr>
          <w:shd w:val="clear" w:color="auto" w:fill="FFFFFF"/>
        </w:rPr>
        <w:t>, vilket kräver en stark</w:t>
      </w:r>
      <w:r>
        <w:t xml:space="preserve"> koppling till och en grundläggande förståelse för jordbrukssektorn såväl som en mycket god kommunikationsförmåga. </w:t>
      </w:r>
      <w:r>
        <w:rPr>
          <w:shd w:val="clear" w:color="auto" w:fill="FFFFFF"/>
        </w:rPr>
        <w:t>De nationella landsbygdsnätverken samverkar med nätverket för det europeiska innovationspartnerskapet för att få inspiration och utbyta information och strategier som ger incitament för innovation. Förutom att samla in exempel på god praxis och underlätta det tematiska utbytet mellan berörda aktörer inom landsbygdsutveckling har de även till uppgift att skapa nätverk för stöd- och rådgivningstjänsterna för innovation</w:t>
      </w:r>
      <w:r>
        <w:rPr>
          <w:rFonts w:eastAsia="Calibri" w:cs="Arial"/>
          <w:shd w:val="clear" w:color="auto" w:fill="FFFFFF"/>
          <w:vertAlign w:val="superscript"/>
        </w:rPr>
        <w:footnoteReference w:id="30"/>
      </w:r>
      <w:r>
        <w:rPr>
          <w:shd w:val="clear" w:color="auto" w:fill="FFFFFF"/>
        </w:rPr>
        <w:t>. Detta är ett sätt att fånga upp innovativa idéer från aktörerna.</w:t>
      </w:r>
    </w:p>
    <w:p w:rsidR="00A45935" w:rsidRPr="00EA0974" w:rsidRDefault="00A45935" w:rsidP="009B603C">
      <w:pPr>
        <w:pStyle w:val="HHeading3"/>
        <w:spacing w:line="280" w:lineRule="exact"/>
        <w:rPr>
          <w:shd w:val="clear" w:color="auto" w:fill="FFFFFF"/>
        </w:rPr>
      </w:pPr>
      <w:bookmarkStart w:id="24" w:name="_Toc508290301"/>
      <w:r>
        <w:t>De gemensamma utvärderingsfaktorerna för innovation</w:t>
      </w:r>
      <w:bookmarkEnd w:id="24"/>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Den</w:t>
      </w:r>
      <w:r>
        <w:rPr>
          <w:szCs w:val="20"/>
          <w:shd w:val="clear" w:color="auto" w:fill="FFFFFF"/>
        </w:rPr>
        <w:t xml:space="preserve"> </w:t>
      </w:r>
      <w:r>
        <w:rPr>
          <w:b/>
          <w:szCs w:val="20"/>
          <w:shd w:val="clear" w:color="auto" w:fill="FFFFFF"/>
        </w:rPr>
        <w:t>utvärderingsplan</w:t>
      </w:r>
      <w:r>
        <w:rPr>
          <w:rFonts w:eastAsia="Times New Roman" w:cs="Times New Roman"/>
          <w:szCs w:val="20"/>
          <w:shd w:val="clear" w:color="auto" w:fill="FFFFFF"/>
          <w:vertAlign w:val="superscript"/>
          <w:lang w:eastAsia="de-DE"/>
        </w:rPr>
        <w:footnoteReference w:id="31"/>
      </w:r>
      <w:r>
        <w:rPr>
          <w:b/>
          <w:szCs w:val="20"/>
          <w:shd w:val="clear" w:color="auto" w:fill="FFFFFF"/>
        </w:rPr>
        <w:t xml:space="preserve"> som ingår i landsbygdsprogrammet utgör startpunkten för utvärderingarna. </w:t>
      </w:r>
      <w:r>
        <w:rPr>
          <w:szCs w:val="20"/>
          <w:shd w:val="clear" w:color="auto" w:fill="FFFFFF"/>
        </w:rPr>
        <w:t>Genom utvärderingsplanen fastställs bedömningen av innovation bland de utvärderingsämnen och aktiviteter som är kopplade till de övergripande frågorna. Rapporteringen av dessa aktiviteter och resultat ingår i de årliga genomföranderapporterna</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Det gemensamma övervaknings- och utvärderingssystemet </w:t>
      </w:r>
      <w:r>
        <w:rPr>
          <w:szCs w:val="20"/>
          <w:shd w:val="clear" w:color="auto" w:fill="FFFFFF"/>
        </w:rPr>
        <w:t>omfattar utvärderingsfaktorerna för bedömning av innovation, nämligen de gemensamma utvärderingsfrågorna, bedömningskriterierna och indikatorerna.</w:t>
      </w:r>
    </w:p>
    <w:p w:rsidR="00A45935" w:rsidRPr="002E1723" w:rsidRDefault="00A45935" w:rsidP="00624393">
      <w:pPr>
        <w:pStyle w:val="HStandard"/>
      </w:pPr>
      <w:r>
        <w:lastRenderedPageBreak/>
        <w:t xml:space="preserve">På </w:t>
      </w:r>
      <w:r>
        <w:rPr>
          <w:b/>
        </w:rPr>
        <w:t>nivån för fokusområdena</w:t>
      </w:r>
      <w:r>
        <w:t xml:space="preserve"> finns det två innovationsrelaterade gemensamma utvärderingsfrågor som kan kopplas till målen i fokusområdena 1A och 1B. Dessa frågor fångar upp insatsernas bidrag när det gäller förväntade utfall och resultat:</w:t>
      </w:r>
    </w:p>
    <w:p w:rsidR="00A45935" w:rsidRPr="00EA0974" w:rsidRDefault="00A45935" w:rsidP="00624393">
      <w:pPr>
        <w:pStyle w:val="Hlistbullet"/>
      </w:pPr>
      <w:r>
        <w:t xml:space="preserve">Gemensam utvärderingsfråga nr 1: ”I vilken utsträckning har insatserna inom landsbygdsprogrammet bidragit till innovation, samarbete och utveckling av en kunskapsbas i landsbygdsområden?” </w:t>
      </w:r>
    </w:p>
    <w:p w:rsidR="00A45935" w:rsidRPr="002E1723" w:rsidRDefault="00A45935" w:rsidP="00624393">
      <w:pPr>
        <w:pStyle w:val="Hlistbullet"/>
      </w:pPr>
      <w:r>
        <w:t xml:space="preserve">Gemensam utvärderingsfråga nr 2: ”I vilken utsträckning har insatserna inom landsbygdsprogrammet stärkt banden mellan jordbruk, livsmedelsproduktion och skogsbruk samt forskning och innovation, även för att få till stånd förbättrad miljöförvaltning och miljöprestanda?” </w:t>
      </w:r>
    </w:p>
    <w:p w:rsidR="00A45935" w:rsidRPr="002E1723" w:rsidRDefault="00A45935" w:rsidP="00624393">
      <w:pPr>
        <w:pStyle w:val="HStandard"/>
      </w:pPr>
      <w:r>
        <w:t xml:space="preserve">Gemensam utvärderingsfråga nr 21: ”I vilken utsträckning har det nationella landsbygdsnätverket bidragit till att uppnå de mål som anges i artikel 54.2 i förordning (EU) nr 1305/2013?” Denna fråga gäller </w:t>
      </w:r>
      <w:r>
        <w:rPr>
          <w:b/>
        </w:rPr>
        <w:t>andra aspekter av landsbygdsprogrammet</w:t>
      </w:r>
      <w:r>
        <w:t>, nämligen att fånga upp de utfall och resultat som det nationella landsbygdsnätverket kan förväntas uppnå. Denna utvärderingsfråga är relevant för innovation eftersom den gäller mål d i artikel 54.2 om att ”främja innovation inom jordbruket, livsmedelsproduktionen och skogsbruket samt på landsbygden”.</w:t>
      </w:r>
    </w:p>
    <w:p w:rsidR="00A45935" w:rsidRPr="001A2A93" w:rsidRDefault="00A45935" w:rsidP="00624393">
      <w:pPr>
        <w:pStyle w:val="HStandard"/>
      </w:pPr>
      <w:r>
        <w:t xml:space="preserve">På </w:t>
      </w:r>
      <w:r>
        <w:rPr>
          <w:b/>
        </w:rPr>
        <w:t>nivån för EU:s mål</w:t>
      </w:r>
      <w:r>
        <w:t xml:space="preserve"> finns det två innovationsrelaterade gemensamma utvärderingsfrågor som fångar upp programmens bidrag när det gäller förväntade effekter. </w:t>
      </w:r>
    </w:p>
    <w:p w:rsidR="00A45935" w:rsidRPr="001A2A93" w:rsidRDefault="00A45935" w:rsidP="00624393">
      <w:pPr>
        <w:pStyle w:val="Hlistbullet"/>
      </w:pPr>
      <w:r>
        <w:t xml:space="preserve">Gemensam utvärderingsfråga nr 23 gäller uppnåendet av EU:s överordnade mål: ”I vilken utsträckning har landsbygdsprogrammet bidragit Europa 2020-strategins överordnade mål att 3 % av EU:s BNP ska investeras i forskning och utveckling och innovation?” </w:t>
      </w:r>
    </w:p>
    <w:p w:rsidR="00A45935" w:rsidRPr="001A2A93" w:rsidRDefault="00A45935" w:rsidP="00624393">
      <w:pPr>
        <w:pStyle w:val="Hlistbullet"/>
      </w:pPr>
      <w:r>
        <w:t xml:space="preserve">Gemensam utvärderingsfråga nr 30 gäller en bedömning av innovation som ett övergripande mål: ”I vilken utsträckning har landsbygdsprogrammet bidragit till att främja innovation?” </w:t>
      </w:r>
    </w:p>
    <w:p w:rsidR="009D1F1B" w:rsidRDefault="00A45935" w:rsidP="00E05D08">
      <w:pPr>
        <w:spacing w:after="120" w:line="280" w:lineRule="atLeast"/>
        <w:mirrorIndents/>
        <w:rPr>
          <w:szCs w:val="20"/>
          <w:shd w:val="clear" w:color="auto" w:fill="FFFFFF"/>
        </w:rPr>
      </w:pPr>
      <w:r>
        <w:rPr>
          <w:szCs w:val="20"/>
          <w:shd w:val="clear" w:color="auto" w:fill="FFFFFF"/>
        </w:rPr>
        <w:t xml:space="preserve">Följande figur visar hur de gemensamma utvärderingsfaktorerna (gemensamma utvärderingsfrågor, bedömningskriterier och indikatorer) hänger samman med den politiska ramen på de olika nivåerna. Det finns sju </w:t>
      </w:r>
      <w:r>
        <w:rPr>
          <w:b/>
          <w:szCs w:val="20"/>
          <w:shd w:val="clear" w:color="auto" w:fill="FFFFFF"/>
        </w:rPr>
        <w:t>gemensamma indikatorer</w:t>
      </w:r>
      <w:r>
        <w:rPr>
          <w:szCs w:val="20"/>
          <w:shd w:val="clear" w:color="auto" w:fill="FFFFFF"/>
        </w:rPr>
        <w:t xml:space="preserve"> som hör till de gemensamma utvärderingsfrågorna för innovation: </w:t>
      </w:r>
      <w:r w:rsidR="00BE62C8">
        <w:rPr>
          <w:szCs w:val="20"/>
          <w:shd w:val="clear" w:color="auto" w:fill="FFFFFF"/>
        </w:rPr>
        <w:t>fem</w:t>
      </w:r>
      <w:r>
        <w:rPr>
          <w:szCs w:val="20"/>
          <w:shd w:val="clear" w:color="auto" w:fill="FFFFFF"/>
        </w:rPr>
        <w:t xml:space="preserve"> utfallsindikatorer och </w:t>
      </w:r>
      <w:r w:rsidR="00BE62C8">
        <w:rPr>
          <w:szCs w:val="20"/>
          <w:shd w:val="clear" w:color="auto" w:fill="FFFFFF"/>
        </w:rPr>
        <w:t xml:space="preserve">två </w:t>
      </w:r>
      <w:r>
        <w:rPr>
          <w:szCs w:val="20"/>
          <w:shd w:val="clear" w:color="auto" w:fill="FFFFFF"/>
        </w:rPr>
        <w:t>målindikatorer</w:t>
      </w:r>
      <w:r>
        <w:rPr>
          <w:rFonts w:eastAsia="Times New Roman" w:cs="Times New Roman"/>
          <w:szCs w:val="20"/>
          <w:shd w:val="clear" w:color="auto" w:fill="FFFFFF"/>
          <w:vertAlign w:val="superscript"/>
          <w:lang w:eastAsia="de-DE"/>
        </w:rPr>
        <w:footnoteReference w:id="33"/>
      </w:r>
      <w:r>
        <w:rPr>
          <w:szCs w:val="20"/>
          <w:shd w:val="clear" w:color="auto" w:fill="FFFFFF"/>
        </w:rPr>
        <w:t>.</w:t>
      </w:r>
    </w:p>
    <w:p w:rsidR="009D1F1B" w:rsidRDefault="009D1F1B">
      <w:pPr>
        <w:jc w:val="left"/>
        <w:rPr>
          <w:szCs w:val="20"/>
          <w:shd w:val="clear" w:color="auto" w:fill="FFFFFF"/>
        </w:rPr>
      </w:pPr>
      <w:r>
        <w:rPr>
          <w:szCs w:val="20"/>
          <w:shd w:val="clear" w:color="auto" w:fill="FFFFFF"/>
        </w:rPr>
        <w:br w:type="page"/>
      </w:r>
    </w:p>
    <w:p w:rsidR="00A45935" w:rsidRPr="00E05D08" w:rsidRDefault="00A45935" w:rsidP="00E05D08">
      <w:pPr>
        <w:spacing w:after="120" w:line="280" w:lineRule="atLeast"/>
        <w:mirrorIndents/>
        <w:rPr>
          <w:rFonts w:eastAsia="Times New Roman" w:cs="Times New Roman"/>
          <w:szCs w:val="20"/>
          <w:shd w:val="clear" w:color="auto" w:fill="FFFFFF"/>
        </w:rPr>
      </w:pPr>
    </w:p>
    <w:p w:rsidR="00A45935" w:rsidRDefault="00EA0974" w:rsidP="00230C31">
      <w:pPr>
        <w:pStyle w:val="HHeadingfigures"/>
      </w:pPr>
      <w:bookmarkStart w:id="25" w:name="_Toc508290396"/>
      <w:r>
        <w:t>De gemensamma utvärderingsfaktorerna för utvärdering av innovation</w:t>
      </w:r>
      <w:bookmarkEnd w:id="25"/>
      <w:r>
        <w:t xml:space="preserve"> </w:t>
      </w:r>
    </w:p>
    <w:p w:rsidR="00A45935" w:rsidRPr="00E05D08" w:rsidRDefault="009D1F1B" w:rsidP="009D1F1B">
      <w:pPr>
        <w:spacing w:before="60" w:after="140" w:line="220" w:lineRule="atLeast"/>
        <w:rPr>
          <w:rFonts w:eastAsia="Times New Roman" w:cs="Arial"/>
          <w:szCs w:val="20"/>
          <w:shd w:val="clear" w:color="auto" w:fill="FFFFFF"/>
          <w:lang w:eastAsia="de-DE"/>
        </w:rPr>
      </w:pPr>
      <w:r w:rsidRPr="009D1F1B">
        <w:rPr>
          <w:noProof/>
          <w:lang w:val="en-GB" w:eastAsia="en-GB"/>
        </w:rPr>
        <w:drawing>
          <wp:inline distT="0" distB="0" distL="0" distR="0">
            <wp:extent cx="5731510" cy="3406769"/>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06769"/>
                    </a:xfrm>
                    <a:prstGeom prst="rect">
                      <a:avLst/>
                    </a:prstGeom>
                    <a:noFill/>
                    <a:ln>
                      <a:noFill/>
                    </a:ln>
                  </pic:spPr>
                </pic:pic>
              </a:graphicData>
            </a:graphic>
          </wp:inline>
        </w:drawing>
      </w: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Källa: Europeiska helpdesken för utvärdering av landsbygdsutveckling, 2017.</w:t>
      </w:r>
    </w:p>
    <w:p w:rsidR="00690E70" w:rsidRDefault="00690E70">
      <w:pPr>
        <w:jc w:val="left"/>
        <w:rPr>
          <w:rFonts w:eastAsia="Times New Roman" w:cs="Times New Roman"/>
          <w:b/>
          <w:szCs w:val="20"/>
        </w:rPr>
      </w:pPr>
      <w:bookmarkStart w:id="26" w:name="_Toc493151897"/>
      <w:bookmarkStart w:id="27" w:name="_Toc501382124"/>
      <w:r>
        <w:br w:type="page"/>
      </w:r>
    </w:p>
    <w:p w:rsidR="00A45935" w:rsidRPr="003737FE" w:rsidRDefault="00A45935" w:rsidP="00230C31">
      <w:pPr>
        <w:pStyle w:val="HHeading2"/>
      </w:pPr>
      <w:bookmarkStart w:id="28" w:name="_Toc508290302"/>
      <w:r>
        <w:lastRenderedPageBreak/>
        <w:t>Utmaningar vid utvärdering av innovation</w:t>
      </w:r>
      <w:bookmarkEnd w:id="26"/>
      <w:bookmarkEnd w:id="27"/>
      <w:bookmarkEnd w:id="28"/>
    </w:p>
    <w:p w:rsidR="00A45935" w:rsidRPr="00E05D08" w:rsidRDefault="00A45935" w:rsidP="00E05D08">
      <w:pPr>
        <w:spacing w:after="120" w:line="280" w:lineRule="atLeast"/>
        <w:mirrorIndents/>
        <w:rPr>
          <w:rFonts w:eastAsia="Times New Roman" w:cs="Times New Roman"/>
          <w:szCs w:val="20"/>
        </w:rPr>
      </w:pPr>
      <w:bookmarkStart w:id="29" w:name="_Toc476064466"/>
      <w:bookmarkStart w:id="30" w:name="_Toc476064526"/>
      <w:bookmarkStart w:id="31" w:name="_Toc476064467"/>
      <w:bookmarkStart w:id="32" w:name="_Toc476064527"/>
      <w:bookmarkStart w:id="33" w:name="_Toc476064468"/>
      <w:bookmarkStart w:id="34" w:name="_Toc476064528"/>
      <w:bookmarkStart w:id="35" w:name="_Toc476064469"/>
      <w:bookmarkStart w:id="36" w:name="_Toc476064529"/>
      <w:bookmarkStart w:id="37" w:name="_Toc476064470"/>
      <w:bookmarkStart w:id="38" w:name="_Toc476064530"/>
      <w:bookmarkStart w:id="39" w:name="_Toc476064471"/>
      <w:bookmarkStart w:id="40" w:name="_Toc476064531"/>
      <w:bookmarkStart w:id="41" w:name="_Toc476064472"/>
      <w:bookmarkStart w:id="42" w:name="_Toc476064532"/>
      <w:bookmarkStart w:id="43" w:name="_Toc476064473"/>
      <w:bookmarkStart w:id="44" w:name="_Toc476064533"/>
      <w:bookmarkStart w:id="45" w:name="_Toc476064474"/>
      <w:bookmarkStart w:id="46" w:name="_Toc476064534"/>
      <w:bookmarkStart w:id="47" w:name="_Toc476064475"/>
      <w:bookmarkStart w:id="48" w:name="_Toc476064535"/>
      <w:bookmarkStart w:id="49" w:name="_Toc476064476"/>
      <w:bookmarkStart w:id="50" w:name="_Toc476064536"/>
      <w:bookmarkStart w:id="51" w:name="_Toc476064477"/>
      <w:bookmarkStart w:id="52" w:name="_Toc476064537"/>
      <w:bookmarkStart w:id="53" w:name="_Toc476064478"/>
      <w:bookmarkStart w:id="54" w:name="_Toc476064538"/>
      <w:bookmarkStart w:id="55" w:name="_Toc476064479"/>
      <w:bookmarkStart w:id="56" w:name="_Toc476064539"/>
      <w:bookmarkStart w:id="57" w:name="_Toc476064481"/>
      <w:bookmarkStart w:id="58" w:name="_Toc476064541"/>
      <w:bookmarkStart w:id="59" w:name="_Toc476064482"/>
      <w:bookmarkStart w:id="60" w:name="_Toc476064542"/>
      <w:bookmarkStart w:id="61" w:name="_Toc476064483"/>
      <w:bookmarkStart w:id="62" w:name="_Toc476064543"/>
      <w:bookmarkStart w:id="63" w:name="_Toc476064484"/>
      <w:bookmarkStart w:id="64" w:name="_Toc476064544"/>
      <w:bookmarkStart w:id="65" w:name="_Toc476064485"/>
      <w:bookmarkStart w:id="66" w:name="_Toc476064545"/>
      <w:bookmarkStart w:id="67" w:name="_Toc476064486"/>
      <w:bookmarkStart w:id="68" w:name="_Toc476064546"/>
      <w:bookmarkStart w:id="69" w:name="_Toc476064487"/>
      <w:bookmarkStart w:id="70" w:name="_Toc476064547"/>
      <w:bookmarkStart w:id="71" w:name="_Toc476064488"/>
      <w:bookmarkStart w:id="72" w:name="_Toc476064548"/>
      <w:bookmarkStart w:id="73" w:name="_Toc476064489"/>
      <w:bookmarkStart w:id="74" w:name="_Toc476064549"/>
      <w:bookmarkStart w:id="75" w:name="_Toc476064490"/>
      <w:bookmarkStart w:id="76" w:name="_Toc476064550"/>
      <w:bookmarkStart w:id="77" w:name="_Toc476064491"/>
      <w:bookmarkStart w:id="78" w:name="_Toc47606455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Det finns flera olika utmaningar som bör beaktas vid utvärdering av innovation i landsbygdsprogrammen.</w:t>
      </w:r>
    </w:p>
    <w:p w:rsidR="00A45935" w:rsidRPr="00E05D08" w:rsidRDefault="00A45935" w:rsidP="00230C31">
      <w:pPr>
        <w:pStyle w:val="HHeading4"/>
        <w:rPr>
          <w:rFonts w:eastAsia="Calibri"/>
        </w:rPr>
      </w:pPr>
      <w:r>
        <w:t xml:space="preserve">Begreppsmässiga utmaningar </w:t>
      </w:r>
    </w:p>
    <w:p w:rsidR="00A45935" w:rsidRPr="00920CB9" w:rsidRDefault="00A45935" w:rsidP="00576A73">
      <w:pPr>
        <w:pStyle w:val="Hlistbullet"/>
      </w:pPr>
      <w:r>
        <w:rPr>
          <w:b/>
        </w:rPr>
        <w:t>Att klargöra ämnet för utvärderingen:</w:t>
      </w:r>
      <w:r>
        <w:t xml:space="preserve"> Vad är utvärderingen av innovation fokuserad på? </w:t>
      </w:r>
    </w:p>
    <w:p w:rsidR="00A45935" w:rsidRPr="00920CB9" w:rsidRDefault="00A45935" w:rsidP="00576A73">
      <w:pPr>
        <w:pStyle w:val="Hlistbullet"/>
      </w:pPr>
      <w:r>
        <w:rPr>
          <w:b/>
        </w:rPr>
        <w:t>Att kartlägga kunskaps- och innovationssystemet:</w:t>
      </w:r>
      <w:r>
        <w:t xml:space="preserve"> Vilka komponenter ingår i ett visst kunskaps- och innovationssystem i det landsbygdsområde som bedöms och vilka är deras relationer och gränser? Vilken roll spelar landsbygdsprogrammen för systemet?</w:t>
      </w:r>
      <w:r>
        <w:rPr>
          <w:rFonts w:cs="Arial"/>
          <w:vertAlign w:val="superscript"/>
        </w:rPr>
        <w:footnoteReference w:id="34"/>
      </w:r>
    </w:p>
    <w:p w:rsidR="00A45935" w:rsidRPr="00920CB9" w:rsidRDefault="00A45935" w:rsidP="00576A73">
      <w:pPr>
        <w:pStyle w:val="Hlistbullet"/>
      </w:pPr>
      <w:r>
        <w:rPr>
          <w:b/>
        </w:rPr>
        <w:t>Att granska landsbygdsprogrammets strategi för innovation</w:t>
      </w:r>
      <w:r>
        <w:t>: Vilken specifik innovationspotential har ett visst landsbygdsprogram? Vilka är målen? Är urvalskriterierna särskilt utformade för att fånga upp innovation?</w:t>
      </w:r>
    </w:p>
    <w:p w:rsidR="00A45935" w:rsidRPr="00B76BA4" w:rsidRDefault="00A45935" w:rsidP="00230C31">
      <w:pPr>
        <w:pStyle w:val="HHeading4"/>
        <w:rPr>
          <w:rFonts w:eastAsia="Calibri"/>
          <w:shd w:val="clear" w:color="auto" w:fill="FFFFFF"/>
        </w:rPr>
      </w:pPr>
      <w:r>
        <w:rPr>
          <w:shd w:val="clear" w:color="auto" w:fill="FFFFFF"/>
        </w:rPr>
        <w:t xml:space="preserve">Utmaningar som rör det gemensamma uppföljnings- och utvärderingssystemet </w:t>
      </w:r>
    </w:p>
    <w:p w:rsidR="00A45935" w:rsidRPr="000324A5" w:rsidRDefault="00A45935" w:rsidP="00576A73">
      <w:pPr>
        <w:pStyle w:val="Hlistbullet"/>
      </w:pPr>
      <w:r>
        <w:rPr>
          <w:b/>
        </w:rPr>
        <w:t xml:space="preserve">Att utarbeta kompletterande och programspecifika utvärderingsfaktorer: </w:t>
      </w:r>
      <w:r>
        <w:t xml:space="preserve">Hur ska kompletterande och programspecifika utvärderingsfaktorer som rör utvärderingen av innovation utformas? </w:t>
      </w:r>
    </w:p>
    <w:p w:rsidR="00A45935" w:rsidRPr="000324A5" w:rsidRDefault="00A45935" w:rsidP="00576A73">
      <w:pPr>
        <w:pStyle w:val="Hlistbullet"/>
        <w:rPr>
          <w:b/>
        </w:rPr>
      </w:pPr>
      <w:r>
        <w:rPr>
          <w:b/>
        </w:rPr>
        <w:t xml:space="preserve">Att rapportera resultat: </w:t>
      </w:r>
      <w:r>
        <w:t>Hur ska utvärderingsförfarandena anpassas till tidsramen för den årliga genomföranderapporten för år 2019 såväl som efterhandsutvärderingen år 2024?</w:t>
      </w:r>
    </w:p>
    <w:p w:rsidR="00A45935" w:rsidRPr="00E05D08" w:rsidRDefault="00A45935" w:rsidP="00230C31">
      <w:pPr>
        <w:pStyle w:val="HHeading4"/>
        <w:rPr>
          <w:rFonts w:eastAsia="Calibri"/>
          <w:shd w:val="clear" w:color="auto" w:fill="FFFFFF"/>
        </w:rPr>
      </w:pPr>
      <w:r>
        <w:rPr>
          <w:shd w:val="clear" w:color="auto" w:fill="FFFFFF"/>
        </w:rPr>
        <w:t xml:space="preserve">Metodrelaterade utmaningar </w:t>
      </w:r>
    </w:p>
    <w:p w:rsidR="00A45935" w:rsidRPr="00F8743F" w:rsidRDefault="00A45935" w:rsidP="00576A73">
      <w:pPr>
        <w:pStyle w:val="Hlistbullet"/>
        <w:rPr>
          <w:shd w:val="clear" w:color="auto" w:fill="FFFFFF"/>
        </w:rPr>
      </w:pPr>
      <w:r>
        <w:rPr>
          <w:b/>
        </w:rPr>
        <w:t>Att härleda</w:t>
      </w:r>
      <w:r>
        <w:rPr>
          <w:b/>
          <w:shd w:val="clear" w:color="auto" w:fill="FFFFFF"/>
        </w:rPr>
        <w:t xml:space="preserve"> innovationsprocesserna till landsbygdsprogrammets interventioner</w:t>
      </w:r>
      <w:r>
        <w:rPr>
          <w:shd w:val="clear" w:color="auto" w:fill="FFFFFF"/>
        </w:rPr>
        <w:t xml:space="preserve">: Hur ska man mäta i vilken utsträckning de innovationsprocesser som genereras i landsbygdsområdena hänför sig direkt eller indirekt till landsbygdsprogrammets interventioner? </w:t>
      </w:r>
    </w:p>
    <w:p w:rsidR="00A45935" w:rsidRPr="00F8743F" w:rsidRDefault="00A45935" w:rsidP="00576A73">
      <w:pPr>
        <w:pStyle w:val="Hlistbullet"/>
        <w:rPr>
          <w:shd w:val="clear" w:color="auto" w:fill="FFFFFF"/>
        </w:rPr>
      </w:pPr>
      <w:r>
        <w:rPr>
          <w:b/>
        </w:rPr>
        <w:t>Att härleda effekterna av innovation till landsbygdsprogrammets resultat och effekter</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Att utforma lämpliga utvärderingsstrategier:</w:t>
      </w:r>
      <w:r>
        <w:rPr>
          <w:shd w:val="clear" w:color="auto" w:fill="FFFFFF"/>
          <w14:textFill>
            <w14:solidFill>
              <w14:srgbClr w14:val="373737">
                <w14:lumMod w14:val="75000"/>
                <w14:lumMod w14:val="75000"/>
                <w14:lumMod w14:val="75000"/>
              </w14:srgbClr>
            </w14:solidFill>
          </w14:textFill>
        </w:rPr>
        <w:t xml:space="preserve"> Hur kan kvantitativa och kvalitativa metoder triangelmätas och blandas för att tolka resultaten av utvärderingen och informera om slutsatser och rekommendationer? </w:t>
      </w:r>
    </w:p>
    <w:p w:rsidR="00A45935" w:rsidRPr="00E05D08" w:rsidRDefault="00A45935" w:rsidP="00230C31">
      <w:pPr>
        <w:pStyle w:val="HHeading4"/>
        <w:rPr>
          <w:rFonts w:eastAsia="Calibri"/>
          <w:shd w:val="clear" w:color="auto" w:fill="FFFFFF"/>
        </w:rPr>
      </w:pPr>
      <w:r>
        <w:rPr>
          <w:shd w:val="clear" w:color="auto" w:fill="FFFFFF"/>
        </w:rPr>
        <w:t>Organisatoriska utmaningar</w:t>
      </w:r>
    </w:p>
    <w:p w:rsidR="00A45935" w:rsidRPr="00D55226" w:rsidRDefault="00A45935" w:rsidP="00576A73">
      <w:pPr>
        <w:pStyle w:val="Hlistbullet"/>
        <w:rPr>
          <w:rFonts w:eastAsia="Calibri"/>
        </w:rPr>
      </w:pPr>
      <w:r>
        <w:rPr>
          <w:b/>
        </w:rPr>
        <w:t>Att säkerställa en effektiv och ändamålsenlig datahantering:</w:t>
      </w:r>
      <w:r>
        <w:t xml:space="preserve"> Hur ska uppgifter som rör gemensamma och kompletterande indikatorer hanteras, samlas in och analyseras, särskilt om hanteringen av innovationsstödjande åtgärder delas av olika ansvariga organ? </w:t>
      </w:r>
    </w:p>
    <w:p w:rsidR="00A45935" w:rsidRPr="00D55226" w:rsidRDefault="00A45935" w:rsidP="00576A73">
      <w:pPr>
        <w:pStyle w:val="Hlistbullet"/>
        <w:rPr>
          <w:rFonts w:eastAsia="Calibri"/>
        </w:rPr>
      </w:pPr>
      <w:r>
        <w:rPr>
          <w:b/>
        </w:rPr>
        <w:t>Att samordna berörda aktörer</w:t>
      </w:r>
      <w:r>
        <w:t>: Hur ska ett gemensamt förfarande inrättas för att uppnå en gemensam förståelse mellan de förvaltande myndigheterna och de olika aktörer som är involverade i utvärderingen av innovation (t.ex. lokala aktionsgrupper, operativa grupper inom det europeiska innovationspartnerskapet, rådgivare till lantbrukare/skogsbrukare, forskare)?</w:t>
      </w:r>
    </w:p>
    <w:p w:rsidR="00A45935" w:rsidRDefault="00A45935" w:rsidP="00576A73">
      <w:pPr>
        <w:pStyle w:val="Hlistbullet"/>
        <w:rPr>
          <w:rFonts w:eastAsia="Calibri"/>
        </w:rPr>
      </w:pPr>
      <w:r>
        <w:rPr>
          <w:b/>
        </w:rPr>
        <w:t>Att använda utvärderingsresultat för att förbättra utformningen och genomförandet av politiska åtgärder:</w:t>
      </w:r>
      <w:r>
        <w:t xml:space="preserve"> Hur kan uppföljande slutsatser och rekommendationer utifrån </w:t>
      </w:r>
      <w:r>
        <w:lastRenderedPageBreak/>
        <w:t>utvärderingsresultaten användas för att förbättra landsbygdsprogrammet, dess öppenhet och ansvarighet och det gemensamma lärandet bland programmets berörda aktörer?</w:t>
      </w:r>
    </w:p>
    <w:p w:rsidR="00230C31" w:rsidRDefault="00230C31" w:rsidP="00626C0C">
      <w:pPr>
        <w:pStyle w:val="HHeading1"/>
        <w:tabs>
          <w:tab w:val="clear" w:pos="567"/>
        </w:tabs>
      </w:pPr>
      <w:bookmarkStart w:id="79" w:name="_Toc508290303"/>
      <w:r>
        <w:lastRenderedPageBreak/>
        <w:t>Utvärdering av innovation i landsbygdsprogram</w:t>
      </w:r>
      <w:bookmarkEnd w:id="79"/>
    </w:p>
    <w:p w:rsidR="00A45935" w:rsidRPr="00C84B5B" w:rsidRDefault="00A45935" w:rsidP="00B421B9">
      <w:pPr>
        <w:pStyle w:val="HHeading2"/>
        <w:numPr>
          <w:ilvl w:val="1"/>
          <w:numId w:val="119"/>
        </w:numPr>
        <w:ind w:left="567" w:hanging="567"/>
      </w:pPr>
      <w:bookmarkStart w:id="80" w:name="_Toc476063931"/>
      <w:bookmarkStart w:id="81" w:name="_Toc476064198"/>
      <w:bookmarkStart w:id="82" w:name="_Toc476064493"/>
      <w:bookmarkStart w:id="83" w:name="_Toc476064553"/>
      <w:bookmarkStart w:id="84" w:name="_Toc508290304"/>
      <w:bookmarkStart w:id="85" w:name="_Toc493151899"/>
      <w:bookmarkStart w:id="86" w:name="_Toc501382126"/>
      <w:bookmarkEnd w:id="80"/>
      <w:bookmarkEnd w:id="81"/>
      <w:bookmarkEnd w:id="82"/>
      <w:bookmarkEnd w:id="83"/>
      <w:r>
        <w:t>Förslag till strategi för att utvärdera innovation i landsbygdsprogram 2014–2020 (översikt)</w:t>
      </w:r>
      <w:bookmarkEnd w:id="84"/>
    </w:p>
    <w:bookmarkEnd w:id="85"/>
    <w:bookmarkEnd w:id="86"/>
    <w:p w:rsidR="00A45935" w:rsidRDefault="00A45935" w:rsidP="00946806">
      <w:pPr>
        <w:pStyle w:val="HHeading4"/>
      </w:pPr>
      <w:r>
        <w:t>Hantering av utvärderingen av innovation</w:t>
      </w:r>
    </w:p>
    <w:p w:rsidR="00A45935" w:rsidRPr="00E05D08" w:rsidRDefault="00A45935" w:rsidP="00E05D08">
      <w:pPr>
        <w:spacing w:after="120" w:line="280" w:lineRule="atLeast"/>
        <w:mirrorIndents/>
        <w:rPr>
          <w:rFonts w:eastAsia="Times New Roman" w:cs="Times New Roman"/>
          <w:szCs w:val="20"/>
        </w:rPr>
      </w:pPr>
      <w:r>
        <w:rPr>
          <w:b/>
          <w:szCs w:val="20"/>
        </w:rPr>
        <w:t>Utvärderingen av innovation och besvarandet av de innovationsrelaterade utvärderingsfrågorna är en del av utvärderingen av landsbygdsprogrammet.</w:t>
      </w:r>
      <w:r>
        <w:t xml:space="preserve"> </w:t>
      </w:r>
      <w:r>
        <w:rPr>
          <w:szCs w:val="20"/>
          <w:shd w:val="clear" w:color="auto" w:fill="FFFFFF"/>
        </w:rPr>
        <w:t>De hanteras därför vanligen tillsammans med övriga aktiviteter för utvärdering av landsbygdsprogrammet</w:t>
      </w:r>
      <w:r>
        <w:rPr>
          <w:rFonts w:eastAsia="Calibri" w:cs="Times New Roman"/>
          <w:szCs w:val="20"/>
          <w:shd w:val="clear" w:color="auto" w:fill="FFFFFF"/>
          <w:vertAlign w:val="superscript"/>
          <w:lang w:eastAsia="de-DE"/>
        </w:rPr>
        <w:footnoteReference w:id="35"/>
      </w:r>
      <w:r>
        <w:rPr>
          <w:szCs w:val="20"/>
          <w:shd w:val="clear" w:color="auto" w:fill="FFFFFF"/>
        </w:rPr>
        <w:t>. I nedanstående figur visas en översikt över denna process.</w:t>
      </w:r>
      <w:r>
        <w:t xml:space="preserve"> </w:t>
      </w:r>
    </w:p>
    <w:p w:rsidR="00A45935" w:rsidRPr="00E05D08" w:rsidRDefault="00A45935" w:rsidP="00E05D08">
      <w:pPr>
        <w:spacing w:after="120" w:line="280" w:lineRule="atLeast"/>
        <w:mirrorIndents/>
        <w:rPr>
          <w:rFonts w:eastAsia="Times New Roman" w:cs="Times New Roman"/>
          <w:szCs w:val="20"/>
        </w:rPr>
      </w:pPr>
      <w:r>
        <w:t xml:space="preserve">Förberedelse, strukturering och ledning av utvärderingen av innovation beskrivs i detalj i kapitel 2.2–2.4. </w:t>
      </w:r>
    </w:p>
    <w:p w:rsidR="00A45935" w:rsidRPr="0018705F" w:rsidRDefault="00A45935" w:rsidP="00B421B9">
      <w:pPr>
        <w:pStyle w:val="HHeadingfigures"/>
      </w:pPr>
      <w:bookmarkStart w:id="87" w:name="_Toc508290397"/>
      <w:r>
        <w:t>Hantering av utvärderingen av innovation i landsbygdsprogram 2014–2020</w:t>
      </w:r>
      <w:bookmarkEnd w:id="87"/>
    </w:p>
    <w:p w:rsidR="00A45935" w:rsidRPr="00E05D08" w:rsidRDefault="009D1F1B" w:rsidP="00E05D08">
      <w:pPr>
        <w:spacing w:after="120" w:line="280" w:lineRule="atLeast"/>
        <w:mirrorIndents/>
        <w:jc w:val="center"/>
        <w:rPr>
          <w:rFonts w:eastAsia="Times New Roman" w:cs="Times New Roman"/>
          <w:szCs w:val="20"/>
        </w:rPr>
      </w:pPr>
      <w:r w:rsidRPr="009D1F1B">
        <w:rPr>
          <w:noProof/>
          <w:lang w:val="en-GB" w:eastAsia="en-GB"/>
        </w:rPr>
        <w:drawing>
          <wp:inline distT="0" distB="0" distL="0" distR="0">
            <wp:extent cx="5731510" cy="4048266"/>
            <wp:effectExtent l="0" t="0" r="254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048266"/>
                    </a:xfrm>
                    <a:prstGeom prst="rect">
                      <a:avLst/>
                    </a:prstGeom>
                    <a:noFill/>
                    <a:ln>
                      <a:noFill/>
                    </a:ln>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Källa: Europeiska helpdesken för utvärdering av landsbygdsutveckling, 2017.</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Rapportering om utvärderingen av innovation</w:t>
      </w:r>
    </w:p>
    <w:p w:rsidR="00A45935" w:rsidRPr="00E05D08" w:rsidRDefault="00A45935" w:rsidP="00E05D08">
      <w:pPr>
        <w:spacing w:after="120" w:line="280" w:lineRule="atLeast"/>
        <w:mirrorIndents/>
        <w:rPr>
          <w:rFonts w:eastAsia="Times New Roman" w:cs="Times New Roman"/>
          <w:szCs w:val="20"/>
        </w:rPr>
      </w:pPr>
      <w:r>
        <w:rPr>
          <w:b/>
          <w:szCs w:val="20"/>
        </w:rPr>
        <w:t>Rapporteringen av utvärderingsresultat till Europeiska kommissionen ligger inom</w:t>
      </w:r>
      <w:r>
        <w:rPr>
          <w:b/>
          <w:szCs w:val="20"/>
          <w:shd w:val="clear" w:color="auto" w:fill="FFFFFF"/>
        </w:rPr>
        <w:t xml:space="preserve"> </w:t>
      </w:r>
      <w:r>
        <w:rPr>
          <w:b/>
          <w:szCs w:val="20"/>
        </w:rPr>
        <w:t>de förvaltande myndigheternas ansvarsområde</w:t>
      </w:r>
      <w:r>
        <w:rPr>
          <w:rFonts w:eastAsia="Times New Roman" w:cs="Times New Roman"/>
          <w:szCs w:val="20"/>
          <w:vertAlign w:val="superscript"/>
          <w:lang w:eastAsia="de-DE"/>
        </w:rPr>
        <w:footnoteReference w:id="36"/>
      </w:r>
      <w:r>
        <w:t xml:space="preserve">. I figur 5 visas de gemensamma utvärderingsfrågor där resultaten av utvärderingen av innovation kan ingå i de årliga genomföranderapporterna för år 2017 och 2019 och i efterhandsutvärderingen. </w:t>
      </w:r>
    </w:p>
    <w:p w:rsidR="00A45935" w:rsidRPr="00E05D08" w:rsidRDefault="00A45935" w:rsidP="00E05D08">
      <w:pPr>
        <w:spacing w:after="120" w:line="280" w:lineRule="atLeast"/>
        <w:mirrorIndents/>
        <w:rPr>
          <w:rFonts w:eastAsia="Times New Roman" w:cs="Times New Roman"/>
          <w:szCs w:val="20"/>
        </w:rPr>
      </w:pPr>
      <w:r>
        <w:rPr>
          <w:b/>
          <w:szCs w:val="20"/>
        </w:rPr>
        <w:t xml:space="preserve">Viktiga resultat av utvärderingen av innovation kan förväntas i den årliga genomföranderapporten 2019 </w:t>
      </w:r>
      <w:r>
        <w:rPr>
          <w:b/>
        </w:rPr>
        <w:t>och i efterhandsutvärderingen</w:t>
      </w:r>
      <w:r>
        <w:t>. Eftersom främjande av innovation ses som en process är resultaten svåra att observera i de tidiga skedena av programmets genomförande.</w:t>
      </w:r>
    </w:p>
    <w:p w:rsidR="00A45935" w:rsidRDefault="00533971" w:rsidP="008D178A">
      <w:pPr>
        <w:pStyle w:val="HHeadingfigures"/>
      </w:pPr>
      <w:bookmarkStart w:id="88" w:name="_Toc508290398"/>
      <w:r>
        <w:t>Rapporteringskrav med avseende på innovation</w:t>
      </w:r>
      <w:bookmarkEnd w:id="88"/>
    </w:p>
    <w:p w:rsidR="00A45935" w:rsidRPr="00E05D08" w:rsidRDefault="009D1F1B" w:rsidP="009D1F1B">
      <w:pPr>
        <w:spacing w:after="120" w:line="280" w:lineRule="atLeast"/>
        <w:mirrorIndents/>
        <w:rPr>
          <w:rFonts w:eastAsia="Times New Roman" w:cs="Times New Roman"/>
          <w:szCs w:val="20"/>
          <w:lang w:eastAsia="de-DE"/>
        </w:rPr>
      </w:pPr>
      <w:r w:rsidRPr="009D1F1B">
        <w:rPr>
          <w:noProof/>
          <w:lang w:val="en-GB" w:eastAsia="en-GB"/>
        </w:rPr>
        <w:drawing>
          <wp:inline distT="0" distB="0" distL="0" distR="0">
            <wp:extent cx="5731510" cy="4413165"/>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413165"/>
                    </a:xfrm>
                    <a:prstGeom prst="rect">
                      <a:avLst/>
                    </a:prstGeom>
                    <a:noFill/>
                    <a:ln>
                      <a:noFill/>
                    </a:ln>
                  </pic:spPr>
                </pic:pic>
              </a:graphicData>
            </a:graphic>
          </wp:inline>
        </w:drawing>
      </w: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Källa: Europeiska helpdesken för utvärdering av landsbygdsutveckling, 2017.</w:t>
      </w:r>
    </w:p>
    <w:p w:rsidR="00A45935" w:rsidRPr="00E05D08" w:rsidRDefault="00A45935" w:rsidP="001744D0">
      <w:r>
        <w:t>Dessa riktlinjer är därför inriktade på hur innovation ska utvärderas från 2019 och framåt.</w:t>
      </w:r>
    </w:p>
    <w:p w:rsidR="00A45935" w:rsidRDefault="00A45935" w:rsidP="00804433">
      <w:pPr>
        <w:spacing w:after="120" w:line="280" w:lineRule="atLeast"/>
        <w:mirrorIndents/>
        <w:rPr>
          <w:rFonts w:eastAsia="Times New Roman" w:cs="Times New Roman"/>
          <w:szCs w:val="20"/>
        </w:rPr>
      </w:pPr>
      <w:r>
        <w:rPr>
          <w:b/>
          <w:szCs w:val="20"/>
        </w:rPr>
        <w:t xml:space="preserve">Andra rapporteringsformat </w:t>
      </w:r>
      <w:r>
        <w:t>vid sidan av de som utformats på EU-nivå kan användas av de förvaltande myndigheterna för att informera innovationsaktörerna, de berörda aktörerna inom landsbygdsutveckling och allmänheten om landsbygdsprogrammets utvärderingsresultat (se även andra riktlinjer</w:t>
      </w:r>
      <w:r>
        <w:rPr>
          <w:rFonts w:eastAsia="Times New Roman" w:cs="Times New Roman"/>
          <w:szCs w:val="20"/>
          <w:vertAlign w:val="superscript"/>
          <w:lang w:eastAsia="de-DE"/>
        </w:rPr>
        <w:footnoteReference w:id="37"/>
      </w:r>
      <w:r>
        <w:t>). Som ett alternativ kan vissa medlemsstater utföra en självständig utvärdering av innovation och utarbeta särskilda utvärderingsrapporter.</w:t>
      </w:r>
      <w:r w:rsidR="00F639C6">
        <w:t xml:space="preserve"> </w:t>
      </w:r>
    </w:p>
    <w:p w:rsidR="00583AC8" w:rsidRDefault="009D1F1B" w:rsidP="00804433">
      <w:pPr>
        <w:spacing w:after="120" w:line="280" w:lineRule="atLeast"/>
        <w:mirrorIndents/>
        <w:rPr>
          <w:rFonts w:eastAsia="Times New Roman" w:cs="Times New Roman"/>
          <w:b/>
          <w:szCs w:val="20"/>
        </w:rPr>
      </w:pPr>
      <w:r>
        <w:rPr>
          <w:noProof/>
          <w:lang w:val="en-GB" w:eastAsia="en-GB"/>
        </w:rPr>
        <w:lastRenderedPageBreak/>
        <mc:AlternateContent>
          <mc:Choice Requires="wps">
            <w:drawing>
              <wp:anchor distT="180340" distB="0" distL="114300" distR="114300" simplePos="0" relativeHeight="251639808" behindDoc="0" locked="0" layoutInCell="1" allowOverlap="1" wp14:anchorId="261C4C83" wp14:editId="233C7641">
                <wp:simplePos x="0" y="0"/>
                <wp:positionH relativeFrom="page">
                  <wp:posOffset>858129</wp:posOffset>
                </wp:positionH>
                <wp:positionV relativeFrom="page">
                  <wp:posOffset>703385</wp:posOffset>
                </wp:positionV>
                <wp:extent cx="5826760" cy="2757267"/>
                <wp:effectExtent l="0" t="0" r="21590" b="24130"/>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2757267"/>
                        </a:xfrm>
                        <a:prstGeom prst="round2DiagRect">
                          <a:avLst>
                            <a:gd name="adj1" fmla="val 8810"/>
                            <a:gd name="adj2" fmla="val 0"/>
                          </a:avLst>
                        </a:prstGeom>
                        <a:noFill/>
                        <a:ln w="25400" cap="flat" cmpd="sng" algn="ctr">
                          <a:solidFill>
                            <a:srgbClr val="F07E31"/>
                          </a:solidFill>
                          <a:prstDash val="solid"/>
                        </a:ln>
                        <a:effectLst/>
                      </wps:spPr>
                      <wps:txbx>
                        <w:txbxContent>
                          <w:p w:rsidR="004C3777" w:rsidRPr="00E05D08" w:rsidRDefault="004C3777" w:rsidP="00E05D08">
                            <w:pPr>
                              <w:pStyle w:val="HStandard"/>
                              <w:rPr>
                                <w:b/>
                                <w:color w:val="F07E31"/>
                                <w:sz w:val="18"/>
                                <w:szCs w:val="18"/>
                              </w:rPr>
                            </w:pPr>
                            <w:r>
                              <w:rPr>
                                <w:noProof/>
                                <w:lang w:val="en-GB" w:eastAsia="en-GB"/>
                              </w:rPr>
                              <w:drawing>
                                <wp:inline distT="0" distB="0" distL="0" distR="0" wp14:anchorId="7CEE333D" wp14:editId="59309FAC">
                                  <wp:extent cx="353060" cy="359410"/>
                                  <wp:effectExtent l="0" t="0" r="8890" b="2540"/>
                                  <wp:docPr id="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Exempel: den pågående utvärderingen av EIP-Agri i Sverige</w:t>
                            </w:r>
                          </w:p>
                          <w:p w:rsidR="004C3777" w:rsidRPr="00275EE5" w:rsidRDefault="004C3777" w:rsidP="00E05D08">
                            <w:pPr>
                              <w:pStyle w:val="HBox"/>
                            </w:pPr>
                            <w:r>
                              <w:rPr>
                                <w:bCs/>
                                <w14:textFill>
                                  <w14:solidFill>
                                    <w14:srgbClr w14:val="373737">
                                      <w14:lumMod w14:val="75000"/>
                                    </w14:srgbClr>
                                  </w14:solidFill>
                                </w14:textFill>
                              </w:rPr>
                              <w:t>I Sverige utförs utvärderingen av innovation som en del av utvärderingen av landsbygdsprogrammet och består av en kvantitativ och en kvalitativ utvärderingskomponent. Båda komponenterna hanteras av utvärderingssekretariatet</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Den kvantitativa utvärderingen förväntas endast ge resultat för den genomföranderapport som ska lämnas in 2019 och för efterhandsutvärderingen. Antalet åtgärder som rör innovation var fortfarande för lågt för att en kvantitativ bedömning skulle kunna göras 2017. Den kvalitativa utvärderingen har utformats som en pågående formativ utvärdering och är inriktad på genomförandet av EIP-Agri. Den utförs av ett forskningsteam från universitetet i Umeå. Denna pågående utvärdering syftar till att ge kontinuerlig återkoppling och rekommendationer för förvaltningen och genomförandet av EIP-Agri (M16 i landsbygdsprogrammet). Resultat förväntas under hela programperioden, </w:t>
                            </w:r>
                            <w:r>
                              <w:rPr>
                                <w:color w:val="292929"/>
                              </w:rPr>
                              <w:t xml:space="preserve">såväl som för de årliga genomföranderapporterna 2017 och 2019 </w:t>
                            </w:r>
                            <w:r>
                              <w:rPr>
                                <w:bCs/>
                                <w14:textFill>
                                  <w14:solidFill>
                                    <w14:srgbClr w14:val="373737">
                                      <w14:lumMod w14:val="75000"/>
                                    </w14:srgbClr>
                                  </w14:solidFill>
                                </w14:textFill>
                              </w:rPr>
                              <w:t>och efterhandsutvärderingen. Båda utvärderingskomponenterna utförs av oberoende utvärderare, som har valts ut genom ett anbudsförfarande i enlighet med lagen om offentlig upphandling.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4C83" id="Rectangle: Diagonal Corners Rounded 61" o:spid="_x0000_s1036" style="position:absolute;left:0;text-align:left;margin-left:67.55pt;margin-top:55.4pt;width:458.8pt;height:217.1pt;z-index:251639808;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27572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" adj="-11796480,,5400" path="m242915,l5826760,r,l5826760,2514352v,134158,-108757,242915,-242915,242915l,2757267r,l,242915c,108757,108757,,242915,xe" filled="f" strokecolor="#f07e31" strokeweight="2pt">
                <v:stroke joinstyle="miter"/>
                <v:formulas/>
                <v:path arrowok="t" o:connecttype="custom" o:connectlocs="242915,0;5826760,0;5826760,0;5826760,2514352;5583845,2757267;0,2757267;0,2757267;0,242915;242915,0" o:connectangles="0,0,0,0,0,0,0,0,0" textboxrect="0,0,5826760,2757267"/>
                <v:textbox>
                  <w:txbxContent>
                    <w:p w:rsidR="004C3777" w:rsidRPr="00E05D08" w:rsidRDefault="004C3777" w:rsidP="00E05D08">
                      <w:pPr>
                        <w:pStyle w:val="HStandard"/>
                        <w:rPr>
                          <w:b/>
                          <w:color w:val="F07E31"/>
                          <w:sz w:val="18"/>
                          <w:szCs w:val="18"/>
                        </w:rPr>
                      </w:pPr>
                      <w:r>
                        <w:rPr>
                          <w:noProof/>
                          <w:lang w:val="en-GB" w:eastAsia="en-GB"/>
                        </w:rPr>
                        <w:drawing>
                          <wp:inline distT="0" distB="0" distL="0" distR="0" wp14:anchorId="7CEE333D" wp14:editId="59309FAC">
                            <wp:extent cx="353060" cy="359410"/>
                            <wp:effectExtent l="0" t="0" r="8890" b="2540"/>
                            <wp:docPr id="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Exempel: den pågående utvärderingen av EIP-Agri i Sverige</w:t>
                      </w:r>
                    </w:p>
                    <w:p w:rsidR="004C3777" w:rsidRPr="00275EE5" w:rsidRDefault="004C3777" w:rsidP="00E05D08">
                      <w:pPr>
                        <w:pStyle w:val="HBox"/>
                      </w:pPr>
                      <w:r>
                        <w:rPr>
                          <w:bCs/>
                          <w14:textFill>
                            <w14:solidFill>
                              <w14:srgbClr w14:val="373737">
                                <w14:lumMod w14:val="75000"/>
                              </w14:srgbClr>
                            </w14:solidFill>
                          </w14:textFill>
                        </w:rPr>
                        <w:t>I Sverige utförs utvärderingen av innovation som en del av utvärderingen av landsbygdsprogrammet och består av en kvantitativ och en kvalitativ utvärderingskomponent. Båda komponenterna hanteras av utvärderingssekretariatet</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Den kvantitativa utvärderingen förväntas endast ge resultat för den genomföranderapport som ska lämnas in 2019 och för efterhandsutvärderingen. Antalet åtgärder som rör innovation var fortfarande för lågt för att en kvantitativ bedömning skulle kunna göras 2017. Den kvalitativa utvärderingen har utformats som en pågående formativ utvärdering och är inriktad på genomförandet av EIP-Agri. Den utförs av ett forskningsteam från universitetet i Umeå. Denna pågående utvärdering syftar till att ge kontinuerlig återkoppling och rekommendationer för förvaltningen och genomförandet av EIP-Agri (M16 i landsbygdsprogrammet). Resultat förväntas under hela programperioden, </w:t>
                      </w:r>
                      <w:r>
                        <w:rPr>
                          <w:color w:val="292929"/>
                        </w:rPr>
                        <w:t xml:space="preserve">såväl som för de årliga genomföranderapporterna 2017 och 2019 </w:t>
                      </w:r>
                      <w:r>
                        <w:rPr>
                          <w:bCs/>
                          <w14:textFill>
                            <w14:solidFill>
                              <w14:srgbClr w14:val="373737">
                                <w14:lumMod w14:val="75000"/>
                              </w14:srgbClr>
                            </w14:solidFill>
                          </w14:textFill>
                        </w:rPr>
                        <w:t>och efterhandsutvärderingen. Båda utvärderingskomponenterna utförs av oberoende utvärderare, som har valts ut genom ett anbudsförfarande i enlighet med lagen om offentlig upphandling.</w:t>
                      </w:r>
                    </w:p>
                  </w:txbxContent>
                </v:textbox>
                <w10:wrap type="topAndBottom" anchorx="page" anchory="page"/>
              </v:shape>
            </w:pict>
          </mc:Fallback>
        </mc:AlternateContent>
      </w:r>
      <w:r w:rsidR="00583AC8">
        <w:rPr>
          <w:rStyle w:val="FootnoteReference"/>
          <w:rFonts w:eastAsia="Times New Roman" w:cs="Times New Roman"/>
          <w:color w:val="FFFFFF" w:themeColor="background1"/>
          <w:szCs w:val="20"/>
          <w:lang w:eastAsia="de-DE"/>
        </w:rPr>
        <w:footnoteReference w:id="38"/>
      </w:r>
    </w:p>
    <w:p w:rsidR="00A45935" w:rsidRPr="00E05D08" w:rsidRDefault="00626C0C" w:rsidP="00804433">
      <w:pPr>
        <w:spacing w:after="120" w:line="280" w:lineRule="atLeast"/>
        <w:mirrorIndents/>
        <w:rPr>
          <w:rFonts w:eastAsia="Times New Roman" w:cs="Times New Roman"/>
          <w:szCs w:val="20"/>
        </w:rPr>
      </w:pPr>
      <w:r>
        <w:rPr>
          <w:b/>
          <w:szCs w:val="20"/>
        </w:rPr>
        <w:t>Den rättsliga ramen kräver att alla relevanta innovationsrelaterade utvärderingsfrågor besvaras</w:t>
      </w:r>
      <w:r>
        <w:rPr>
          <w:rFonts w:eastAsia="Times New Roman" w:cs="Times New Roman"/>
          <w:szCs w:val="20"/>
          <w:vertAlign w:val="superscript"/>
          <w:lang w:eastAsia="de-DE"/>
        </w:rPr>
        <w:footnoteReference w:id="39"/>
      </w:r>
      <w:r>
        <w:t xml:space="preserve"> genom en bedömning av de relevanta gemensamma indikatorerna</w:t>
      </w:r>
      <w:r>
        <w:rPr>
          <w:rFonts w:eastAsia="Times New Roman" w:cs="Times New Roman"/>
          <w:szCs w:val="20"/>
          <w:vertAlign w:val="superscript"/>
          <w:lang w:eastAsia="de-DE"/>
        </w:rPr>
        <w:footnoteReference w:id="40"/>
      </w:r>
      <w:r>
        <w:t xml:space="preserve"> och genom identifiering av framstegen inom EU:s landsbygdspolitik när det gäller främjande av innovation. </w:t>
      </w:r>
    </w:p>
    <w:p w:rsidR="00576A73" w:rsidRDefault="00A45935" w:rsidP="00576A73">
      <w:pPr>
        <w:spacing w:after="120" w:line="280" w:lineRule="atLeast"/>
        <w:mirrorIndents/>
        <w:rPr>
          <w:rFonts w:eastAsia="Times New Roman" w:cs="Times New Roman"/>
          <w:szCs w:val="20"/>
        </w:rPr>
      </w:pPr>
      <w:r>
        <w:t>Följande icke-bindande arbetssteg föreslås:</w:t>
      </w:r>
    </w:p>
    <w:p w:rsidR="00A45935" w:rsidRPr="00E05D08" w:rsidRDefault="00A45935" w:rsidP="00B421B9">
      <w:pPr>
        <w:pStyle w:val="HHeading4"/>
        <w:rPr>
          <w:rFonts w:eastAsia="Calibri"/>
          <w:shd w:val="clear" w:color="auto" w:fill="FFFFFF"/>
        </w:rPr>
      </w:pPr>
      <w:r>
        <w:rPr>
          <w:shd w:val="clear" w:color="auto" w:fill="FFFFFF"/>
        </w:rPr>
        <w:t>Granskning av innovationspotentialen i landsbygdsprogrammets åtgärder/delåtgärder (rekommenderas)</w:t>
      </w:r>
    </w:p>
    <w:p w:rsidR="00A45935" w:rsidRPr="00E05D08" w:rsidRDefault="00A45935" w:rsidP="00E05D08">
      <w:pPr>
        <w:spacing w:after="120" w:line="280" w:lineRule="atLeast"/>
        <w:mirrorIndents/>
        <w:rPr>
          <w:rFonts w:eastAsia="Times New Roman" w:cs="Times New Roman"/>
          <w:szCs w:val="20"/>
        </w:rPr>
      </w:pPr>
      <w:r>
        <w:t xml:space="preserve">Innan utvärderingsaktiviteterna för att besvara de innovationsrelaterade frågorna påbörjas kan de förvaltande myndigheterna och/eller utvärderingsexperterna vilja granska innovationspotentialen i landsbygdsprogrammets åtgärder/delåtgärder (det blå fältet i figur 6). Detta steg hjälper utvärderaren och de förvaltande myndigheterna att förstå hur varje åtgärd/delåtgärd kan bidra till att landsbygdsprogrammets innovationsrelaterade mål uppnås (se </w:t>
      </w:r>
      <w:hyperlink w:anchor="Screening_Potential" w:history="1">
        <w:r>
          <w:rPr>
            <w:rStyle w:val="Hyperlink"/>
            <w:sz w:val="20"/>
            <w:szCs w:val="20"/>
          </w:rPr>
          <w:t>kapitel 2.2</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Komplettering av de gemensamma utvärderingsfaktorerna för innovation (rekommenderas)</w:t>
      </w:r>
    </w:p>
    <w:p w:rsidR="00A45935" w:rsidRPr="00E05D08" w:rsidRDefault="00A45935" w:rsidP="00E05D08">
      <w:pPr>
        <w:spacing w:after="120" w:line="280" w:lineRule="atLeast"/>
        <w:mirrorIndents/>
        <w:rPr>
          <w:rFonts w:eastAsia="Times New Roman" w:cs="Times New Roman"/>
          <w:szCs w:val="20"/>
        </w:rPr>
      </w:pPr>
      <w:r>
        <w:t>Det gemensamma övervaknings- och utvärderingssystemet innehåller grundläggande utvärderingsfaktorer som kan besvara de innovationsrelaterade gemensamma utvärderingsfrågorna. Om det inte finns tillräckligt med gemensamma utvärderingsfaktorer (bedömningskriterier</w:t>
      </w:r>
      <w:r>
        <w:rPr>
          <w:rFonts w:eastAsia="Times New Roman" w:cs="Times New Roman"/>
          <w:szCs w:val="20"/>
          <w:vertAlign w:val="superscript"/>
          <w:lang w:eastAsia="de-DE"/>
        </w:rPr>
        <w:footnoteReference w:id="41"/>
      </w:r>
      <w:r>
        <w:t xml:space="preserve"> och gemensamma indikatorer</w:t>
      </w:r>
      <w:r>
        <w:rPr>
          <w:rFonts w:eastAsia="Times New Roman" w:cs="Times New Roman"/>
          <w:szCs w:val="20"/>
          <w:vertAlign w:val="superscript"/>
          <w:lang w:eastAsia="de-DE"/>
        </w:rPr>
        <w:footnoteReference w:id="42"/>
      </w:r>
      <w:r>
        <w:t>) för att fånga upp alla förväntade effekter kan de saknade faktorerna (t.ex. delfrågor för utvärderingen, kompletterande bedömningskriterier</w:t>
      </w:r>
      <w:r>
        <w:rPr>
          <w:rFonts w:eastAsia="Times New Roman" w:cs="Times New Roman"/>
          <w:szCs w:val="20"/>
          <w:vertAlign w:val="superscript"/>
          <w:lang w:eastAsia="de-DE"/>
        </w:rPr>
        <w:footnoteReference w:id="43"/>
      </w:r>
      <w:r>
        <w:t xml:space="preserve"> och kompletterande kvantitativa och kvalitativa indikatorer</w:t>
      </w:r>
      <w:r>
        <w:rPr>
          <w:rFonts w:eastAsia="Times New Roman" w:cs="Times New Roman"/>
          <w:szCs w:val="20"/>
          <w:vertAlign w:val="superscript"/>
          <w:lang w:eastAsia="de-DE"/>
        </w:rPr>
        <w:footnoteReference w:id="44"/>
      </w:r>
      <w:r>
        <w:t xml:space="preserve">) tas fram av de förvaltande myndigheterna, företrädesvis i samarbete med utvärderingsexperterna (de gröna fälten i figur 6), (se </w:t>
      </w:r>
      <w:hyperlink w:anchor="Complementing" w:history="1">
        <w:r>
          <w:rPr>
            <w:rStyle w:val="Hyperlink"/>
            <w:sz w:val="20"/>
            <w:szCs w:val="20"/>
          </w:rPr>
          <w:t>kapitel 2.3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Besvarande av relevanta gemensamma utvärderingsfrågor (obligatoriskt)</w:t>
      </w:r>
    </w:p>
    <w:p w:rsidR="00A45935" w:rsidRPr="00E05D08" w:rsidRDefault="00A45935" w:rsidP="00E05D08">
      <w:pPr>
        <w:spacing w:after="120" w:line="280" w:lineRule="atLeast"/>
        <w:mirrorIndents/>
        <w:rPr>
          <w:rFonts w:eastAsia="Times New Roman" w:cs="Times New Roman"/>
          <w:szCs w:val="20"/>
        </w:rPr>
      </w:pPr>
      <w:r>
        <w:t xml:space="preserve">Landsbygdsprogrammets utvärderare gör en bedömning av programmets framsteg när det gäller främjande av innovation och dess bidrag till de politiska målen för landsbygdsutveckling på EU-nivå och nationell/regional nivå. De använder utvärderingsresultaten när de formulerar sina svar på de gemensamma, kompletterande och programspecifika frågorna (de orangefärgade fälten i figur 6). De innovationsrelaterade utvärderingsfrågorna kräver en särskild strategi för att utvärderarna ska kunna besvara dem (se </w:t>
      </w:r>
      <w:hyperlink w:anchor="Answering" w:history="1">
        <w:r>
          <w:rPr>
            <w:rStyle w:val="Hyperlink"/>
            <w:sz w:val="20"/>
            <w:szCs w:val="20"/>
          </w:rPr>
          <w:t>kapitel 2.4</w:t>
        </w:r>
      </w:hyperlink>
      <w:r>
        <w:t>).</w:t>
      </w:r>
    </w:p>
    <w:p w:rsidR="00A45935" w:rsidRPr="00EC5172" w:rsidRDefault="004E2AE0" w:rsidP="00B421B9">
      <w:pPr>
        <w:pStyle w:val="HHeadingfigures"/>
      </w:pPr>
      <w:bookmarkStart w:id="89" w:name="_Toc508290399"/>
      <w:r w:rsidRPr="004E2AE0">
        <w:rPr>
          <w:noProof/>
          <w:lang w:val="en-GB" w:eastAsia="en-GB"/>
        </w:rPr>
        <w:drawing>
          <wp:anchor distT="0" distB="0" distL="114300" distR="114300" simplePos="0" relativeHeight="251684864" behindDoc="0" locked="0" layoutInCell="1" allowOverlap="1">
            <wp:simplePos x="0" y="0"/>
            <wp:positionH relativeFrom="margin">
              <wp:posOffset>-419100</wp:posOffset>
            </wp:positionH>
            <wp:positionV relativeFrom="margin">
              <wp:posOffset>1894840</wp:posOffset>
            </wp:positionV>
            <wp:extent cx="6776085" cy="3952875"/>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76085"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C0C">
        <w:t>Strategi för utvärdering av innovation i landsbygdsprogram</w:t>
      </w:r>
      <w:bookmarkEnd w:id="89"/>
    </w:p>
    <w:p w:rsidR="00A45935" w:rsidRPr="00E05D08" w:rsidRDefault="00A45935" w:rsidP="009D1F1B">
      <w:pPr>
        <w:spacing w:after="120" w:line="280" w:lineRule="atLeast"/>
        <w:mirrorIndents/>
        <w:rPr>
          <w:rFonts w:eastAsia="Times New Roman" w:cs="Times New Roman"/>
          <w:szCs w:val="20"/>
          <w:lang w:eastAsia="de-DE"/>
        </w:rPr>
      </w:pP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Källa: Europeiska helpdesken för utvärdering av landsbygdsutveckling, 2017.</w:t>
      </w:r>
      <w:bookmarkStart w:id="90" w:name="_Toc493151902"/>
      <w:bookmarkStart w:id="91" w:name="_Toc501382128"/>
    </w:p>
    <w:p w:rsidR="00A45935" w:rsidRPr="002271D9" w:rsidRDefault="00A45935" w:rsidP="00B421B9">
      <w:pPr>
        <w:pStyle w:val="HHeading2"/>
        <w:numPr>
          <w:ilvl w:val="1"/>
          <w:numId w:val="119"/>
        </w:numPr>
        <w:ind w:left="567" w:hanging="567"/>
      </w:pPr>
      <w:bookmarkStart w:id="92" w:name="Screening_Potential"/>
      <w:bookmarkStart w:id="93" w:name="_Toc508290305"/>
      <w:bookmarkEnd w:id="92"/>
      <w:r>
        <w:t>Granskning av innovationspotentialen i landsbygdsprogrammets åtgärder/delåtgärder (rekommenderas)</w:t>
      </w:r>
      <w:bookmarkEnd w:id="90"/>
      <w:bookmarkEnd w:id="91"/>
      <w:bookmarkEnd w:id="93"/>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Varför bör vi granska landsbygdsprogrammets åtgärder för att bestämma deras innovationspotential? </w:t>
      </w:r>
    </w:p>
    <w:p w:rsidR="00C64B64" w:rsidRPr="00E05D08" w:rsidRDefault="00A45935" w:rsidP="00E05D08">
      <w:pPr>
        <w:spacing w:after="120" w:line="280" w:lineRule="atLeast"/>
        <w:mirrorIndents/>
        <w:rPr>
          <w:rFonts w:eastAsia="Times New Roman" w:cs="Times New Roman"/>
          <w:szCs w:val="20"/>
        </w:rPr>
      </w:pPr>
      <w:r>
        <w:t xml:space="preserve">De förvaltande myndigheterna har en betydande valfrihet när det gäller att kombinera och utforma olika åtgärder för landsbygdsutveckling inom fokusområdena, vilket leder till mycket olika innovationsstrategier i landsbygdsprogrammet. En granskning av urvalet och kombinationen av åtgärder/delåtgärder i landsbygdsprogrammet bidrar till en bättre förståelse för den specifika innovationsstrategin såväl som för programmets innovationspotential. Detta är en användbar grund för att besvara innovationsrelaterade gemensamma utvärderingsfrågor, i synnerhet under utvärderingens senare skeden (t.ex. genomföranderapporten 2019 eller efterhandsutvärderingen) då det blir möjligt att fånga upp effekterna av programmets inverkan på innovationsprocesserna. </w:t>
      </w:r>
    </w:p>
    <w:p w:rsidR="00A45935" w:rsidRPr="00E05D08" w:rsidRDefault="00A45935" w:rsidP="00B421B9">
      <w:pPr>
        <w:pStyle w:val="HHeading4"/>
        <w:rPr>
          <w:rFonts w:eastAsia="Calibri"/>
          <w:shd w:val="clear" w:color="auto" w:fill="FFFFFF"/>
        </w:rPr>
      </w:pPr>
      <w:r>
        <w:rPr>
          <w:shd w:val="clear" w:color="auto" w:fill="FFFFFF"/>
        </w:rPr>
        <w:lastRenderedPageBreak/>
        <w:t xml:space="preserve">Vilken innovationspotential har landsbygdsprogrammets åtgärder/delåtgärder? </w:t>
      </w:r>
    </w:p>
    <w:p w:rsidR="00A45935" w:rsidRPr="00E05D08" w:rsidRDefault="00A45935" w:rsidP="00E05D08">
      <w:pPr>
        <w:spacing w:after="120" w:line="280" w:lineRule="atLeast"/>
        <w:mirrorIndents/>
        <w:rPr>
          <w:rFonts w:eastAsia="Times New Roman" w:cs="Times New Roman"/>
          <w:szCs w:val="20"/>
        </w:rPr>
      </w:pPr>
      <w:r>
        <w:rPr>
          <w:b/>
          <w:szCs w:val="20"/>
        </w:rPr>
        <w:t>Innovationspotentialen i landsbygdsprogrammets åtgärder/delåtgärder</w:t>
      </w:r>
      <w:r>
        <w:t>, i sig själva eller i kombination med andra åtgärder/delåtgärder inom fokusområdena, kan tolkas som deras förmåga att främja innovation inom ett innovationssystem i ett landsbygdsområde genom att a) stimulera innovativa idéer, b) bygga innovationskapacitet på ett samordnat sätt och c) skapa en gynnsam miljö för innovation.</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Vilka är arbetsstegen för identifiering av innovationspotentialen i landsbygdsprogrammet? </w:t>
      </w:r>
    </w:p>
    <w:p w:rsidR="00A45935" w:rsidRPr="00E05D08" w:rsidRDefault="00A45935" w:rsidP="00E05D08">
      <w:pPr>
        <w:spacing w:after="120" w:line="280" w:lineRule="atLeast"/>
        <w:mirrorIndents/>
        <w:rPr>
          <w:rFonts w:eastAsia="Times New Roman" w:cs="Times New Roman"/>
          <w:szCs w:val="20"/>
        </w:rPr>
      </w:pPr>
      <w:r>
        <w:rPr>
          <w:b/>
          <w:szCs w:val="20"/>
        </w:rPr>
        <w:t xml:space="preserve">Genom granskningen av landsbygdsprogrammets åtgärder och delåtgärder </w:t>
      </w:r>
      <w:r>
        <w:t xml:space="preserve">undersöks hur åtgärderna är utformade för att stimulera nya idéer, bygga innovationskapacitet eller skapa en gynnsam miljö för innovation. Arbetsmetoden kan vara en expertbaserad bedömning eller en deltagarinriktad metod som omfattar flera viktiga aktörer inom programmet. En sådan granskning kan utföras genom att besvara de föreslagna nyckelfrågorna (se </w:t>
      </w:r>
      <w:hyperlink w:anchor="Steps_of_the_screenig" w:history="1">
        <w:r>
          <w:rPr>
            <w:rStyle w:val="Hyperlink"/>
            <w:sz w:val="20"/>
            <w:szCs w:val="20"/>
          </w:rPr>
          <w:t>figur 7</w:t>
        </w:r>
      </w:hyperlink>
      <w:r>
        <w:t>).</w:t>
      </w:r>
    </w:p>
    <w:p w:rsidR="00A45935" w:rsidRDefault="00626C0C" w:rsidP="00B421B9">
      <w:pPr>
        <w:pStyle w:val="HHeadingfigures"/>
      </w:pPr>
      <w:bookmarkStart w:id="94" w:name="Steps_of_the_screenig"/>
      <w:bookmarkStart w:id="95" w:name="_Toc508290400"/>
      <w:bookmarkEnd w:id="94"/>
      <w:r>
        <w:t>Stegen i granskningen av innovationspotentialen i landsbygdsprogrammets åtgärder/delåtgärder</w:t>
      </w:r>
      <w:bookmarkEnd w:id="95"/>
    </w:p>
    <w:p w:rsidR="00243FE7" w:rsidRPr="00243FE7" w:rsidRDefault="00243FE7" w:rsidP="00243FE7">
      <w:pPr>
        <w:pStyle w:val="HStandard"/>
      </w:pPr>
      <w:r w:rsidRPr="00243FE7">
        <w:rPr>
          <w:noProof/>
          <w:lang w:val="en-GB" w:eastAsia="en-GB"/>
        </w:rPr>
        <w:drawing>
          <wp:inline distT="0" distB="0" distL="0" distR="0">
            <wp:extent cx="5731510" cy="2689368"/>
            <wp:effectExtent l="0" t="0" r="254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689368"/>
                    </a:xfrm>
                    <a:prstGeom prst="rect">
                      <a:avLst/>
                    </a:prstGeom>
                    <a:noFill/>
                    <a:ln>
                      <a:noFill/>
                    </a:ln>
                  </pic:spPr>
                </pic:pic>
              </a:graphicData>
            </a:graphic>
          </wp:inline>
        </w:drawing>
      </w:r>
    </w:p>
    <w:p w:rsidR="00A45935" w:rsidRPr="00E05D08" w:rsidRDefault="00A45935" w:rsidP="00E05D08">
      <w:pPr>
        <w:suppressAutoHyphens/>
        <w:spacing w:before="60" w:after="0" w:line="240" w:lineRule="auto"/>
        <w:ind w:left="1134" w:right="1134"/>
        <w:mirrorIndents/>
        <w:rPr>
          <w:rFonts w:eastAsia="Times New Roman" w:cs="Times New Roman"/>
          <w:i/>
          <w:sz w:val="16"/>
          <w:szCs w:val="20"/>
          <w:lang w:eastAsia="de-DE"/>
        </w:rPr>
      </w:pPr>
    </w:p>
    <w:p w:rsidR="00A45935" w:rsidRDefault="00C31877" w:rsidP="00E05D08">
      <w:pPr>
        <w:suppressAutoHyphens/>
        <w:spacing w:before="60" w:after="0" w:line="240" w:lineRule="auto"/>
        <w:ind w:left="1134" w:right="1134"/>
        <w:mirrorIndents/>
        <w:jc w:val="center"/>
        <w:rPr>
          <w:rFonts w:eastAsia="Times New Roman" w:cs="Times New Roman"/>
          <w:i/>
          <w:sz w:val="16"/>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75648" behindDoc="0" locked="0" layoutInCell="1" allowOverlap="1" wp14:anchorId="0787BB87" wp14:editId="589ECB64">
                <wp:simplePos x="0" y="0"/>
                <wp:positionH relativeFrom="column">
                  <wp:posOffset>3091891</wp:posOffset>
                </wp:positionH>
                <wp:positionV relativeFrom="paragraph">
                  <wp:posOffset>495681</wp:posOffset>
                </wp:positionV>
                <wp:extent cx="2640965" cy="3087370"/>
                <wp:effectExtent l="0" t="0" r="26035" b="17780"/>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087370"/>
                        </a:xfrm>
                        <a:prstGeom prst="round2DiagRect">
                          <a:avLst>
                            <a:gd name="adj1" fmla="val 6437"/>
                            <a:gd name="adj2" fmla="val 0"/>
                          </a:avLst>
                        </a:prstGeom>
                        <a:noFill/>
                        <a:ln w="25400" cap="flat" cmpd="sng" algn="ctr">
                          <a:solidFill>
                            <a:srgbClr val="BE4A35"/>
                          </a:solidFill>
                          <a:prstDash val="solid"/>
                        </a:ln>
                        <a:effectLst/>
                      </wps:spPr>
                      <wps:txbx>
                        <w:txbxContent>
                          <w:p w:rsidR="004C3777" w:rsidRPr="00275EE5" w:rsidRDefault="004C3777" w:rsidP="00626C0C">
                            <w:pPr>
                              <w:pStyle w:val="Normal12PTcouleurgris"/>
                            </w:pPr>
                            <w:r>
                              <w:rPr>
                                <w:noProof/>
                                <w:lang w:val="en-GB" w:eastAsia="en-GB"/>
                              </w:rPr>
                              <w:drawing>
                                <wp:inline distT="0" distB="0" distL="0" distR="0" wp14:anchorId="1E24D50C" wp14:editId="060DFFEF">
                                  <wp:extent cx="664845" cy="487680"/>
                                  <wp:effectExtent l="0" t="0" r="0" b="7620"/>
                                  <wp:docPr id="16"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I artikel 15 i förordning (EU) 1305/2013 föreskrivs sju faktorer som ska omfattas av</w:t>
                            </w:r>
                            <w:r>
                              <w:rPr>
                                <w:color w:val="BE4A35"/>
                                <w:sz w:val="18"/>
                              </w:rPr>
                              <w:t xml:space="preserve"> </w:t>
                            </w:r>
                            <w:r>
                              <w:rPr>
                                <w:b/>
                                <w:color w:val="BE4A35"/>
                                <w:sz w:val="18"/>
                              </w:rPr>
                              <w:t>rådgivningstjänsterna</w:t>
                            </w:r>
                            <w:r>
                              <w:rPr>
                                <w:sz w:val="18"/>
                                <w:vertAlign w:val="superscript"/>
                              </w:rPr>
                              <w:t>45</w:t>
                            </w:r>
                            <w:r>
                              <w:rPr>
                                <w:sz w:val="18"/>
                              </w:rPr>
                              <w:t>. Av dessa är det endast en (punkt 4 c) som uttryckligen omfattar innovation. Det finns inga krav eller säkerheter för att de andra typerna av rådgivning (t.ex. punkt 4 g – särskild rådgivning för jordbrukare som etablerar sig för första gången) kommer att främja innovation. Analysen av åtgärdens utformning inom ramen för ett särskilt landsbygdsprogram kan därför visa om åtgärden (eller delåtgärden) kan vara relevant för främjandet av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87BB87" id="Rectangle: Diagonal Corners Rounded 64" o:spid="_x0000_s1037" style="position:absolute;left:0;text-align:left;margin-left:243.45pt;margin-top:39.05pt;width:207.95pt;height:243.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087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" adj="-11796480,,5400" path="m169999,l2640965,r,l2640965,2917371v,93888,-76111,169999,-169999,169999l,3087370r,l,169999c,76111,76111,,169999,xe" filled="f" strokecolor="#be4a35" strokeweight="2pt">
                <v:stroke joinstyle="miter"/>
                <v:formulas/>
                <v:path arrowok="t" o:connecttype="custom" o:connectlocs="169999,0;2640965,0;2640965,0;2640965,2917371;2470966,3087370;0,3087370;0,3087370;0,169999;169999,0" o:connectangles="0,0,0,0,0,0,0,0,0" textboxrect="0,0,2640965,3087370"/>
                <v:textbox>
                  <w:txbxContent>
                    <w:p w:rsidR="004C3777" w:rsidRPr="00275EE5" w:rsidRDefault="004C3777" w:rsidP="00626C0C">
                      <w:pPr>
                        <w:pStyle w:val="Normal12PTcouleurgris"/>
                      </w:pPr>
                      <w:r>
                        <w:rPr>
                          <w:noProof/>
                          <w:lang w:val="en-GB" w:eastAsia="en-GB"/>
                        </w:rPr>
                        <w:drawing>
                          <wp:inline distT="0" distB="0" distL="0" distR="0" wp14:anchorId="1E24D50C" wp14:editId="060DFFEF">
                            <wp:extent cx="664845" cy="487680"/>
                            <wp:effectExtent l="0" t="0" r="0" b="7620"/>
                            <wp:docPr id="16"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I artikel 15 i förordning (EU) 1305/2013 föreskrivs sju faktorer som ska omfattas av</w:t>
                      </w:r>
                      <w:r>
                        <w:rPr>
                          <w:color w:val="BE4A35"/>
                          <w:sz w:val="18"/>
                        </w:rPr>
                        <w:t xml:space="preserve"> </w:t>
                      </w:r>
                      <w:r>
                        <w:rPr>
                          <w:b/>
                          <w:color w:val="BE4A35"/>
                          <w:sz w:val="18"/>
                        </w:rPr>
                        <w:t>rådgivningstjänsterna</w:t>
                      </w:r>
                      <w:r>
                        <w:rPr>
                          <w:sz w:val="18"/>
                          <w:vertAlign w:val="superscript"/>
                        </w:rPr>
                        <w:t>45</w:t>
                      </w:r>
                      <w:r>
                        <w:rPr>
                          <w:sz w:val="18"/>
                        </w:rPr>
                        <w:t>. Av dessa är det endast en (punkt 4 c) som uttryckligen omfattar innovation. Det finns inga krav eller säkerheter för att de andra typerna av rådgivning (t.ex. punkt 4 g – särskild rådgivning för jordbrukare som etablerar sig för första gången) kommer att främja innovation. Analysen av åtgärdens utformning inom ramen för ett särskilt landsbygdsprogram kan därför visa om åtgärden (eller delåtgärden) kan vara relevant för främjandet av innovation.</w:t>
                      </w:r>
                    </w:p>
                  </w:txbxContent>
                </v:textbox>
                <w10:wrap type="square"/>
              </v:shape>
            </w:pict>
          </mc:Fallback>
        </mc:AlternateContent>
      </w:r>
      <w:r w:rsidR="00A45935">
        <w:rPr>
          <w:i/>
          <w:sz w:val="16"/>
          <w:szCs w:val="20"/>
        </w:rPr>
        <w:t>Källa: Europeiska helpdesken för utvärdering av landsbygdsutveckling, 2017.</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Vad bör granskas i landsbygdsprogrammet?</w:t>
      </w:r>
    </w:p>
    <w:p w:rsidR="00A45935" w:rsidRPr="00E05D08" w:rsidRDefault="007A450E" w:rsidP="00E05D08">
      <w:pPr>
        <w:spacing w:after="120" w:line="280" w:lineRule="atLeast"/>
        <w:mirrorIndents/>
        <w:rPr>
          <w:rFonts w:eastAsia="Times New Roman" w:cs="Times New Roman"/>
          <w:szCs w:val="20"/>
        </w:rPr>
      </w:pPr>
      <w:r>
        <w:rPr>
          <w:b/>
          <w:szCs w:val="20"/>
        </w:rPr>
        <w:t>Granskningen bör vara inriktad på både enskilda åtgärder och grupper av åtgärder inom fokusområdena</w:t>
      </w:r>
      <w:r>
        <w:rPr>
          <w:szCs w:val="20"/>
        </w:rPr>
        <w:t xml:space="preserve"> och deras förmåga</w:t>
      </w:r>
      <w:r>
        <w:t xml:space="preserve"> att främja innovation (t.ex. deras förmåga att bidra till de tre handlingsvägar för innovation som förklaras i </w:t>
      </w:r>
      <w:hyperlink w:anchor="Innovation_RD" w:history="1">
        <w:r>
          <w:rPr>
            <w:rStyle w:val="Hyperlink"/>
            <w:sz w:val="20"/>
            <w:szCs w:val="20"/>
          </w:rPr>
          <w:t>kapitel 1.1</w:t>
        </w:r>
      </w:hyperlink>
      <w:r>
        <w:t>)</w:t>
      </w:r>
      <w:r>
        <w:rPr>
          <w:rStyle w:val="FootnoteReference"/>
          <w:rFonts w:eastAsia="Times New Roman" w:cs="Times New Roman"/>
          <w:color w:val="FFFFFF" w:themeColor="background1"/>
          <w:szCs w:val="20"/>
          <w:lang w:eastAsia="de-DE"/>
        </w:rPr>
        <w:footnoteReference w:id="45"/>
      </w:r>
      <w:r>
        <w:t xml:space="preserve">. På liknande sätt kan </w:t>
      </w:r>
      <w:r>
        <w:rPr>
          <w:b/>
          <w:szCs w:val="20"/>
        </w:rPr>
        <w:t xml:space="preserve">de nationella landsbygdsnätverkens potential att främja innovation </w:t>
      </w:r>
      <w:r>
        <w:t xml:space="preserve">identifieras genom en granskning av nätverkens åtgärder (se </w:t>
      </w:r>
      <w:hyperlink w:anchor="CEQ_NRN" w:history="1">
        <w:r>
          <w:rPr>
            <w:rStyle w:val="Hyperlink"/>
            <w:sz w:val="20"/>
            <w:szCs w:val="20"/>
          </w:rPr>
          <w:t>avsnitt 2.4.3</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Sammantaget bör granskningen av innovationspotentialen åtminstone gälla de åtgärder som är kopplade till följande gemensamma utvärderingsfrågor: </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Gemensam utvärderingsfråga nr 1 är kopplad till åtgärd M1, M2 och M16 (artikel 14, 15 respektive 35 i förordning EU 1305/2013). Granskningen kommer att vara inriktad på dessa åtgärders innovationspotential och hjälpa till att besvara utvärderingsfrågans innovationsdel.</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Gemensam utvärderingsfråga nr 2 är kopplad till åtgärd M16 (samarbete). Delåtgärderna inom åtgärd M16 kommer huvudsakligen att granskas för deras potential att bidra till de tre handlingsvägarna. Utfallen kommer att hjälpa till att besvara innovationsdelen av utvärderingsfrågan.</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Gemensam utvärderingsfråga nr 21 omfattar de nationella landsbygdsnätverkens fyra mål. Granskningen av innovationspotentialen inom de nationella landsbygdsnätverken kommer att vara inriktad på de åtgärder som bidrar till nätverkens gemensamma mål att ”främja innovation inom jordbruket, livsmedelsproduktionen och skogsbruket samt på landsbygden”. Denna granskning kommer att hjälpa till att besvara den innovationsrelaterade delen av utvärderingsfrågan.</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Gemensam utvärderingsfråga nr 23 besvaras genom bedömningen av landsbygdsprogrammets bidrag till uppnåendet av det överordnade målet att FoU och innovation ska motsvara 3 % av EU:s BNP (offentlig och privat kombinerad)</w:t>
      </w:r>
      <w:r>
        <w:rPr>
          <w:rFonts w:eastAsia="Times New Roman" w:cs="Times New Roman"/>
          <w:szCs w:val="20"/>
          <w:vertAlign w:val="superscript"/>
          <w:lang w:eastAsia="de-DE"/>
        </w:rPr>
        <w:footnoteReference w:id="46"/>
      </w:r>
      <w:r>
        <w:t xml:space="preserve"> med hjälp av de indikatorer som hör till målet. Granskningen av alla åtgärders innovationspotential inom landsbygdsprogrammet är viktig för att a) identifiera vilka åtgärder som bidrar till att främja innovation och b) ta hänsyn till utgifterna i samband med dessa åtgärder vid beräkningen av de indikatorer som används för att besvara gemensam utvärderingsfråga nr 23.</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Gemensam utvärderingsfråga nr 30 är kopplad till det övergripande målet för innovation. Här kommer alla åtgärder/delåtgärder och deras kombinationer inom varje fokusområde att granskas i syfte att identifiera vilka som har potential att främja innovation genom de tre handlingsvägarna. Denna analys kommer att underlätta för utvärderaren att utarbeta en fallstudieutvärdering </w:t>
      </w:r>
      <w:r>
        <w:lastRenderedPageBreak/>
        <w:t xml:space="preserve">baserad på den förändringsteori som föreslagits för att besvara gemensam utvärderingsfråga nr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Vilket är utfallet? </w:t>
      </w:r>
    </w:p>
    <w:p w:rsidR="00A45935" w:rsidRDefault="00A45935" w:rsidP="00E05D08">
      <w:pPr>
        <w:spacing w:after="120" w:line="280" w:lineRule="atLeast"/>
        <w:mirrorIndents/>
        <w:rPr>
          <w:rFonts w:eastAsia="Times New Roman" w:cs="Times New Roman"/>
          <w:szCs w:val="20"/>
        </w:rPr>
      </w:pPr>
      <w:r>
        <w:rPr>
          <w:b/>
          <w:szCs w:val="20"/>
        </w:rPr>
        <w:t>Granskningen bidrar till att förtydliga landsbygdsprogrammets innovationsrelaterade interventionslogik.</w:t>
      </w:r>
      <w:r>
        <w:t xml:space="preserve"> Den identifierar vilka åtgärder inom programmet som har störst potential att främja innovation och klargör även vilka områden (handlingsvägar) de hör till. Under den senare utvärderingen av effekterna kommer resultaten av denna granskning att användas för att jämföra potentialen med landsbygdsprogrammets verkliga framsteg i främjandet av innovation. Detta gör att utvärderaren kan fokusera sitt arbete på de åtgärder och delåtgärder som bedöms vara särskilt viktiga för att främja innovation. </w:t>
      </w:r>
    </w:p>
    <w:p w:rsidR="007A450E" w:rsidRPr="00E05D08" w:rsidRDefault="00C31877" w:rsidP="00E05D08">
      <w:pPr>
        <w:spacing w:after="120" w:line="280" w:lineRule="atLeast"/>
        <w:mirrorIndents/>
        <w:rPr>
          <w:rFonts w:eastAsia="Times New Roman" w:cs="Times New Roman"/>
          <w:szCs w:val="20"/>
          <w:lang w:eastAsia="de-DE"/>
        </w:rPr>
      </w:pPr>
      <w:r>
        <w:rPr>
          <w:b/>
          <w:noProof/>
          <w:lang w:val="en-GB" w:eastAsia="en-GB"/>
        </w:rPr>
        <mc:AlternateContent>
          <mc:Choice Requires="wps">
            <w:drawing>
              <wp:anchor distT="0" distB="0" distL="114300" distR="114300" simplePos="0" relativeHeight="251678720" behindDoc="0" locked="0" layoutInCell="1" allowOverlap="1" wp14:anchorId="147A39F9" wp14:editId="62199B36">
                <wp:simplePos x="0" y="0"/>
                <wp:positionH relativeFrom="page">
                  <wp:posOffset>1631823</wp:posOffset>
                </wp:positionH>
                <wp:positionV relativeFrom="page">
                  <wp:posOffset>950976</wp:posOffset>
                </wp:positionV>
                <wp:extent cx="4153546" cy="2571750"/>
                <wp:effectExtent l="0" t="0" r="18415" b="1905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46" cy="2571750"/>
                        </a:xfrm>
                        <a:prstGeom prst="round2DiagRect">
                          <a:avLst>
                            <a:gd name="adj1" fmla="val 9754"/>
                            <a:gd name="adj2" fmla="val 0"/>
                          </a:avLst>
                        </a:prstGeom>
                        <a:noFill/>
                        <a:ln w="25400" cap="flat" cmpd="sng" algn="ctr">
                          <a:solidFill>
                            <a:srgbClr val="8BAB80"/>
                          </a:solidFill>
                          <a:prstDash val="solid"/>
                        </a:ln>
                        <a:effectLst/>
                      </wps:spPr>
                      <wps:txbx>
                        <w:txbxContent>
                          <w:p w:rsidR="004C3777" w:rsidRPr="00275EE5" w:rsidRDefault="004C3777" w:rsidP="007A450E">
                            <w:pPr>
                              <w:pStyle w:val="Normal12PTcouleurgris"/>
                            </w:pPr>
                            <w:r w:rsidRPr="00171202">
                              <w:rPr>
                                <w:noProof/>
                                <w:sz w:val="18"/>
                                <w:lang w:val="en-GB" w:eastAsia="en-GB"/>
                              </w:rPr>
                              <w:drawing>
                                <wp:inline distT="0" distB="0" distL="0" distR="0" wp14:anchorId="20FE9FC6" wp14:editId="6344397B">
                                  <wp:extent cx="578362" cy="539115"/>
                                  <wp:effectExtent l="0" t="0" r="0" b="0"/>
                                  <wp:docPr id="31"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90"/>
                            </w:tblGrid>
                            <w:tr w:rsidR="004C3777" w:rsidRPr="0079762F" w:rsidTr="00E05D08">
                              <w:tc>
                                <w:tcPr>
                                  <w:tcW w:w="3402" w:type="dxa"/>
                                  <w:shd w:val="clear" w:color="auto" w:fill="FFFFFF"/>
                                </w:tcPr>
                                <w:p w:rsidR="004C3777" w:rsidRPr="00B63DE8" w:rsidRDefault="004C3777" w:rsidP="007A450E">
                                  <w:pPr>
                                    <w:suppressOverlap/>
                                    <w:jc w:val="left"/>
                                    <w:rPr>
                                      <w:rFonts w:cs="Arial"/>
                                      <w:b/>
                                      <w:color w:val="404040"/>
                                      <w:szCs w:val="18"/>
                                    </w:rPr>
                                  </w:pPr>
                                  <w:r>
                                    <w:rPr>
                                      <w:b/>
                                      <w:color w:val="404040"/>
                                      <w:szCs w:val="18"/>
                                    </w:rPr>
                                    <w:t>Gör så här</w:t>
                                  </w:r>
                                </w:p>
                                <w:p w:rsidR="004C3777" w:rsidRPr="00B63DE8" w:rsidRDefault="004C3777" w:rsidP="007A450E">
                                  <w:pPr>
                                    <w:pStyle w:val="Hlistbullet"/>
                                    <w:spacing w:line="160" w:lineRule="atLeast"/>
                                    <w:jc w:val="left"/>
                                    <w:rPr>
                                      <w:sz w:val="18"/>
                                      <w:szCs w:val="18"/>
                                    </w:rPr>
                                  </w:pPr>
                                  <w:r>
                                    <w:rPr>
                                      <w:sz w:val="18"/>
                                      <w:szCs w:val="18"/>
                                    </w:rPr>
                                    <w:t xml:space="preserve">Bedöm åtgärdernas utformning (kopplingen till behov, mål, urvalskriterier, stödmottagare) och styrkan i deras potential att främja innovation. </w:t>
                                  </w:r>
                                </w:p>
                                <w:p w:rsidR="004C3777" w:rsidRPr="00B63DE8" w:rsidRDefault="004C3777" w:rsidP="007A450E">
                                  <w:pPr>
                                    <w:pStyle w:val="Hlistbullet"/>
                                    <w:spacing w:line="160" w:lineRule="atLeast"/>
                                    <w:jc w:val="left"/>
                                  </w:pPr>
                                  <w:r>
                                    <w:rPr>
                                      <w:sz w:val="18"/>
                                      <w:szCs w:val="18"/>
                                    </w:rPr>
                                    <w:t>Ta till vara på landsbygdsprogrammets underliggande innovationsrelaterade interventionslogik.</w:t>
                                  </w:r>
                                  <w:r>
                                    <w:t xml:space="preserve"> </w:t>
                                  </w:r>
                                </w:p>
                              </w:tc>
                              <w:tc>
                                <w:tcPr>
                                  <w:tcW w:w="3402" w:type="dxa"/>
                                  <w:shd w:val="clear" w:color="auto" w:fill="auto"/>
                                </w:tcPr>
                                <w:p w:rsidR="004C3777" w:rsidRPr="00B63DE8" w:rsidRDefault="004C3777" w:rsidP="007A450E">
                                  <w:pPr>
                                    <w:suppressOverlap/>
                                    <w:jc w:val="left"/>
                                    <w:rPr>
                                      <w:rFonts w:cs="Arial"/>
                                      <w:b/>
                                      <w:color w:val="404040"/>
                                      <w:szCs w:val="18"/>
                                    </w:rPr>
                                  </w:pPr>
                                  <w:r>
                                    <w:rPr>
                                      <w:b/>
                                      <w:color w:val="404040"/>
                                      <w:szCs w:val="18"/>
                                    </w:rPr>
                                    <w:t>Gör inte så här</w:t>
                                  </w:r>
                                </w:p>
                                <w:p w:rsidR="004C3777" w:rsidRPr="00B63DE8" w:rsidRDefault="004C3777" w:rsidP="007A450E">
                                  <w:pPr>
                                    <w:pStyle w:val="Hlistbullet"/>
                                    <w:spacing w:line="160" w:lineRule="atLeast"/>
                                    <w:jc w:val="left"/>
                                    <w:rPr>
                                      <w:sz w:val="18"/>
                                      <w:szCs w:val="18"/>
                                    </w:rPr>
                                  </w:pPr>
                                  <w:r>
                                    <w:rPr>
                                      <w:sz w:val="18"/>
                                      <w:szCs w:val="18"/>
                                    </w:rPr>
                                    <w:t xml:space="preserve">Begränsa granskningen av landsbygdsprogrammets innovationspotential till ordet ”innovativ” i urvalskriterierna och åtgärderna. </w:t>
                                  </w:r>
                                </w:p>
                                <w:p w:rsidR="004C3777" w:rsidRPr="00B63DE8" w:rsidRDefault="004C3777" w:rsidP="007A450E">
                                  <w:pPr>
                                    <w:suppressOverlap/>
                                    <w:jc w:val="left"/>
                                    <w:rPr>
                                      <w:rFonts w:cs="Arial"/>
                                      <w:color w:val="1A1A1A"/>
                                      <w:szCs w:val="18"/>
                                    </w:rPr>
                                  </w:pPr>
                                </w:p>
                              </w:tc>
                            </w:tr>
                          </w:tbl>
                          <w:p w:rsidR="004C3777" w:rsidRPr="00275EE5" w:rsidRDefault="004C3777"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A39F9" id="Rectangle: Diagonal Corners Rounded 67" o:spid="_x0000_s1038" style="position:absolute;left:0;text-align:left;margin-left:128.5pt;margin-top:74.9pt;width:327.05pt;height:20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46,2571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" adj="-11796480,,5400" path="m250848,l4153546,r,l4153546,2320902v,138540,-112308,250848,-250848,250848l,2571750r,l,250848c,112308,112308,,250848,xe" filled="f" strokecolor="#8bab80" strokeweight="2pt">
                <v:stroke joinstyle="miter"/>
                <v:formulas/>
                <v:path arrowok="t" o:connecttype="custom" o:connectlocs="250848,0;4153546,0;4153546,0;4153546,2320902;3902698,2571750;0,2571750;0,2571750;0,250848;250848,0" o:connectangles="0,0,0,0,0,0,0,0,0" textboxrect="0,0,4153546,2571750"/>
                <v:textbox>
                  <w:txbxContent>
                    <w:p w:rsidR="004C3777" w:rsidRPr="00275EE5" w:rsidRDefault="004C3777" w:rsidP="007A450E">
                      <w:pPr>
                        <w:pStyle w:val="Normal12PTcouleurgris"/>
                      </w:pPr>
                      <w:r w:rsidRPr="00171202">
                        <w:rPr>
                          <w:noProof/>
                          <w:sz w:val="18"/>
                          <w:lang w:val="en-GB" w:eastAsia="en-GB"/>
                        </w:rPr>
                        <w:drawing>
                          <wp:inline distT="0" distB="0" distL="0" distR="0" wp14:anchorId="20FE9FC6" wp14:editId="6344397B">
                            <wp:extent cx="578362" cy="539115"/>
                            <wp:effectExtent l="0" t="0" r="0" b="0"/>
                            <wp:docPr id="31"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90"/>
                      </w:tblGrid>
                      <w:tr w:rsidR="004C3777" w:rsidRPr="0079762F" w:rsidTr="00E05D08">
                        <w:tc>
                          <w:tcPr>
                            <w:tcW w:w="3402" w:type="dxa"/>
                            <w:shd w:val="clear" w:color="auto" w:fill="FFFFFF"/>
                          </w:tcPr>
                          <w:p w:rsidR="004C3777" w:rsidRPr="00B63DE8" w:rsidRDefault="004C3777" w:rsidP="007A450E">
                            <w:pPr>
                              <w:suppressOverlap/>
                              <w:jc w:val="left"/>
                              <w:rPr>
                                <w:rFonts w:cs="Arial"/>
                                <w:b/>
                                <w:color w:val="404040"/>
                                <w:szCs w:val="18"/>
                              </w:rPr>
                            </w:pPr>
                            <w:r>
                              <w:rPr>
                                <w:b/>
                                <w:color w:val="404040"/>
                                <w:szCs w:val="18"/>
                              </w:rPr>
                              <w:t>Gör så här</w:t>
                            </w:r>
                          </w:p>
                          <w:p w:rsidR="004C3777" w:rsidRPr="00B63DE8" w:rsidRDefault="004C3777" w:rsidP="007A450E">
                            <w:pPr>
                              <w:pStyle w:val="Hlistbullet"/>
                              <w:spacing w:line="160" w:lineRule="atLeast"/>
                              <w:jc w:val="left"/>
                              <w:rPr>
                                <w:sz w:val="18"/>
                                <w:szCs w:val="18"/>
                              </w:rPr>
                            </w:pPr>
                            <w:r>
                              <w:rPr>
                                <w:sz w:val="18"/>
                                <w:szCs w:val="18"/>
                              </w:rPr>
                              <w:t xml:space="preserve">Bedöm åtgärdernas utformning (kopplingen till behov, mål, urvalskriterier, stödmottagare) och styrkan i deras potential att främja innovation. </w:t>
                            </w:r>
                          </w:p>
                          <w:p w:rsidR="004C3777" w:rsidRPr="00B63DE8" w:rsidRDefault="004C3777" w:rsidP="007A450E">
                            <w:pPr>
                              <w:pStyle w:val="Hlistbullet"/>
                              <w:spacing w:line="160" w:lineRule="atLeast"/>
                              <w:jc w:val="left"/>
                            </w:pPr>
                            <w:r>
                              <w:rPr>
                                <w:sz w:val="18"/>
                                <w:szCs w:val="18"/>
                              </w:rPr>
                              <w:t>Ta till vara på landsbygdsprogrammets underliggande innovationsrelaterade interventionslogik.</w:t>
                            </w:r>
                            <w:r>
                              <w:t xml:space="preserve"> </w:t>
                            </w:r>
                          </w:p>
                        </w:tc>
                        <w:tc>
                          <w:tcPr>
                            <w:tcW w:w="3402" w:type="dxa"/>
                            <w:shd w:val="clear" w:color="auto" w:fill="auto"/>
                          </w:tcPr>
                          <w:p w:rsidR="004C3777" w:rsidRPr="00B63DE8" w:rsidRDefault="004C3777" w:rsidP="007A450E">
                            <w:pPr>
                              <w:suppressOverlap/>
                              <w:jc w:val="left"/>
                              <w:rPr>
                                <w:rFonts w:cs="Arial"/>
                                <w:b/>
                                <w:color w:val="404040"/>
                                <w:szCs w:val="18"/>
                              </w:rPr>
                            </w:pPr>
                            <w:r>
                              <w:rPr>
                                <w:b/>
                                <w:color w:val="404040"/>
                                <w:szCs w:val="18"/>
                              </w:rPr>
                              <w:t>Gör inte så här</w:t>
                            </w:r>
                          </w:p>
                          <w:p w:rsidR="004C3777" w:rsidRPr="00B63DE8" w:rsidRDefault="004C3777" w:rsidP="007A450E">
                            <w:pPr>
                              <w:pStyle w:val="Hlistbullet"/>
                              <w:spacing w:line="160" w:lineRule="atLeast"/>
                              <w:jc w:val="left"/>
                              <w:rPr>
                                <w:sz w:val="18"/>
                                <w:szCs w:val="18"/>
                              </w:rPr>
                            </w:pPr>
                            <w:r>
                              <w:rPr>
                                <w:sz w:val="18"/>
                                <w:szCs w:val="18"/>
                              </w:rPr>
                              <w:t xml:space="preserve">Begränsa granskningen av landsbygdsprogrammets innovationspotential till ordet ”innovativ” i urvalskriterierna och åtgärderna. </w:t>
                            </w:r>
                          </w:p>
                          <w:p w:rsidR="004C3777" w:rsidRPr="00B63DE8" w:rsidRDefault="004C3777" w:rsidP="007A450E">
                            <w:pPr>
                              <w:suppressOverlap/>
                              <w:jc w:val="left"/>
                              <w:rPr>
                                <w:rFonts w:cs="Arial"/>
                                <w:color w:val="1A1A1A"/>
                                <w:szCs w:val="18"/>
                              </w:rPr>
                            </w:pPr>
                          </w:p>
                        </w:tc>
                      </w:tr>
                    </w:tbl>
                    <w:p w:rsidR="004C3777" w:rsidRPr="00275EE5" w:rsidRDefault="004C3777" w:rsidP="007A450E">
                      <w:pPr>
                        <w:pStyle w:val="Normal12PTcouleurgris"/>
                      </w:pPr>
                    </w:p>
                  </w:txbxContent>
                </v:textbox>
                <w10:wrap type="square" anchorx="page" anchory="page"/>
              </v:shape>
            </w:pict>
          </mc:Fallback>
        </mc:AlternateContent>
      </w:r>
    </w:p>
    <w:p w:rsidR="00A45935" w:rsidRPr="00E05D08" w:rsidRDefault="00A45935" w:rsidP="009F5AB5">
      <w:pPr>
        <w:pStyle w:val="HStandard"/>
      </w:pPr>
    </w:p>
    <w:p w:rsidR="00A45935" w:rsidRPr="00E05D08" w:rsidRDefault="00A45935" w:rsidP="009F5AB5">
      <w:pPr>
        <w:pStyle w:val="HStandard"/>
      </w:pPr>
    </w:p>
    <w:p w:rsidR="00A45935" w:rsidRDefault="00A45935" w:rsidP="009F5AB5">
      <w:pPr>
        <w:pStyle w:val="HStandard"/>
      </w:pPr>
    </w:p>
    <w:p w:rsidR="000A43B7" w:rsidRDefault="000A43B7" w:rsidP="009F5AB5">
      <w:pPr>
        <w:pStyle w:val="HStandard"/>
      </w:pPr>
    </w:p>
    <w:p w:rsidR="007A450E" w:rsidRDefault="007A450E">
      <w:pPr>
        <w:jc w:val="left"/>
        <w:rPr>
          <w:rFonts w:eastAsia="Times New Roman" w:cs="Times New Roman"/>
          <w:b/>
          <w:szCs w:val="20"/>
        </w:rPr>
      </w:pPr>
      <w:bookmarkStart w:id="96" w:name="_Toc493151903"/>
      <w:bookmarkStart w:id="97" w:name="_Toc501382129"/>
    </w:p>
    <w:p w:rsidR="00CF4F8A" w:rsidRDefault="00CF4F8A">
      <w:pPr>
        <w:jc w:val="left"/>
        <w:rPr>
          <w:rFonts w:eastAsia="Times New Roman" w:cs="Times New Roman"/>
          <w:b/>
          <w:szCs w:val="20"/>
        </w:rPr>
      </w:pPr>
    </w:p>
    <w:p w:rsidR="00CF4F8A" w:rsidRDefault="00CF4F8A">
      <w:pPr>
        <w:jc w:val="left"/>
        <w:rPr>
          <w:rFonts w:eastAsia="Times New Roman" w:cs="Times New Roman"/>
          <w:b/>
          <w:szCs w:val="20"/>
        </w:rPr>
      </w:pPr>
    </w:p>
    <w:p w:rsidR="00CF4F8A" w:rsidRDefault="00CF4F8A">
      <w:pPr>
        <w:jc w:val="left"/>
        <w:rPr>
          <w:rFonts w:eastAsia="Times New Roman" w:cs="Times New Roman"/>
          <w:b/>
          <w:szCs w:val="20"/>
        </w:rPr>
      </w:pPr>
    </w:p>
    <w:p w:rsidR="00CF4F8A" w:rsidRDefault="00CF4F8A">
      <w:pPr>
        <w:jc w:val="left"/>
        <w:rPr>
          <w:rFonts w:eastAsia="Times New Roman" w:cs="Times New Roman"/>
          <w:b/>
          <w:szCs w:val="20"/>
        </w:rPr>
      </w:pPr>
    </w:p>
    <w:p w:rsidR="00CF4F8A" w:rsidRDefault="00CF4F8A">
      <w:pPr>
        <w:jc w:val="left"/>
        <w:rPr>
          <w:rFonts w:eastAsia="Times New Roman" w:cs="Times New Roman"/>
          <w:b/>
          <w:szCs w:val="20"/>
        </w:rPr>
      </w:pPr>
    </w:p>
    <w:p w:rsidR="00A45935" w:rsidRPr="00FC7364" w:rsidRDefault="00A45935" w:rsidP="00B421B9">
      <w:pPr>
        <w:pStyle w:val="HHeading2"/>
        <w:numPr>
          <w:ilvl w:val="1"/>
          <w:numId w:val="119"/>
        </w:numPr>
        <w:ind w:left="567" w:hanging="567"/>
      </w:pPr>
      <w:bookmarkStart w:id="98" w:name="Complementing"/>
      <w:bookmarkStart w:id="99" w:name="_Toc508290306"/>
      <w:bookmarkEnd w:id="98"/>
      <w:r>
        <w:t>Komplettering av de gemensamma utvärderingsfaktorerna för innovation (rekommenderas)</w:t>
      </w:r>
      <w:bookmarkEnd w:id="96"/>
      <w:bookmarkEnd w:id="97"/>
      <w:bookmarkEnd w:id="99"/>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Varför och när bör det gemensamma övervaknings- och utvärderingssystemet kompletteras? </w:t>
      </w:r>
    </w:p>
    <w:p w:rsidR="00A45935" w:rsidRPr="00E05D08" w:rsidRDefault="00A45935" w:rsidP="00E05D08">
      <w:pPr>
        <w:spacing w:after="120" w:line="280" w:lineRule="atLeast"/>
        <w:mirrorIndents/>
        <w:rPr>
          <w:rFonts w:eastAsia="Times New Roman" w:cs="Times New Roman"/>
          <w:szCs w:val="20"/>
        </w:rPr>
      </w:pPr>
      <w:r>
        <w:rPr>
          <w:b/>
          <w:szCs w:val="20"/>
        </w:rPr>
        <w:t>Det gemensamma övervaknings- och utvärderingssystemet bidrar med några grundläggande utvärderingsfaktorer</w:t>
      </w:r>
      <w:r>
        <w:t xml:space="preserve"> (gemensamma utfallsindikatorer) för att besvara de relevanta gemensamma utvärderingsfrågorna nr 1, 2 och 21 (se </w:t>
      </w:r>
      <w:hyperlink w:anchor="Policy_framework" w:history="1">
        <w:r>
          <w:rPr>
            <w:rStyle w:val="Hyperlink"/>
            <w:sz w:val="20"/>
            <w:szCs w:val="20"/>
          </w:rPr>
          <w:t>avsnitt 1.2.1</w:t>
        </w:r>
      </w:hyperlink>
      <w:r>
        <w:t xml:space="preserve">). Dessutom ingår bedömningskriterier för alla </w:t>
      </w:r>
      <w:r>
        <w:lastRenderedPageBreak/>
        <w:t xml:space="preserve">gemensamma utvärderingsfrågor med koppling till innovation och några kompletterande indikatorer i arbetsdokumentet </w:t>
      </w:r>
      <w:hyperlink r:id="rId33" w:history="1">
        <w:r>
          <w:rPr>
            <w:rStyle w:val="Hyperlink"/>
            <w:i/>
            <w:sz w:val="20"/>
            <w:szCs w:val="20"/>
          </w:rPr>
          <w:t>Common Evaluation Questions for RDPs 2014-2020</w:t>
        </w:r>
      </w:hyperlink>
      <w:r>
        <w:t xml:space="preserve"> (Gemensamma utvärderingsfrågor för landsbygdsprogram 2014–2020). Utvärderingsfråga nr 23 är till exempel kopplad till EU 2020-strategins överordnade mål, vilket kan användas som grund för att besvara denna fråga. Utvärderingsfråga nr 30 är den enda fråga som åtföljs av kompletterande indikatorer</w:t>
      </w:r>
      <w:r>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De gemensamma utvärderingsfaktorerna ska granskas innan utvärderingen påbörjas</w:t>
      </w:r>
      <w:r>
        <w:t xml:space="preserve"> och kompletteras vid behov. Denna undersökning kan utgå ifrån resultaten av granskningen av landsbygdsprogrammets potential att främja innovation (se </w:t>
      </w:r>
      <w:hyperlink w:anchor="Screening_Potential" w:history="1">
        <w:r>
          <w:rPr>
            <w:rStyle w:val="Hyperlink"/>
            <w:sz w:val="20"/>
            <w:szCs w:val="20"/>
          </w:rPr>
          <w:t>kapitel 2.2</w:t>
        </w:r>
      </w:hyperlink>
      <w:r>
        <w:t xml:space="preserve">). </w:t>
      </w:r>
    </w:p>
    <w:p w:rsidR="00A45935" w:rsidRPr="00E05D08" w:rsidRDefault="00C31877"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noProof/>
          <w:highlight w:val="yellow"/>
          <w:lang w:val="en-GB" w:eastAsia="en-GB"/>
        </w:rPr>
        <mc:AlternateContent>
          <mc:Choice Requires="wps">
            <w:drawing>
              <wp:anchor distT="0" distB="0" distL="114300" distR="114300" simplePos="0" relativeHeight="251642880" behindDoc="0" locked="0" layoutInCell="1" allowOverlap="1" wp14:anchorId="08D04920" wp14:editId="278009ED">
                <wp:simplePos x="0" y="0"/>
                <wp:positionH relativeFrom="column">
                  <wp:posOffset>2872740</wp:posOffset>
                </wp:positionH>
                <wp:positionV relativeFrom="paragraph">
                  <wp:posOffset>44450</wp:posOffset>
                </wp:positionV>
                <wp:extent cx="3000375" cy="1981200"/>
                <wp:effectExtent l="0" t="0" r="28575" b="19050"/>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3000375" cy="1981200"/>
                        </a:xfrm>
                        <a:prstGeom prst="round2DiagRect">
                          <a:avLst>
                            <a:gd name="adj1" fmla="val 7843"/>
                            <a:gd name="adj2" fmla="val 0"/>
                          </a:avLst>
                        </a:prstGeom>
                        <a:noFill/>
                        <a:ln w="25400" cap="flat" cmpd="sng" algn="ctr">
                          <a:solidFill>
                            <a:srgbClr val="BE4A35"/>
                          </a:solidFill>
                          <a:prstDash val="solid"/>
                        </a:ln>
                        <a:effectLst/>
                      </wps:spPr>
                      <wps:txbx>
                        <w:txbxContent>
                          <w:p w:rsidR="004C3777" w:rsidRPr="00D450FE" w:rsidRDefault="004C3777" w:rsidP="00E05D08">
                            <w:pPr>
                              <w:pStyle w:val="HStandard"/>
                              <w:rPr>
                                <w:sz w:val="18"/>
                                <w:szCs w:val="18"/>
                              </w:rPr>
                            </w:pPr>
                            <w:r>
                              <w:rPr>
                                <w:noProof/>
                                <w:lang w:val="en-GB" w:eastAsia="en-GB"/>
                              </w:rPr>
                              <w:drawing>
                                <wp:inline distT="0" distB="0" distL="0" distR="0" wp14:anchorId="2BC8F811" wp14:editId="57E17F23">
                                  <wp:extent cx="664845" cy="487680"/>
                                  <wp:effectExtent l="0" t="0" r="0" b="7620"/>
                                  <wp:docPr id="17"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De kompletterande utvärderingsfaktorer (kompletterande utvärderingsfrågor, kompletterande bedömningskriterier och kompletterande indikatorer) som föreslås i kapitel 2.4 i dess riktlinjer är </w:t>
                            </w:r>
                            <w:r>
                              <w:rPr>
                                <w:b/>
                                <w:sz w:val="18"/>
                                <w:szCs w:val="18"/>
                              </w:rPr>
                              <w:t xml:space="preserve">INTE BINDANDE! </w:t>
                            </w:r>
                            <w:r>
                              <w:rPr>
                                <w:sz w:val="18"/>
                                <w:szCs w:val="18"/>
                              </w:rPr>
                              <w:t xml:space="preserve">Varje förvaltande myndighet kan besluta att utarbeta och använda egna kompletterande och programspecifika utvärderingsfaktorer.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4920" id="Rectangle: Diagonal Corners Rounded 34" o:spid="_x0000_s1039" style="position:absolute;left:0;text-align:left;margin-left:226.2pt;margin-top:3.5pt;width:236.25pt;height:1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0375,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" adj="-11796480,,5400" path="m155386,l3000375,r,l3000375,1825814v,85817,-69569,155386,-155386,155386l,1981200r,l,155386c,69569,69569,,155386,xe" filled="f" strokecolor="#be4a35" strokeweight="2pt">
                <v:stroke joinstyle="miter"/>
                <v:formulas/>
                <v:path arrowok="t" o:connecttype="custom" o:connectlocs="155386,0;3000375,0;3000375,0;3000375,1825814;2844989,1981200;0,1981200;0,1981200;0,155386;155386,0" o:connectangles="0,0,0,0,0,0,0,0,0" textboxrect="0,0,3000375,1981200"/>
                <v:textbox>
                  <w:txbxContent>
                    <w:p w:rsidR="004C3777" w:rsidRPr="00D450FE" w:rsidRDefault="004C3777" w:rsidP="00E05D08">
                      <w:pPr>
                        <w:pStyle w:val="HStandard"/>
                        <w:rPr>
                          <w:sz w:val="18"/>
                          <w:szCs w:val="18"/>
                        </w:rPr>
                      </w:pPr>
                      <w:r>
                        <w:rPr>
                          <w:noProof/>
                          <w:lang w:val="en-GB" w:eastAsia="en-GB"/>
                        </w:rPr>
                        <w:drawing>
                          <wp:inline distT="0" distB="0" distL="0" distR="0" wp14:anchorId="2BC8F811" wp14:editId="57E17F23">
                            <wp:extent cx="664845" cy="487680"/>
                            <wp:effectExtent l="0" t="0" r="0" b="7620"/>
                            <wp:docPr id="17"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De kompletterande utvärderingsfaktorer (kompletterande utvärderingsfrågor, kompletterande bedömningskriterier och kompletterande indikatorer) som föreslås i kapitel 2.4 i dess riktlinjer är </w:t>
                      </w:r>
                      <w:r>
                        <w:rPr>
                          <w:b/>
                          <w:sz w:val="18"/>
                          <w:szCs w:val="18"/>
                        </w:rPr>
                        <w:t xml:space="preserve">INTE BINDANDE! </w:t>
                      </w:r>
                      <w:r>
                        <w:rPr>
                          <w:sz w:val="18"/>
                          <w:szCs w:val="18"/>
                        </w:rPr>
                        <w:t xml:space="preserve">Varje förvaltande myndighet kan besluta att utarbeta och använda egna kompletterande och programspecifika utvärderingsfaktorer. </w:t>
                      </w:r>
                    </w:p>
                  </w:txbxContent>
                </v:textbox>
                <w10:wrap type="square"/>
              </v:shape>
            </w:pict>
          </mc:Fallback>
        </mc:AlternateContent>
      </w:r>
      <w:r w:rsidR="00A45935">
        <w:rPr>
          <w:b/>
          <w:color w:val="57825E"/>
          <w:szCs w:val="20"/>
          <w:shd w:val="clear" w:color="auto" w:fill="FFFFFF"/>
        </w:rPr>
        <w:t>Vilka är de olika stegen vid utarbetande av kompletterande och programspecifika utvärderingsfaktorer?</w:t>
      </w:r>
    </w:p>
    <w:p w:rsidR="00A45935" w:rsidRPr="00E05D08" w:rsidRDefault="00A45935" w:rsidP="00E05D08">
      <w:pPr>
        <w:spacing w:after="120" w:line="280" w:lineRule="atLeast"/>
        <w:mirrorIndents/>
        <w:rPr>
          <w:rFonts w:eastAsia="Calibri" w:cs="Times New Roman"/>
          <w:szCs w:val="20"/>
        </w:rPr>
      </w:pPr>
      <w:r>
        <w:t xml:space="preserve">Utarbetandet av kompletterande utvärderingsfaktorer (vilka beskrivs mer ingående i riktlinjerna </w:t>
      </w:r>
      <w:hyperlink r:id="rId34" w:history="1">
        <w:r>
          <w:rPr>
            <w:rStyle w:val="Hyperlink"/>
            <w:sz w:val="20"/>
            <w:szCs w:val="20"/>
          </w:rPr>
          <w:t>Assessment of RDP results</w:t>
        </w:r>
        <w:r w:rsidR="00F639C6">
          <w:rPr>
            <w:rStyle w:val="Hyperlink"/>
            <w:sz w:val="20"/>
            <w:szCs w:val="20"/>
          </w:rPr>
          <w:t xml:space="preserve"> </w:t>
        </w:r>
        <w:r>
          <w:rPr>
            <w:rStyle w:val="Hyperlink"/>
            <w:sz w:val="20"/>
            <w:szCs w:val="20"/>
          </w:rPr>
          <w:t>how to prepare for reporting on evaluation in 2017</w:t>
        </w:r>
      </w:hyperlink>
      <w:r>
        <w:t xml:space="preserve">) kan sammanfattas enligt följande: </w:t>
      </w:r>
    </w:p>
    <w:p w:rsidR="00A45935" w:rsidRPr="00B10B3C" w:rsidRDefault="00576A73" w:rsidP="00B421B9">
      <w:pPr>
        <w:pStyle w:val="Hlistbullet"/>
        <w:rPr>
          <w:rFonts w:eastAsia="Calibri"/>
        </w:rPr>
      </w:pPr>
      <w:r>
        <w:t xml:space="preserve">Gå tillbaka till landsbygdsprogrammets underliggande interventionslogik för innovation (se </w:t>
      </w:r>
      <w:hyperlink w:anchor="Screening_Potential" w:history="1">
        <w:r>
          <w:rPr>
            <w:rStyle w:val="Hyperlink"/>
            <w:sz w:val="20"/>
          </w:rPr>
          <w:t>kapitel 2.2</w:t>
        </w:r>
      </w:hyperlink>
      <w:r>
        <w:t>).</w:t>
      </w:r>
    </w:p>
    <w:p w:rsidR="00A45935" w:rsidRPr="00B10B3C" w:rsidRDefault="00A45935" w:rsidP="00B421B9">
      <w:pPr>
        <w:pStyle w:val="Hlistbullet"/>
        <w:rPr>
          <w:rFonts w:eastAsia="Calibri"/>
        </w:rPr>
      </w:pPr>
      <w:r>
        <w:t xml:space="preserve">Granska gemensamma utvärderingsfrågor, bedömningskriterier och indikatorer som är kopplade till innovation och kontrollera om de är tillräckliga för att besvara de innovationsrelaterade gemensamma utvärderingsfrågorna. </w:t>
      </w:r>
    </w:p>
    <w:p w:rsidR="00576A73" w:rsidRPr="00576A73" w:rsidRDefault="00A45935" w:rsidP="00B421B9">
      <w:pPr>
        <w:pStyle w:val="Hlistbullet"/>
        <w:rPr>
          <w:rFonts w:eastAsia="Calibri"/>
        </w:rPr>
      </w:pPr>
      <w:r>
        <w:t>Komplettera det gemensamma övervaknings- och utvärderingssystemet med kompletterande innovationsrelaterade utvärderingsfaktorer om de gemensamma faktorerna inte är tillräckliga för att besvara de innovationsrelaterade gemensamma utvärderingsfrågorna.</w:t>
      </w:r>
    </w:p>
    <w:p w:rsidR="00576A73" w:rsidRPr="00576A73" w:rsidRDefault="00A45935" w:rsidP="00B421B9">
      <w:pPr>
        <w:pStyle w:val="Hlistbullet"/>
        <w:rPr>
          <w:rFonts w:eastAsia="Calibri"/>
        </w:rPr>
      </w:pPr>
      <w:r>
        <w:t>Utarbeta programspecifika utvärderingsfaktorer för bedömning av innovation med koppling till programspecifika fokusområden och utvärderingsfrågor av särskilt intresse för de förvaltande myndigheterna.</w:t>
      </w:r>
      <w:r>
        <w:rPr>
          <w:highlight w:val="yellow"/>
        </w:rPr>
        <w:t xml:space="preserve"> </w:t>
      </w:r>
    </w:p>
    <w:p w:rsidR="000A43B7" w:rsidRDefault="000A43B7" w:rsidP="000A43B7">
      <w:pPr>
        <w:rPr>
          <w:noProof/>
          <w:szCs w:val="20"/>
          <w:highlight w:val="yellow"/>
        </w:rPr>
      </w:pPr>
      <w:r>
        <w:rPr>
          <w:rFonts w:cs="Arial"/>
          <w:b/>
          <w:noProof/>
          <w:color w:val="F07E31"/>
          <w:szCs w:val="20"/>
          <w:lang w:val="en-GB" w:eastAsia="en-GB"/>
        </w:rPr>
        <w:lastRenderedPageBreak/>
        <mc:AlternateContent>
          <mc:Choice Requires="wps">
            <w:drawing>
              <wp:anchor distT="0" distB="0" distL="114300" distR="114300" simplePos="0" relativeHeight="251671552" behindDoc="0" locked="0" layoutInCell="1" allowOverlap="1" wp14:anchorId="447C667D" wp14:editId="1C4B5F1E">
                <wp:simplePos x="0" y="0"/>
                <wp:positionH relativeFrom="column">
                  <wp:posOffset>752475</wp:posOffset>
                </wp:positionH>
                <wp:positionV relativeFrom="paragraph">
                  <wp:posOffset>69850</wp:posOffset>
                </wp:positionV>
                <wp:extent cx="4154170" cy="3381375"/>
                <wp:effectExtent l="0" t="0" r="17780" b="28575"/>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3381375"/>
                        </a:xfrm>
                        <a:prstGeom prst="round2DiagRect">
                          <a:avLst>
                            <a:gd name="adj1" fmla="val 7630"/>
                            <a:gd name="adj2" fmla="val 0"/>
                          </a:avLst>
                        </a:prstGeom>
                        <a:noFill/>
                        <a:ln w="25400" cap="flat" cmpd="sng" algn="ctr">
                          <a:solidFill>
                            <a:srgbClr val="8BAB80"/>
                          </a:solidFill>
                          <a:prstDash val="solid"/>
                        </a:ln>
                        <a:effectLst/>
                      </wps:spPr>
                      <wps:txbx>
                        <w:txbxContent>
                          <w:p w:rsidR="004C3777" w:rsidRPr="00275EE5" w:rsidRDefault="004C3777" w:rsidP="001744D0">
                            <w:pPr>
                              <w:pStyle w:val="Normal12PTcouleurgris"/>
                            </w:pPr>
                            <w:r w:rsidRPr="00171202">
                              <w:rPr>
                                <w:noProof/>
                                <w:lang w:val="en-GB" w:eastAsia="en-GB"/>
                              </w:rPr>
                              <w:drawing>
                                <wp:inline distT="0" distB="0" distL="0" distR="0" wp14:anchorId="66964828" wp14:editId="2E5B0445">
                                  <wp:extent cx="881227" cy="540000"/>
                                  <wp:effectExtent l="0" t="0" r="0" b="0"/>
                                  <wp:docPr id="704"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81227" cy="54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4C3777" w:rsidRPr="0079762F" w:rsidTr="00E05D08">
                              <w:tc>
                                <w:tcPr>
                                  <w:tcW w:w="2991" w:type="dxa"/>
                                  <w:shd w:val="clear" w:color="auto" w:fill="FFFFFF"/>
                                </w:tcPr>
                                <w:p w:rsidR="004C3777" w:rsidRPr="00654F10" w:rsidRDefault="004C3777" w:rsidP="001744D0">
                                  <w:pPr>
                                    <w:pStyle w:val="Normal12PTcouleurgris"/>
                                    <w:rPr>
                                      <w:b/>
                                      <w:color w:val="404040"/>
                                      <w:sz w:val="18"/>
                                    </w:rPr>
                                  </w:pPr>
                                  <w:r>
                                    <w:rPr>
                                      <w:b/>
                                      <w:color w:val="404040"/>
                                      <w:sz w:val="18"/>
                                    </w:rPr>
                                    <w:t>Gör så här</w:t>
                                  </w:r>
                                </w:p>
                                <w:p w:rsidR="004C3777" w:rsidRPr="00654F10" w:rsidRDefault="004C3777" w:rsidP="007A450E">
                                  <w:pPr>
                                    <w:pStyle w:val="Hlistbullet"/>
                                    <w:spacing w:line="160" w:lineRule="atLeast"/>
                                    <w:jc w:val="left"/>
                                    <w:rPr>
                                      <w:sz w:val="18"/>
                                      <w:szCs w:val="18"/>
                                    </w:rPr>
                                  </w:pPr>
                                  <w:r>
                                    <w:rPr>
                                      <w:sz w:val="18"/>
                                      <w:szCs w:val="18"/>
                                    </w:rPr>
                                    <w:t>Granska det gemensamma uppföljnings- och utvärderingssystemets bedömningskriterier och indikatorer för att säkerställa att de är tillräckliga för att besvara de gemensamma utvärderingsfrågorna.</w:t>
                                  </w:r>
                                </w:p>
                                <w:p w:rsidR="004C3777" w:rsidRPr="00654F10" w:rsidRDefault="004C3777" w:rsidP="007A450E">
                                  <w:pPr>
                                    <w:pStyle w:val="Hlistbullet"/>
                                    <w:spacing w:line="160" w:lineRule="atLeast"/>
                                    <w:jc w:val="left"/>
                                    <w:rPr>
                                      <w:sz w:val="18"/>
                                      <w:szCs w:val="18"/>
                                    </w:rPr>
                                  </w:pPr>
                                  <w:r>
                                    <w:rPr>
                                      <w:sz w:val="18"/>
                                      <w:szCs w:val="18"/>
                                    </w:rPr>
                                    <w:t>Utarbeta kompletterande bedömningskriterier och indikatorer om de gemensamma inte är tillräckliga för att samla in uppgifter för att besvara de gemensamma utvärderingsfrågorna.</w:t>
                                  </w:r>
                                </w:p>
                              </w:tc>
                              <w:tc>
                                <w:tcPr>
                                  <w:tcW w:w="2960" w:type="dxa"/>
                                  <w:shd w:val="clear" w:color="auto" w:fill="auto"/>
                                </w:tcPr>
                                <w:p w:rsidR="004C3777" w:rsidRPr="00654F10" w:rsidRDefault="004C3777" w:rsidP="001744D0">
                                  <w:pPr>
                                    <w:pStyle w:val="Normal12PTcouleurgris"/>
                                    <w:rPr>
                                      <w:b/>
                                      <w:color w:val="404040"/>
                                      <w:sz w:val="18"/>
                                    </w:rPr>
                                  </w:pPr>
                                  <w:r>
                                    <w:rPr>
                                      <w:b/>
                                      <w:color w:val="404040"/>
                                      <w:sz w:val="18"/>
                                    </w:rPr>
                                    <w:t>Gör inte så här</w:t>
                                  </w:r>
                                </w:p>
                                <w:p w:rsidR="004C3777" w:rsidRPr="00654F10" w:rsidRDefault="004C3777" w:rsidP="007A450E">
                                  <w:pPr>
                                    <w:pStyle w:val="Hlistbullet"/>
                                    <w:spacing w:line="160" w:lineRule="atLeast"/>
                                    <w:jc w:val="left"/>
                                    <w:rPr>
                                      <w:sz w:val="18"/>
                                      <w:szCs w:val="18"/>
                                    </w:rPr>
                                  </w:pPr>
                                  <w:r>
                                    <w:rPr>
                                      <w:sz w:val="18"/>
                                      <w:szCs w:val="18"/>
                                    </w:rPr>
                                    <w:t>Undvik att endast använda utfallsindikatorer för att besvara de gemensamma utvärderingsfrågorna (som inte kan visa fullt ut om politiken har uppnått sitt syfte).</w:t>
                                  </w:r>
                                </w:p>
                                <w:p w:rsidR="004C3777" w:rsidRPr="00654F10" w:rsidRDefault="004C3777" w:rsidP="001744D0">
                                  <w:pPr>
                                    <w:pStyle w:val="Normal12PTcouleurgris"/>
                                    <w:rPr>
                                      <w:color w:val="1A1A1A"/>
                                      <w:sz w:val="18"/>
                                    </w:rPr>
                                  </w:pPr>
                                </w:p>
                              </w:tc>
                            </w:tr>
                          </w:tbl>
                          <w:p w:rsidR="004C3777" w:rsidRPr="00275EE5" w:rsidRDefault="004C3777"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667D" id="Rectangle: Diagonal Corners Rounded 70" o:spid="_x0000_s1040" style="position:absolute;left:0;text-align:left;margin-left:59.25pt;margin-top:5.5pt;width:327.1pt;height:26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3381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" adj="-11796480,,5400" path="m257999,l4154170,r,l4154170,3123376v,142489,-115510,257999,-257999,257999l,3381375r,l,257999c,115510,115510,,257999,xe" filled="f" strokecolor="#8bab80" strokeweight="2pt">
                <v:stroke joinstyle="miter"/>
                <v:formulas/>
                <v:path arrowok="t" o:connecttype="custom" o:connectlocs="257999,0;4154170,0;4154170,0;4154170,3123376;3896171,3381375;0,3381375;0,3381375;0,257999;257999,0" o:connectangles="0,0,0,0,0,0,0,0,0" textboxrect="0,0,4154170,3381375"/>
                <v:textbox>
                  <w:txbxContent>
                    <w:p w:rsidR="004C3777" w:rsidRPr="00275EE5" w:rsidRDefault="004C3777" w:rsidP="001744D0">
                      <w:pPr>
                        <w:pStyle w:val="Normal12PTcouleurgris"/>
                      </w:pPr>
                      <w:r w:rsidRPr="00171202">
                        <w:rPr>
                          <w:noProof/>
                          <w:lang w:val="en-GB" w:eastAsia="en-GB"/>
                        </w:rPr>
                        <w:drawing>
                          <wp:inline distT="0" distB="0" distL="0" distR="0" wp14:anchorId="66964828" wp14:editId="2E5B0445">
                            <wp:extent cx="881227" cy="540000"/>
                            <wp:effectExtent l="0" t="0" r="0" b="0"/>
                            <wp:docPr id="704"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81227" cy="54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4C3777" w:rsidRPr="0079762F" w:rsidTr="00E05D08">
                        <w:tc>
                          <w:tcPr>
                            <w:tcW w:w="2991" w:type="dxa"/>
                            <w:shd w:val="clear" w:color="auto" w:fill="FFFFFF"/>
                          </w:tcPr>
                          <w:p w:rsidR="004C3777" w:rsidRPr="00654F10" w:rsidRDefault="004C3777" w:rsidP="001744D0">
                            <w:pPr>
                              <w:pStyle w:val="Normal12PTcouleurgris"/>
                              <w:rPr>
                                <w:b/>
                                <w:color w:val="404040"/>
                                <w:sz w:val="18"/>
                              </w:rPr>
                            </w:pPr>
                            <w:r>
                              <w:rPr>
                                <w:b/>
                                <w:color w:val="404040"/>
                                <w:sz w:val="18"/>
                              </w:rPr>
                              <w:t>Gör så här</w:t>
                            </w:r>
                          </w:p>
                          <w:p w:rsidR="004C3777" w:rsidRPr="00654F10" w:rsidRDefault="004C3777" w:rsidP="007A450E">
                            <w:pPr>
                              <w:pStyle w:val="Hlistbullet"/>
                              <w:spacing w:line="160" w:lineRule="atLeast"/>
                              <w:jc w:val="left"/>
                              <w:rPr>
                                <w:sz w:val="18"/>
                                <w:szCs w:val="18"/>
                              </w:rPr>
                            </w:pPr>
                            <w:r>
                              <w:rPr>
                                <w:sz w:val="18"/>
                                <w:szCs w:val="18"/>
                              </w:rPr>
                              <w:t>Granska det gemensamma uppföljnings- och utvärderingssystemets bedömningskriterier och indikatorer för att säkerställa att de är tillräckliga för att besvara de gemensamma utvärderingsfrågorna.</w:t>
                            </w:r>
                          </w:p>
                          <w:p w:rsidR="004C3777" w:rsidRPr="00654F10" w:rsidRDefault="004C3777" w:rsidP="007A450E">
                            <w:pPr>
                              <w:pStyle w:val="Hlistbullet"/>
                              <w:spacing w:line="160" w:lineRule="atLeast"/>
                              <w:jc w:val="left"/>
                              <w:rPr>
                                <w:sz w:val="18"/>
                                <w:szCs w:val="18"/>
                              </w:rPr>
                            </w:pPr>
                            <w:r>
                              <w:rPr>
                                <w:sz w:val="18"/>
                                <w:szCs w:val="18"/>
                              </w:rPr>
                              <w:t>Utarbeta kompletterande bedömningskriterier och indikatorer om de gemensamma inte är tillräckliga för att samla in uppgifter för att besvara de gemensamma utvärderingsfrågorna.</w:t>
                            </w:r>
                          </w:p>
                        </w:tc>
                        <w:tc>
                          <w:tcPr>
                            <w:tcW w:w="2960" w:type="dxa"/>
                            <w:shd w:val="clear" w:color="auto" w:fill="auto"/>
                          </w:tcPr>
                          <w:p w:rsidR="004C3777" w:rsidRPr="00654F10" w:rsidRDefault="004C3777" w:rsidP="001744D0">
                            <w:pPr>
                              <w:pStyle w:val="Normal12PTcouleurgris"/>
                              <w:rPr>
                                <w:b/>
                                <w:color w:val="404040"/>
                                <w:sz w:val="18"/>
                              </w:rPr>
                            </w:pPr>
                            <w:r>
                              <w:rPr>
                                <w:b/>
                                <w:color w:val="404040"/>
                                <w:sz w:val="18"/>
                              </w:rPr>
                              <w:t>Gör inte så här</w:t>
                            </w:r>
                          </w:p>
                          <w:p w:rsidR="004C3777" w:rsidRPr="00654F10" w:rsidRDefault="004C3777" w:rsidP="007A450E">
                            <w:pPr>
                              <w:pStyle w:val="Hlistbullet"/>
                              <w:spacing w:line="160" w:lineRule="atLeast"/>
                              <w:jc w:val="left"/>
                              <w:rPr>
                                <w:sz w:val="18"/>
                                <w:szCs w:val="18"/>
                              </w:rPr>
                            </w:pPr>
                            <w:r>
                              <w:rPr>
                                <w:sz w:val="18"/>
                                <w:szCs w:val="18"/>
                              </w:rPr>
                              <w:t>Undvik att endast använda utfallsindikatorer för att besvara de gemensamma utvärderingsfrågorna (som inte kan visa fullt ut om politiken har uppnått sitt syfte).</w:t>
                            </w:r>
                          </w:p>
                          <w:p w:rsidR="004C3777" w:rsidRPr="00654F10" w:rsidRDefault="004C3777" w:rsidP="001744D0">
                            <w:pPr>
                              <w:pStyle w:val="Normal12PTcouleurgris"/>
                              <w:rPr>
                                <w:color w:val="1A1A1A"/>
                                <w:sz w:val="18"/>
                              </w:rPr>
                            </w:pPr>
                          </w:p>
                        </w:tc>
                      </w:tr>
                    </w:tbl>
                    <w:p w:rsidR="004C3777" w:rsidRPr="00275EE5" w:rsidRDefault="004C3777" w:rsidP="007A450E">
                      <w:pPr>
                        <w:pStyle w:val="Normal12PTcouleurgris"/>
                      </w:pPr>
                    </w:p>
                  </w:txbxContent>
                </v:textbox>
                <w10:wrap type="square"/>
              </v:shape>
            </w:pict>
          </mc:Fallback>
        </mc:AlternateContent>
      </w:r>
    </w:p>
    <w:p w:rsidR="00A92E91" w:rsidRPr="00A92E91" w:rsidRDefault="00A45935" w:rsidP="00B421B9">
      <w:pPr>
        <w:pStyle w:val="HHeading2"/>
        <w:numPr>
          <w:ilvl w:val="1"/>
          <w:numId w:val="119"/>
        </w:numPr>
        <w:ind w:left="567" w:hanging="567"/>
        <w:rPr>
          <w:noProof/>
          <w:snapToGrid w:val="0"/>
        </w:rPr>
      </w:pPr>
      <w:bookmarkStart w:id="100" w:name="Answering"/>
      <w:bookmarkStart w:id="101" w:name="_Toc493151904"/>
      <w:bookmarkStart w:id="102" w:name="_Toc501382130"/>
      <w:bookmarkStart w:id="103" w:name="_Toc508290307"/>
      <w:bookmarkEnd w:id="11"/>
      <w:bookmarkEnd w:id="100"/>
      <w:r>
        <w:t>Besvarande av relevanta gemensamma utvärderingsfrågor (obligatoriskt)</w:t>
      </w:r>
      <w:bookmarkEnd w:id="101"/>
      <w:bookmarkEnd w:id="102"/>
      <w:bookmarkEnd w:id="103"/>
    </w:p>
    <w:p w:rsidR="007A450E" w:rsidRDefault="007A450E" w:rsidP="00725801">
      <w:pPr>
        <w:spacing w:after="120" w:line="280" w:lineRule="atLeast"/>
        <w:mirrorIndents/>
        <w:rPr>
          <w:rFonts w:eastAsia="Times New Roman" w:cs="Times New Roman"/>
          <w:szCs w:val="20"/>
          <w:shd w:val="clear" w:color="auto" w:fill="FFFFFF"/>
        </w:rPr>
      </w:pPr>
      <w:r>
        <w:rPr>
          <w:szCs w:val="20"/>
          <w:shd w:val="clear" w:color="auto" w:fill="FFFFFF"/>
        </w:rPr>
        <w:t>Det är obligatoriskt att besvara de gemensamma utvärderingsfrågorna, och detta kapitel innehåller icke-bindande riktlinjer för hur de innovationsrelaterade gemensamma utvärderingsfrågorna nr 1, 2, 21, 23 och 30 ska besvaras. Dessa frågor måste besvaras i den detaljerade årliga genomföranderapport som ska lämnas in 2019 och i efterhandsutvärderingen.</w:t>
      </w:r>
    </w:p>
    <w:p w:rsidR="00A45935" w:rsidRPr="00E05D08" w:rsidRDefault="00840345" w:rsidP="00582F60">
      <w:pPr>
        <w:spacing w:after="120" w:line="280" w:lineRule="atLeast"/>
        <w:mirrorIndents/>
        <w:rPr>
          <w:rFonts w:eastAsia="Times New Roman" w:cs="Times New Roman"/>
          <w:color w:val="F07E31"/>
          <w:szCs w:val="20"/>
        </w:rPr>
        <w:sectPr w:rsidR="00A45935" w:rsidRPr="00E05D08" w:rsidSect="00055039">
          <w:headerReference w:type="even" r:id="rId35"/>
          <w:footerReference w:type="even" r:id="rId36"/>
          <w:footerReference w:type="default" r:id="rId37"/>
          <w:footerReference w:type="first" r:id="rId38"/>
          <w:endnotePr>
            <w:numFmt w:val="decimal"/>
          </w:endnotePr>
          <w:type w:val="continuous"/>
          <w:pgSz w:w="11906" w:h="16838" w:code="9"/>
          <w:pgMar w:top="1440" w:right="1440" w:bottom="1134" w:left="1440" w:header="567" w:footer="1021" w:gutter="0"/>
          <w:cols w:space="708"/>
          <w:noEndnote/>
          <w:titlePg/>
          <w:docGrid w:linePitch="360"/>
        </w:sectPr>
      </w:pPr>
      <w:r>
        <w:rPr>
          <w:noProof/>
          <w:color w:val="F07E31"/>
          <w:highlight w:val="yellow"/>
          <w:lang w:val="en-GB" w:eastAsia="en-GB"/>
        </w:rPr>
        <mc:AlternateContent>
          <mc:Choice Requires="wps">
            <w:drawing>
              <wp:anchor distT="0" distB="0" distL="114300" distR="114300" simplePos="0" relativeHeight="251644928" behindDoc="0" locked="0" layoutInCell="1" allowOverlap="1" wp14:anchorId="3C40B129" wp14:editId="36D62EA0">
                <wp:simplePos x="0" y="0"/>
                <wp:positionH relativeFrom="page">
                  <wp:posOffset>914400</wp:posOffset>
                </wp:positionH>
                <wp:positionV relativeFrom="paragraph">
                  <wp:posOffset>321700</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rsidR="004C3777" w:rsidRPr="00AC3522" w:rsidRDefault="004C3777" w:rsidP="00E05D08">
                            <w:pPr>
                              <w:pStyle w:val="Normal12PTcouleurgris"/>
                              <w:rPr>
                                <w:shd w:val="clear" w:color="auto" w:fill="FFFFFF"/>
                              </w:rPr>
                            </w:pPr>
                            <w:r>
                              <w:rPr>
                                <w:noProof/>
                                <w:lang w:val="en-GB" w:eastAsia="en-GB"/>
                              </w:rPr>
                              <w:drawing>
                                <wp:inline distT="0" distB="0" distL="0" distR="0" wp14:anchorId="76CC84B8" wp14:editId="1F0C75F7">
                                  <wp:extent cx="664845" cy="487680"/>
                                  <wp:effectExtent l="0" t="0" r="0" b="7620"/>
                                  <wp:docPr id="563"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Varje gemensam utvärderingsfråga presenteras med följande struktur: </w:t>
                            </w:r>
                          </w:p>
                          <w:p w:rsidR="004C3777" w:rsidRPr="00A92E91" w:rsidRDefault="004C3777" w:rsidP="008C0B17">
                            <w:pPr>
                              <w:pStyle w:val="Normal12PTcouleurgris"/>
                              <w:numPr>
                                <w:ilvl w:val="0"/>
                                <w:numId w:val="78"/>
                              </w:numPr>
                              <w:ind w:left="284" w:hanging="284"/>
                              <w:jc w:val="left"/>
                              <w:rPr>
                                <w:b/>
                                <w:shd w:val="clear" w:color="auto" w:fill="FFFFFF"/>
                              </w:rPr>
                            </w:pPr>
                            <w:r>
                              <w:rPr>
                                <w:b/>
                                <w:shd w:val="clear" w:color="auto" w:fill="FFFFFF"/>
                              </w:rPr>
                              <w:t>Bakgrund till den gemensamma utvärderingsfrågan</w:t>
                            </w:r>
                          </w:p>
                          <w:p w:rsidR="004C3777" w:rsidRPr="00A92E91" w:rsidRDefault="004C3777" w:rsidP="008C0B17">
                            <w:pPr>
                              <w:pStyle w:val="Normal12PTcouleurgris"/>
                              <w:numPr>
                                <w:ilvl w:val="0"/>
                                <w:numId w:val="78"/>
                              </w:numPr>
                              <w:ind w:left="284" w:hanging="284"/>
                              <w:jc w:val="left"/>
                              <w:rPr>
                                <w:b/>
                                <w:shd w:val="clear" w:color="auto" w:fill="FFFFFF"/>
                              </w:rPr>
                            </w:pPr>
                            <w:r>
                              <w:rPr>
                                <w:b/>
                                <w:shd w:val="clear" w:color="auto" w:fill="FFFFFF"/>
                              </w:rPr>
                              <w:t xml:space="preserve">Särskilda utmaningar </w:t>
                            </w:r>
                          </w:p>
                          <w:p w:rsidR="004C3777" w:rsidRPr="00A92E91" w:rsidRDefault="004C3777" w:rsidP="008C0B17">
                            <w:pPr>
                              <w:pStyle w:val="Normal12PTcouleurgris"/>
                              <w:numPr>
                                <w:ilvl w:val="0"/>
                                <w:numId w:val="78"/>
                              </w:numPr>
                              <w:ind w:left="284" w:hanging="284"/>
                              <w:jc w:val="left"/>
                              <w:rPr>
                                <w:shd w:val="clear" w:color="auto" w:fill="FFFFFF"/>
                              </w:rPr>
                            </w:pPr>
                            <w:r>
                              <w:rPr>
                                <w:b/>
                                <w:shd w:val="clear" w:color="auto" w:fill="FFFFFF"/>
                              </w:rPr>
                              <w:t>Förslag på metoder för att besvara den gemensamma utvärderingsfrågan</w:t>
                            </w:r>
                            <w:r>
                              <w:rPr>
                                <w:shd w:val="clear" w:color="auto" w:fill="FFFFFF"/>
                              </w:rPr>
                              <w:t xml:space="preserve">: </w:t>
                            </w:r>
                            <w:r>
                              <w:rPr>
                                <w:i/>
                                <w:shd w:val="clear" w:color="auto" w:fill="FFFFFF"/>
                              </w:rPr>
                              <w:t>Detta kapitel innehåller förslag på åtgärder, metoder och tips om hur gemensamma och kompletterande indikatorer kan användas för att</w:t>
                            </w:r>
                            <w:r>
                              <w:rPr>
                                <w:b/>
                                <w:i/>
                                <w:shd w:val="clear" w:color="auto" w:fill="FFFFFF"/>
                              </w:rPr>
                              <w:t xml:space="preserve"> </w:t>
                            </w:r>
                            <w:r>
                              <w:rPr>
                                <w:i/>
                                <w:shd w:val="clear" w:color="auto" w:fill="FFFFFF"/>
                              </w:rPr>
                              <w:t xml:space="preserve">besvara den gemensamma utvärderingsfrågan. </w:t>
                            </w:r>
                          </w:p>
                          <w:p w:rsidR="004C3777" w:rsidRPr="00A92E91" w:rsidRDefault="004C3777" w:rsidP="008C0B17">
                            <w:pPr>
                              <w:pStyle w:val="Hlistabc2"/>
                              <w:numPr>
                                <w:ilvl w:val="0"/>
                                <w:numId w:val="54"/>
                              </w:numPr>
                              <w:spacing w:before="120" w:after="120"/>
                              <w:rPr>
                                <w:sz w:val="18"/>
                                <w:szCs w:val="18"/>
                              </w:rPr>
                            </w:pPr>
                            <w:r>
                              <w:rPr>
                                <w:sz w:val="18"/>
                                <w:szCs w:val="18"/>
                              </w:rPr>
                              <w:t xml:space="preserve">Interventionslogik </w:t>
                            </w:r>
                          </w:p>
                          <w:p w:rsidR="004C3777" w:rsidRPr="00A92E91" w:rsidRDefault="004C3777" w:rsidP="008C0B17">
                            <w:pPr>
                              <w:pStyle w:val="Hlistabc2"/>
                              <w:numPr>
                                <w:ilvl w:val="0"/>
                                <w:numId w:val="54"/>
                              </w:numPr>
                              <w:spacing w:before="120" w:after="120"/>
                              <w:rPr>
                                <w:sz w:val="18"/>
                                <w:szCs w:val="18"/>
                              </w:rPr>
                            </w:pPr>
                            <w:r>
                              <w:rPr>
                                <w:sz w:val="18"/>
                                <w:szCs w:val="18"/>
                              </w:rPr>
                              <w:t xml:space="preserve">Utvärderingsfaktorer </w:t>
                            </w:r>
                          </w:p>
                          <w:p w:rsidR="004C3777" w:rsidRPr="00A92E91" w:rsidRDefault="004C3777" w:rsidP="008C0B17">
                            <w:pPr>
                              <w:pStyle w:val="Hlistabc2"/>
                              <w:numPr>
                                <w:ilvl w:val="0"/>
                                <w:numId w:val="54"/>
                              </w:numPr>
                              <w:spacing w:before="120" w:after="120"/>
                              <w:rPr>
                                <w:sz w:val="18"/>
                                <w:szCs w:val="18"/>
                              </w:rPr>
                            </w:pPr>
                            <w:r>
                              <w:rPr>
                                <w:sz w:val="18"/>
                                <w:szCs w:val="18"/>
                              </w:rPr>
                              <w:t xml:space="preserve">Förslag på metoder för utvärdering </w:t>
                            </w:r>
                          </w:p>
                          <w:p w:rsidR="004C3777" w:rsidRPr="00A92E91" w:rsidRDefault="004C3777" w:rsidP="008C0B17">
                            <w:pPr>
                              <w:pStyle w:val="Hlistabc2"/>
                              <w:numPr>
                                <w:ilvl w:val="0"/>
                                <w:numId w:val="54"/>
                              </w:numPr>
                              <w:spacing w:before="120" w:after="120"/>
                              <w:rPr>
                                <w:sz w:val="18"/>
                                <w:szCs w:val="18"/>
                              </w:rPr>
                            </w:pPr>
                            <w:r>
                              <w:rPr>
                                <w:sz w:val="18"/>
                                <w:szCs w:val="18"/>
                              </w:rPr>
                              <w:t xml:space="preserve">Risker och lösningar </w:t>
                            </w:r>
                          </w:p>
                          <w:p w:rsidR="004C3777" w:rsidRPr="00A92E91" w:rsidRDefault="004C3777" w:rsidP="008C0B17">
                            <w:pPr>
                              <w:pStyle w:val="Hlistabc2"/>
                              <w:numPr>
                                <w:ilvl w:val="0"/>
                                <w:numId w:val="54"/>
                              </w:numPr>
                              <w:spacing w:before="120" w:after="120"/>
                              <w:rPr>
                                <w:sz w:val="18"/>
                                <w:szCs w:val="18"/>
                              </w:rPr>
                            </w:pPr>
                            <w:r>
                              <w:rPr>
                                <w:sz w:val="18"/>
                                <w:szCs w:val="18"/>
                              </w:rPr>
                              <w:t>Slutsatser och rekommendationer</w:t>
                            </w:r>
                          </w:p>
                          <w:p w:rsidR="004C3777" w:rsidRPr="00A92E91" w:rsidRDefault="004C3777" w:rsidP="007372CD">
                            <w:pPr>
                              <w:pStyle w:val="Normal12PTcouleurgris"/>
                              <w:numPr>
                                <w:ilvl w:val="0"/>
                                <w:numId w:val="78"/>
                              </w:numPr>
                              <w:ind w:left="284" w:hanging="284"/>
                              <w:jc w:val="left"/>
                              <w:rPr>
                                <w:b/>
                                <w:shd w:val="clear" w:color="auto" w:fill="FFFFFF"/>
                              </w:rPr>
                            </w:pPr>
                            <w:r>
                              <w:rPr>
                                <w:b/>
                                <w:shd w:val="clear" w:color="auto" w:fill="FFFFFF"/>
                              </w:rPr>
                              <w:t>Annan läsning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B129" id="Rectangle: Diagonal Corners Rounded 19" o:spid="_x0000_s1041" style="position:absolute;left:0;text-align:left;margin-left:1in;margin-top:25.35pt;width:456.35pt;height:259.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rsidR="004C3777" w:rsidRPr="00AC3522" w:rsidRDefault="004C3777" w:rsidP="00E05D08">
                      <w:pPr>
                        <w:pStyle w:val="Normal12PTcouleurgris"/>
                        <w:rPr>
                          <w:shd w:val="clear" w:color="auto" w:fill="FFFFFF"/>
                        </w:rPr>
                      </w:pPr>
                      <w:r>
                        <w:rPr>
                          <w:noProof/>
                          <w:lang w:val="en-GB" w:eastAsia="en-GB"/>
                        </w:rPr>
                        <w:drawing>
                          <wp:inline distT="0" distB="0" distL="0" distR="0" wp14:anchorId="76CC84B8" wp14:editId="1F0C75F7">
                            <wp:extent cx="664845" cy="487680"/>
                            <wp:effectExtent l="0" t="0" r="0" b="7620"/>
                            <wp:docPr id="563"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Varje gemensam utvärderingsfråga presenteras med följande struktur: </w:t>
                      </w:r>
                    </w:p>
                    <w:p w:rsidR="004C3777" w:rsidRPr="00A92E91" w:rsidRDefault="004C3777" w:rsidP="008C0B17">
                      <w:pPr>
                        <w:pStyle w:val="Normal12PTcouleurgris"/>
                        <w:numPr>
                          <w:ilvl w:val="0"/>
                          <w:numId w:val="78"/>
                        </w:numPr>
                        <w:ind w:left="284" w:hanging="284"/>
                        <w:jc w:val="left"/>
                        <w:rPr>
                          <w:b/>
                          <w:shd w:val="clear" w:color="auto" w:fill="FFFFFF"/>
                        </w:rPr>
                      </w:pPr>
                      <w:r>
                        <w:rPr>
                          <w:b/>
                          <w:shd w:val="clear" w:color="auto" w:fill="FFFFFF"/>
                        </w:rPr>
                        <w:t>Bakgrund till den gemensamma utvärderingsfrågan</w:t>
                      </w:r>
                    </w:p>
                    <w:p w:rsidR="004C3777" w:rsidRPr="00A92E91" w:rsidRDefault="004C3777" w:rsidP="008C0B17">
                      <w:pPr>
                        <w:pStyle w:val="Normal12PTcouleurgris"/>
                        <w:numPr>
                          <w:ilvl w:val="0"/>
                          <w:numId w:val="78"/>
                        </w:numPr>
                        <w:ind w:left="284" w:hanging="284"/>
                        <w:jc w:val="left"/>
                        <w:rPr>
                          <w:b/>
                          <w:shd w:val="clear" w:color="auto" w:fill="FFFFFF"/>
                        </w:rPr>
                      </w:pPr>
                      <w:r>
                        <w:rPr>
                          <w:b/>
                          <w:shd w:val="clear" w:color="auto" w:fill="FFFFFF"/>
                        </w:rPr>
                        <w:t xml:space="preserve">Särskilda utmaningar </w:t>
                      </w:r>
                    </w:p>
                    <w:p w:rsidR="004C3777" w:rsidRPr="00A92E91" w:rsidRDefault="004C3777" w:rsidP="008C0B17">
                      <w:pPr>
                        <w:pStyle w:val="Normal12PTcouleurgris"/>
                        <w:numPr>
                          <w:ilvl w:val="0"/>
                          <w:numId w:val="78"/>
                        </w:numPr>
                        <w:ind w:left="284" w:hanging="284"/>
                        <w:jc w:val="left"/>
                        <w:rPr>
                          <w:shd w:val="clear" w:color="auto" w:fill="FFFFFF"/>
                        </w:rPr>
                      </w:pPr>
                      <w:r>
                        <w:rPr>
                          <w:b/>
                          <w:shd w:val="clear" w:color="auto" w:fill="FFFFFF"/>
                        </w:rPr>
                        <w:t>Förslag på metoder för att besvara den gemensamma utvärderingsfrågan</w:t>
                      </w:r>
                      <w:r>
                        <w:rPr>
                          <w:shd w:val="clear" w:color="auto" w:fill="FFFFFF"/>
                        </w:rPr>
                        <w:t xml:space="preserve">: </w:t>
                      </w:r>
                      <w:r>
                        <w:rPr>
                          <w:i/>
                          <w:shd w:val="clear" w:color="auto" w:fill="FFFFFF"/>
                        </w:rPr>
                        <w:t>Detta kapitel innehåller förslag på åtgärder, metoder och tips om hur gemensamma och kompletterande indikatorer kan användas för att</w:t>
                      </w:r>
                      <w:r>
                        <w:rPr>
                          <w:b/>
                          <w:i/>
                          <w:shd w:val="clear" w:color="auto" w:fill="FFFFFF"/>
                        </w:rPr>
                        <w:t xml:space="preserve"> </w:t>
                      </w:r>
                      <w:r>
                        <w:rPr>
                          <w:i/>
                          <w:shd w:val="clear" w:color="auto" w:fill="FFFFFF"/>
                        </w:rPr>
                        <w:t xml:space="preserve">besvara den gemensamma utvärderingsfrågan. </w:t>
                      </w:r>
                    </w:p>
                    <w:p w:rsidR="004C3777" w:rsidRPr="00A92E91" w:rsidRDefault="004C3777" w:rsidP="008C0B17">
                      <w:pPr>
                        <w:pStyle w:val="Hlistabc2"/>
                        <w:numPr>
                          <w:ilvl w:val="0"/>
                          <w:numId w:val="54"/>
                        </w:numPr>
                        <w:spacing w:before="120" w:after="120"/>
                        <w:rPr>
                          <w:sz w:val="18"/>
                          <w:szCs w:val="18"/>
                        </w:rPr>
                      </w:pPr>
                      <w:r>
                        <w:rPr>
                          <w:sz w:val="18"/>
                          <w:szCs w:val="18"/>
                        </w:rPr>
                        <w:t xml:space="preserve">Interventionslogik </w:t>
                      </w:r>
                    </w:p>
                    <w:p w:rsidR="004C3777" w:rsidRPr="00A92E91" w:rsidRDefault="004C3777" w:rsidP="008C0B17">
                      <w:pPr>
                        <w:pStyle w:val="Hlistabc2"/>
                        <w:numPr>
                          <w:ilvl w:val="0"/>
                          <w:numId w:val="54"/>
                        </w:numPr>
                        <w:spacing w:before="120" w:after="120"/>
                        <w:rPr>
                          <w:sz w:val="18"/>
                          <w:szCs w:val="18"/>
                        </w:rPr>
                      </w:pPr>
                      <w:r>
                        <w:rPr>
                          <w:sz w:val="18"/>
                          <w:szCs w:val="18"/>
                        </w:rPr>
                        <w:t xml:space="preserve">Utvärderingsfaktorer </w:t>
                      </w:r>
                    </w:p>
                    <w:p w:rsidR="004C3777" w:rsidRPr="00A92E91" w:rsidRDefault="004C3777" w:rsidP="008C0B17">
                      <w:pPr>
                        <w:pStyle w:val="Hlistabc2"/>
                        <w:numPr>
                          <w:ilvl w:val="0"/>
                          <w:numId w:val="54"/>
                        </w:numPr>
                        <w:spacing w:before="120" w:after="120"/>
                        <w:rPr>
                          <w:sz w:val="18"/>
                          <w:szCs w:val="18"/>
                        </w:rPr>
                      </w:pPr>
                      <w:r>
                        <w:rPr>
                          <w:sz w:val="18"/>
                          <w:szCs w:val="18"/>
                        </w:rPr>
                        <w:t xml:space="preserve">Förslag på metoder för utvärdering </w:t>
                      </w:r>
                    </w:p>
                    <w:p w:rsidR="004C3777" w:rsidRPr="00A92E91" w:rsidRDefault="004C3777" w:rsidP="008C0B17">
                      <w:pPr>
                        <w:pStyle w:val="Hlistabc2"/>
                        <w:numPr>
                          <w:ilvl w:val="0"/>
                          <w:numId w:val="54"/>
                        </w:numPr>
                        <w:spacing w:before="120" w:after="120"/>
                        <w:rPr>
                          <w:sz w:val="18"/>
                          <w:szCs w:val="18"/>
                        </w:rPr>
                      </w:pPr>
                      <w:r>
                        <w:rPr>
                          <w:sz w:val="18"/>
                          <w:szCs w:val="18"/>
                        </w:rPr>
                        <w:t xml:space="preserve">Risker och lösningar </w:t>
                      </w:r>
                    </w:p>
                    <w:p w:rsidR="004C3777" w:rsidRPr="00A92E91" w:rsidRDefault="004C3777" w:rsidP="008C0B17">
                      <w:pPr>
                        <w:pStyle w:val="Hlistabc2"/>
                        <w:numPr>
                          <w:ilvl w:val="0"/>
                          <w:numId w:val="54"/>
                        </w:numPr>
                        <w:spacing w:before="120" w:after="120"/>
                        <w:rPr>
                          <w:sz w:val="18"/>
                          <w:szCs w:val="18"/>
                        </w:rPr>
                      </w:pPr>
                      <w:r>
                        <w:rPr>
                          <w:sz w:val="18"/>
                          <w:szCs w:val="18"/>
                        </w:rPr>
                        <w:t>Slutsatser och rekommendationer</w:t>
                      </w:r>
                    </w:p>
                    <w:p w:rsidR="004C3777" w:rsidRPr="00A92E91" w:rsidRDefault="004C3777" w:rsidP="007372CD">
                      <w:pPr>
                        <w:pStyle w:val="Normal12PTcouleurgris"/>
                        <w:numPr>
                          <w:ilvl w:val="0"/>
                          <w:numId w:val="78"/>
                        </w:numPr>
                        <w:ind w:left="284" w:hanging="284"/>
                        <w:jc w:val="left"/>
                        <w:rPr>
                          <w:b/>
                          <w:shd w:val="clear" w:color="auto" w:fill="FFFFFF"/>
                        </w:rPr>
                      </w:pPr>
                      <w:r>
                        <w:rPr>
                          <w:b/>
                          <w:shd w:val="clear" w:color="auto" w:fill="FFFFFF"/>
                        </w:rPr>
                        <w:t>Annan läsning</w:t>
                      </w:r>
                    </w:p>
                  </w:txbxContent>
                </v:textbox>
                <w10:wrap type="square" anchorx="page"/>
              </v:shape>
            </w:pict>
          </mc:Fallback>
        </mc:AlternateContent>
      </w:r>
      <w:r w:rsidR="00A45935">
        <w:rPr>
          <w:szCs w:val="20"/>
          <w:shd w:val="clear" w:color="auto" w:fill="FFFFFF"/>
        </w:rPr>
        <w:t xml:space="preserve"> </w:t>
      </w:r>
      <w:bookmarkStart w:id="104" w:name="_Toc501382131"/>
      <w:r w:rsidR="00A45935">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5" w:name="_Toc508290308"/>
      <w:r>
        <w:lastRenderedPageBreak/>
        <w:t>Gemensam utvärderingsfråga nr 1: ”I vilken utsträckning har insatserna inom landsbygdsprogrammet bidragit till innovation, samarbete och utveckling av en kunskapsbas i landsbygdsområden?”</w:t>
      </w:r>
      <w:bookmarkEnd w:id="104"/>
      <w:bookmarkEnd w:id="105"/>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Bakgrund till den gemensamma utvärderingsfrågan</w:t>
      </w:r>
    </w:p>
    <w:p w:rsidR="00A45935" w:rsidRPr="00E05D08" w:rsidRDefault="00A45935" w:rsidP="00E05D08">
      <w:pPr>
        <w:spacing w:after="120" w:line="280" w:lineRule="atLeast"/>
        <w:mirrorIndents/>
        <w:rPr>
          <w:rFonts w:eastAsia="Times New Roman" w:cs="Times New Roman"/>
          <w:szCs w:val="20"/>
        </w:rPr>
      </w:pPr>
      <w:r>
        <w:t>Det finns tre åtgärder som i hög grad bidrar till uppnåendet av det mål som kopplas till gemensam utvärderingsfråga nr 1 (dvs. att stödja innovation): åtgärd M1 (artikel 14, kunskapsöverförings- och informationsåtgärder), åtgärd M2 (artikel 15, rådgivningstjänster samt företagslednings- och avbytartjänster inom jordbruket) och åtgärd M16 (artikel 35, samarbete)</w:t>
      </w:r>
      <w:r>
        <w:rPr>
          <w:rFonts w:eastAsia="Times New Roman" w:cs="Times New Roman"/>
          <w:szCs w:val="20"/>
          <w:vertAlign w:val="superscript"/>
          <w:lang w:eastAsia="de-DE"/>
        </w:rPr>
        <w:footnoteReference w:id="48"/>
      </w:r>
      <w:r>
        <w:t>. Utöver dessa kan åtgärd M19 (artiklarna 42 och 35 i förordning (EU) nr 1303/2013) också betraktas som en viktig bidragande faktor för innovationsaspekten i ovanstående mål.</w:t>
      </w:r>
    </w:p>
    <w:p w:rsidR="00A45935" w:rsidRPr="00E05D08" w:rsidRDefault="00A45935" w:rsidP="00E05D08">
      <w:pPr>
        <w:spacing w:after="120" w:line="280" w:lineRule="atLeast"/>
        <w:mirrorIndents/>
        <w:rPr>
          <w:rFonts w:eastAsia="Times New Roman" w:cs="Times New Roman"/>
          <w:szCs w:val="20"/>
        </w:rPr>
      </w:pPr>
      <w:r>
        <w:t xml:space="preserve">Det är viktigt att undersöka vilka aspekter av åtgärderna som stöder innovation. En viss interventionslogik med prioritering 1 kan till exempel visa att åtgärd M1 och åtgärd M16 även bidrar direkt till fokusområde 1B (M16) eller fokusområde 1C (M1) och inte bara till fokusområde 1A. </w:t>
      </w:r>
    </w:p>
    <w:p w:rsidR="00A45935" w:rsidRPr="00E05D08" w:rsidRDefault="00654F10" w:rsidP="00E05D08">
      <w:pPr>
        <w:spacing w:after="120" w:line="280" w:lineRule="atLeast"/>
        <w:mirrorIndents/>
        <w:rPr>
          <w:rFonts w:eastAsia="Times New Roman" w:cs="Times New Roman"/>
          <w:szCs w:val="20"/>
        </w:rPr>
      </w:pPr>
      <w:r>
        <w:t xml:space="preserve">De innovationsrelaterade faktorerna i dessa åtgärder kan delas upp enligt följande: </w:t>
      </w:r>
    </w:p>
    <w:p w:rsidR="00A45935" w:rsidRDefault="00A45935" w:rsidP="00E05D08">
      <w:pPr>
        <w:spacing w:after="120" w:line="280" w:lineRule="atLeast"/>
        <w:mirrorIndents/>
        <w:rPr>
          <w:rFonts w:eastAsia="Times New Roman" w:cs="Times New Roman"/>
          <w:szCs w:val="20"/>
        </w:rPr>
      </w:pPr>
      <w:r>
        <w:rPr>
          <w:b/>
          <w:szCs w:val="20"/>
        </w:rPr>
        <w:t>Åtgärd M1</w:t>
      </w:r>
      <w:r>
        <w:t xml:space="preserve"> (artikel 14) omfattar yrkesutbildning och kompetensutveckling, demonstrationer och informationsåtgärder. Utöver detta kan den även omfatta fältvandringar och gårdsbesök inom jord- och skogsbruket. Även om innovation inte nämns uttryckligen i artikel 14 kan dessa åtgärder spela en viktig roll när det gäller att </w:t>
      </w:r>
      <w:r>
        <w:rPr>
          <w:b/>
          <w:szCs w:val="20"/>
        </w:rPr>
        <w:t>bygga innovation</w:t>
      </w:r>
      <w:r>
        <w:rPr>
          <w:b/>
        </w:rPr>
        <w:t>skapacitet</w:t>
      </w:r>
      <w:r>
        <w:t>.</w:t>
      </w:r>
    </w:p>
    <w:p w:rsidR="00A45935" w:rsidRPr="00E05D08" w:rsidRDefault="00A45935" w:rsidP="00E05D08">
      <w:pPr>
        <w:spacing w:after="120" w:line="280" w:lineRule="atLeast"/>
        <w:mirrorIndents/>
        <w:rPr>
          <w:rFonts w:eastAsia="Times New Roman" w:cs="Times New Roman"/>
          <w:szCs w:val="20"/>
        </w:rPr>
      </w:pPr>
      <w:r>
        <w:rPr>
          <w:b/>
          <w:szCs w:val="20"/>
        </w:rPr>
        <w:t>Åtgärd M2</w:t>
      </w:r>
      <w:r>
        <w:t xml:space="preserve"> (artikel 15) omfattar </w:t>
      </w:r>
      <w:r w:rsidR="00523D76">
        <w:t xml:space="preserve">såväl </w:t>
      </w:r>
      <w:r>
        <w:t>råd till enskilda jordbrukare, unga jordbrukare och andra markförvaltare, som utbildning av rådgivare eller innovationsstödjande tjänsteleverantörer. Detta omfattar flera olika delar, däribland rådgivning om åtgärder inom landsbygdsprogrammet på jordbruksföretagsnivå, bland annat med sikte på innovation</w:t>
      </w:r>
      <w:r>
        <w:rPr>
          <w:rFonts w:eastAsia="Times New Roman" w:cs="Times New Roman"/>
          <w:szCs w:val="20"/>
          <w:vertAlign w:val="superscript"/>
          <w:lang w:eastAsia="de-DE"/>
        </w:rPr>
        <w:footnoteReference w:id="49"/>
      </w:r>
      <w:r>
        <w:t xml:space="preserve">. Bestämmelsen om rådgivningstjänster är ett sätt att </w:t>
      </w:r>
      <w:r>
        <w:rPr>
          <w:b/>
          <w:szCs w:val="20"/>
        </w:rPr>
        <w:t>bygga innovationskapacitet</w:t>
      </w:r>
      <w:r>
        <w:t xml:space="preserve"> (se </w:t>
      </w:r>
      <w:hyperlink w:anchor="Innovation_RD" w:history="1">
        <w:r>
          <w:rPr>
            <w:rStyle w:val="Hyperlink"/>
            <w:sz w:val="20"/>
            <w:szCs w:val="20"/>
          </w:rPr>
          <w:t>kapitel 1.1</w:t>
        </w:r>
      </w:hyperlink>
      <w:r>
        <w:t>) genom att erbjuda möjlighet till kunskapsöverföring. Inom ramen för det europeiska innovationspartnerskapet får rådgivare/innovationsstödjande tjänster en ”tränarroll” i de interaktiva innovationsprocesserna för de gemensamma utvärderingsfrågorna.</w:t>
      </w:r>
    </w:p>
    <w:p w:rsidR="00A45935" w:rsidRDefault="00A45935" w:rsidP="00E05D08">
      <w:pPr>
        <w:spacing w:after="120" w:line="280" w:lineRule="atLeast"/>
        <w:mirrorIndents/>
        <w:rPr>
          <w:rFonts w:eastAsia="Times New Roman" w:cs="Times New Roman"/>
          <w:szCs w:val="20"/>
        </w:rPr>
      </w:pPr>
      <w:r>
        <w:rPr>
          <w:b/>
          <w:szCs w:val="20"/>
        </w:rPr>
        <w:t>Åtgärd M16</w:t>
      </w:r>
      <w:r>
        <w:t xml:space="preserve"> (artikel 35) stöder a) samarbetet mellan ett brett urval av aktörer som bidrar till att uppnå målen i landsbygdsutvecklingspolitiken (jord- och skogsbrukssektorerna, livsmedelskedjan, producentgrupper, kooperativ, branschorganisationer m.fl.), b) skapandet av kluster och nätverk, samt c) inrättandet och driften av operativa grupper i EIP-Agri. Åtgärd M16 omfattar </w:t>
      </w:r>
      <w:r w:rsidR="00523D76">
        <w:t xml:space="preserve">tio </w:t>
      </w:r>
      <w:r>
        <w:t xml:space="preserve">delåtgärder och stöder innovation inom ramen för </w:t>
      </w:r>
      <w:r>
        <w:rPr>
          <w:b/>
          <w:szCs w:val="20"/>
        </w:rPr>
        <w:t>alla tre handlingsvägar</w:t>
      </w:r>
      <w:r>
        <w:t xml:space="preserve"> som beskrivs i kapitel 1.1 (se nedanstående ruta).</w:t>
      </w:r>
    </w:p>
    <w:p w:rsidR="006F1601" w:rsidRDefault="00A45935" w:rsidP="00E05D08">
      <w:pPr>
        <w:spacing w:after="120" w:line="280" w:lineRule="atLeast"/>
        <w:mirrorIndents/>
        <w:rPr>
          <w:rFonts w:eastAsia="Times New Roman" w:cs="Times New Roman"/>
          <w:szCs w:val="20"/>
        </w:rPr>
      </w:pPr>
      <w:r>
        <w:rPr>
          <w:b/>
          <w:szCs w:val="20"/>
        </w:rPr>
        <w:t xml:space="preserve">Åtgärd M19 </w:t>
      </w:r>
      <w:r>
        <w:t>(artikel 42) stöder den lokala landsbygdsutvecklingen genom tillämpningen av Leader-principerna</w:t>
      </w:r>
      <w:r>
        <w:rPr>
          <w:rFonts w:eastAsia="Calibri" w:cs="Times New Roman"/>
          <w:szCs w:val="20"/>
          <w:vertAlign w:val="superscript"/>
          <w:lang w:eastAsia="de-DE"/>
        </w:rPr>
        <w:footnoteReference w:id="50"/>
      </w:r>
      <w:r>
        <w:t xml:space="preserve">. En av dessa principer fokuserar på främjande av innovation genom aktiviteter som utförs av de lokala aktionsgrupperna och stödmottagarna av LLU-strategier. Åtgärd M19 omfattar </w:t>
      </w:r>
      <w:r w:rsidR="00523D76">
        <w:t xml:space="preserve">fem </w:t>
      </w:r>
      <w:r>
        <w:t>delåtgärder som kan stödja innovation genom en, två eller alla tre av de handlingsvägar som beskrivs i kapitel 1.1 (se nedanstående ruta).</w:t>
      </w:r>
    </w:p>
    <w:p w:rsidR="006F1601" w:rsidRDefault="006F1601" w:rsidP="00E05D08">
      <w:pPr>
        <w:spacing w:after="120" w:line="280" w:lineRule="atLeast"/>
        <w:mirrorIndents/>
        <w:rPr>
          <w:rFonts w:eastAsia="Calibri" w:cs="Times New Roman"/>
          <w:szCs w:val="20"/>
          <w:lang w:eastAsia="de-DE"/>
        </w:rPr>
      </w:pPr>
    </w:p>
    <w:p w:rsidR="00A66F3C" w:rsidRDefault="00C06B39" w:rsidP="00A66F3C">
      <w:pPr>
        <w:spacing w:after="120" w:line="280" w:lineRule="atLeast"/>
        <w:mirrorIndents/>
        <w:rPr>
          <w:rFonts w:eastAsia="Calibri" w:cs="Times New Roman"/>
          <w:b/>
          <w:color w:val="57825E"/>
          <w:szCs w:val="20"/>
          <w:shd w:val="clear" w:color="auto" w:fill="FFFFFF"/>
        </w:rPr>
      </w:pPr>
      <w:r>
        <w:rPr>
          <w:rFonts w:eastAsia="Times New Roman" w:cs="Times New Roman"/>
          <w:noProof/>
          <w:szCs w:val="20"/>
          <w:lang w:val="en-GB" w:eastAsia="en-GB"/>
        </w:rPr>
        <w:lastRenderedPageBreak/>
        <mc:AlternateContent>
          <mc:Choice Requires="wps">
            <w:drawing>
              <wp:anchor distT="0" distB="0" distL="114300" distR="114300" simplePos="0" relativeHeight="251667456" behindDoc="1" locked="0" layoutInCell="1" allowOverlap="1" wp14:anchorId="6D948C6B" wp14:editId="6DFCCEEA">
                <wp:simplePos x="0" y="0"/>
                <wp:positionH relativeFrom="column">
                  <wp:posOffset>0</wp:posOffset>
                </wp:positionH>
                <wp:positionV relativeFrom="paragraph">
                  <wp:posOffset>285750</wp:posOffset>
                </wp:positionV>
                <wp:extent cx="5913755" cy="8039100"/>
                <wp:effectExtent l="0" t="0" r="10795" b="19050"/>
                <wp:wrapTight wrapText="bothSides">
                  <wp:wrapPolygon edited="0">
                    <wp:start x="765" y="0"/>
                    <wp:lineTo x="0" y="256"/>
                    <wp:lineTo x="0" y="21600"/>
                    <wp:lineTo x="20874" y="21600"/>
                    <wp:lineTo x="20944" y="21600"/>
                    <wp:lineTo x="21500" y="21293"/>
                    <wp:lineTo x="21570" y="21037"/>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8039100"/>
                        </a:xfrm>
                        <a:prstGeom prst="round2DiagRect">
                          <a:avLst>
                            <a:gd name="adj1" fmla="val 5642"/>
                            <a:gd name="adj2" fmla="val 0"/>
                          </a:avLst>
                        </a:prstGeom>
                        <a:noFill/>
                        <a:ln w="25400" cap="flat" cmpd="sng" algn="ctr">
                          <a:solidFill>
                            <a:srgbClr val="F07E31"/>
                          </a:solidFill>
                          <a:prstDash val="solid"/>
                        </a:ln>
                        <a:effectLst/>
                      </wps:spPr>
                      <wps:txbx>
                        <w:txbxContent>
                          <w:p w:rsidR="004C3777" w:rsidRDefault="004C3777" w:rsidP="00C3334D">
                            <w:pPr>
                              <w:pStyle w:val="HStandard"/>
                              <w:ind w:left="284" w:right="23"/>
                            </w:pPr>
                            <w:r>
                              <w:rPr>
                                <w:noProof/>
                                <w:lang w:val="en-GB" w:eastAsia="en-GB"/>
                              </w:rPr>
                              <w:drawing>
                                <wp:inline distT="0" distB="0" distL="0" distR="0" wp14:anchorId="7A30303E" wp14:editId="25B7AA9E">
                                  <wp:extent cx="353060" cy="359410"/>
                                  <wp:effectExtent l="0" t="0" r="8890" b="2540"/>
                                  <wp:docPr id="7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4C3777" w:rsidRPr="00A66F3C" w:rsidRDefault="004C3777" w:rsidP="00A66F3C">
                            <w:pPr>
                              <w:pStyle w:val="HStandard"/>
                              <w:ind w:right="23"/>
                              <w:rPr>
                                <w:b/>
                                <w:color w:val="F07E31"/>
                                <w:sz w:val="18"/>
                                <w:szCs w:val="18"/>
                              </w:rPr>
                            </w:pPr>
                            <w:r>
                              <w:rPr>
                                <w:b/>
                                <w:color w:val="F07E31"/>
                                <w:sz w:val="18"/>
                                <w:szCs w:val="18"/>
                              </w:rPr>
                              <w:t>Exempel på hur åtgärd M1 kan bygga innovationskapacitet:</w:t>
                            </w:r>
                          </w:p>
                          <w:p w:rsidR="004C3777" w:rsidRPr="00A66F3C" w:rsidRDefault="004C3777" w:rsidP="00A66F3C">
                            <w:pPr>
                              <w:pStyle w:val="Hlistbullet"/>
                              <w:rPr>
                                <w:sz w:val="18"/>
                                <w:szCs w:val="18"/>
                              </w:rPr>
                            </w:pPr>
                            <w:r>
                              <w:rPr>
                                <w:sz w:val="18"/>
                                <w:szCs w:val="18"/>
                              </w:rPr>
                              <w:t>Nya färdigheter för jordbrukare/små och medelstora företag att tillämpa innovativa processer/tekniker eller ny organisationsförmåga</w:t>
                            </w:r>
                          </w:p>
                          <w:p w:rsidR="004C3777" w:rsidRPr="00A66F3C" w:rsidRDefault="004C3777" w:rsidP="00A66F3C">
                            <w:pPr>
                              <w:pStyle w:val="Hlistbullet"/>
                              <w:rPr>
                                <w:sz w:val="18"/>
                                <w:szCs w:val="18"/>
                              </w:rPr>
                            </w:pPr>
                            <w:r>
                              <w:rPr>
                                <w:sz w:val="18"/>
                                <w:szCs w:val="18"/>
                              </w:rPr>
                              <w:t>Utbyten och besök som underlättar överföringen av kunskap från en gård/region till en annan.</w:t>
                            </w:r>
                          </w:p>
                          <w:p w:rsidR="004C3777" w:rsidRPr="00A66F3C" w:rsidRDefault="004C3777" w:rsidP="00C3334D">
                            <w:pPr>
                              <w:pStyle w:val="HStandard"/>
                              <w:ind w:right="54"/>
                              <w:rPr>
                                <w:b/>
                                <w:color w:val="F07E31"/>
                                <w:sz w:val="18"/>
                                <w:szCs w:val="18"/>
                              </w:rPr>
                            </w:pPr>
                            <w:r>
                              <w:rPr>
                                <w:b/>
                                <w:color w:val="F07E31"/>
                                <w:sz w:val="18"/>
                                <w:szCs w:val="18"/>
                              </w:rPr>
                              <w:t>Exempel på hur åtgärd M16 stöder innovation:</w:t>
                            </w:r>
                          </w:p>
                          <w:p w:rsidR="004C3777" w:rsidRPr="00A66F3C" w:rsidRDefault="004C3777" w:rsidP="00A66F3C">
                            <w:pPr>
                              <w:pStyle w:val="Hlistbullet"/>
                              <w:rPr>
                                <w:sz w:val="18"/>
                                <w:szCs w:val="18"/>
                              </w:rPr>
                            </w:pPr>
                            <w:r>
                              <w:rPr>
                                <w:sz w:val="18"/>
                                <w:szCs w:val="18"/>
                              </w:rPr>
                              <w:t>Framtagningen av nya produkter, metoder och tekniker inom jordbruks-, livsmedels- och skogsbrukssektorerna (delåtgärd M16.2</w:t>
                            </w:r>
                            <w:r>
                              <w:rPr>
                                <w:sz w:val="18"/>
                                <w:szCs w:val="18"/>
                                <w:vertAlign w:val="superscript"/>
                              </w:rPr>
                              <w:t>51</w:t>
                            </w:r>
                            <w:r>
                              <w:rPr>
                                <w:sz w:val="18"/>
                                <w:szCs w:val="18"/>
                              </w:rPr>
                              <w:t xml:space="preserve">) hör ihop med identifieringen och främjandet av innovation på ett samarbetsinriktat sätt. </w:t>
                            </w:r>
                          </w:p>
                          <w:p w:rsidR="004C3777" w:rsidRPr="00A66F3C" w:rsidRDefault="004C3777" w:rsidP="00A66F3C">
                            <w:pPr>
                              <w:pStyle w:val="Hlistbullet"/>
                              <w:rPr>
                                <w:sz w:val="18"/>
                                <w:szCs w:val="18"/>
                              </w:rPr>
                            </w:pPr>
                            <w:r>
                              <w:rPr>
                                <w:sz w:val="18"/>
                                <w:szCs w:val="18"/>
                              </w:rPr>
                              <w:t xml:space="preserve">Alla de andra delåtgärderna har potential att </w:t>
                            </w:r>
                            <w:r>
                              <w:rPr>
                                <w:b/>
                                <w:sz w:val="18"/>
                                <w:szCs w:val="18"/>
                              </w:rPr>
                              <w:t>bygga innovationskapacitet</w:t>
                            </w:r>
                            <w:r>
                              <w:rPr>
                                <w:sz w:val="18"/>
                                <w:szCs w:val="18"/>
                              </w:rPr>
                              <w:t xml:space="preserve"> under förutsättning att samarbetsprocessen innebär en kollektiv identifiering av nya möjligheter, framtagning av nya idéer, experimentering med ny teknik eller identifiering av nya tillvägagångssätt.</w:t>
                            </w:r>
                          </w:p>
                          <w:p w:rsidR="004C3777" w:rsidRPr="00A66F3C" w:rsidRDefault="004C3777" w:rsidP="00A66F3C">
                            <w:pPr>
                              <w:pStyle w:val="Hlistbullet"/>
                              <w:rPr>
                                <w:sz w:val="18"/>
                                <w:szCs w:val="18"/>
                              </w:rPr>
                            </w:pPr>
                            <w:r>
                              <w:rPr>
                                <w:sz w:val="18"/>
                                <w:szCs w:val="18"/>
                              </w:rPr>
                              <w:t xml:space="preserve">Det stöd som erbjuds till samarbetsprojekten av rådgivare/innovationsstödjande tjänster, inbegripet det stöd som erbjuds av nationella landsbygdsnätverk i detta syfte, kan också bidra till </w:t>
                            </w:r>
                            <w:r>
                              <w:rPr>
                                <w:b/>
                                <w:sz w:val="18"/>
                                <w:szCs w:val="18"/>
                              </w:rPr>
                              <w:t>byggandet av innovationskapacitet</w:t>
                            </w:r>
                            <w:r>
                              <w:rPr>
                                <w:sz w:val="18"/>
                                <w:szCs w:val="18"/>
                              </w:rPr>
                              <w:t>.</w:t>
                            </w:r>
                          </w:p>
                          <w:p w:rsidR="004C3777" w:rsidRPr="00A66F3C" w:rsidRDefault="004C3777" w:rsidP="00A66F3C">
                            <w:pPr>
                              <w:pStyle w:val="Hlistbullet"/>
                              <w:rPr>
                                <w:sz w:val="18"/>
                                <w:szCs w:val="18"/>
                              </w:rPr>
                            </w:pPr>
                            <w:r>
                              <w:rPr>
                                <w:sz w:val="18"/>
                                <w:szCs w:val="18"/>
                              </w:rPr>
                              <w:t xml:space="preserve">Innovationsaktörernas medverkan i samarbetsprojekten (t.ex. innovationsstödjande tjänster, innovationsavdelningar, forsknings- och utvecklingscenter eller center för innovation och teknologi) kan bidra till </w:t>
                            </w:r>
                            <w:r>
                              <w:rPr>
                                <w:b/>
                                <w:sz w:val="18"/>
                                <w:szCs w:val="18"/>
                              </w:rPr>
                              <w:t>att skapa en gynnsam miljö för innovation</w:t>
                            </w:r>
                            <w:r>
                              <w:rPr>
                                <w:sz w:val="18"/>
                                <w:szCs w:val="18"/>
                              </w:rPr>
                              <w:t>. Ett kollektivt forskningsprojekt kan till exempel leda till ett utfall som kan påverka lagstiftningen (t.ex. miljölagstiftningen).</w:t>
                            </w:r>
                          </w:p>
                          <w:p w:rsidR="004C3777" w:rsidRPr="00A66F3C" w:rsidRDefault="004C3777" w:rsidP="00A66F3C">
                            <w:pPr>
                              <w:pStyle w:val="Hlistbullet"/>
                              <w:rPr>
                                <w:sz w:val="18"/>
                                <w:szCs w:val="18"/>
                              </w:rPr>
                            </w:pPr>
                            <w:r>
                              <w:rPr>
                                <w:sz w:val="18"/>
                                <w:szCs w:val="18"/>
                              </w:rPr>
                              <w:t xml:space="preserve">Inrättandet och driften av operativa grupper kan leda till en ännu bredare helhetssyn på stödet för innovation genom att kombinera </w:t>
                            </w:r>
                            <w:r>
                              <w:rPr>
                                <w:b/>
                                <w:sz w:val="18"/>
                                <w:szCs w:val="18"/>
                              </w:rPr>
                              <w:t>alla de tre handlingsvägarna</w:t>
                            </w:r>
                            <w:r>
                              <w:rPr>
                                <w:sz w:val="18"/>
                                <w:szCs w:val="18"/>
                              </w:rPr>
                              <w:t>: identifiering av nya idéer (de operativa gruppernas startpunkt), byggande av innovationskapacitet (stödet från rådgivare/innovationsstödjande tjänster) och skapande av en gynnsam miljö för innovation (resultaten av de operativa gruppernas projekt).</w:t>
                            </w:r>
                          </w:p>
                          <w:p w:rsidR="004C3777" w:rsidRPr="00A66F3C" w:rsidRDefault="004C3777" w:rsidP="00C3334D">
                            <w:pPr>
                              <w:pStyle w:val="Normal12PTcouleurgris"/>
                              <w:ind w:left="284"/>
                              <w:rPr>
                                <w:color w:val="F07E31"/>
                                <w:sz w:val="18"/>
                              </w:rPr>
                            </w:pPr>
                            <w:r>
                              <w:rPr>
                                <w:b/>
                                <w:color w:val="F07E31"/>
                                <w:sz w:val="18"/>
                              </w:rPr>
                              <w:t>Exempel på hur åtgärd M19 stöder innovation:</w:t>
                            </w:r>
                          </w:p>
                          <w:p w:rsidR="004C3777" w:rsidRPr="00A66F3C" w:rsidRDefault="004C3777" w:rsidP="00A66F3C">
                            <w:pPr>
                              <w:pStyle w:val="Hlistbullet"/>
                              <w:rPr>
                                <w:sz w:val="18"/>
                                <w:szCs w:val="18"/>
                              </w:rPr>
                            </w:pPr>
                            <w:r>
                              <w:rPr>
                                <w:sz w:val="18"/>
                                <w:szCs w:val="18"/>
                              </w:rPr>
                              <w:t xml:space="preserve">Tillämpning av nya sätt att utforma strategier, däribland olika unika sätt att säkerställa att lokala aktörer deltar i de strategiska besluten (t.ex. olika ledningsinsatser i samband med insamling av information, olika workshoppar och diskussionsplattformar etc.) och på så sätt bidrar </w:t>
                            </w:r>
                            <w:r>
                              <w:rPr>
                                <w:b/>
                                <w:sz w:val="18"/>
                                <w:szCs w:val="18"/>
                              </w:rPr>
                              <w:t>till en gynnsam miljö för innovation (handlingsväg 3)</w:t>
                            </w:r>
                            <w:r>
                              <w:rPr>
                                <w:sz w:val="18"/>
                                <w:szCs w:val="18"/>
                              </w:rPr>
                              <w:t>.</w:t>
                            </w:r>
                          </w:p>
                          <w:p w:rsidR="004C3777" w:rsidRPr="00A66F3C" w:rsidRDefault="004C3777" w:rsidP="00A66F3C">
                            <w:pPr>
                              <w:pStyle w:val="Hlistbullet"/>
                              <w:rPr>
                                <w:sz w:val="18"/>
                                <w:szCs w:val="18"/>
                              </w:rPr>
                            </w:pPr>
                            <w:r>
                              <w:rPr>
                                <w:sz w:val="18"/>
                                <w:szCs w:val="18"/>
                              </w:rPr>
                              <w:t xml:space="preserve">Genomförande av innovativa ledningsinsatser som går längre än utformning och genomförande av strategier och säkerställer att den breda allmänheten är involverad i olika innovativa gruppinsatser (t.ex. inriktade på att bygga upp en stark territoriell identitet genom att exempelvis ta hänsyn till natur- och kulturarvet) som stöder </w:t>
                            </w:r>
                            <w:r>
                              <w:rPr>
                                <w:b/>
                                <w:sz w:val="18"/>
                                <w:szCs w:val="18"/>
                              </w:rPr>
                              <w:t>den gynnsamma miljön och främjar potentiella innovativa idéer (handlingsväg 3 och 1).</w:t>
                            </w:r>
                          </w:p>
                          <w:p w:rsidR="004C3777" w:rsidRPr="00A66F3C" w:rsidRDefault="004C3777" w:rsidP="00A66F3C">
                            <w:pPr>
                              <w:pStyle w:val="Hlistbullet"/>
                              <w:rPr>
                                <w:sz w:val="18"/>
                                <w:szCs w:val="18"/>
                              </w:rPr>
                            </w:pPr>
                            <w:r>
                              <w:rPr>
                                <w:sz w:val="18"/>
                                <w:szCs w:val="18"/>
                              </w:rPr>
                              <w:t xml:space="preserve">Inledande av innovativa samarbetsprojekt som gör det möjligt att överföra ny kunskap, nya erfarenheter och ny teknik till den lokala aktionsgruppens område och som ger utrymme </w:t>
                            </w:r>
                            <w:r>
                              <w:rPr>
                                <w:b/>
                                <w:sz w:val="18"/>
                                <w:szCs w:val="18"/>
                              </w:rPr>
                              <w:t>för främjande av potentiella innovativa idéer (handlingsväg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8C6B" id="Rectangle: Diagonal Corners Rounded 11" o:spid="_x0000_s1042" style="position:absolute;left:0;text-align:left;margin-left:0;margin-top:22.5pt;width:465.65pt;height:6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803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" adj="-11796480,,5400" path="m333654,l5913755,r,l5913755,7705446v,184272,-149382,333654,-333654,333654l,8039100r,l,333654c,149382,149382,,333654,xe" filled="f" strokecolor="#f07e31" strokeweight="2pt">
                <v:stroke joinstyle="miter"/>
                <v:formulas/>
                <v:path arrowok="t" o:connecttype="custom" o:connectlocs="333654,0;5913755,0;5913755,0;5913755,7705446;5580101,8039100;0,8039100;0,8039100;0,333654;333654,0" o:connectangles="0,0,0,0,0,0,0,0,0" textboxrect="0,0,5913755,8039100"/>
                <v:textbox>
                  <w:txbxContent>
                    <w:p w:rsidR="004C3777" w:rsidRDefault="004C3777" w:rsidP="00C3334D">
                      <w:pPr>
                        <w:pStyle w:val="HStandard"/>
                        <w:ind w:left="284" w:right="23"/>
                      </w:pPr>
                      <w:r>
                        <w:rPr>
                          <w:noProof/>
                          <w:lang w:val="en-GB" w:eastAsia="en-GB"/>
                        </w:rPr>
                        <w:drawing>
                          <wp:inline distT="0" distB="0" distL="0" distR="0" wp14:anchorId="7A30303E" wp14:editId="25B7AA9E">
                            <wp:extent cx="353060" cy="359410"/>
                            <wp:effectExtent l="0" t="0" r="8890" b="2540"/>
                            <wp:docPr id="7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4C3777" w:rsidRPr="00A66F3C" w:rsidRDefault="004C3777" w:rsidP="00A66F3C">
                      <w:pPr>
                        <w:pStyle w:val="HStandard"/>
                        <w:ind w:right="23"/>
                        <w:rPr>
                          <w:b/>
                          <w:color w:val="F07E31"/>
                          <w:sz w:val="18"/>
                          <w:szCs w:val="18"/>
                        </w:rPr>
                      </w:pPr>
                      <w:r>
                        <w:rPr>
                          <w:b/>
                          <w:color w:val="F07E31"/>
                          <w:sz w:val="18"/>
                          <w:szCs w:val="18"/>
                        </w:rPr>
                        <w:t>Exempel på hur åtgärd M1 kan bygga innovationskapacitet:</w:t>
                      </w:r>
                    </w:p>
                    <w:p w:rsidR="004C3777" w:rsidRPr="00A66F3C" w:rsidRDefault="004C3777" w:rsidP="00A66F3C">
                      <w:pPr>
                        <w:pStyle w:val="Hlistbullet"/>
                        <w:rPr>
                          <w:sz w:val="18"/>
                          <w:szCs w:val="18"/>
                        </w:rPr>
                      </w:pPr>
                      <w:r>
                        <w:rPr>
                          <w:sz w:val="18"/>
                          <w:szCs w:val="18"/>
                        </w:rPr>
                        <w:t>Nya färdigheter för jordbrukare/små och medelstora företag att tillämpa innovativa processer/tekniker eller ny organisationsförmåga</w:t>
                      </w:r>
                    </w:p>
                    <w:p w:rsidR="004C3777" w:rsidRPr="00A66F3C" w:rsidRDefault="004C3777" w:rsidP="00A66F3C">
                      <w:pPr>
                        <w:pStyle w:val="Hlistbullet"/>
                        <w:rPr>
                          <w:sz w:val="18"/>
                          <w:szCs w:val="18"/>
                        </w:rPr>
                      </w:pPr>
                      <w:r>
                        <w:rPr>
                          <w:sz w:val="18"/>
                          <w:szCs w:val="18"/>
                        </w:rPr>
                        <w:t>Utbyten och besök som underlättar överföringen av kunskap från en gård/region till en annan.</w:t>
                      </w:r>
                    </w:p>
                    <w:p w:rsidR="004C3777" w:rsidRPr="00A66F3C" w:rsidRDefault="004C3777" w:rsidP="00C3334D">
                      <w:pPr>
                        <w:pStyle w:val="HStandard"/>
                        <w:ind w:right="54"/>
                        <w:rPr>
                          <w:b/>
                          <w:color w:val="F07E31"/>
                          <w:sz w:val="18"/>
                          <w:szCs w:val="18"/>
                        </w:rPr>
                      </w:pPr>
                      <w:r>
                        <w:rPr>
                          <w:b/>
                          <w:color w:val="F07E31"/>
                          <w:sz w:val="18"/>
                          <w:szCs w:val="18"/>
                        </w:rPr>
                        <w:t>Exempel på hur åtgärd M16 stöder innovation:</w:t>
                      </w:r>
                    </w:p>
                    <w:p w:rsidR="004C3777" w:rsidRPr="00A66F3C" w:rsidRDefault="004C3777" w:rsidP="00A66F3C">
                      <w:pPr>
                        <w:pStyle w:val="Hlistbullet"/>
                        <w:rPr>
                          <w:sz w:val="18"/>
                          <w:szCs w:val="18"/>
                        </w:rPr>
                      </w:pPr>
                      <w:r>
                        <w:rPr>
                          <w:sz w:val="18"/>
                          <w:szCs w:val="18"/>
                        </w:rPr>
                        <w:t>Framtagningen av nya produkter, metoder och tekniker inom jordbruks-, livsmedels- och skogsbrukssektorerna (delåtgärd M16.2</w:t>
                      </w:r>
                      <w:r>
                        <w:rPr>
                          <w:sz w:val="18"/>
                          <w:szCs w:val="18"/>
                          <w:vertAlign w:val="superscript"/>
                        </w:rPr>
                        <w:t>51</w:t>
                      </w:r>
                      <w:r>
                        <w:rPr>
                          <w:sz w:val="18"/>
                          <w:szCs w:val="18"/>
                        </w:rPr>
                        <w:t xml:space="preserve">) hör ihop med identifieringen och främjandet av innovation på ett samarbetsinriktat sätt. </w:t>
                      </w:r>
                    </w:p>
                    <w:p w:rsidR="004C3777" w:rsidRPr="00A66F3C" w:rsidRDefault="004C3777" w:rsidP="00A66F3C">
                      <w:pPr>
                        <w:pStyle w:val="Hlistbullet"/>
                        <w:rPr>
                          <w:sz w:val="18"/>
                          <w:szCs w:val="18"/>
                        </w:rPr>
                      </w:pPr>
                      <w:r>
                        <w:rPr>
                          <w:sz w:val="18"/>
                          <w:szCs w:val="18"/>
                        </w:rPr>
                        <w:t xml:space="preserve">Alla de andra delåtgärderna har potential att </w:t>
                      </w:r>
                      <w:r>
                        <w:rPr>
                          <w:b/>
                          <w:sz w:val="18"/>
                          <w:szCs w:val="18"/>
                        </w:rPr>
                        <w:t>bygga innovationskapacitet</w:t>
                      </w:r>
                      <w:r>
                        <w:rPr>
                          <w:sz w:val="18"/>
                          <w:szCs w:val="18"/>
                        </w:rPr>
                        <w:t xml:space="preserve"> under förutsättning att samarbetsprocessen innebär en kollektiv identifiering av nya möjligheter, framtagning av nya idéer, experimentering med ny teknik eller identifiering av nya tillvägagångssätt.</w:t>
                      </w:r>
                    </w:p>
                    <w:p w:rsidR="004C3777" w:rsidRPr="00A66F3C" w:rsidRDefault="004C3777" w:rsidP="00A66F3C">
                      <w:pPr>
                        <w:pStyle w:val="Hlistbullet"/>
                        <w:rPr>
                          <w:sz w:val="18"/>
                          <w:szCs w:val="18"/>
                        </w:rPr>
                      </w:pPr>
                      <w:r>
                        <w:rPr>
                          <w:sz w:val="18"/>
                          <w:szCs w:val="18"/>
                        </w:rPr>
                        <w:t xml:space="preserve">Det stöd som erbjuds till samarbetsprojekten av rådgivare/innovationsstödjande tjänster, inbegripet det stöd som erbjuds av nationella landsbygdsnätverk i detta syfte, kan också bidra till </w:t>
                      </w:r>
                      <w:r>
                        <w:rPr>
                          <w:b/>
                          <w:sz w:val="18"/>
                          <w:szCs w:val="18"/>
                        </w:rPr>
                        <w:t>byggandet av innovationskapacitet</w:t>
                      </w:r>
                      <w:r>
                        <w:rPr>
                          <w:sz w:val="18"/>
                          <w:szCs w:val="18"/>
                        </w:rPr>
                        <w:t>.</w:t>
                      </w:r>
                    </w:p>
                    <w:p w:rsidR="004C3777" w:rsidRPr="00A66F3C" w:rsidRDefault="004C3777" w:rsidP="00A66F3C">
                      <w:pPr>
                        <w:pStyle w:val="Hlistbullet"/>
                        <w:rPr>
                          <w:sz w:val="18"/>
                          <w:szCs w:val="18"/>
                        </w:rPr>
                      </w:pPr>
                      <w:r>
                        <w:rPr>
                          <w:sz w:val="18"/>
                          <w:szCs w:val="18"/>
                        </w:rPr>
                        <w:t xml:space="preserve">Innovationsaktörernas medverkan i samarbetsprojekten (t.ex. innovationsstödjande tjänster, innovationsavdelningar, forsknings- och utvecklingscenter eller center för innovation och teknologi) kan bidra till </w:t>
                      </w:r>
                      <w:r>
                        <w:rPr>
                          <w:b/>
                          <w:sz w:val="18"/>
                          <w:szCs w:val="18"/>
                        </w:rPr>
                        <w:t>att skapa en gynnsam miljö för innovation</w:t>
                      </w:r>
                      <w:r>
                        <w:rPr>
                          <w:sz w:val="18"/>
                          <w:szCs w:val="18"/>
                        </w:rPr>
                        <w:t>. Ett kollektivt forskningsprojekt kan till exempel leda till ett utfall som kan påverka lagstiftningen (t.ex. miljölagstiftningen).</w:t>
                      </w:r>
                    </w:p>
                    <w:p w:rsidR="004C3777" w:rsidRPr="00A66F3C" w:rsidRDefault="004C3777" w:rsidP="00A66F3C">
                      <w:pPr>
                        <w:pStyle w:val="Hlistbullet"/>
                        <w:rPr>
                          <w:sz w:val="18"/>
                          <w:szCs w:val="18"/>
                        </w:rPr>
                      </w:pPr>
                      <w:r>
                        <w:rPr>
                          <w:sz w:val="18"/>
                          <w:szCs w:val="18"/>
                        </w:rPr>
                        <w:t xml:space="preserve">Inrättandet och driften av operativa grupper kan leda till en ännu bredare helhetssyn på stödet för innovation genom att kombinera </w:t>
                      </w:r>
                      <w:r>
                        <w:rPr>
                          <w:b/>
                          <w:sz w:val="18"/>
                          <w:szCs w:val="18"/>
                        </w:rPr>
                        <w:t>alla de tre handlingsvägarna</w:t>
                      </w:r>
                      <w:r>
                        <w:rPr>
                          <w:sz w:val="18"/>
                          <w:szCs w:val="18"/>
                        </w:rPr>
                        <w:t>: identifiering av nya idéer (de operativa gruppernas startpunkt), byggande av innovationskapacitet (stödet från rådgivare/innovationsstödjande tjänster) och skapande av en gynnsam miljö för innovation (resultaten av de operativa gruppernas projekt).</w:t>
                      </w:r>
                    </w:p>
                    <w:p w:rsidR="004C3777" w:rsidRPr="00A66F3C" w:rsidRDefault="004C3777" w:rsidP="00C3334D">
                      <w:pPr>
                        <w:pStyle w:val="Normal12PTcouleurgris"/>
                        <w:ind w:left="284"/>
                        <w:rPr>
                          <w:color w:val="F07E31"/>
                          <w:sz w:val="18"/>
                        </w:rPr>
                      </w:pPr>
                      <w:r>
                        <w:rPr>
                          <w:b/>
                          <w:color w:val="F07E31"/>
                          <w:sz w:val="18"/>
                        </w:rPr>
                        <w:t>Exempel på hur åtgärd M19 stöder innovation:</w:t>
                      </w:r>
                    </w:p>
                    <w:p w:rsidR="004C3777" w:rsidRPr="00A66F3C" w:rsidRDefault="004C3777" w:rsidP="00A66F3C">
                      <w:pPr>
                        <w:pStyle w:val="Hlistbullet"/>
                        <w:rPr>
                          <w:sz w:val="18"/>
                          <w:szCs w:val="18"/>
                        </w:rPr>
                      </w:pPr>
                      <w:r>
                        <w:rPr>
                          <w:sz w:val="18"/>
                          <w:szCs w:val="18"/>
                        </w:rPr>
                        <w:t xml:space="preserve">Tillämpning av nya sätt att utforma strategier, däribland olika unika sätt att säkerställa att lokala aktörer deltar i de strategiska besluten (t.ex. olika ledningsinsatser i samband med insamling av information, olika workshoppar och diskussionsplattformar etc.) och på så sätt bidrar </w:t>
                      </w:r>
                      <w:r>
                        <w:rPr>
                          <w:b/>
                          <w:sz w:val="18"/>
                          <w:szCs w:val="18"/>
                        </w:rPr>
                        <w:t>till en gynnsam miljö för innovation (handlingsväg 3)</w:t>
                      </w:r>
                      <w:r>
                        <w:rPr>
                          <w:sz w:val="18"/>
                          <w:szCs w:val="18"/>
                        </w:rPr>
                        <w:t>.</w:t>
                      </w:r>
                    </w:p>
                    <w:p w:rsidR="004C3777" w:rsidRPr="00A66F3C" w:rsidRDefault="004C3777" w:rsidP="00A66F3C">
                      <w:pPr>
                        <w:pStyle w:val="Hlistbullet"/>
                        <w:rPr>
                          <w:sz w:val="18"/>
                          <w:szCs w:val="18"/>
                        </w:rPr>
                      </w:pPr>
                      <w:r>
                        <w:rPr>
                          <w:sz w:val="18"/>
                          <w:szCs w:val="18"/>
                        </w:rPr>
                        <w:t xml:space="preserve">Genomförande av innovativa ledningsinsatser som går längre än utformning och genomförande av strategier och säkerställer att den breda allmänheten är involverad i olika innovativa gruppinsatser (t.ex. inriktade på att bygga upp en stark territoriell identitet genom att exempelvis ta hänsyn till natur- och kulturarvet) som stöder </w:t>
                      </w:r>
                      <w:r>
                        <w:rPr>
                          <w:b/>
                          <w:sz w:val="18"/>
                          <w:szCs w:val="18"/>
                        </w:rPr>
                        <w:t>den gynnsamma miljön och främjar potentiella innovativa idéer (handlingsväg 3 och 1).</w:t>
                      </w:r>
                    </w:p>
                    <w:p w:rsidR="004C3777" w:rsidRPr="00A66F3C" w:rsidRDefault="004C3777" w:rsidP="00A66F3C">
                      <w:pPr>
                        <w:pStyle w:val="Hlistbullet"/>
                        <w:rPr>
                          <w:sz w:val="18"/>
                          <w:szCs w:val="18"/>
                        </w:rPr>
                      </w:pPr>
                      <w:r>
                        <w:rPr>
                          <w:sz w:val="18"/>
                          <w:szCs w:val="18"/>
                        </w:rPr>
                        <w:t xml:space="preserve">Inledande av innovativa samarbetsprojekt som gör det möjligt att överföra ny kunskap, nya erfarenheter och ny teknik till den lokala aktionsgruppens område och som ger utrymme </w:t>
                      </w:r>
                      <w:r>
                        <w:rPr>
                          <w:b/>
                          <w:sz w:val="18"/>
                          <w:szCs w:val="18"/>
                        </w:rPr>
                        <w:t>för främjande av potentiella innovativa idéer (handlingsväg 1).</w:t>
                      </w:r>
                    </w:p>
                  </w:txbxContent>
                </v:textbox>
                <w10:wrap type="tight"/>
              </v:shape>
            </w:pict>
          </mc:Fallback>
        </mc:AlternateContent>
      </w:r>
      <w:r w:rsidR="00C3092C">
        <w:rPr>
          <w:rStyle w:val="FootnoteReference"/>
          <w:rFonts w:eastAsia="Calibri" w:cs="Times New Roman"/>
          <w:b/>
          <w:color w:val="FFFFFF" w:themeColor="background1"/>
          <w:szCs w:val="20"/>
          <w:shd w:val="clear" w:color="auto" w:fill="FFFFFF"/>
        </w:rPr>
        <w:footnoteReference w:id="51"/>
      </w:r>
    </w:p>
    <w:p w:rsidR="00863DB0" w:rsidRDefault="00863DB0">
      <w:pPr>
        <w:jc w:val="left"/>
        <w:rPr>
          <w:rFonts w:eastAsia="Calibri" w:cs="Times New Roman"/>
          <w:b/>
          <w:color w:val="57825E"/>
          <w:szCs w:val="20"/>
          <w:shd w:val="clear" w:color="auto" w:fill="FFFFFF"/>
        </w:rPr>
      </w:pPr>
      <w:r>
        <w:lastRenderedPageBreak/>
        <w:br w:type="page"/>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 xml:space="preserve">Särskilda utmaningar </w:t>
      </w:r>
    </w:p>
    <w:p w:rsidR="00A45935" w:rsidRPr="000A718F" w:rsidRDefault="00A45935" w:rsidP="00A66F3C">
      <w:pPr>
        <w:pStyle w:val="Hlistbullet"/>
      </w:pPr>
      <w:r>
        <w:rPr>
          <w:b/>
        </w:rPr>
        <w:t>Att utarbeta</w:t>
      </w:r>
      <w:r>
        <w:rPr>
          <w:b/>
          <w:shd w:val="clear" w:color="auto" w:fill="FFFFFF"/>
        </w:rPr>
        <w:t xml:space="preserve"> kompletterande och programspecifika utvärderingsfaktorer</w:t>
      </w:r>
      <w:r>
        <w:rPr>
          <w:shd w:val="clear" w:color="auto" w:fill="FFFFFF"/>
        </w:rPr>
        <w:t xml:space="preserve">: Gemensam utvärderingsfråga nr 1 är kopplad till en gemensam målindikator (T1) som kan vara otillräcklig för att besvara utvärderingsfrågan och som därför kan behöva kompletteras med kompletterande indikatorer för mätning av de relevanta åtgärdernas innovationsrelaterade utgifter. Samtidigt kan de två gemensamma utfallsindikatorerna användas för att besvara gemensam utvärderingsfråga nr 1 (O13 Antal stödmottagare som fått rådgivning och O16 Antal insatser inom grupper inom det europeiska innovationspartnerskapet). Beroende på den specifika interventionslogiken kan kompletterande utvärderingsfaktorer vara nödvändiga för att bedöma alla innovationsrelaterade aspekter. </w:t>
      </w:r>
    </w:p>
    <w:p w:rsidR="00A45935" w:rsidRPr="000A718F" w:rsidRDefault="00A45935" w:rsidP="00A66F3C">
      <w:pPr>
        <w:pStyle w:val="Hlistbullet"/>
        <w:rPr>
          <w:rFonts w:eastAsia="Calibri"/>
          <w:shd w:val="clear" w:color="auto" w:fill="FFFFFF"/>
        </w:rPr>
      </w:pPr>
      <w:r>
        <w:rPr>
          <w:b/>
          <w:shd w:val="clear" w:color="auto" w:fill="FFFFFF"/>
        </w:rPr>
        <w:t xml:space="preserve">Att härleda observerade förändringar </w:t>
      </w:r>
      <w:r>
        <w:rPr>
          <w:shd w:val="clear" w:color="auto" w:fill="FFFFFF"/>
        </w:rPr>
        <w:t xml:space="preserve">när det gäller stödet för innovation till </w:t>
      </w:r>
      <w:r>
        <w:rPr>
          <w:b/>
          <w:shd w:val="clear" w:color="auto" w:fill="FFFFFF"/>
        </w:rPr>
        <w:t>åtgärderna</w:t>
      </w:r>
      <w:r>
        <w:rPr>
          <w:shd w:val="clear" w:color="auto" w:fill="FFFFFF"/>
        </w:rPr>
        <w:t xml:space="preserve"> M1, M2, M16 och M19.</w:t>
      </w:r>
    </w:p>
    <w:p w:rsidR="00A45935" w:rsidRPr="000A718F" w:rsidRDefault="00A45935" w:rsidP="00A66F3C">
      <w:pPr>
        <w:pStyle w:val="Hlistbullet"/>
        <w:rPr>
          <w:rFonts w:eastAsia="Calibri"/>
          <w:shd w:val="clear" w:color="auto" w:fill="FFFFFF"/>
        </w:rPr>
      </w:pPr>
      <w:r>
        <w:rPr>
          <w:b/>
          <w:shd w:val="clear" w:color="auto" w:fill="FFFFFF"/>
        </w:rPr>
        <w:t>Att fånga upp bidragen från åtgärder som planerats inom andra fokusområden</w:t>
      </w:r>
      <w:r>
        <w:rPr>
          <w:shd w:val="clear" w:color="auto" w:fill="FFFFFF"/>
        </w:rPr>
        <w:t xml:space="preserve"> (andra än fokusområde 1B) för att stödja innovation.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Förslag på metoder för att besvara gemensam utvärderingsfråga nr 1</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Interventionslogik </w:t>
      </w:r>
    </w:p>
    <w:p w:rsidR="00863DB0" w:rsidRDefault="00A45935" w:rsidP="00A66F3C">
      <w:pPr>
        <w:spacing w:after="120" w:line="280" w:lineRule="atLeast"/>
        <w:mirrorIndents/>
        <w:rPr>
          <w:rFonts w:eastAsia="Times New Roman" w:cs="Times New Roman"/>
          <w:szCs w:val="20"/>
        </w:rPr>
      </w:pPr>
      <w:r>
        <w:t xml:space="preserve">Den interventionslogik som kopplas till gemensam utvärderingsfråga nr 1 kan även återupptas ur innovationssynpunkt. Detta kan göras baserat på resultaten av granskningen av innovationspotentialen (se </w:t>
      </w:r>
      <w:hyperlink w:anchor="Screening_Potential" w:history="1">
        <w:r>
          <w:rPr>
            <w:rStyle w:val="Hyperlink"/>
            <w:sz w:val="20"/>
            <w:szCs w:val="20"/>
          </w:rPr>
          <w:t>kapitel 2.2</w:t>
        </w:r>
      </w:hyperlink>
      <w:r>
        <w:t xml:space="preserve">) hos åtgärderna M1, M2, M16 och M19, vilka vanligtvis planeras inom andra fokusområden än fokusområde 1A i kombination med andra åtgärder. Detta bidrar till att fånga upp programmets framsteg med avseende på målen för fokusområde 1A och identifiera vilka stödmottagare och aktörer inom landsbygdsprogrammet som kan tillhandahålla uppgifter och information. </w:t>
      </w:r>
    </w:p>
    <w:p w:rsidR="00863DB0" w:rsidRDefault="00863DB0">
      <w:pPr>
        <w:jc w:val="left"/>
        <w:rPr>
          <w:rFonts w:eastAsia="Times New Roman" w:cs="Times New Roman"/>
          <w:szCs w:val="20"/>
        </w:rPr>
      </w:pPr>
      <w:r>
        <w:br w:type="page"/>
      </w:r>
    </w:p>
    <w:p w:rsidR="00A45935" w:rsidRPr="00D66501" w:rsidRDefault="00DD247A" w:rsidP="00A66F3C">
      <w:pPr>
        <w:pStyle w:val="HHeadingfigures"/>
      </w:pPr>
      <w:bookmarkStart w:id="106" w:name="_Toc508290401"/>
      <w:r>
        <w:lastRenderedPageBreak/>
        <w:t>Exempel på en interventionslogik som är kopplad till gemensam utvärderingsfråga nr 1</w:t>
      </w:r>
      <w:bookmarkEnd w:id="106"/>
      <w:r>
        <w:t xml:space="preserve"> </w:t>
      </w:r>
    </w:p>
    <w:p w:rsidR="007D2A0C" w:rsidRDefault="00840345" w:rsidP="00840345">
      <w:pPr>
        <w:spacing w:after="120" w:line="280" w:lineRule="atLeast"/>
        <w:mirrorIndents/>
        <w:rPr>
          <w:rFonts w:eastAsia="Times New Roman" w:cs="Times New Roman"/>
          <w:i/>
          <w:sz w:val="16"/>
          <w:szCs w:val="16"/>
          <w:lang w:eastAsia="de-DE"/>
        </w:rPr>
      </w:pPr>
      <w:r w:rsidRPr="00840345">
        <w:rPr>
          <w:noProof/>
          <w:lang w:val="en-GB" w:eastAsia="en-GB"/>
        </w:rPr>
        <w:drawing>
          <wp:inline distT="0" distB="0" distL="0" distR="0">
            <wp:extent cx="5731510" cy="3112577"/>
            <wp:effectExtent l="0" t="0" r="254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112577"/>
                    </a:xfrm>
                    <a:prstGeom prst="rect">
                      <a:avLst/>
                    </a:prstGeom>
                    <a:noFill/>
                    <a:ln>
                      <a:noFill/>
                    </a:ln>
                  </pic:spPr>
                </pic:pic>
              </a:graphicData>
            </a:graphic>
          </wp:inline>
        </w:drawing>
      </w: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682816" behindDoc="0" locked="0" layoutInCell="1" allowOverlap="1" wp14:anchorId="324B7104" wp14:editId="1536FF22">
                <wp:simplePos x="0" y="0"/>
                <wp:positionH relativeFrom="column">
                  <wp:posOffset>0</wp:posOffset>
                </wp:positionH>
                <wp:positionV relativeFrom="paragraph">
                  <wp:posOffset>303630</wp:posOffset>
                </wp:positionV>
                <wp:extent cx="5732780" cy="182880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828800"/>
                        </a:xfrm>
                        <a:prstGeom prst="round2DiagRect">
                          <a:avLst>
                            <a:gd name="adj1" fmla="val 11556"/>
                            <a:gd name="adj2" fmla="val 0"/>
                          </a:avLst>
                        </a:prstGeom>
                        <a:noFill/>
                        <a:ln w="25400" cap="flat" cmpd="sng" algn="ctr">
                          <a:solidFill>
                            <a:srgbClr val="F07E31"/>
                          </a:solidFill>
                          <a:prstDash val="solid"/>
                        </a:ln>
                        <a:effectLst/>
                      </wps:spPr>
                      <wps:txbx>
                        <w:txbxContent>
                          <w:p w:rsidR="004C3777" w:rsidRPr="00D33212" w:rsidRDefault="004C3777" w:rsidP="00863DB0">
                            <w:pPr>
                              <w:pStyle w:val="H-Standard"/>
                            </w:pPr>
                            <w:r>
                              <w:rPr>
                                <w:noProof/>
                                <w:lang w:val="en-GB" w:eastAsia="en-GB"/>
                              </w:rPr>
                              <w:drawing>
                                <wp:inline distT="0" distB="0" distL="0" distR="0" wp14:anchorId="566D8A6F" wp14:editId="4364A9B4">
                                  <wp:extent cx="353060" cy="359410"/>
                                  <wp:effectExtent l="0" t="0" r="8890" b="2540"/>
                                  <wp:docPr id="73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I detta exempel har delåtgärd M1, ‘utbildning och kompetensutveckling, och delåtgärd M2, utbildning av rådgivare, visat sig ha potential att stödja innovation genom att bygga upp innovationskapaciteten. Kombinationen av åtgärderna M16.7 och M16.8 har potential att stödja innovation genom främjande av innovativa idéer, medan åtgärd M16.1 har potential att stödja innovation genom alla de tre handlingsvägarna. Delåtgärd M19.2, som stöder LLU-strategier, bidrar till den gynnsamma miljön. Delåtgärd M 19.3 avseende samarbete inom ramen för Leader-strategin hjälper till att främja innovativa idéer på ett samarbetsinriktat sätt och bygger upp innovationskapaciteten.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7104" id="Rectangle: Diagonal Corners Rounded 23" o:spid="_x0000_s1043" style="position:absolute;left:0;text-align:left;margin-left:0;margin-top:23.9pt;width:451.4pt;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" adj="-11796480,,5400" path="m211336,l5732780,r,l5732780,1617464v,116718,-94618,211336,-211336,211336l,1828800r,l,211336c,94618,94618,,211336,xe" filled="f" strokecolor="#f07e31" strokeweight="2pt">
                <v:stroke joinstyle="miter"/>
                <v:formulas/>
                <v:path arrowok="t" o:connecttype="custom" o:connectlocs="211336,0;5732780,0;5732780,0;5732780,1617464;5521444,1828800;0,1828800;0,1828800;0,211336;211336,0" o:connectangles="0,0,0,0,0,0,0,0,0" textboxrect="0,0,5732780,1828800"/>
                <v:textbox>
                  <w:txbxContent>
                    <w:p w:rsidR="004C3777" w:rsidRPr="00D33212" w:rsidRDefault="004C3777" w:rsidP="00863DB0">
                      <w:pPr>
                        <w:pStyle w:val="H-Standard"/>
                      </w:pPr>
                      <w:r>
                        <w:rPr>
                          <w:noProof/>
                          <w:lang w:val="en-GB" w:eastAsia="en-GB"/>
                        </w:rPr>
                        <w:drawing>
                          <wp:inline distT="0" distB="0" distL="0" distR="0" wp14:anchorId="566D8A6F" wp14:editId="4364A9B4">
                            <wp:extent cx="353060" cy="359410"/>
                            <wp:effectExtent l="0" t="0" r="8890" b="2540"/>
                            <wp:docPr id="73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I detta exempel har delåtgärd M1, ‘utbildning och kompetensutveckling, och delåtgärd M2, utbildning av rådgivare, visat sig ha potential att stödja innovation genom att bygga upp innovationskapaciteten. Kombinationen av åtgärderna M16.7 och M16.8 har potential att stödja innovation genom främjande av innovativa idéer, medan åtgärd M16.1 har potential att stödja innovation genom alla de tre handlingsvägarna. Delåtgärd M19.2, som stöder LLU-strategier, bidrar till den gynnsamma miljön. Delåtgärd M 19.3 avseende samarbete inom ramen för Leader-strategin hjälper till att främja innovativa idéer på ett samarbetsinriktat sätt och bygger upp innovationskapaciteten.</w:t>
                      </w:r>
                    </w:p>
                  </w:txbxContent>
                </v:textbox>
                <w10:wrap type="square"/>
              </v:shape>
            </w:pict>
          </mc:Fallback>
        </mc:AlternateContent>
      </w:r>
      <w:r>
        <w:rPr>
          <w:i/>
          <w:sz w:val="16"/>
          <w:szCs w:val="16"/>
        </w:rPr>
        <w:t>Källa: Europeiska helpdesken för utvärdering av landsbygdsutveckling, 2017.</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Utvärderingsfaktorer </w:t>
      </w:r>
    </w:p>
    <w:p w:rsidR="00A45935" w:rsidRDefault="00734B11" w:rsidP="00E05D08">
      <w:pPr>
        <w:spacing w:before="120" w:after="120" w:line="280" w:lineRule="atLeast"/>
        <w:mirrorIndents/>
        <w:rPr>
          <w:rFonts w:eastAsia="Times New Roman" w:cs="Times New Roman"/>
          <w:szCs w:val="20"/>
        </w:rPr>
      </w:pPr>
      <w:r>
        <w:t xml:space="preserve">De gemensamma bedömningskriterierna och indikatorerna för gemensam utvärderingsfråga nr 1 ligger kvar på utfallsnivån för insatserna inom ramen för åtgärderna M1, M2, M16 och M19. Det kan vara nödvändigt att ta fram kompletterande bedömningskriterier och indikatorer för att kunna bedöma resultaten av dessa åtgärder (se </w:t>
      </w:r>
      <w:hyperlink w:anchor="Evaluation_elements" w:history="1">
        <w:r>
          <w:rPr>
            <w:rStyle w:val="Hyperlink"/>
            <w:sz w:val="20"/>
            <w:szCs w:val="20"/>
          </w:rPr>
          <w:t>tabell 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147EAF">
      <w:pPr>
        <w:pStyle w:val="HHeadingtables"/>
      </w:pPr>
      <w:bookmarkStart w:id="107" w:name="Evaluation_elements"/>
      <w:bookmarkStart w:id="108" w:name="_Toc508290380"/>
      <w:r>
        <w:lastRenderedPageBreak/>
        <w:t>Utvärderingsfaktorer och informationskällor</w:t>
      </w:r>
      <w:bookmarkEnd w:id="107"/>
      <w:r>
        <w:t xml:space="preserve"> med anknytning till gemensam utvärderingsfråga nr 1</w:t>
      </w:r>
      <w:bookmarkEnd w:id="108"/>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6"/>
        <w:gridCol w:w="3118"/>
        <w:gridCol w:w="2835"/>
        <w:gridCol w:w="5755"/>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Bedömningskriterier</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Indikatorer</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Databehov</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Datakällor</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 xml:space="preserve">Gemensamma utvärderingsfaktorer (det gemensamma övervaknings- och utvärderingssystemet och faktorer som föreslås i arbetsdokumentet </w:t>
            </w:r>
            <w:r>
              <w:rPr>
                <w:b/>
                <w:i/>
                <w:color w:val="FFFFFF"/>
                <w:sz w:val="18"/>
                <w:szCs w:val="18"/>
              </w:rPr>
              <w:t>Common evaluation questions 2014-2020</w:t>
            </w:r>
            <w:r>
              <w:rPr>
                <w:b/>
                <w:color w:val="FFFFFF"/>
                <w:sz w:val="18"/>
                <w:szCs w:val="18"/>
              </w:rPr>
              <w:t>)</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Projekten inom landsbygdsprogrammet har varit innovativa och byggt på utvecklad kunskap.</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T1: andel (%) utgifter inom ramen för artiklarna 14, 15 och 35 i förordning (EU) 1305/2013 i förhållande till landsbygdsprogrammets totala utgifter.</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Kompletterande indikator</w:t>
            </w:r>
            <w:r>
              <w:rPr>
                <w:color w:val="57825E"/>
                <w:sz w:val="18"/>
                <w:szCs w:val="18"/>
                <w14:textFill>
                  <w14:solidFill>
                    <w14:srgbClr w14:val="57825E">
                      <w14:lumMod w14:val="75000"/>
                    </w14:srgbClr>
                  </w14:solidFill>
                </w14:textFill>
              </w:rPr>
              <w:t xml:space="preserve">: andel (%) innovativa projekt av alla projekt som fått stöd från landsbygdsprogrammet.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Uppgifter om realiserade utgifter för åtgärderna 1, 2 och 16.</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Om möjligt bör även uppgifter om utgifter för delåtgärder som har identifierats med potential att stödja innovation samlas in.</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Övervakningssystem för landsbygdsprogrammet</w:t>
            </w:r>
            <w:r w:rsidR="006D3C74">
              <w:rPr>
                <w:sz w:val="18"/>
                <w:szCs w:val="18"/>
                <w14:textFill>
                  <w14:solidFill>
                    <w14:srgbClr w14:val="373737">
                      <w14:lumMod w14:val="75000"/>
                    </w14:srgbClr>
                  </w14:solidFill>
                </w14:textFill>
              </w:rPr>
              <w:t>.</w:t>
            </w:r>
            <w:r>
              <w:rPr>
                <w:sz w:val="18"/>
                <w:szCs w:val="18"/>
                <w14:textFill>
                  <w14:solidFill>
                    <w14:srgbClr w14:val="373737">
                      <w14:lumMod w14:val="75000"/>
                    </w14:srgbClr>
                  </w14:solidFill>
                </w14:textFill>
              </w:rPr>
              <w:t xml:space="preserve">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Ansökningsformulär för stödmottagare (vid projektets början)</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Betalningskrav från stödmottagare (vid projektets slut)</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Operativa grupper har inrättats.</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Antal insatser inom grupper inom det europeiska innovationspartnerskapet.</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insatser inom grupper inom det europeiska innovationspartnerskapet (datapost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Övervakningssystem för landsbygdsprogrammet</w:t>
            </w:r>
            <w:r w:rsidR="006D3C74">
              <w:rPr>
                <w:sz w:val="18"/>
                <w:szCs w:val="18"/>
                <w14:textFill>
                  <w14:solidFill>
                    <w14:srgbClr w14:val="373737">
                      <w14:lumMod w14:val="75000"/>
                    </w14:srgbClr>
                  </w14:solidFill>
                </w14:textFill>
              </w:rPr>
              <w:t>.</w:t>
            </w:r>
            <w:r>
              <w:rPr>
                <w:sz w:val="18"/>
                <w:szCs w:val="18"/>
                <w14:textFill>
                  <w14:solidFill>
                    <w14:srgbClr w14:val="373737">
                      <w14:lumMod w14:val="75000"/>
                    </w14:srgbClr>
                  </w14:solidFill>
                </w14:textFill>
              </w:rPr>
              <w:t xml:space="preserve">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Ansökningsformulär för stödmottagare (vid projektets början)</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Betalningskrav från stödmottagare (vid projektets slut)</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Variation av partner som är involverade i det europeiska innovationspartnerskapets operativa grupper.</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Antal och typ av partner i det europeiska innovationspartnerskapets insatser.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u w:val="single"/>
                <w14:textFill>
                  <w14:solidFill>
                    <w14:srgbClr w14:val="57825E">
                      <w14:lumMod w14:val="75000"/>
                    </w14:srgbClr>
                  </w14:solidFill>
                </w14:textFill>
              </w:rPr>
              <w:t>Kompletterande indikator</w:t>
            </w:r>
            <w:r>
              <w:rPr>
                <w:color w:val="57825E"/>
                <w:sz w:val="18"/>
                <w:szCs w:val="18"/>
                <w14:textFill>
                  <w14:solidFill>
                    <w14:srgbClr w14:val="57825E">
                      <w14:lumMod w14:val="75000"/>
                    </w14:srgbClr>
                  </w14:solidFill>
                </w14:textFill>
              </w:rPr>
              <w:t>: antal och typer av partner som deltar i samarbetsprojekt.</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och typ av partner.</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Övervakningssystem för landsbygdsprogrammet</w:t>
            </w:r>
            <w:r w:rsidR="006D3C74">
              <w:rPr>
                <w:sz w:val="18"/>
                <w:szCs w:val="18"/>
                <w14:textFill>
                  <w14:solidFill>
                    <w14:srgbClr w14:val="373737">
                      <w14:lumMod w14:val="75000"/>
                    </w14:srgbClr>
                  </w14:solidFill>
                </w14:textFill>
              </w:rPr>
              <w:t>.</w:t>
            </w:r>
            <w:r>
              <w:rPr>
                <w:sz w:val="18"/>
                <w:szCs w:val="18"/>
                <w14:textFill>
                  <w14:solidFill>
                    <w14:srgbClr w14:val="373737">
                      <w14:lumMod w14:val="75000"/>
                    </w14:srgbClr>
                  </w14:solidFill>
                </w14:textFill>
              </w:rPr>
              <w:t xml:space="preserve">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Ansökningsformulär för stödmottagare (vid projektets början)</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Betalningskrav från stödmottagare (vid projektets slut)</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Sammanfattning av praxis för de operativa grupperna.</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Innovativa insatser har genomförts och spridits av det europeiska </w:t>
            </w:r>
            <w:r>
              <w:rPr>
                <w:sz w:val="18"/>
                <w:szCs w:val="18"/>
                <w14:textFill>
                  <w14:solidFill>
                    <w14:srgbClr w14:val="373737">
                      <w14:lumMod w14:val="75000"/>
                    </w14:srgbClr>
                  </w14:solidFill>
                </w14:textFill>
              </w:rPr>
              <w:lastRenderedPageBreak/>
              <w:t>innovationspartnerskapets operativa grupper.</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O.16 Antal insatser inom grupper inom det europeiska innovationspartnerskapet.</w:t>
            </w:r>
          </w:p>
          <w:p w:rsidR="00A45935" w:rsidRPr="00385368" w:rsidRDefault="00A45935" w:rsidP="007E63EF">
            <w:pPr>
              <w:spacing w:after="120" w:line="280" w:lineRule="atLeast"/>
              <w:jc w:val="left"/>
              <w:rPr>
                <w:rFonts w:eastAsia="Calibri" w:cs="Arial"/>
                <w:color w:val="57825E"/>
                <w:sz w:val="18"/>
                <w:szCs w:val="18"/>
              </w:rPr>
            </w:pPr>
            <w:r>
              <w:rPr>
                <w:color w:val="57825E"/>
                <w:sz w:val="18"/>
                <w:szCs w:val="18"/>
                <w:u w:val="single"/>
              </w:rPr>
              <w:lastRenderedPageBreak/>
              <w:t>Kompletterande indikator</w:t>
            </w:r>
            <w:r>
              <w:rPr>
                <w:color w:val="57825E"/>
                <w:sz w:val="18"/>
                <w:szCs w:val="18"/>
              </w:rPr>
              <w:t>: antal innovativa insatser som fått stöd och som genomförts och spridits av det europeiska innovationspartnerskapets operativa grupper uppdelade efter typ, sektor etc.</w:t>
            </w:r>
          </w:p>
          <w:p w:rsidR="00F200A2" w:rsidRPr="00F639C6" w:rsidRDefault="00F200A2" w:rsidP="007E63EF">
            <w:pPr>
              <w:spacing w:after="120" w:line="280" w:lineRule="atLeast"/>
              <w:jc w:val="left"/>
              <w:rPr>
                <w:rFonts w:eastAsia="Calibri" w:cs="Arial"/>
                <w:sz w:val="18"/>
                <w:szCs w:val="18"/>
                <w14:textFill>
                  <w14:solidFill>
                    <w14:srgbClr w14:val="373737">
                      <w14:lumMod w14:val="75000"/>
                    </w14:srgbClr>
                  </w14:solidFill>
                </w14:textFill>
              </w:rPr>
            </w:pP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Antal insatser inom grupper inom det europeiska </w:t>
            </w:r>
            <w:r>
              <w:rPr>
                <w:sz w:val="18"/>
                <w:szCs w:val="18"/>
                <w14:textFill>
                  <w14:solidFill>
                    <w14:srgbClr w14:val="373737">
                      <w14:lumMod w14:val="75000"/>
                    </w14:srgbClr>
                  </w14:solidFill>
                </w14:textFill>
              </w:rPr>
              <w:lastRenderedPageBreak/>
              <w:t>innovationspartnerskapet (datapost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Övervakningssystem för landsbygdsprogrammet</w:t>
            </w:r>
            <w:r w:rsidR="006D3C74">
              <w:rPr>
                <w:sz w:val="18"/>
                <w:szCs w:val="18"/>
                <w14:textFill>
                  <w14:solidFill>
                    <w14:srgbClr w14:val="373737">
                      <w14:lumMod w14:val="75000"/>
                    </w14:srgbClr>
                  </w14:solidFill>
                </w14:textFill>
              </w:rPr>
              <w:t>.</w:t>
            </w:r>
            <w:r>
              <w:rPr>
                <w:sz w:val="18"/>
                <w:szCs w:val="18"/>
                <w14:textFill>
                  <w14:solidFill>
                    <w14:srgbClr w14:val="373737">
                      <w14:lumMod w14:val="75000"/>
                    </w14:srgbClr>
                  </w14:solidFill>
                </w14:textFill>
              </w:rPr>
              <w:t xml:space="preserve">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Ansökningsformulär för stödmottagare (vid projektets början)</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lastRenderedPageBreak/>
              <w:t>Betalningskrav från stödmottagare (vid projektets slut)</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Sammanfattning av praxis för de operativa grupperna.</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lastRenderedPageBreak/>
              <w:t>Kompletterande utvärderingsfaktorer (frivilliga)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Sammansättningen av det europeiska innovationspartnerskapets operativa grupper omfattar innovationsaktörer.</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Sammansättning av det europeiska innovationspartnerskapets operativa grupper (antal och typ av partner) som omfattar innovationsaktörer.</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Antalet partner i operativa grupper.</w:t>
            </w:r>
          </w:p>
          <w:p w:rsidR="00A45935" w:rsidRPr="00E05D08" w:rsidRDefault="00A45935" w:rsidP="007E63EF">
            <w:pPr>
              <w:suppressAutoHyphens/>
              <w:spacing w:before="40" w:after="40"/>
              <w:jc w:val="left"/>
              <w:rPr>
                <w:rFonts w:cs="Arial"/>
                <w:sz w:val="18"/>
                <w:szCs w:val="18"/>
              </w:rPr>
            </w:pPr>
            <w:r>
              <w:rPr>
                <w:sz w:val="18"/>
                <w:szCs w:val="18"/>
              </w:rPr>
              <w:t>Typer av partner i operativa grupper.</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Övervakningssystem för landsbygdsprogrammet</w:t>
            </w:r>
            <w:r w:rsidR="006D3C74">
              <w:rPr>
                <w:sz w:val="18"/>
                <w:szCs w:val="18"/>
              </w:rPr>
              <w:t>.</w:t>
            </w:r>
            <w:r>
              <w:rPr>
                <w:sz w:val="18"/>
                <w:szCs w:val="18"/>
              </w:rPr>
              <w:t xml:space="preserve">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Ansökningsformulär för stödmottagare (vid projektets början)</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Betalningskrav från stödmottagare (vid projektets slut)</w:t>
            </w:r>
          </w:p>
          <w:p w:rsidR="00A45935" w:rsidRPr="00385368" w:rsidRDefault="00A45935" w:rsidP="007E63EF">
            <w:pPr>
              <w:suppressAutoHyphens/>
              <w:spacing w:before="40" w:after="40"/>
              <w:jc w:val="left"/>
              <w:rPr>
                <w:rFonts w:cs="Arial"/>
                <w:sz w:val="18"/>
                <w:szCs w:val="18"/>
              </w:rPr>
            </w:pPr>
            <w:r>
              <w:rPr>
                <w:sz w:val="18"/>
                <w:szCs w:val="18"/>
              </w:rPr>
              <w:t>Enkäter till det europeiska innovationspartnerskapets operativa grupper och lokala aktionsgrupper.</w:t>
            </w:r>
          </w:p>
          <w:p w:rsidR="00A45935" w:rsidRPr="00385368" w:rsidRDefault="00A45935" w:rsidP="007E63EF">
            <w:pPr>
              <w:suppressAutoHyphens/>
              <w:spacing w:before="40" w:after="40"/>
              <w:jc w:val="left"/>
              <w:rPr>
                <w:rFonts w:cs="Arial"/>
                <w:sz w:val="18"/>
                <w:szCs w:val="18"/>
              </w:rPr>
            </w:pPr>
            <w:r>
              <w:rPr>
                <w:sz w:val="18"/>
                <w:szCs w:val="18"/>
              </w:rPr>
              <w:t>De operativa gruppernas webbaserade plattformar.</w:t>
            </w:r>
          </w:p>
          <w:p w:rsidR="00A45935" w:rsidRPr="00E05D08" w:rsidRDefault="00A45935" w:rsidP="007E63EF">
            <w:pPr>
              <w:suppressAutoHyphens/>
              <w:spacing w:before="40" w:after="40"/>
              <w:jc w:val="left"/>
              <w:rPr>
                <w:rFonts w:cs="Arial"/>
                <w:sz w:val="18"/>
                <w:szCs w:val="18"/>
              </w:rPr>
            </w:pPr>
            <w:r>
              <w:rPr>
                <w:sz w:val="18"/>
                <w:szCs w:val="18"/>
              </w:rPr>
              <w:t>Sammanfattning av praxis för de operativa grupperna.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Lokala aktionsgrupper har gett stöd åt innovationsprojekt.</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projekt som genomförts av de lokala aktionsgrupperna och deras stödmottagare och som markerats som innovativa (respekterar kriterier för stödberättigande och urval).</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Övervakning av uppgifter om projekt inom de lokala aktionsgrupperna.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Insatsdatabas för de lokala aktionsgrupperna.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Innovationsaktörer har utbildats.</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och typ av innovationsaktörer som utbildats.</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och typ av berörda aktörer som utbildats.</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Övervakningssystem för landsbygdsprogrammet</w:t>
            </w:r>
            <w:r w:rsidR="006D3C74">
              <w:rPr>
                <w:sz w:val="18"/>
                <w:szCs w:val="18"/>
                <w14:textFill>
                  <w14:solidFill>
                    <w14:srgbClr w14:val="373737">
                      <w14:lumMod w14:val="75000"/>
                    </w14:srgbClr>
                  </w14:solidFill>
                </w14:textFill>
              </w:rPr>
              <w:t>.</w:t>
            </w:r>
            <w:r>
              <w:rPr>
                <w:sz w:val="18"/>
                <w:szCs w:val="18"/>
                <w14:textFill>
                  <w14:solidFill>
                    <w14:srgbClr w14:val="373737">
                      <w14:lumMod w14:val="75000"/>
                    </w14:srgbClr>
                  </w14:solidFill>
                </w14:textFill>
              </w:rPr>
              <w:t xml:space="preserve">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Ansökningsformulär för stödmottagare (vid projektets början)</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Betalningskrav från stödmottagare (vid projektets slut)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Intervjuer och enkäter med förvaltande myndigheter och utbildningsansvariga.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Viktiga framgångsfaktorer för stöd av innovation genom åtgärderna M1, M2, M16 och M19.</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Beskrivning av viktiga faktorer som har bidragit till att stödja innovation på landsbygden.</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Kvalitativ information.</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Intervjuer, enkäter och fokusgrupper med stödmottagare för de innovationsrelaterade delåtgärderna M1 och M2 samt med de operativa grupperna.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EIP-Agri och de lokala aktionsgrupperna.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Sammanfattning av praxis för de operativa grupperna.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Insatsdatabas för de lokala aktionsgrupperna.</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Förslag på utvärderingsmetoder för att besvara gemensam utvärderingsfråga 1 </w:t>
      </w:r>
    </w:p>
    <w:p w:rsidR="00A45935" w:rsidRPr="00E05D08" w:rsidRDefault="00A45935" w:rsidP="00E05D08">
      <w:pPr>
        <w:spacing w:after="120" w:line="280" w:lineRule="atLeast"/>
        <w:mirrorIndents/>
        <w:rPr>
          <w:rFonts w:eastAsia="Times New Roman" w:cs="Times New Roman"/>
          <w:szCs w:val="20"/>
        </w:rPr>
      </w:pPr>
      <w:r>
        <w:t xml:space="preserve">Beräkningen av de gemensamma indikatorer som är kopplade till gemensam utvärderingsfråga 1 beskrivs i bilaga 11 till riktlinjerna </w:t>
      </w:r>
      <w:hyperlink r:id="rId40" w:history="1">
        <w:r>
          <w:rPr>
            <w:i/>
            <w:color w:val="F07E31"/>
            <w:szCs w:val="20"/>
            <w:u w:val="single"/>
          </w:rPr>
          <w:t>Assessment of RDP results:</w:t>
        </w:r>
      </w:hyperlink>
      <w:hyperlink r:id="rId41" w:history="1">
        <w:r>
          <w:rPr>
            <w:color w:val="F07E31"/>
            <w:szCs w:val="20"/>
            <w:u w:val="single"/>
          </w:rPr>
          <w:t xml:space="preserve"> </w:t>
        </w:r>
        <w:r>
          <w:rPr>
            <w:i/>
            <w:color w:val="F07E31"/>
            <w:szCs w:val="20"/>
            <w:u w:val="single"/>
          </w:rPr>
          <w:t>how to prepare for reporting on evaluation in 2017</w:t>
        </w:r>
      </w:hyperlink>
      <w:r>
        <w:t xml:space="preserve">. </w:t>
      </w:r>
    </w:p>
    <w:p w:rsidR="00A45935" w:rsidRPr="00E05D08" w:rsidRDefault="00A45935" w:rsidP="00E05D08">
      <w:pPr>
        <w:spacing w:after="120" w:line="280" w:lineRule="atLeast"/>
        <w:mirrorIndents/>
        <w:rPr>
          <w:rFonts w:eastAsia="Times New Roman" w:cs="Times New Roman"/>
          <w:szCs w:val="20"/>
        </w:rPr>
      </w:pPr>
      <w:r>
        <w:t>För bedömningen av den innovationsrelaterade delen av gemensam utvärderingsfråga 1 föreslås följande steg:</w:t>
      </w:r>
    </w:p>
    <w:p w:rsidR="00A45935" w:rsidRPr="00331223" w:rsidRDefault="00A45935" w:rsidP="00C202EC">
      <w:pPr>
        <w:pStyle w:val="Hlistbullet"/>
      </w:pPr>
      <w:r>
        <w:rPr>
          <w:b/>
        </w:rPr>
        <w:t>STEG 1: Identifiera innovationspotentialen hos stödmottagare</w:t>
      </w:r>
      <w:r>
        <w:t xml:space="preserve"> inom ramen för åtgärd/delåtgärd M1, M2, M16 och M19 (stödmottagare som genomfört insatser som räknas som innovativa). </w:t>
      </w:r>
    </w:p>
    <w:p w:rsidR="00A45935" w:rsidRPr="00331223" w:rsidRDefault="00A45935" w:rsidP="00C202EC">
      <w:pPr>
        <w:pStyle w:val="Hlistbullet"/>
      </w:pPr>
      <w:r>
        <w:rPr>
          <w:b/>
        </w:rPr>
        <w:t>STEG 2: Kvantifiera utfalls- och målindikatorerna</w:t>
      </w:r>
      <w:r>
        <w:t xml:space="preserve"> genom att använda övervakningsuppgifter från landsbygdsprogrammets/de lokala aktionsgruppernas insatsdatabas om stödmottagare (som genomfört insatser som räknas som innovativa). Vid användning av insatsdatabasen för utvärdering av innovation kan de förvaltande myndigheterna välja att lägga till och samla in dataposter som har koppling till innovation. </w:t>
      </w:r>
    </w:p>
    <w:p w:rsidR="00A45935" w:rsidRPr="00331223" w:rsidRDefault="00A45935" w:rsidP="00C202EC">
      <w:pPr>
        <w:pStyle w:val="Hlistbullet"/>
      </w:pPr>
      <w:r>
        <w:rPr>
          <w:b/>
        </w:rPr>
        <w:t>STEG 3: Samla in bevis för att besvara den gemensamma utvärderingsfrågan med hjälp av de specificerade metoderna.</w:t>
      </w:r>
      <w:r>
        <w:t xml:space="preserve"> Enkäter, fokusgrupper och delphimetoden kan till exempel vara till hjälp vid insamling av uppgifter för de föreslagna bedömningskriterierna och kompletterande resultatindikatorer. Problem med kvaliteten och giltigheten hos uppgifter som rapporterats av stödmottagare bör beaktas när dessa metoder tillämpas (se </w:t>
      </w:r>
      <w:hyperlink w:anchor="Recommended_Methods" w:history="1">
        <w:r>
          <w:rPr>
            <w:rStyle w:val="Hyperlink"/>
            <w:sz w:val="20"/>
          </w:rPr>
          <w:t>tabell 2</w:t>
        </w:r>
      </w:hyperlink>
      <w:r>
        <w:t xml:space="preserve">). </w:t>
      </w:r>
    </w:p>
    <w:p w:rsidR="00A45935" w:rsidRPr="00C202EC" w:rsidRDefault="00A45935" w:rsidP="00C202EC">
      <w:pPr>
        <w:pStyle w:val="Hlistbullet"/>
        <w:rPr>
          <w:b/>
          <w:sz w:val="16"/>
        </w:rPr>
      </w:pPr>
      <w:r>
        <w:rPr>
          <w:b/>
        </w:rPr>
        <w:t>STEG 4: Analysera och tolka de insamlade bevisen</w:t>
      </w:r>
      <w:r>
        <w:t xml:space="preserve"> och använd dem för att besvara gemensam utvärderingsfråga nr 1 när det gäller stöd för innovation. </w:t>
      </w:r>
    </w:p>
    <w:p w:rsidR="00A45935" w:rsidRPr="00FA6691" w:rsidRDefault="00A45935" w:rsidP="00FA6691">
      <w:pPr>
        <w:pStyle w:val="HHeadingtables"/>
        <w:rPr>
          <w:color w:val="6F6F6F"/>
          <w:sz w:val="18"/>
          <w:szCs w:val="18"/>
        </w:rPr>
      </w:pPr>
      <w:bookmarkStart w:id="109" w:name="Recommended_Methods"/>
      <w:bookmarkStart w:id="110" w:name="_Toc508290381"/>
      <w:bookmarkEnd w:id="109"/>
      <w:r>
        <w:rPr>
          <w:color w:val="6F6F6F"/>
          <w:sz w:val="18"/>
          <w:szCs w:val="18"/>
        </w:rPr>
        <w:t>Rekommenderade metoder för gemensam utvärderingsfråga nr 1</w:t>
      </w:r>
      <w:bookmarkEnd w:id="110"/>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Metoder</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Tips om hur metoderna kan användas</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Enkäter till förvaltare av åtgärderna M1 och M2 </w:t>
            </w:r>
          </w:p>
          <w:p w:rsidR="00A45935" w:rsidRPr="00385368" w:rsidRDefault="00A45935" w:rsidP="007E63EF">
            <w:pPr>
              <w:spacing w:after="120" w:line="280" w:lineRule="atLeast"/>
              <w:ind w:right="116"/>
              <w:mirrorIndents/>
              <w:jc w:val="left"/>
              <w:rPr>
                <w:sz w:val="18"/>
                <w:szCs w:val="18"/>
              </w:rPr>
            </w:pPr>
            <w:r>
              <w:rPr>
                <w:sz w:val="18"/>
                <w:szCs w:val="18"/>
              </w:rPr>
              <w:t>Enkäter till stödmottagare inom åtgärderna M1 och M2</w:t>
            </w:r>
          </w:p>
          <w:p w:rsidR="00A45935" w:rsidRPr="00385368" w:rsidRDefault="00A45935" w:rsidP="007E63EF">
            <w:pPr>
              <w:spacing w:after="120" w:line="280" w:lineRule="atLeast"/>
              <w:ind w:right="116"/>
              <w:mirrorIndents/>
              <w:jc w:val="left"/>
              <w:rPr>
                <w:sz w:val="18"/>
                <w:szCs w:val="18"/>
              </w:rPr>
            </w:pPr>
            <w:r>
              <w:rPr>
                <w:sz w:val="18"/>
                <w:szCs w:val="18"/>
              </w:rPr>
              <w:t>Enkäter om de operativa gruppernas samarbetsprojekt</w:t>
            </w:r>
          </w:p>
          <w:p w:rsidR="00A45935" w:rsidRPr="00385368" w:rsidRDefault="00A45935" w:rsidP="007E63EF">
            <w:pPr>
              <w:spacing w:after="120" w:line="280" w:lineRule="atLeast"/>
              <w:ind w:right="116"/>
              <w:mirrorIndents/>
              <w:jc w:val="left"/>
              <w:rPr>
                <w:sz w:val="18"/>
                <w:szCs w:val="18"/>
              </w:rPr>
            </w:pPr>
            <w:r>
              <w:rPr>
                <w:sz w:val="18"/>
                <w:szCs w:val="18"/>
              </w:rPr>
              <w:t xml:space="preserve">Enkäter till de lokala aktionsgrupperna och deras stödmottagare </w:t>
            </w:r>
          </w:p>
        </w:tc>
        <w:tc>
          <w:tcPr>
            <w:tcW w:w="6770" w:type="dxa"/>
          </w:tcPr>
          <w:p w:rsidR="00A45935" w:rsidRPr="00385368" w:rsidRDefault="00A45935" w:rsidP="00C202EC">
            <w:pPr>
              <w:pStyle w:val="Hlistbullet"/>
              <w:rPr>
                <w:sz w:val="18"/>
                <w:szCs w:val="18"/>
              </w:rPr>
            </w:pPr>
            <w:r>
              <w:rPr>
                <w:sz w:val="18"/>
                <w:szCs w:val="18"/>
              </w:rPr>
              <w:t xml:space="preserve">Välj ut förvaltare/stödmottagare av innovationsrelaterade delåtgärder i åtgärderna M1 och M2 för deltagande i enkäten. </w:t>
            </w:r>
          </w:p>
          <w:p w:rsidR="00A45935" w:rsidRPr="00385368" w:rsidRDefault="00A45935" w:rsidP="00C202EC">
            <w:pPr>
              <w:pStyle w:val="Hlistbullet"/>
              <w:rPr>
                <w:sz w:val="18"/>
                <w:szCs w:val="18"/>
              </w:rPr>
            </w:pPr>
            <w:r>
              <w:rPr>
                <w:sz w:val="18"/>
                <w:szCs w:val="18"/>
              </w:rPr>
              <w:t>Välj ut ett urval av samarbetsprojekt (t.ex. utifrån sektor, den operativa gruppens storlek, geografi etc.) för att samla in uppgifter och information från stödmottagare om indikatorer via enkäten.</w:t>
            </w:r>
          </w:p>
          <w:p w:rsidR="00A45935" w:rsidRPr="00385368" w:rsidRDefault="00A45935" w:rsidP="00C202EC">
            <w:pPr>
              <w:pStyle w:val="Hlistbullet"/>
              <w:rPr>
                <w:sz w:val="18"/>
                <w:szCs w:val="18"/>
              </w:rPr>
            </w:pPr>
            <w:r>
              <w:rPr>
                <w:sz w:val="18"/>
                <w:szCs w:val="18"/>
              </w:rPr>
              <w:t>Utforma enkäterna med öppna frågor om hur insatserna för åtgärderna M1 och M2, de operativa grupperna och de lokala aktionsgrupperna bidrog till a) utbytet av innovativa idéer, b) byggandet av innovationskapacitet, c) skapandet av en gynnsam miljö för innovation.</w:t>
            </w:r>
          </w:p>
          <w:p w:rsidR="00A45935" w:rsidRPr="00385368" w:rsidRDefault="00A45935" w:rsidP="00C202EC">
            <w:pPr>
              <w:pStyle w:val="Hlistbullet"/>
              <w:rPr>
                <w:sz w:val="18"/>
                <w:szCs w:val="18"/>
              </w:rPr>
            </w:pPr>
            <w:r>
              <w:rPr>
                <w:sz w:val="18"/>
                <w:szCs w:val="18"/>
              </w:rPr>
              <w:t>Använd enkätresultaten för att</w:t>
            </w:r>
          </w:p>
          <w:p w:rsidR="00A45935" w:rsidRPr="00385368" w:rsidRDefault="00A45935" w:rsidP="00C202EC">
            <w:pPr>
              <w:pStyle w:val="Hlistbullet2"/>
              <w:rPr>
                <w:sz w:val="18"/>
                <w:szCs w:val="18"/>
              </w:rPr>
            </w:pPr>
            <w:r>
              <w:rPr>
                <w:sz w:val="18"/>
                <w:szCs w:val="18"/>
              </w:rPr>
              <w:t>bedöma hur olika former av utbildnings- och informationsinsatser inom ramen för åtgärd M1 bidrar till att stödja innovation,</w:t>
            </w:r>
          </w:p>
          <w:p w:rsidR="00A45935" w:rsidRPr="00385368" w:rsidRDefault="00A45935" w:rsidP="00C202EC">
            <w:pPr>
              <w:pStyle w:val="Hlistbullet2"/>
              <w:rPr>
                <w:sz w:val="18"/>
                <w:szCs w:val="18"/>
              </w:rPr>
            </w:pPr>
            <w:r>
              <w:rPr>
                <w:sz w:val="18"/>
                <w:szCs w:val="18"/>
              </w:rPr>
              <w:t>bedöma hur rådgivningstjänsterna bidrar till att stödja innovation,</w:t>
            </w:r>
          </w:p>
          <w:p w:rsidR="00A45935" w:rsidRPr="00385368" w:rsidRDefault="00A45935" w:rsidP="00C202EC">
            <w:pPr>
              <w:pStyle w:val="Hlistbullet2"/>
              <w:rPr>
                <w:sz w:val="18"/>
                <w:szCs w:val="18"/>
              </w:rPr>
            </w:pPr>
            <w:r>
              <w:rPr>
                <w:sz w:val="18"/>
                <w:szCs w:val="18"/>
              </w:rPr>
              <w:t xml:space="preserve">bedöma hur de operativa grupperna bidrar till framtagningen av resultat som kan användas, </w:t>
            </w:r>
          </w:p>
          <w:p w:rsidR="00A45935" w:rsidRPr="00385368" w:rsidRDefault="00A45935" w:rsidP="00C202EC">
            <w:pPr>
              <w:pStyle w:val="Hlistbullet2"/>
            </w:pPr>
            <w:r>
              <w:rPr>
                <w:sz w:val="18"/>
                <w:szCs w:val="18"/>
              </w:rPr>
              <w:t>bedöma hur de lokala aktionsgrupperna främjar innovation genom projekt som stöds av LLU-strategier eller insatser som utförs av de lokala aktionsgrupperna genom deras ledning.</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lastRenderedPageBreak/>
              <w:t>Fokusgrupper</w:t>
            </w:r>
          </w:p>
        </w:tc>
        <w:tc>
          <w:tcPr>
            <w:tcW w:w="6770" w:type="dxa"/>
          </w:tcPr>
          <w:p w:rsidR="00A45935" w:rsidRPr="00385368" w:rsidRDefault="00A45935" w:rsidP="00C202EC">
            <w:pPr>
              <w:pStyle w:val="Hlistbullet"/>
              <w:rPr>
                <w:sz w:val="18"/>
                <w:szCs w:val="18"/>
              </w:rPr>
            </w:pPr>
            <w:r>
              <w:rPr>
                <w:sz w:val="18"/>
                <w:szCs w:val="18"/>
              </w:rPr>
              <w:t>Involvera innovationsaktörer i fokusgrupperna (t.ex. innovationsstödjande tjänster, rådgivare som fungerar som innovationsförmedlare, center för forskning och innovation etc.).</w:t>
            </w:r>
          </w:p>
          <w:p w:rsidR="00A45935" w:rsidRPr="00385368" w:rsidRDefault="00A45935" w:rsidP="00C202EC">
            <w:pPr>
              <w:pStyle w:val="Hlistbullet"/>
              <w:rPr>
                <w:sz w:val="18"/>
                <w:szCs w:val="18"/>
              </w:rPr>
            </w:pPr>
            <w:r>
              <w:rPr>
                <w:sz w:val="18"/>
                <w:szCs w:val="18"/>
              </w:rPr>
              <w:t>Analysera hur relevanta delåtgärder i åtgärderna M1 och M2 samt de operativa grupperna och de lokala aktionsgrupperna påverkar innovationskapaciteten och skapandet av en gynnsam miljö för innovation.</w:t>
            </w:r>
          </w:p>
          <w:p w:rsidR="00A45935" w:rsidRPr="00385368" w:rsidRDefault="00A45935" w:rsidP="00C202EC">
            <w:pPr>
              <w:pStyle w:val="Hlistbullet"/>
              <w:rPr>
                <w:sz w:val="18"/>
                <w:szCs w:val="18"/>
              </w:rPr>
            </w:pPr>
            <w:r>
              <w:rPr>
                <w:sz w:val="18"/>
                <w:szCs w:val="18"/>
              </w:rPr>
              <w:t>Fundera på alternativet med tematiska fokusgrupper (t.ex. en fokusgrupp om innovationsförmedling).</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Delphimetoden</w:t>
            </w:r>
          </w:p>
        </w:tc>
        <w:tc>
          <w:tcPr>
            <w:tcW w:w="6770" w:type="dxa"/>
          </w:tcPr>
          <w:p w:rsidR="00A45935" w:rsidRPr="00385368" w:rsidRDefault="00A45935" w:rsidP="00C202EC">
            <w:pPr>
              <w:pStyle w:val="Hlistbullet"/>
              <w:rPr>
                <w:sz w:val="18"/>
                <w:szCs w:val="18"/>
              </w:rPr>
            </w:pPr>
            <w:r>
              <w:rPr>
                <w:sz w:val="18"/>
                <w:szCs w:val="18"/>
              </w:rPr>
              <w:t>Involvera innovationsexperter (t.ex. experter som är involverade i åtgärderna och samarbetsprojekten, men även akademiker och andra innovationsexperter).</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Utvärderingsmetoder som rapporterats i den årliga genomföranderapporten 2017</w:t>
      </w:r>
    </w:p>
    <w:p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mc:AlternateContent>
          <mc:Choice Requires="wps">
            <w:drawing>
              <wp:inline distT="0" distB="0" distL="0" distR="0" wp14:anchorId="39F6C028" wp14:editId="57336FA5">
                <wp:extent cx="5878195" cy="5999870"/>
                <wp:effectExtent l="0" t="0" r="27305" b="20320"/>
                <wp:docPr id="60" name="Rectangle: Diagonal Corners Rounded 60"/>
                <wp:cNvGraphicFramePr/>
                <a:graphic xmlns:a="http://schemas.openxmlformats.org/drawingml/2006/main">
                  <a:graphicData uri="http://schemas.microsoft.com/office/word/2010/wordprocessingShape">
                    <wps:wsp>
                      <wps:cNvSpPr/>
                      <wps:spPr>
                        <a:xfrm>
                          <a:off x="0" y="0"/>
                          <a:ext cx="5878195" cy="5999870"/>
                        </a:xfrm>
                        <a:prstGeom prst="round2DiagRect">
                          <a:avLst>
                            <a:gd name="adj1" fmla="val 5521"/>
                            <a:gd name="adj2" fmla="val 0"/>
                          </a:avLst>
                        </a:prstGeom>
                        <a:noFill/>
                        <a:ln w="25400" cap="flat" cmpd="sng" algn="ctr">
                          <a:solidFill>
                            <a:srgbClr val="F07E31"/>
                          </a:solidFill>
                          <a:prstDash val="solid"/>
                        </a:ln>
                        <a:effectLst/>
                      </wps:spPr>
                      <wps:txbx>
                        <w:txbxContent>
                          <w:p w:rsidR="004C3777" w:rsidRPr="00C202EC" w:rsidRDefault="004C3777"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73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4C3777" w:rsidRPr="00C202EC" w:rsidRDefault="004C3777" w:rsidP="00C202EC">
                            <w:pPr>
                              <w:pStyle w:val="Normal12PTcouleurgris"/>
                              <w:spacing w:after="120"/>
                              <w:ind w:left="567" w:hanging="567"/>
                              <w:rPr>
                                <w:b/>
                                <w:color w:val="F07E31"/>
                                <w:sz w:val="18"/>
                              </w:rPr>
                            </w:pPr>
                            <w:r>
                              <w:rPr>
                                <w:b/>
                                <w:color w:val="F07E31"/>
                                <w:sz w:val="18"/>
                              </w:rPr>
                              <w:t>Exempel på identifiering av innovationspotentialen</w:t>
                            </w:r>
                          </w:p>
                          <w:p w:rsidR="004C3777" w:rsidRPr="00C202EC" w:rsidRDefault="004C3777" w:rsidP="00C202EC">
                            <w:pPr>
                              <w:pStyle w:val="Hlistbullet"/>
                              <w:rPr>
                                <w:sz w:val="18"/>
                                <w:szCs w:val="18"/>
                              </w:rPr>
                            </w:pPr>
                            <w:r>
                              <w:rPr>
                                <w:b/>
                                <w:sz w:val="18"/>
                                <w:szCs w:val="18"/>
                              </w:rPr>
                              <w:t>Castilla y León (ES)</w:t>
                            </w:r>
                            <w:r>
                              <w:rPr>
                                <w:sz w:val="18"/>
                                <w:szCs w:val="18"/>
                              </w:rPr>
                              <w:t xml:space="preserve"> – betonar de lokala aktionsgruppernas innovationspotential och rekommenderar en analys av de lokala utvecklingsstrategierna för att identifiera vilka olika typer av insatser som genomförts inom strategierna och som främjar de lokala aktionsgruppernas bidrag till de innovationsrelaterade målen i fokusområde 1A.</w:t>
                            </w:r>
                            <w:r>
                              <w:rPr>
                                <w:b/>
                                <w:sz w:val="18"/>
                                <w:szCs w:val="18"/>
                              </w:rPr>
                              <w:t xml:space="preserve"> </w:t>
                            </w:r>
                          </w:p>
                          <w:p w:rsidR="004C3777" w:rsidRPr="00C202EC" w:rsidRDefault="004C3777" w:rsidP="00C202EC">
                            <w:pPr>
                              <w:pStyle w:val="Hlistbullet"/>
                              <w:rPr>
                                <w:sz w:val="18"/>
                                <w:szCs w:val="18"/>
                              </w:rPr>
                            </w:pPr>
                            <w:r>
                              <w:rPr>
                                <w:b/>
                                <w:sz w:val="18"/>
                                <w:szCs w:val="18"/>
                              </w:rPr>
                              <w:t>Kanarieöarna (ES)</w:t>
                            </w:r>
                            <w:r>
                              <w:rPr>
                                <w:sz w:val="18"/>
                                <w:szCs w:val="18"/>
                              </w:rPr>
                              <w:t xml:space="preserve"> – betonar också de lokala aktionsgruppernas innovationspotential och rekommenderar att en variabel införs i övervaknings- och utvärderingssystemet för att visa om de insatser som genomförts av de lokala aktionsgrupperna inom ramen för lokala utvecklingsstrategier enligt åtgärd M19 är innovativa.</w:t>
                            </w:r>
                          </w:p>
                          <w:p w:rsidR="004C3777" w:rsidRPr="00C202EC" w:rsidRDefault="004C3777" w:rsidP="003F6478">
                            <w:pPr>
                              <w:pStyle w:val="HStandard"/>
                              <w:ind w:left="567" w:hanging="567"/>
                              <w:rPr>
                                <w:b/>
                                <w:color w:val="F07E31"/>
                                <w:sz w:val="18"/>
                                <w:szCs w:val="18"/>
                              </w:rPr>
                            </w:pPr>
                            <w:r>
                              <w:rPr>
                                <w:b/>
                                <w:color w:val="F07E31"/>
                                <w:sz w:val="18"/>
                                <w:szCs w:val="18"/>
                              </w:rPr>
                              <w:t xml:space="preserve">Exempel på kompletterande utvärderingsfaktorer </w:t>
                            </w:r>
                          </w:p>
                          <w:p w:rsidR="004C3777" w:rsidRPr="00C202EC" w:rsidRDefault="004C3777" w:rsidP="00C202EC">
                            <w:pPr>
                              <w:pStyle w:val="Hlistbullet"/>
                              <w:rPr>
                                <w:sz w:val="18"/>
                                <w:szCs w:val="18"/>
                              </w:rPr>
                            </w:pPr>
                            <w:r>
                              <w:rPr>
                                <w:b/>
                                <w:sz w:val="18"/>
                                <w:szCs w:val="18"/>
                              </w:rPr>
                              <w:t>Bayern (DE)</w:t>
                            </w:r>
                            <w:r>
                              <w:rPr>
                                <w:sz w:val="18"/>
                                <w:szCs w:val="18"/>
                              </w:rPr>
                              <w:t xml:space="preserve"> – nämner användningen av kompletterande bedömningskriterier som rör innovation på nivån för de lokala aktionsgrupperna (t.ex. nya sektorsöverskridande projekt som införts av de lokala aktionsgrupperna, nya processer/tekniker som har provats). En kompletterande resultatindikator har använts (nya idéer/lösningar, innovationer – M19). Indikatorn har kvantifierats och informationen har samlats in via a) en onlineenkät till de lokala aktionsgruppernas förvaltare, b) delvis strukturerade intervjuer med vissa av de lokala aktionsgruppernas förvaltare. </w:t>
                            </w:r>
                          </w:p>
                          <w:p w:rsidR="004C3777" w:rsidRPr="00C202EC" w:rsidRDefault="004C3777" w:rsidP="00C202EC">
                            <w:pPr>
                              <w:pStyle w:val="Hlistbullet"/>
                              <w:rPr>
                                <w:sz w:val="18"/>
                                <w:szCs w:val="18"/>
                              </w:rPr>
                            </w:pPr>
                            <w:r>
                              <w:rPr>
                                <w:b/>
                                <w:sz w:val="18"/>
                                <w:szCs w:val="18"/>
                              </w:rPr>
                              <w:t>Tjeckien</w:t>
                            </w:r>
                            <w:r>
                              <w:rPr>
                                <w:sz w:val="18"/>
                                <w:szCs w:val="18"/>
                              </w:rPr>
                              <w:t xml:space="preserve"> – beskriver insamlingen av uppgifter för den kompletterande resultatindikatorn ”antal deltagare som slutför insatser med inriktning på innovationer” via insatsdatabasen. Vidare nämns en enkät med stödmottagare till projekt som har fått stöd för att samla in information om innovation.</w:t>
                            </w:r>
                          </w:p>
                          <w:p w:rsidR="004C3777" w:rsidRPr="00C202EC" w:rsidRDefault="004C3777" w:rsidP="00142A64">
                            <w:pPr>
                              <w:pStyle w:val="HStandard"/>
                              <w:rPr>
                                <w:b/>
                                <w:sz w:val="18"/>
                                <w:szCs w:val="18"/>
                              </w:rPr>
                            </w:pPr>
                            <w:r>
                              <w:rPr>
                                <w:b/>
                                <w:color w:val="F07E31"/>
                                <w:sz w:val="18"/>
                                <w:szCs w:val="18"/>
                              </w:rPr>
                              <w:t>Exempel på metoder</w:t>
                            </w:r>
                          </w:p>
                          <w:p w:rsidR="004C3777" w:rsidRPr="00C202EC" w:rsidRDefault="004C3777" w:rsidP="00C202EC">
                            <w:pPr>
                              <w:pStyle w:val="Hlistbullet"/>
                              <w:rPr>
                                <w:sz w:val="18"/>
                                <w:szCs w:val="18"/>
                              </w:rPr>
                            </w:pPr>
                            <w:r>
                              <w:rPr>
                                <w:b/>
                                <w:sz w:val="18"/>
                                <w:szCs w:val="18"/>
                              </w:rPr>
                              <w:t>Castilla y León (ES)</w:t>
                            </w:r>
                            <w:r>
                              <w:rPr>
                                <w:sz w:val="18"/>
                                <w:szCs w:val="18"/>
                              </w:rPr>
                              <w:t xml:space="preserve"> – rekommenderar att varje åtgärdsansvarig intervjuas och att ytterligare dataposter tas med i övervakningssystemet för att möjliggöra en bedömning av hur olika insatser införlivar innovativa delar och bidrar till innovationsmålen.</w:t>
                            </w:r>
                          </w:p>
                          <w:p w:rsidR="004C3777" w:rsidRPr="00C202EC" w:rsidRDefault="004C3777" w:rsidP="00C202EC">
                            <w:pPr>
                              <w:pStyle w:val="Hlistbullet"/>
                            </w:pPr>
                            <w:r>
                              <w:rPr>
                                <w:b/>
                                <w:sz w:val="18"/>
                                <w:szCs w:val="18"/>
                              </w:rPr>
                              <w:t>Castilla-La Mancha (ES)</w:t>
                            </w:r>
                            <w:r>
                              <w:rPr>
                                <w:sz w:val="18"/>
                                <w:szCs w:val="18"/>
                              </w:rPr>
                              <w:t xml:space="preserve"> – har använt en enkät som skickades till alla utbildningsdeltagare för att bland annat utvärdera hur kunskapsöverföring och informationsåtgärder bidrar till innovation. Enkäten medgav en bedömning av innovativa utbildningstillfällen.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F6C028" id="Rectangle: Diagonal Corners Rounded 60" o:spid="_x0000_s1044" style="width:462.85pt;height:472.45pt;visibility:visible;mso-wrap-style:square;mso-left-percent:-10001;mso-top-percent:-10001;mso-position-horizontal:absolute;mso-position-horizontal-relative:char;mso-position-vertical:absolute;mso-position-vertical-relative:line;mso-left-percent:-10001;mso-top-percent:-10001;v-text-anchor:middle" coordsize="5878195,5999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" adj="-11796480,,5400" path="m324535,l5878195,r,l5878195,5675335v,179236,-145299,324535,-324535,324535l,5999870r,l,324535c,145299,145299,,324535,xe" filled="f" strokecolor="#f07e31" strokeweight="2pt">
                <v:stroke joinstyle="miter"/>
                <v:formulas/>
                <v:path arrowok="t" o:connecttype="custom" o:connectlocs="324535,0;5878195,0;5878195,0;5878195,5675335;5553660,5999870;0,5999870;0,5999870;0,324535;324535,0" o:connectangles="0,0,0,0,0,0,0,0,0" textboxrect="0,0,5878195,5999870"/>
                <v:textbox>
                  <w:txbxContent>
                    <w:p w:rsidR="004C3777" w:rsidRPr="00C202EC" w:rsidRDefault="004C3777"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73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4C3777" w:rsidRPr="00C202EC" w:rsidRDefault="004C3777" w:rsidP="00C202EC">
                      <w:pPr>
                        <w:pStyle w:val="Normal12PTcouleurgris"/>
                        <w:spacing w:after="120"/>
                        <w:ind w:left="567" w:hanging="567"/>
                        <w:rPr>
                          <w:b/>
                          <w:color w:val="F07E31"/>
                          <w:sz w:val="18"/>
                        </w:rPr>
                      </w:pPr>
                      <w:r>
                        <w:rPr>
                          <w:b/>
                          <w:color w:val="F07E31"/>
                          <w:sz w:val="18"/>
                        </w:rPr>
                        <w:t>Exempel på identifiering av innovationspotentialen</w:t>
                      </w:r>
                    </w:p>
                    <w:p w:rsidR="004C3777" w:rsidRPr="00C202EC" w:rsidRDefault="004C3777" w:rsidP="00C202EC">
                      <w:pPr>
                        <w:pStyle w:val="Hlistbullet"/>
                        <w:rPr>
                          <w:sz w:val="18"/>
                          <w:szCs w:val="18"/>
                        </w:rPr>
                      </w:pPr>
                      <w:r>
                        <w:rPr>
                          <w:b/>
                          <w:sz w:val="18"/>
                          <w:szCs w:val="18"/>
                        </w:rPr>
                        <w:t>Castilla y León (ES)</w:t>
                      </w:r>
                      <w:r>
                        <w:rPr>
                          <w:sz w:val="18"/>
                          <w:szCs w:val="18"/>
                        </w:rPr>
                        <w:t xml:space="preserve"> – betonar de lokala aktionsgruppernas innovationspotential och rekommenderar en analys av de lokala utvecklingsstrategierna för att identifiera vilka olika typer av insatser som genomförts inom strategierna och som främjar de lokala aktionsgruppernas bidrag till de innovationsrelaterade målen i fokusområde 1A.</w:t>
                      </w:r>
                      <w:r>
                        <w:rPr>
                          <w:b/>
                          <w:sz w:val="18"/>
                          <w:szCs w:val="18"/>
                        </w:rPr>
                        <w:t xml:space="preserve"> </w:t>
                      </w:r>
                    </w:p>
                    <w:p w:rsidR="004C3777" w:rsidRPr="00C202EC" w:rsidRDefault="004C3777" w:rsidP="00C202EC">
                      <w:pPr>
                        <w:pStyle w:val="Hlistbullet"/>
                        <w:rPr>
                          <w:sz w:val="18"/>
                          <w:szCs w:val="18"/>
                        </w:rPr>
                      </w:pPr>
                      <w:r>
                        <w:rPr>
                          <w:b/>
                          <w:sz w:val="18"/>
                          <w:szCs w:val="18"/>
                        </w:rPr>
                        <w:t>Kanarieöarna (ES)</w:t>
                      </w:r>
                      <w:r>
                        <w:rPr>
                          <w:sz w:val="18"/>
                          <w:szCs w:val="18"/>
                        </w:rPr>
                        <w:t xml:space="preserve"> – betonar också de lokala aktionsgruppernas innovationspotential och rekommenderar att en variabel införs i övervaknings- och utvärderingssystemet för att visa om de insatser som genomförts av de lokala aktionsgrupperna inom ramen för lokala utvecklingsstrategier enligt åtgärd M19 är innovativa.</w:t>
                      </w:r>
                    </w:p>
                    <w:p w:rsidR="004C3777" w:rsidRPr="00C202EC" w:rsidRDefault="004C3777" w:rsidP="003F6478">
                      <w:pPr>
                        <w:pStyle w:val="HStandard"/>
                        <w:ind w:left="567" w:hanging="567"/>
                        <w:rPr>
                          <w:b/>
                          <w:color w:val="F07E31"/>
                          <w:sz w:val="18"/>
                          <w:szCs w:val="18"/>
                        </w:rPr>
                      </w:pPr>
                      <w:r>
                        <w:rPr>
                          <w:b/>
                          <w:color w:val="F07E31"/>
                          <w:sz w:val="18"/>
                          <w:szCs w:val="18"/>
                        </w:rPr>
                        <w:t xml:space="preserve">Exempel på kompletterande utvärderingsfaktorer </w:t>
                      </w:r>
                    </w:p>
                    <w:p w:rsidR="004C3777" w:rsidRPr="00C202EC" w:rsidRDefault="004C3777" w:rsidP="00C202EC">
                      <w:pPr>
                        <w:pStyle w:val="Hlistbullet"/>
                        <w:rPr>
                          <w:sz w:val="18"/>
                          <w:szCs w:val="18"/>
                        </w:rPr>
                      </w:pPr>
                      <w:r>
                        <w:rPr>
                          <w:b/>
                          <w:sz w:val="18"/>
                          <w:szCs w:val="18"/>
                        </w:rPr>
                        <w:t>Bayern (DE)</w:t>
                      </w:r>
                      <w:r>
                        <w:rPr>
                          <w:sz w:val="18"/>
                          <w:szCs w:val="18"/>
                        </w:rPr>
                        <w:t xml:space="preserve"> – nämner användningen av kompletterande bedömningskriterier som rör innovation på nivån för de lokala aktionsgrupperna (t.ex. nya sektorsöverskridande projekt som införts av de lokala aktionsgrupperna, nya processer/tekniker som har provats). En kompletterande resultatindikator har använts (nya idéer/lösningar, innovationer – M19). Indikatorn har kvantifierats och informationen har samlats in via a) en onlineenkät till de lokala aktionsgruppernas förvaltare, b) delvis strukturerade intervjuer med vissa av de lokala aktionsgruppernas förvaltare. </w:t>
                      </w:r>
                    </w:p>
                    <w:p w:rsidR="004C3777" w:rsidRPr="00C202EC" w:rsidRDefault="004C3777" w:rsidP="00C202EC">
                      <w:pPr>
                        <w:pStyle w:val="Hlistbullet"/>
                        <w:rPr>
                          <w:sz w:val="18"/>
                          <w:szCs w:val="18"/>
                        </w:rPr>
                      </w:pPr>
                      <w:r>
                        <w:rPr>
                          <w:b/>
                          <w:sz w:val="18"/>
                          <w:szCs w:val="18"/>
                        </w:rPr>
                        <w:t>Tjeckien</w:t>
                      </w:r>
                      <w:r>
                        <w:rPr>
                          <w:sz w:val="18"/>
                          <w:szCs w:val="18"/>
                        </w:rPr>
                        <w:t xml:space="preserve"> – beskriver insamlingen av uppgifter för den kompletterande resultatindikatorn ”antal deltagare som slutför insatser med inriktning på innovationer” via insatsdatabasen. Vidare nämns en enkät med stödmottagare till projekt som har fått stöd för att samla in information om innovation.</w:t>
                      </w:r>
                    </w:p>
                    <w:p w:rsidR="004C3777" w:rsidRPr="00C202EC" w:rsidRDefault="004C3777" w:rsidP="00142A64">
                      <w:pPr>
                        <w:pStyle w:val="HStandard"/>
                        <w:rPr>
                          <w:b/>
                          <w:sz w:val="18"/>
                          <w:szCs w:val="18"/>
                        </w:rPr>
                      </w:pPr>
                      <w:r>
                        <w:rPr>
                          <w:b/>
                          <w:color w:val="F07E31"/>
                          <w:sz w:val="18"/>
                          <w:szCs w:val="18"/>
                        </w:rPr>
                        <w:t>Exempel på metoder</w:t>
                      </w:r>
                    </w:p>
                    <w:p w:rsidR="004C3777" w:rsidRPr="00C202EC" w:rsidRDefault="004C3777" w:rsidP="00C202EC">
                      <w:pPr>
                        <w:pStyle w:val="Hlistbullet"/>
                        <w:rPr>
                          <w:sz w:val="18"/>
                          <w:szCs w:val="18"/>
                        </w:rPr>
                      </w:pPr>
                      <w:r>
                        <w:rPr>
                          <w:b/>
                          <w:sz w:val="18"/>
                          <w:szCs w:val="18"/>
                        </w:rPr>
                        <w:t>Castilla y León (ES)</w:t>
                      </w:r>
                      <w:r>
                        <w:rPr>
                          <w:sz w:val="18"/>
                          <w:szCs w:val="18"/>
                        </w:rPr>
                        <w:t xml:space="preserve"> – rekommenderar att varje åtgärdsansvarig intervjuas och att ytterligare dataposter tas med i övervakningssystemet för att möjliggöra en bedömning av hur olika insatser införlivar innovativa delar och bidrar till innovationsmålen.</w:t>
                      </w:r>
                    </w:p>
                    <w:p w:rsidR="004C3777" w:rsidRPr="00C202EC" w:rsidRDefault="004C3777" w:rsidP="00C202EC">
                      <w:pPr>
                        <w:pStyle w:val="Hlistbullet"/>
                      </w:pPr>
                      <w:r>
                        <w:rPr>
                          <w:b/>
                          <w:sz w:val="18"/>
                          <w:szCs w:val="18"/>
                        </w:rPr>
                        <w:t>Castilla-La Mancha (ES)</w:t>
                      </w:r>
                      <w:r>
                        <w:rPr>
                          <w:sz w:val="18"/>
                          <w:szCs w:val="18"/>
                        </w:rPr>
                        <w:t xml:space="preserve"> – har använt en enkät som skickades till alla utbildningsdeltagare för att bland annat utvärdera hur kunskapsöverföring och informationsåtgärder bidrar till innovation. Enkäten medgav en bedömning av innovativa utbildningstillfällen.</w:t>
                      </w:r>
                    </w:p>
                  </w:txbxContent>
                </v:textbox>
                <w10:anchorlock/>
              </v:shape>
            </w:pict>
          </mc:Fallback>
        </mc:AlternateContent>
      </w:r>
    </w:p>
    <w:p w:rsidR="00C202EC" w:rsidRDefault="00C202EC">
      <w:pPr>
        <w:jc w:val="left"/>
        <w:rPr>
          <w:rFonts w:eastAsia="Times New Roman" w:cs="Times New Roman"/>
          <w:b/>
          <w:i/>
          <w:sz w:val="18"/>
          <w:szCs w:val="18"/>
        </w:rPr>
      </w:pPr>
      <w:r>
        <w:lastRenderedPageBreak/>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Risker och lösningar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Risker</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Lösningar</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Vissa dataposter (t.ex. det slutliga antalet samarbetsprojekt) är inte tillgängliga förrän efter programperiodens slut.</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De typer av samarbetsstrukturer/operativa grupper som har skapats (rättslig struktur, sammansättning, parternas åtagandeförklaring etc.) kan analyseras genom en kvalitativ bedömning som en proxyvariabel för det slutliga antalet samarbetsstrukturer.</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Information om sammansättningen och typerna av partner i samarbetsprojekten eller innovationsaktörer i åtgärderna M1 och M2 registreras inte i övervakningsuppgifterna.</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Sammansättningen och typerna av partner kan bedömas med hjälp av enkäter och intervjuer om de insatser som har fått stöd. Som ett alternativ kan ansökningsformulären till de insatser som har fått stöd innehålla användbara uppgifter.</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Typen av innovation som skapats och dess användning registreras inte i övervakningstabellerna.</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Enkäter, fokusgrupper och intervjuer med operativa grupper kan underlätta uppskattningen av vilka typer av innovation som har skapats.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Slutsatser och rekommendationer</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 xml:space="preserve">Slutsatserna och rekommendationerna bör behandla </w:t>
      </w:r>
      <w:r w:rsidR="00523D76">
        <w:rPr>
          <w:szCs w:val="20"/>
          <w:shd w:val="clear" w:color="auto" w:fill="FFFFFF"/>
        </w:rPr>
        <w:t xml:space="preserve">åtminstone </w:t>
      </w:r>
      <w:r>
        <w:rPr>
          <w:szCs w:val="20"/>
          <w:shd w:val="clear" w:color="auto" w:fill="FFFFFF"/>
        </w:rPr>
        <w:t>följande politiska frågor:</w:t>
      </w:r>
    </w:p>
    <w:p w:rsidR="00A45935" w:rsidRPr="00B41573" w:rsidRDefault="00A45935" w:rsidP="00AB16BB">
      <w:pPr>
        <w:pStyle w:val="Hlistbullet"/>
        <w:rPr>
          <w:rFonts w:eastAsia="Calibri"/>
          <w:shd w:val="clear" w:color="auto" w:fill="FFFFFF"/>
        </w:rPr>
      </w:pPr>
      <w:r>
        <w:rPr>
          <w:b/>
          <w:shd w:val="clear" w:color="auto" w:fill="FFFFFF"/>
        </w:rPr>
        <w:t>Förverkligandet av innovationspotentialen</w:t>
      </w:r>
      <w:r>
        <w:rPr>
          <w:shd w:val="clear" w:color="auto" w:fill="FFFFFF"/>
        </w:rPr>
        <w:t xml:space="preserve"> (genom de tre handlingsvägarna) i åtgärderna M1, M2, M16 och M19 samt deras identifierade delåtgärder.</w:t>
      </w:r>
    </w:p>
    <w:p w:rsidR="00A45935" w:rsidRPr="00B41573" w:rsidRDefault="00A45935" w:rsidP="00AB16BB">
      <w:pPr>
        <w:pStyle w:val="Hlistbullet"/>
        <w:rPr>
          <w:rFonts w:eastAsia="Calibri"/>
          <w:shd w:val="clear" w:color="auto" w:fill="FFFFFF"/>
        </w:rPr>
      </w:pPr>
      <w:r>
        <w:rPr>
          <w:b/>
          <w:shd w:val="clear" w:color="auto" w:fill="FFFFFF"/>
        </w:rPr>
        <w:t>Effekterna av utbildnings- och informationsinsatserna</w:t>
      </w:r>
      <w:r>
        <w:rPr>
          <w:shd w:val="clear" w:color="auto" w:fill="FFFFFF"/>
        </w:rPr>
        <w:t xml:space="preserve"> enligt åtgärd M1 och av rådgivningstjänsterna enligt M2 på byggandet av innovationskapacitet.</w:t>
      </w:r>
    </w:p>
    <w:p w:rsidR="00A45935" w:rsidRPr="00B41573" w:rsidRDefault="00A45935" w:rsidP="00AB16BB">
      <w:pPr>
        <w:pStyle w:val="Hlistbullet"/>
        <w:rPr>
          <w:rFonts w:eastAsia="Calibri"/>
          <w:shd w:val="clear" w:color="auto" w:fill="FFFFFF"/>
        </w:rPr>
      </w:pPr>
      <w:r>
        <w:rPr>
          <w:b/>
          <w:shd w:val="clear" w:color="auto" w:fill="FFFFFF"/>
        </w:rPr>
        <w:t>Effekterna av samarbetsprojekt</w:t>
      </w:r>
      <w:r>
        <w:rPr>
          <w:shd w:val="clear" w:color="auto" w:fill="FFFFFF"/>
        </w:rPr>
        <w:t>, särskilt operativa grupper för stöd till innovation, och mer specifikt</w:t>
      </w:r>
    </w:p>
    <w:p w:rsidR="00A45935" w:rsidRPr="00E05D08" w:rsidRDefault="00A45935" w:rsidP="00AB16BB">
      <w:pPr>
        <w:pStyle w:val="Hlistbullet2"/>
        <w:rPr>
          <w:rFonts w:eastAsia="Calibri"/>
          <w:shd w:val="clear" w:color="auto" w:fill="FFFFFF"/>
        </w:rPr>
      </w:pPr>
      <w:r>
        <w:rPr>
          <w:shd w:val="clear" w:color="auto" w:fill="FFFFFF"/>
        </w:rPr>
        <w:t>antalet, omfattningen, innehållet och varaktigheten av de projekt inom de operativa grupperna som kan ge användbara slutsatser om identifieringen av innovativa idéer som bör användas i praktiken,</w:t>
      </w:r>
    </w:p>
    <w:p w:rsidR="00A45935" w:rsidRPr="00E05D08" w:rsidRDefault="00A45935" w:rsidP="00AB16BB">
      <w:pPr>
        <w:pStyle w:val="Hlistbullet2"/>
        <w:rPr>
          <w:rFonts w:eastAsia="Calibri"/>
          <w:shd w:val="clear" w:color="auto" w:fill="FFFFFF"/>
        </w:rPr>
      </w:pPr>
      <w:r>
        <w:rPr>
          <w:shd w:val="clear" w:color="auto" w:fill="FFFFFF"/>
        </w:rPr>
        <w:t>antalet och typerna av projekt inom de operativa grupperna såväl som involveringen av innovationsaktörer kan leda till relevanta slutsatser om samarbetsåtgärdens framsteg i förhållande till innovationskapaciteten i landsbygdsområden,</w:t>
      </w:r>
    </w:p>
    <w:p w:rsidR="00A45935" w:rsidRPr="00E05D08" w:rsidRDefault="00A45935" w:rsidP="00AB16BB">
      <w:pPr>
        <w:pStyle w:val="Hlistbullet2"/>
        <w:rPr>
          <w:rFonts w:eastAsia="Calibri"/>
          <w:shd w:val="clear" w:color="auto" w:fill="FFFFFF"/>
        </w:rPr>
      </w:pPr>
      <w:r>
        <w:rPr>
          <w:shd w:val="clear" w:color="auto" w:fill="FFFFFF"/>
        </w:rPr>
        <w:t xml:space="preserve">slutsatser om den omfattning i vilken de operativa gruppernas projekt leder till strukturer och förfaranden som underlättar skapandet av innovation.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 xml:space="preserve">Effekterna av de lokala aktionsgruppernas insatser </w:t>
      </w:r>
      <w:r>
        <w:rPr>
          <w:szCs w:val="20"/>
          <w:shd w:val="clear" w:color="auto" w:fill="FFFFFF"/>
        </w:rPr>
        <w:t xml:space="preserve">(inbegripet samarbetet mellan de olika grupperna) och projekt som genomförts via LLU-strategier.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Läs mer</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0EBD5931" wp14:editId="250CB79C">
                <wp:extent cx="5633634" cy="1914525"/>
                <wp:effectExtent l="0" t="0" r="24765" b="28575"/>
                <wp:docPr id="5" name="Rectangle: Diagonal Corners Rounded 5"/>
                <wp:cNvGraphicFramePr/>
                <a:graphic xmlns:a="http://schemas.openxmlformats.org/drawingml/2006/main">
                  <a:graphicData uri="http://schemas.microsoft.com/office/word/2010/wordprocessingShape">
                    <wps:wsp>
                      <wps:cNvSpPr/>
                      <wps:spPr>
                        <a:xfrm>
                          <a:off x="0" y="0"/>
                          <a:ext cx="5633634" cy="1914525"/>
                        </a:xfrm>
                        <a:prstGeom prst="round2DiagRect">
                          <a:avLst>
                            <a:gd name="adj1" fmla="val 11556"/>
                            <a:gd name="adj2" fmla="val 0"/>
                          </a:avLst>
                        </a:prstGeom>
                        <a:noFill/>
                        <a:ln w="25400" cap="flat" cmpd="sng" algn="ctr">
                          <a:solidFill>
                            <a:srgbClr val="59638E"/>
                          </a:solidFill>
                          <a:prstDash val="solid"/>
                        </a:ln>
                        <a:effectLst/>
                      </wps:spPr>
                      <wps:txbx>
                        <w:txbxContent>
                          <w:p w:rsidR="004C3777" w:rsidRDefault="004C3777"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3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4C3777" w:rsidRPr="00F639C6" w:rsidRDefault="004C3777" w:rsidP="00E05D08">
                            <w:pPr>
                              <w:pStyle w:val="HStandard"/>
                              <w:rPr>
                                <w:color w:val="000000"/>
                                <w:sz w:val="18"/>
                                <w:lang w:val="en-US"/>
                              </w:rPr>
                            </w:pPr>
                            <w:r w:rsidRPr="00F639C6">
                              <w:rPr>
                                <w:sz w:val="18"/>
                                <w:lang w:val="en-US"/>
                              </w:rPr>
                              <w:t>Riktlinjerna</w:t>
                            </w:r>
                            <w:r w:rsidRPr="00F639C6">
                              <w:rPr>
                                <w:color w:val="000000"/>
                                <w:sz w:val="18"/>
                                <w:lang w:val="en-US"/>
                              </w:rPr>
                              <w:t xml:space="preserve"> </w:t>
                            </w:r>
                            <w:hyperlink r:id="rId43" w:history="1">
                              <w:r w:rsidRPr="00F639C6">
                                <w:rPr>
                                  <w:rStyle w:val="Hyperlink"/>
                                  <w:i/>
                                  <w:sz w:val="18"/>
                                  <w:lang w:val="en-US"/>
                                </w:rPr>
                                <w:t>Assessment of RDP results:</w:t>
                              </w:r>
                            </w:hyperlink>
                            <w:hyperlink r:id="rId44" w:history="1">
                              <w:r w:rsidRPr="00F639C6">
                                <w:rPr>
                                  <w:rStyle w:val="Hyperlink"/>
                                  <w:sz w:val="18"/>
                                  <w:lang w:val="en-US"/>
                                </w:rPr>
                                <w:t xml:space="preserve"> </w:t>
                              </w:r>
                              <w:r w:rsidRPr="00F639C6">
                                <w:rPr>
                                  <w:rStyle w:val="Hyperlink"/>
                                  <w:i/>
                                  <w:sz w:val="18"/>
                                  <w:lang w:val="en-US"/>
                                </w:rPr>
                                <w:t>How to Prepare for Reporting on Evaluation in 2017</w:t>
                              </w:r>
                            </w:hyperlink>
                            <w:r w:rsidRPr="00F639C6">
                              <w:rPr>
                                <w:sz w:val="18"/>
                                <w:lang w:val="en-US"/>
                              </w:rPr>
                              <w:t>, bilaga 11,</w:t>
                            </w:r>
                            <w:r w:rsidRPr="00F639C6">
                              <w:rPr>
                                <w:color w:val="000000"/>
                                <w:sz w:val="18"/>
                                <w:lang w:val="en-US"/>
                              </w:rPr>
                              <w:t xml:space="preserve"> </w:t>
                            </w:r>
                          </w:p>
                          <w:p w:rsidR="004C3777" w:rsidRPr="00730192" w:rsidRDefault="004C3777" w:rsidP="00E05D08">
                            <w:pPr>
                              <w:pStyle w:val="HStandard"/>
                              <w:rPr>
                                <w:sz w:val="18"/>
                              </w:rPr>
                            </w:pPr>
                            <w:r>
                              <w:rPr>
                                <w:sz w:val="18"/>
                              </w:rPr>
                              <w:t xml:space="preserve">Vägledande dokument </w:t>
                            </w:r>
                            <w:hyperlink r:id="rId45" w:history="1">
                              <w:r>
                                <w:rPr>
                                  <w:rStyle w:val="Hyperlink"/>
                                  <w:i/>
                                  <w:sz w:val="18"/>
                                </w:rPr>
                                <w:t>Cooperation measure</w:t>
                              </w:r>
                            </w:hyperlink>
                            <w:r>
                              <w:rPr>
                                <w:sz w:val="18"/>
                              </w:rPr>
                              <w:t xml:space="preserve"> (Samarbetsåtgärd), artikel 35 i förordning (EU) nr 1305/2013, november 2014</w:t>
                            </w:r>
                          </w:p>
                          <w:p w:rsidR="004C3777" w:rsidRPr="009D62F4" w:rsidRDefault="004C3777" w:rsidP="00E05D08">
                            <w:pPr>
                              <w:pStyle w:val="HStandard"/>
                              <w:rPr>
                                <w:sz w:val="18"/>
                                <w:szCs w:val="18"/>
                              </w:rPr>
                            </w:pPr>
                            <w:r>
                              <w:rPr>
                                <w:sz w:val="18"/>
                              </w:rPr>
                              <w:t xml:space="preserve">Dokument från den workshop som hölls av det europeiska nätverket för landsbygdsutveckling om M 16 Samarbete, juni 2016, Bryssel: </w:t>
                            </w:r>
                            <w:hyperlink r:id="rId46" w:history="1">
                              <w:r>
                                <w:rPr>
                                  <w:rStyle w:val="Hyperlink"/>
                                  <w:sz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BD5931" id="Rectangle: Diagonal Corners Rounded 5" o:spid="_x0000_s1045" style="width:443.6pt;height:150.75pt;visibility:visible;mso-wrap-style:square;mso-left-percent:-10001;mso-top-percent:-10001;mso-position-horizontal:absolute;mso-position-horizontal-relative:char;mso-position-vertical:absolute;mso-position-vertical-relative:line;mso-left-percent:-10001;mso-top-percent:-10001;v-text-anchor:middle" coordsize="5633634,1914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" adj="-11796480,,5400" path="m221243,l5633634,r,l5633634,1693282v,122189,-99054,221243,-221243,221243l,1914525r,l,221243c,99054,99054,,221243,xe" filled="f" strokecolor="#59638e" strokeweight="2pt">
                <v:stroke joinstyle="miter"/>
                <v:formulas/>
                <v:path arrowok="t" o:connecttype="custom" o:connectlocs="221243,0;5633634,0;5633634,0;5633634,1693282;5412391,1914525;0,1914525;0,1914525;0,221243;221243,0" o:connectangles="0,0,0,0,0,0,0,0,0" textboxrect="0,0,5633634,1914525"/>
                <v:textbox>
                  <w:txbxContent>
                    <w:p w:rsidR="004C3777" w:rsidRDefault="004C3777"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3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4C3777" w:rsidRPr="00F639C6" w:rsidRDefault="004C3777" w:rsidP="00E05D08">
                      <w:pPr>
                        <w:pStyle w:val="HStandard"/>
                        <w:rPr>
                          <w:color w:val="000000"/>
                          <w:sz w:val="18"/>
                          <w:lang w:val="en-US"/>
                        </w:rPr>
                      </w:pPr>
                      <w:r w:rsidRPr="00F639C6">
                        <w:rPr>
                          <w:sz w:val="18"/>
                          <w:lang w:val="en-US"/>
                        </w:rPr>
                        <w:t>Riktlinjerna</w:t>
                      </w:r>
                      <w:r w:rsidRPr="00F639C6">
                        <w:rPr>
                          <w:color w:val="000000"/>
                          <w:sz w:val="18"/>
                          <w:lang w:val="en-US"/>
                        </w:rPr>
                        <w:t xml:space="preserve"> </w:t>
                      </w:r>
                      <w:hyperlink r:id="rId47" w:history="1">
                        <w:r w:rsidRPr="00F639C6">
                          <w:rPr>
                            <w:rStyle w:val="Hyperlink"/>
                            <w:i/>
                            <w:sz w:val="18"/>
                            <w:lang w:val="en-US"/>
                          </w:rPr>
                          <w:t>Assessment of RDP results:</w:t>
                        </w:r>
                      </w:hyperlink>
                      <w:hyperlink r:id="rId48" w:history="1">
                        <w:r w:rsidRPr="00F639C6">
                          <w:rPr>
                            <w:rStyle w:val="Hyperlink"/>
                            <w:sz w:val="18"/>
                            <w:lang w:val="en-US"/>
                          </w:rPr>
                          <w:t xml:space="preserve"> </w:t>
                        </w:r>
                        <w:r w:rsidRPr="00F639C6">
                          <w:rPr>
                            <w:rStyle w:val="Hyperlink"/>
                            <w:i/>
                            <w:sz w:val="18"/>
                            <w:lang w:val="en-US"/>
                          </w:rPr>
                          <w:t>How to Prepare for Reporting on Evaluation in 2017</w:t>
                        </w:r>
                      </w:hyperlink>
                      <w:r w:rsidRPr="00F639C6">
                        <w:rPr>
                          <w:sz w:val="18"/>
                          <w:lang w:val="en-US"/>
                        </w:rPr>
                        <w:t>, bilaga 11,</w:t>
                      </w:r>
                      <w:r w:rsidRPr="00F639C6">
                        <w:rPr>
                          <w:color w:val="000000"/>
                          <w:sz w:val="18"/>
                          <w:lang w:val="en-US"/>
                        </w:rPr>
                        <w:t xml:space="preserve"> </w:t>
                      </w:r>
                    </w:p>
                    <w:p w:rsidR="004C3777" w:rsidRPr="00730192" w:rsidRDefault="004C3777" w:rsidP="00E05D08">
                      <w:pPr>
                        <w:pStyle w:val="HStandard"/>
                        <w:rPr>
                          <w:sz w:val="18"/>
                        </w:rPr>
                      </w:pPr>
                      <w:r>
                        <w:rPr>
                          <w:sz w:val="18"/>
                        </w:rPr>
                        <w:t xml:space="preserve">Vägledande dokument </w:t>
                      </w:r>
                      <w:hyperlink r:id="rId49" w:history="1">
                        <w:r>
                          <w:rPr>
                            <w:rStyle w:val="Hyperlink"/>
                            <w:i/>
                            <w:sz w:val="18"/>
                          </w:rPr>
                          <w:t>Cooperation measure</w:t>
                        </w:r>
                      </w:hyperlink>
                      <w:r>
                        <w:rPr>
                          <w:sz w:val="18"/>
                        </w:rPr>
                        <w:t xml:space="preserve"> (Samarbetsåtgärd), artikel 35 i förordning (EU) nr 1305/2013, november 2014</w:t>
                      </w:r>
                    </w:p>
                    <w:p w:rsidR="004C3777" w:rsidRPr="009D62F4" w:rsidRDefault="004C3777" w:rsidP="00E05D08">
                      <w:pPr>
                        <w:pStyle w:val="HStandard"/>
                        <w:rPr>
                          <w:sz w:val="18"/>
                          <w:szCs w:val="18"/>
                        </w:rPr>
                      </w:pPr>
                      <w:r>
                        <w:rPr>
                          <w:sz w:val="18"/>
                        </w:rPr>
                        <w:t xml:space="preserve">Dokument från den workshop som hölls av det europeiska nätverket för landsbygdsutveckling om M 16 Samarbete, juni 2016, Bryssel: </w:t>
                      </w:r>
                      <w:hyperlink r:id="rId50" w:history="1">
                        <w:r>
                          <w:rPr>
                            <w:rStyle w:val="Hyperlink"/>
                            <w:sz w:val="18"/>
                          </w:rPr>
                          <w:t>http://enrd.ec.europa.eu/news-events/events/enrd-workshop-measure-16-cooperation_en</w:t>
                        </w:r>
                      </w:hyperlink>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1" w:name="_Toc501382132"/>
      <w:bookmarkStart w:id="112" w:name="_Toc508290309"/>
      <w:r>
        <w:t>Gemensam utvärderingsfråga nr 2: ”I vilken utsträckning har insatserna inom landsbygdsprogrammet stärkt banden mellan jordbruk, livsmedelsproduktion och skogsbruk samt forskning och innovation, även för att få till stånd förbättrad miljöförvaltning och miljöprestanda?”</w:t>
      </w:r>
      <w:bookmarkEnd w:id="111"/>
      <w:bookmarkEnd w:id="11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Bakgrund till den gemensamma utvärderingsfrågan</w:t>
      </w:r>
    </w:p>
    <w:p w:rsidR="00A45935" w:rsidRPr="00E05D08" w:rsidRDefault="00A45935" w:rsidP="00E05D08">
      <w:pPr>
        <w:spacing w:after="120" w:line="280" w:lineRule="atLeast"/>
        <w:mirrorIndents/>
        <w:rPr>
          <w:rFonts w:eastAsia="Times New Roman" w:cs="Times New Roman"/>
          <w:szCs w:val="20"/>
        </w:rPr>
      </w:pPr>
      <w:r>
        <w:t>Gemensam utvärderingsfråga 2 är i första hand kopplad till åtgärd M16 och dess 10 delåtgärder i artikel 35 – Samarbete</w:t>
      </w:r>
      <w:r>
        <w:rPr>
          <w:rFonts w:eastAsia="Times New Roman" w:cs="Arial"/>
          <w:szCs w:val="20"/>
          <w:vertAlign w:val="superscript"/>
          <w:lang w:eastAsia="de-DE"/>
        </w:rPr>
        <w:footnoteReference w:id="52"/>
      </w:r>
      <w:r>
        <w:t xml:space="preserve">. </w:t>
      </w:r>
      <w:r>
        <w:rPr>
          <w:b/>
          <w:szCs w:val="20"/>
        </w:rPr>
        <w:t>Kopplingar mellan jordbruk, livsmedelsproduktion, skogsbruk samt forskning och innovation</w:t>
      </w:r>
      <w:r>
        <w:t xml:space="preserve"> kan främjas på tre olika sätt</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Samarbete mellan många olika aktörer från jordbrukssektorn, skogsbrukssektorn, livsmedelskedjan och andra som bidrar till att landsbygdsutvecklingspolitikens mål uppnås, såväl som producentgrupper, kooperativa företag och branschorganisationer.</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Skapande av kluster och nätverk, vilka är mer specifika men samtidigt viktiga former av samarbete.</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Skapande av operativa grupper inom EIP-Agri, en ny komponent inom landsbygdsutvecklingspolitiken som syftar till att sammanföra forskning och praktik.</w:t>
      </w:r>
    </w:p>
    <w:p w:rsidR="00A45935" w:rsidRPr="00E05D08" w:rsidRDefault="00A45935" w:rsidP="00E05D08">
      <w:pPr>
        <w:spacing w:after="120" w:line="280" w:lineRule="atLeast"/>
        <w:mirrorIndents/>
        <w:rPr>
          <w:rFonts w:eastAsia="Times New Roman" w:cs="Times New Roman"/>
          <w:szCs w:val="20"/>
        </w:rPr>
      </w:pPr>
      <w:r>
        <w:t>Stödet inom landsbygdsutvecklingspolitiken för dessa former av samarbete har utvecklats efterhand. Under den föregående programperioden gavs stöd åt mycket specifika former av samarbete (program för livsmedelskvalitet och producentgrupper) eller samarbete på lokal nivå (inom Leader-strategin). Den nuvarande politiken främjar kopplingar mellan en bredare krets av aktörer och ger mer flexibilitet i omfattningen och sammansättningen av samarbetsinsatserna. Genom att koppla ihop jordbruket, skogsbruket och livsmedelskedjan med aktörer inom forskning/innovation betonar landsbygdsutvecklingspolitiken innovation som en väg att uppnå landsbygdsprogrammets mål. Till exempel:</w:t>
      </w:r>
    </w:p>
    <w:p w:rsidR="00A45935" w:rsidRPr="00D35751" w:rsidRDefault="00A45935" w:rsidP="00AB16BB">
      <w:pPr>
        <w:pStyle w:val="Hlistbullet"/>
      </w:pPr>
      <w:r>
        <w:t>En koppling mellan forskning och praktik kan underlätta identifieringen av innovation som kan förbättra programmets genomförande och bidra till landsbygdsprogrammets mål.</w:t>
      </w:r>
    </w:p>
    <w:p w:rsidR="00EF1B0F" w:rsidRPr="00EF1B0F" w:rsidRDefault="00A45935" w:rsidP="00734B11">
      <w:pPr>
        <w:pStyle w:val="Hlistbullet"/>
      </w:pPr>
      <w:r>
        <w:t xml:space="preserve">Betoningen på det stöd som erbjuds till samarbetsprojekt av rådgivare och innovationsstödjande tjänster (inbegripet det stöd som nationella landsbygdsnätverk erbjuder) kan bidra till att bygga innovationskapacitet och förbättra konkurrenskraften och/eller miljön. </w:t>
      </w:r>
    </w:p>
    <w:p w:rsidR="00EF1B0F" w:rsidRDefault="00A45935" w:rsidP="00734B11">
      <w:pPr>
        <w:pStyle w:val="Hlistbullet"/>
      </w:pPr>
      <w:r>
        <w:rPr>
          <w:b/>
        </w:rPr>
        <w:lastRenderedPageBreak/>
        <w:t>Samarbete för förbättrad miljöförvaltning och miljöprestanda</w:t>
      </w:r>
      <w:r>
        <w:t xml:space="preserve"> är också en viktig del av gemensam utvärderingsfråga nr 2. Samarbetsprojekten omfattar även skydd och förbättring av resurser (vatten, mark, luft), biologisk mångfald och den naturliga miljön, såväl som begränsning av och anpassning till klimatförändringar. Miljöförvaltningen för klimatförändringar kan inbegripa åtgärder för energieffektivitet och vattenbesparing.</w:t>
      </w:r>
    </w:p>
    <w:p w:rsidR="00A45935" w:rsidRPr="00A66638" w:rsidRDefault="001F55A9" w:rsidP="00EF1B0F">
      <w:pPr>
        <w:pStyle w:val="Hlistbullet"/>
        <w:numPr>
          <w:ilvl w:val="0"/>
          <w:numId w:val="0"/>
        </w:numPr>
        <w:rPr>
          <w:color w:val="FFFFFF" w:themeColor="background1"/>
        </w:rPr>
      </w:pPr>
      <w:r>
        <w:rPr>
          <w:noProof/>
          <w:color w:val="auto"/>
          <w:sz w:val="18"/>
          <w:lang w:val="en-GB" w:eastAsia="en-GB"/>
        </w:rPr>
        <mc:AlternateContent>
          <mc:Choice Requires="wps">
            <w:drawing>
              <wp:anchor distT="0" distB="0" distL="114300" distR="114300" simplePos="0" relativeHeight="251646976" behindDoc="0" locked="0" layoutInCell="1" allowOverlap="1" wp14:anchorId="30EE039E" wp14:editId="2974153D">
                <wp:simplePos x="0" y="0"/>
                <wp:positionH relativeFrom="column">
                  <wp:posOffset>98425</wp:posOffset>
                </wp:positionH>
                <wp:positionV relativeFrom="page">
                  <wp:posOffset>1978660</wp:posOffset>
                </wp:positionV>
                <wp:extent cx="5763260" cy="6632575"/>
                <wp:effectExtent l="0" t="0" r="27940" b="1587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632575"/>
                        </a:xfrm>
                        <a:prstGeom prst="round2DiagRect">
                          <a:avLst>
                            <a:gd name="adj1" fmla="val 5422"/>
                            <a:gd name="adj2" fmla="val 0"/>
                          </a:avLst>
                        </a:prstGeom>
                        <a:noFill/>
                        <a:ln w="25400" cap="flat" cmpd="sng" algn="ctr">
                          <a:solidFill>
                            <a:srgbClr val="F07E31"/>
                          </a:solidFill>
                          <a:prstDash val="solid"/>
                        </a:ln>
                        <a:effectLst/>
                      </wps:spPr>
                      <wps:txbx>
                        <w:txbxContent>
                          <w:p w:rsidR="004C3777" w:rsidRPr="007B4A6D" w:rsidRDefault="004C3777" w:rsidP="00E05D08">
                            <w:pPr>
                              <w:pStyle w:val="HStandard"/>
                              <w:ind w:left="567" w:hanging="567"/>
                              <w:rPr>
                                <w:b/>
                                <w:color w:val="648659"/>
                                <w:sz w:val="18"/>
                                <w:szCs w:val="18"/>
                              </w:rPr>
                            </w:pPr>
                            <w:r>
                              <w:rPr>
                                <w:noProof/>
                                <w:sz w:val="18"/>
                                <w:szCs w:val="18"/>
                                <w:lang w:val="en-GB" w:eastAsia="en-GB"/>
                              </w:rPr>
                              <w:drawing>
                                <wp:inline distT="0" distB="0" distL="0" distR="0" wp14:anchorId="74B4A279" wp14:editId="50C9F770">
                                  <wp:extent cx="353060" cy="359410"/>
                                  <wp:effectExtent l="0" t="0" r="8890" b="2540"/>
                                  <wp:docPr id="3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Exempel: Samarbetsåtgärder som används för att förbättra miljöförvaltningen</w:t>
                            </w:r>
                          </w:p>
                          <w:p w:rsidR="004C3777" w:rsidRPr="007B4A6D" w:rsidRDefault="004C3777" w:rsidP="00E05D08">
                            <w:pPr>
                              <w:pStyle w:val="HStandard"/>
                              <w:rPr>
                                <w:sz w:val="18"/>
                                <w:szCs w:val="18"/>
                              </w:rPr>
                            </w:pPr>
                            <w:r>
                              <w:rPr>
                                <w:b/>
                                <w:sz w:val="18"/>
                                <w:szCs w:val="18"/>
                              </w:rPr>
                              <w:t>Finland –</w:t>
                            </w:r>
                            <w:r>
                              <w:rPr>
                                <w:sz w:val="18"/>
                                <w:szCs w:val="18"/>
                              </w:rPr>
                              <w:t xml:space="preserve"> Åtgärd M16 kompletterar andra åtgärder inom landsbygdsprogrammet för att uppnå målen för prioriteringarna P4 och P5:</w:t>
                            </w:r>
                          </w:p>
                          <w:p w:rsidR="004C3777" w:rsidRPr="00055039" w:rsidRDefault="004C3777" w:rsidP="008C0B17">
                            <w:pPr>
                              <w:pStyle w:val="HStandard"/>
                              <w:numPr>
                                <w:ilvl w:val="0"/>
                                <w:numId w:val="24"/>
                              </w:numPr>
                              <w:ind w:left="567" w:hanging="567"/>
                              <w:rPr>
                                <w:sz w:val="18"/>
                                <w:szCs w:val="18"/>
                              </w:rPr>
                            </w:pPr>
                            <w:r>
                              <w:rPr>
                                <w:sz w:val="18"/>
                                <w:szCs w:val="18"/>
                              </w:rPr>
                              <w:t>58 % av M16 såväl som delar av M1 och M2 används för att främja energieffektiviteten.</w:t>
                            </w:r>
                          </w:p>
                          <w:p w:rsidR="004C3777" w:rsidRPr="00D66182" w:rsidRDefault="004C3777" w:rsidP="008C0B17">
                            <w:pPr>
                              <w:pStyle w:val="HStandard"/>
                              <w:numPr>
                                <w:ilvl w:val="0"/>
                                <w:numId w:val="24"/>
                              </w:numPr>
                              <w:ind w:left="567" w:hanging="567"/>
                              <w:rPr>
                                <w:sz w:val="18"/>
                                <w:szCs w:val="18"/>
                              </w:rPr>
                            </w:pPr>
                            <w:r>
                              <w:rPr>
                                <w:sz w:val="18"/>
                                <w:szCs w:val="18"/>
                              </w:rPr>
                              <w:t>49 % av M16 såväl som delar av M1 och M2 används för koldioxidbindning och bevarande av kolsänkor.</w:t>
                            </w:r>
                          </w:p>
                          <w:p w:rsidR="004C3777" w:rsidRPr="000E1D4B" w:rsidRDefault="004C3777" w:rsidP="008C0B17">
                            <w:pPr>
                              <w:pStyle w:val="HStandard"/>
                              <w:numPr>
                                <w:ilvl w:val="0"/>
                                <w:numId w:val="24"/>
                              </w:numPr>
                              <w:ind w:left="567" w:hanging="567"/>
                              <w:rPr>
                                <w:sz w:val="18"/>
                                <w:szCs w:val="18"/>
                              </w:rPr>
                            </w:pPr>
                            <w:r>
                              <w:rPr>
                                <w:sz w:val="18"/>
                                <w:szCs w:val="18"/>
                              </w:rPr>
                              <w:t>10 % av M16, 84 % av M4 såväl som delar av M1 och M2 används till förnybara energikällor och avfallshantering.</w:t>
                            </w:r>
                          </w:p>
                          <w:p w:rsidR="004C3777" w:rsidRPr="000E1D4B" w:rsidRDefault="004C3777" w:rsidP="008C0B17">
                            <w:pPr>
                              <w:pStyle w:val="HStandard"/>
                              <w:numPr>
                                <w:ilvl w:val="0"/>
                                <w:numId w:val="24"/>
                              </w:numPr>
                              <w:ind w:left="567" w:hanging="567"/>
                              <w:rPr>
                                <w:sz w:val="18"/>
                                <w:szCs w:val="18"/>
                              </w:rPr>
                            </w:pPr>
                            <w:r>
                              <w:rPr>
                                <w:sz w:val="18"/>
                                <w:szCs w:val="18"/>
                              </w:rPr>
                              <w:t>5,5 % av M16, 89 % av M4 såväl som delar av M1 och M2 används för att minska utsläppen av växthusgaser och ammoniak.</w:t>
                            </w:r>
                          </w:p>
                          <w:p w:rsidR="004C3777" w:rsidRPr="000E1D4B" w:rsidRDefault="004C3777" w:rsidP="00E05D08">
                            <w:pPr>
                              <w:pStyle w:val="HStandard"/>
                              <w:rPr>
                                <w:sz w:val="18"/>
                                <w:szCs w:val="18"/>
                              </w:rPr>
                            </w:pPr>
                            <w:r>
                              <w:rPr>
                                <w:sz w:val="18"/>
                                <w:szCs w:val="18"/>
                              </w:rPr>
                              <w:t>Delåtgärderna för samarbete (t.ex. stöd för pilotprojekt inom M16.2, stöd för gemensamma åtgärder för begränsning av och anpassning till klimatförändringar och för gemensamma tillvägagångssätt och metoder för miljöprojekt enligt M16.5) har stor inverkan på fokusområdena 4A–C och 5A–E.</w:t>
                            </w:r>
                          </w:p>
                          <w:p w:rsidR="004C3777" w:rsidRPr="00AB16BB" w:rsidRDefault="004C3777" w:rsidP="00AB16BB">
                            <w:pPr>
                              <w:pStyle w:val="HSource"/>
                              <w:ind w:right="8"/>
                              <w:jc w:val="right"/>
                              <w:rPr>
                                <w:rFonts w:eastAsia="Calibri"/>
                                <w:sz w:val="14"/>
                                <w:szCs w:val="14"/>
                              </w:rPr>
                            </w:pPr>
                            <w:r>
                              <w:rPr>
                                <w:sz w:val="14"/>
                                <w:szCs w:val="14"/>
                              </w:rPr>
                              <w:t>Källa: Europeiska nätverket för landsbygdsutveckling (2016), Workshop om samarbete rörande M 16</w:t>
                            </w:r>
                            <w:r>
                              <w:rPr>
                                <w:sz w:val="14"/>
                                <w:szCs w:val="14"/>
                                <w:vertAlign w:val="superscript"/>
                              </w:rPr>
                              <w:t>54</w:t>
                            </w:r>
                            <w:r>
                              <w:rPr>
                                <w:sz w:val="14"/>
                                <w:szCs w:val="14"/>
                              </w:rPr>
                              <w:t>.</w:t>
                            </w:r>
                          </w:p>
                          <w:p w:rsidR="004C3777" w:rsidRPr="007B4A6D" w:rsidRDefault="004C3777" w:rsidP="00235D46">
                            <w:pPr>
                              <w:pStyle w:val="HStandard"/>
                              <w:spacing w:after="0"/>
                              <w:ind w:left="567" w:hanging="567"/>
                              <w:rPr>
                                <w:b/>
                                <w:sz w:val="18"/>
                                <w:szCs w:val="18"/>
                              </w:rPr>
                            </w:pPr>
                            <w:r>
                              <w:rPr>
                                <w:b/>
                                <w:color w:val="F07E31"/>
                                <w:sz w:val="18"/>
                                <w:szCs w:val="18"/>
                              </w:rPr>
                              <w:t>Exempel:</w:t>
                            </w:r>
                            <w:r>
                              <w:rPr>
                                <w:color w:val="F07E31"/>
                                <w:sz w:val="18"/>
                                <w:szCs w:val="18"/>
                              </w:rPr>
                              <w:t xml:space="preserve"> </w:t>
                            </w:r>
                            <w:r>
                              <w:rPr>
                                <w:b/>
                                <w:color w:val="F07E31"/>
                                <w:sz w:val="18"/>
                                <w:szCs w:val="18"/>
                              </w:rPr>
                              <w:t>Sammankoppling av forskare och lantbrukare</w:t>
                            </w:r>
                            <w:r>
                              <w:rPr>
                                <w:color w:val="F07E31"/>
                                <w:sz w:val="18"/>
                                <w:szCs w:val="18"/>
                              </w:rPr>
                              <w:t xml:space="preserve"> </w:t>
                            </w:r>
                          </w:p>
                          <w:p w:rsidR="004C3777" w:rsidRPr="00D66182" w:rsidRDefault="004C3777" w:rsidP="00235D46">
                            <w:pPr>
                              <w:pStyle w:val="HStandard"/>
                              <w:rPr>
                                <w:sz w:val="18"/>
                                <w:szCs w:val="18"/>
                              </w:rPr>
                            </w:pPr>
                            <w:r>
                              <w:rPr>
                                <w:b/>
                                <w:sz w:val="18"/>
                                <w:szCs w:val="18"/>
                              </w:rPr>
                              <w:t>Belgien</w:t>
                            </w:r>
                            <w:r>
                              <w:rPr>
                                <w:sz w:val="18"/>
                                <w:szCs w:val="18"/>
                              </w:rPr>
                              <w:t xml:space="preserve"> – ett innovativt grisstall hjälper till att minska ammoniakutsläppen. Möjligheten att sammanföra forskare och lantbrukare genom innovationsstödjande tjänster har varit en viktig del av utvecklingen och provningen av en teknik som minskar ammoniakutsläppen genom att särskilda bakterier tillförs till grisgödseln. Detta bidrar även till att landsbygdsprogrammets miljömål uppnås. </w:t>
                            </w:r>
                          </w:p>
                          <w:p w:rsidR="004C3777" w:rsidRPr="00AB16BB" w:rsidRDefault="004C3777" w:rsidP="00AB16BB">
                            <w:pPr>
                              <w:pStyle w:val="HStandard"/>
                              <w:jc w:val="right"/>
                              <w:rPr>
                                <w:sz w:val="14"/>
                                <w:szCs w:val="14"/>
                                <w:vertAlign w:val="superscript"/>
                              </w:rPr>
                            </w:pPr>
                            <w:r>
                              <w:rPr>
                                <w:i/>
                                <w:sz w:val="14"/>
                                <w:szCs w:val="14"/>
                              </w:rPr>
                              <w:t>Källa: Europeiska innovationspartnerskapet – servicepunkt</w:t>
                            </w:r>
                            <w:r>
                              <w:rPr>
                                <w:i/>
                                <w:sz w:val="14"/>
                                <w:szCs w:val="14"/>
                                <w:vertAlign w:val="superscript"/>
                              </w:rPr>
                              <w:t>55</w:t>
                            </w:r>
                          </w:p>
                          <w:p w:rsidR="004C3777" w:rsidRPr="007B4A6D" w:rsidRDefault="004C3777" w:rsidP="00235D46">
                            <w:pPr>
                              <w:pStyle w:val="HStandard"/>
                              <w:rPr>
                                <w:b/>
                                <w:color w:val="F07E31"/>
                                <w:sz w:val="18"/>
                                <w:szCs w:val="18"/>
                              </w:rPr>
                            </w:pPr>
                            <w:r>
                              <w:rPr>
                                <w:b/>
                                <w:color w:val="F07E31"/>
                                <w:sz w:val="18"/>
                                <w:szCs w:val="18"/>
                              </w:rPr>
                              <w:t xml:space="preserve">Exempel: Innovationsstödjande tjänster </w:t>
                            </w:r>
                          </w:p>
                          <w:p w:rsidR="004C3777" w:rsidRPr="007B4A6D" w:rsidRDefault="004C3777" w:rsidP="00235D46">
                            <w:pPr>
                              <w:pStyle w:val="HStandard"/>
                              <w:spacing w:after="0"/>
                              <w:rPr>
                                <w:b/>
                                <w:sz w:val="18"/>
                                <w:szCs w:val="18"/>
                              </w:rPr>
                            </w:pPr>
                            <w:r>
                              <w:rPr>
                                <w:b/>
                                <w:sz w:val="18"/>
                                <w:szCs w:val="18"/>
                              </w:rPr>
                              <w:t>Hessen (DE) –</w:t>
                            </w:r>
                            <w:r>
                              <w:rPr>
                                <w:sz w:val="18"/>
                                <w:szCs w:val="18"/>
                              </w:rPr>
                              <w:t xml:space="preserve"> innovationsstödjande tjänster har bidragit till uppbyggnaden av innovationskapacitet genom</w:t>
                            </w:r>
                          </w:p>
                          <w:p w:rsidR="004C3777" w:rsidRPr="00055039" w:rsidRDefault="004C3777" w:rsidP="00235D46">
                            <w:pPr>
                              <w:pStyle w:val="HStandard"/>
                              <w:numPr>
                                <w:ilvl w:val="0"/>
                                <w:numId w:val="24"/>
                              </w:numPr>
                              <w:ind w:left="567" w:hanging="567"/>
                              <w:rPr>
                                <w:sz w:val="18"/>
                                <w:szCs w:val="18"/>
                              </w:rPr>
                            </w:pPr>
                            <w:r>
                              <w:rPr>
                                <w:sz w:val="18"/>
                                <w:szCs w:val="18"/>
                              </w:rPr>
                              <w:t>stöd för genomförandet av åtgärd M16,</w:t>
                            </w:r>
                          </w:p>
                          <w:p w:rsidR="004C3777" w:rsidRPr="00D66182" w:rsidRDefault="004C3777" w:rsidP="00235D46">
                            <w:pPr>
                              <w:pStyle w:val="HStandard"/>
                              <w:numPr>
                                <w:ilvl w:val="0"/>
                                <w:numId w:val="24"/>
                              </w:numPr>
                              <w:ind w:left="567" w:hanging="567"/>
                              <w:rPr>
                                <w:sz w:val="18"/>
                                <w:szCs w:val="18"/>
                              </w:rPr>
                            </w:pPr>
                            <w:r>
                              <w:rPr>
                                <w:sz w:val="18"/>
                                <w:szCs w:val="18"/>
                              </w:rPr>
                              <w:t>information och publicitet i regionen,</w:t>
                            </w:r>
                          </w:p>
                          <w:p w:rsidR="004C3777" w:rsidRPr="000E1D4B" w:rsidRDefault="004C3777" w:rsidP="00235D46">
                            <w:pPr>
                              <w:pStyle w:val="HStandard"/>
                              <w:numPr>
                                <w:ilvl w:val="0"/>
                                <w:numId w:val="24"/>
                              </w:numPr>
                              <w:ind w:left="567" w:hanging="567"/>
                              <w:rPr>
                                <w:sz w:val="18"/>
                                <w:szCs w:val="18"/>
                              </w:rPr>
                            </w:pPr>
                            <w:r>
                              <w:rPr>
                                <w:sz w:val="18"/>
                                <w:szCs w:val="18"/>
                              </w:rPr>
                              <w:t>inrättande av nätverk för samarbetsinsatser inom Hessen i Tyskland,</w:t>
                            </w:r>
                          </w:p>
                          <w:p w:rsidR="004C3777" w:rsidRPr="000E1D4B" w:rsidRDefault="004C3777" w:rsidP="00235D46">
                            <w:pPr>
                              <w:pStyle w:val="HStandard"/>
                              <w:numPr>
                                <w:ilvl w:val="0"/>
                                <w:numId w:val="24"/>
                              </w:numPr>
                              <w:ind w:left="567" w:hanging="567"/>
                              <w:rPr>
                                <w:sz w:val="18"/>
                                <w:szCs w:val="18"/>
                              </w:rPr>
                            </w:pPr>
                            <w:r>
                              <w:rPr>
                                <w:sz w:val="18"/>
                                <w:szCs w:val="18"/>
                              </w:rPr>
                              <w:t>stöd för samarbetet under förberedelse- och genomförandefasen.</w:t>
                            </w:r>
                          </w:p>
                          <w:p w:rsidR="004C3777" w:rsidRPr="00AB16BB" w:rsidRDefault="004C3777" w:rsidP="00AB16BB">
                            <w:pPr>
                              <w:pStyle w:val="HSource"/>
                              <w:spacing w:before="0" w:after="0"/>
                              <w:ind w:right="11"/>
                              <w:jc w:val="right"/>
                              <w:rPr>
                                <w:rFonts w:eastAsia="Calibri"/>
                                <w:sz w:val="14"/>
                                <w:szCs w:val="14"/>
                              </w:rPr>
                            </w:pPr>
                            <w:r>
                              <w:rPr>
                                <w:sz w:val="14"/>
                                <w:szCs w:val="14"/>
                              </w:rPr>
                              <w:t xml:space="preserve">Källa: Europeiska nätverket för landsbygdsutveckling (2016) </w:t>
                            </w:r>
                          </w:p>
                          <w:p w:rsidR="004C3777" w:rsidRPr="00AB16BB" w:rsidRDefault="004C3777" w:rsidP="00AB16BB">
                            <w:pPr>
                              <w:pStyle w:val="HSource"/>
                              <w:spacing w:before="0" w:after="0"/>
                              <w:ind w:right="11"/>
                              <w:jc w:val="right"/>
                              <w:rPr>
                                <w:sz w:val="14"/>
                                <w:szCs w:val="14"/>
                              </w:rPr>
                            </w:pPr>
                            <w:r>
                              <w:rPr>
                                <w:sz w:val="14"/>
                                <w:szCs w:val="14"/>
                              </w:rPr>
                              <w:t>Workshop om samarbete rörande M 16</w:t>
                            </w:r>
                            <w:r>
                              <w:rPr>
                                <w:sz w:val="14"/>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039E" id="Rectangle: Diagonal Corners Rounded 24" o:spid="_x0000_s1046" style="position:absolute;left:0;text-align:left;margin-left:7.75pt;margin-top:155.8pt;width:453.8pt;height:52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632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" adj="-11796480,,5400" path="m312484,l5763260,r,l5763260,6320091v,172580,-139904,312484,-312484,312484l,6632575r,l,312484c,139904,139904,,312484,xe" filled="f" strokecolor="#f07e31" strokeweight="2pt">
                <v:stroke joinstyle="miter"/>
                <v:formulas/>
                <v:path arrowok="t" o:connecttype="custom" o:connectlocs="312484,0;5763260,0;5763260,0;5763260,6320091;5450776,6632575;0,6632575;0,6632575;0,312484;312484,0" o:connectangles="0,0,0,0,0,0,0,0,0" textboxrect="0,0,5763260,6632575"/>
                <v:textbox>
                  <w:txbxContent>
                    <w:p w:rsidR="004C3777" w:rsidRPr="007B4A6D" w:rsidRDefault="004C3777" w:rsidP="00E05D08">
                      <w:pPr>
                        <w:pStyle w:val="HStandard"/>
                        <w:ind w:left="567" w:hanging="567"/>
                        <w:rPr>
                          <w:b/>
                          <w:color w:val="648659"/>
                          <w:sz w:val="18"/>
                          <w:szCs w:val="18"/>
                        </w:rPr>
                      </w:pPr>
                      <w:r>
                        <w:rPr>
                          <w:noProof/>
                          <w:sz w:val="18"/>
                          <w:szCs w:val="18"/>
                          <w:lang w:val="en-GB" w:eastAsia="en-GB"/>
                        </w:rPr>
                        <w:drawing>
                          <wp:inline distT="0" distB="0" distL="0" distR="0" wp14:anchorId="74B4A279" wp14:editId="50C9F770">
                            <wp:extent cx="353060" cy="359410"/>
                            <wp:effectExtent l="0" t="0" r="8890" b="2540"/>
                            <wp:docPr id="3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Exempel: Samarbetsåtgärder som används för att förbättra miljöförvaltningen</w:t>
                      </w:r>
                    </w:p>
                    <w:p w:rsidR="004C3777" w:rsidRPr="007B4A6D" w:rsidRDefault="004C3777" w:rsidP="00E05D08">
                      <w:pPr>
                        <w:pStyle w:val="HStandard"/>
                        <w:rPr>
                          <w:sz w:val="18"/>
                          <w:szCs w:val="18"/>
                        </w:rPr>
                      </w:pPr>
                      <w:r>
                        <w:rPr>
                          <w:b/>
                          <w:sz w:val="18"/>
                          <w:szCs w:val="18"/>
                        </w:rPr>
                        <w:t>Finland –</w:t>
                      </w:r>
                      <w:r>
                        <w:rPr>
                          <w:sz w:val="18"/>
                          <w:szCs w:val="18"/>
                        </w:rPr>
                        <w:t xml:space="preserve"> Åtgärd M16 kompletterar andra åtgärder inom landsbygdsprogrammet för att uppnå målen för prioriteringarna P4 och P5:</w:t>
                      </w:r>
                    </w:p>
                    <w:p w:rsidR="004C3777" w:rsidRPr="00055039" w:rsidRDefault="004C3777" w:rsidP="008C0B17">
                      <w:pPr>
                        <w:pStyle w:val="HStandard"/>
                        <w:numPr>
                          <w:ilvl w:val="0"/>
                          <w:numId w:val="24"/>
                        </w:numPr>
                        <w:ind w:left="567" w:hanging="567"/>
                        <w:rPr>
                          <w:sz w:val="18"/>
                          <w:szCs w:val="18"/>
                        </w:rPr>
                      </w:pPr>
                      <w:r>
                        <w:rPr>
                          <w:sz w:val="18"/>
                          <w:szCs w:val="18"/>
                        </w:rPr>
                        <w:t>58 % av M16 såväl som delar av M1 och M2 används för att främja energieffektiviteten.</w:t>
                      </w:r>
                    </w:p>
                    <w:p w:rsidR="004C3777" w:rsidRPr="00D66182" w:rsidRDefault="004C3777" w:rsidP="008C0B17">
                      <w:pPr>
                        <w:pStyle w:val="HStandard"/>
                        <w:numPr>
                          <w:ilvl w:val="0"/>
                          <w:numId w:val="24"/>
                        </w:numPr>
                        <w:ind w:left="567" w:hanging="567"/>
                        <w:rPr>
                          <w:sz w:val="18"/>
                          <w:szCs w:val="18"/>
                        </w:rPr>
                      </w:pPr>
                      <w:r>
                        <w:rPr>
                          <w:sz w:val="18"/>
                          <w:szCs w:val="18"/>
                        </w:rPr>
                        <w:t>49 % av M16 såväl som delar av M1 och M2 används för koldioxidbindning och bevarande av kolsänkor.</w:t>
                      </w:r>
                    </w:p>
                    <w:p w:rsidR="004C3777" w:rsidRPr="000E1D4B" w:rsidRDefault="004C3777" w:rsidP="008C0B17">
                      <w:pPr>
                        <w:pStyle w:val="HStandard"/>
                        <w:numPr>
                          <w:ilvl w:val="0"/>
                          <w:numId w:val="24"/>
                        </w:numPr>
                        <w:ind w:left="567" w:hanging="567"/>
                        <w:rPr>
                          <w:sz w:val="18"/>
                          <w:szCs w:val="18"/>
                        </w:rPr>
                      </w:pPr>
                      <w:r>
                        <w:rPr>
                          <w:sz w:val="18"/>
                          <w:szCs w:val="18"/>
                        </w:rPr>
                        <w:t>10 % av M16, 84 % av M4 såväl som delar av M1 och M2 används till förnybara energikällor och avfallshantering.</w:t>
                      </w:r>
                    </w:p>
                    <w:p w:rsidR="004C3777" w:rsidRPr="000E1D4B" w:rsidRDefault="004C3777" w:rsidP="008C0B17">
                      <w:pPr>
                        <w:pStyle w:val="HStandard"/>
                        <w:numPr>
                          <w:ilvl w:val="0"/>
                          <w:numId w:val="24"/>
                        </w:numPr>
                        <w:ind w:left="567" w:hanging="567"/>
                        <w:rPr>
                          <w:sz w:val="18"/>
                          <w:szCs w:val="18"/>
                        </w:rPr>
                      </w:pPr>
                      <w:r>
                        <w:rPr>
                          <w:sz w:val="18"/>
                          <w:szCs w:val="18"/>
                        </w:rPr>
                        <w:t>5,5 % av M16, 89 % av M4 såväl som delar av M1 och M2 används för att minska utsläppen av växthusgaser och ammoniak.</w:t>
                      </w:r>
                    </w:p>
                    <w:p w:rsidR="004C3777" w:rsidRPr="000E1D4B" w:rsidRDefault="004C3777" w:rsidP="00E05D08">
                      <w:pPr>
                        <w:pStyle w:val="HStandard"/>
                        <w:rPr>
                          <w:sz w:val="18"/>
                          <w:szCs w:val="18"/>
                        </w:rPr>
                      </w:pPr>
                      <w:r>
                        <w:rPr>
                          <w:sz w:val="18"/>
                          <w:szCs w:val="18"/>
                        </w:rPr>
                        <w:t>Delåtgärderna för samarbete (t.ex. stöd för pilotprojekt inom M16.2, stöd för gemensamma åtgärder för begränsning av och anpassning till klimatförändringar och för gemensamma tillvägagångssätt och metoder för miljöprojekt enligt M16.5) har stor inverkan på fokusområdena 4A–C och 5A–E.</w:t>
                      </w:r>
                    </w:p>
                    <w:p w:rsidR="004C3777" w:rsidRPr="00AB16BB" w:rsidRDefault="004C3777" w:rsidP="00AB16BB">
                      <w:pPr>
                        <w:pStyle w:val="HSource"/>
                        <w:ind w:right="8"/>
                        <w:jc w:val="right"/>
                        <w:rPr>
                          <w:rFonts w:eastAsia="Calibri"/>
                          <w:sz w:val="14"/>
                          <w:szCs w:val="14"/>
                        </w:rPr>
                      </w:pPr>
                      <w:r>
                        <w:rPr>
                          <w:sz w:val="14"/>
                          <w:szCs w:val="14"/>
                        </w:rPr>
                        <w:t>Källa: Europeiska nätverket för landsbygdsutveckling (2016), Workshop om samarbete rörande M 16</w:t>
                      </w:r>
                      <w:r>
                        <w:rPr>
                          <w:sz w:val="14"/>
                          <w:szCs w:val="14"/>
                          <w:vertAlign w:val="superscript"/>
                        </w:rPr>
                        <w:t>54</w:t>
                      </w:r>
                      <w:r>
                        <w:rPr>
                          <w:sz w:val="14"/>
                          <w:szCs w:val="14"/>
                        </w:rPr>
                        <w:t>.</w:t>
                      </w:r>
                    </w:p>
                    <w:p w:rsidR="004C3777" w:rsidRPr="007B4A6D" w:rsidRDefault="004C3777" w:rsidP="00235D46">
                      <w:pPr>
                        <w:pStyle w:val="HStandard"/>
                        <w:spacing w:after="0"/>
                        <w:ind w:left="567" w:hanging="567"/>
                        <w:rPr>
                          <w:b/>
                          <w:sz w:val="18"/>
                          <w:szCs w:val="18"/>
                        </w:rPr>
                      </w:pPr>
                      <w:r>
                        <w:rPr>
                          <w:b/>
                          <w:color w:val="F07E31"/>
                          <w:sz w:val="18"/>
                          <w:szCs w:val="18"/>
                        </w:rPr>
                        <w:t>Exempel:</w:t>
                      </w:r>
                      <w:r>
                        <w:rPr>
                          <w:color w:val="F07E31"/>
                          <w:sz w:val="18"/>
                          <w:szCs w:val="18"/>
                        </w:rPr>
                        <w:t xml:space="preserve"> </w:t>
                      </w:r>
                      <w:r>
                        <w:rPr>
                          <w:b/>
                          <w:color w:val="F07E31"/>
                          <w:sz w:val="18"/>
                          <w:szCs w:val="18"/>
                        </w:rPr>
                        <w:t>Sammankoppling av forskare och lantbrukare</w:t>
                      </w:r>
                      <w:r>
                        <w:rPr>
                          <w:color w:val="F07E31"/>
                          <w:sz w:val="18"/>
                          <w:szCs w:val="18"/>
                        </w:rPr>
                        <w:t xml:space="preserve"> </w:t>
                      </w:r>
                    </w:p>
                    <w:p w:rsidR="004C3777" w:rsidRPr="00D66182" w:rsidRDefault="004C3777" w:rsidP="00235D46">
                      <w:pPr>
                        <w:pStyle w:val="HStandard"/>
                        <w:rPr>
                          <w:sz w:val="18"/>
                          <w:szCs w:val="18"/>
                        </w:rPr>
                      </w:pPr>
                      <w:r>
                        <w:rPr>
                          <w:b/>
                          <w:sz w:val="18"/>
                          <w:szCs w:val="18"/>
                        </w:rPr>
                        <w:t>Belgien</w:t>
                      </w:r>
                      <w:r>
                        <w:rPr>
                          <w:sz w:val="18"/>
                          <w:szCs w:val="18"/>
                        </w:rPr>
                        <w:t xml:space="preserve"> – ett innovativt grisstall hjälper till att minska ammoniakutsläppen. Möjligheten att sammanföra forskare och lantbrukare genom innovationsstödjande tjänster har varit en viktig del av utvecklingen och provningen av en teknik som minskar ammoniakutsläppen genom att särskilda bakterier tillförs till grisgödseln. Detta bidrar även till att landsbygdsprogrammets miljömål uppnås. </w:t>
                      </w:r>
                    </w:p>
                    <w:p w:rsidR="004C3777" w:rsidRPr="00AB16BB" w:rsidRDefault="004C3777" w:rsidP="00AB16BB">
                      <w:pPr>
                        <w:pStyle w:val="HStandard"/>
                        <w:jc w:val="right"/>
                        <w:rPr>
                          <w:sz w:val="14"/>
                          <w:szCs w:val="14"/>
                          <w:vertAlign w:val="superscript"/>
                        </w:rPr>
                      </w:pPr>
                      <w:r>
                        <w:rPr>
                          <w:i/>
                          <w:sz w:val="14"/>
                          <w:szCs w:val="14"/>
                        </w:rPr>
                        <w:t>Källa: Europeiska innovationspartnerskapet – servicepunkt</w:t>
                      </w:r>
                      <w:r>
                        <w:rPr>
                          <w:i/>
                          <w:sz w:val="14"/>
                          <w:szCs w:val="14"/>
                          <w:vertAlign w:val="superscript"/>
                        </w:rPr>
                        <w:t>55</w:t>
                      </w:r>
                    </w:p>
                    <w:p w:rsidR="004C3777" w:rsidRPr="007B4A6D" w:rsidRDefault="004C3777" w:rsidP="00235D46">
                      <w:pPr>
                        <w:pStyle w:val="HStandard"/>
                        <w:rPr>
                          <w:b/>
                          <w:color w:val="F07E31"/>
                          <w:sz w:val="18"/>
                          <w:szCs w:val="18"/>
                        </w:rPr>
                      </w:pPr>
                      <w:r>
                        <w:rPr>
                          <w:b/>
                          <w:color w:val="F07E31"/>
                          <w:sz w:val="18"/>
                          <w:szCs w:val="18"/>
                        </w:rPr>
                        <w:t xml:space="preserve">Exempel: Innovationsstödjande tjänster </w:t>
                      </w:r>
                    </w:p>
                    <w:p w:rsidR="004C3777" w:rsidRPr="007B4A6D" w:rsidRDefault="004C3777" w:rsidP="00235D46">
                      <w:pPr>
                        <w:pStyle w:val="HStandard"/>
                        <w:spacing w:after="0"/>
                        <w:rPr>
                          <w:b/>
                          <w:sz w:val="18"/>
                          <w:szCs w:val="18"/>
                        </w:rPr>
                      </w:pPr>
                      <w:r>
                        <w:rPr>
                          <w:b/>
                          <w:sz w:val="18"/>
                          <w:szCs w:val="18"/>
                        </w:rPr>
                        <w:t>Hessen (DE) –</w:t>
                      </w:r>
                      <w:r>
                        <w:rPr>
                          <w:sz w:val="18"/>
                          <w:szCs w:val="18"/>
                        </w:rPr>
                        <w:t xml:space="preserve"> innovationsstödjande tjänster har bidragit till uppbyggnaden av innovationskapacitet genom</w:t>
                      </w:r>
                    </w:p>
                    <w:p w:rsidR="004C3777" w:rsidRPr="00055039" w:rsidRDefault="004C3777" w:rsidP="00235D46">
                      <w:pPr>
                        <w:pStyle w:val="HStandard"/>
                        <w:numPr>
                          <w:ilvl w:val="0"/>
                          <w:numId w:val="24"/>
                        </w:numPr>
                        <w:ind w:left="567" w:hanging="567"/>
                        <w:rPr>
                          <w:sz w:val="18"/>
                          <w:szCs w:val="18"/>
                        </w:rPr>
                      </w:pPr>
                      <w:r>
                        <w:rPr>
                          <w:sz w:val="18"/>
                          <w:szCs w:val="18"/>
                        </w:rPr>
                        <w:t>stöd för genomförandet av åtgärd M16,</w:t>
                      </w:r>
                    </w:p>
                    <w:p w:rsidR="004C3777" w:rsidRPr="00D66182" w:rsidRDefault="004C3777" w:rsidP="00235D46">
                      <w:pPr>
                        <w:pStyle w:val="HStandard"/>
                        <w:numPr>
                          <w:ilvl w:val="0"/>
                          <w:numId w:val="24"/>
                        </w:numPr>
                        <w:ind w:left="567" w:hanging="567"/>
                        <w:rPr>
                          <w:sz w:val="18"/>
                          <w:szCs w:val="18"/>
                        </w:rPr>
                      </w:pPr>
                      <w:r>
                        <w:rPr>
                          <w:sz w:val="18"/>
                          <w:szCs w:val="18"/>
                        </w:rPr>
                        <w:t>information och publicitet i regionen,</w:t>
                      </w:r>
                    </w:p>
                    <w:p w:rsidR="004C3777" w:rsidRPr="000E1D4B" w:rsidRDefault="004C3777" w:rsidP="00235D46">
                      <w:pPr>
                        <w:pStyle w:val="HStandard"/>
                        <w:numPr>
                          <w:ilvl w:val="0"/>
                          <w:numId w:val="24"/>
                        </w:numPr>
                        <w:ind w:left="567" w:hanging="567"/>
                        <w:rPr>
                          <w:sz w:val="18"/>
                          <w:szCs w:val="18"/>
                        </w:rPr>
                      </w:pPr>
                      <w:r>
                        <w:rPr>
                          <w:sz w:val="18"/>
                          <w:szCs w:val="18"/>
                        </w:rPr>
                        <w:t>inrättande av nätverk för samarbetsinsatser inom Hessen i Tyskland,</w:t>
                      </w:r>
                    </w:p>
                    <w:p w:rsidR="004C3777" w:rsidRPr="000E1D4B" w:rsidRDefault="004C3777" w:rsidP="00235D46">
                      <w:pPr>
                        <w:pStyle w:val="HStandard"/>
                        <w:numPr>
                          <w:ilvl w:val="0"/>
                          <w:numId w:val="24"/>
                        </w:numPr>
                        <w:ind w:left="567" w:hanging="567"/>
                        <w:rPr>
                          <w:sz w:val="18"/>
                          <w:szCs w:val="18"/>
                        </w:rPr>
                      </w:pPr>
                      <w:r>
                        <w:rPr>
                          <w:sz w:val="18"/>
                          <w:szCs w:val="18"/>
                        </w:rPr>
                        <w:t>stöd för samarbetet under förberedelse- och genomförandefasen.</w:t>
                      </w:r>
                    </w:p>
                    <w:p w:rsidR="004C3777" w:rsidRPr="00AB16BB" w:rsidRDefault="004C3777" w:rsidP="00AB16BB">
                      <w:pPr>
                        <w:pStyle w:val="HSource"/>
                        <w:spacing w:before="0" w:after="0"/>
                        <w:ind w:right="11"/>
                        <w:jc w:val="right"/>
                        <w:rPr>
                          <w:rFonts w:eastAsia="Calibri"/>
                          <w:sz w:val="14"/>
                          <w:szCs w:val="14"/>
                        </w:rPr>
                      </w:pPr>
                      <w:r>
                        <w:rPr>
                          <w:sz w:val="14"/>
                          <w:szCs w:val="14"/>
                        </w:rPr>
                        <w:t xml:space="preserve">Källa: Europeiska nätverket för landsbygdsutveckling (2016) </w:t>
                      </w:r>
                    </w:p>
                    <w:p w:rsidR="004C3777" w:rsidRPr="00AB16BB" w:rsidRDefault="004C3777" w:rsidP="00AB16BB">
                      <w:pPr>
                        <w:pStyle w:val="HSource"/>
                        <w:spacing w:before="0" w:after="0"/>
                        <w:ind w:right="11"/>
                        <w:jc w:val="right"/>
                        <w:rPr>
                          <w:sz w:val="14"/>
                          <w:szCs w:val="14"/>
                        </w:rPr>
                      </w:pPr>
                      <w:r>
                        <w:rPr>
                          <w:sz w:val="14"/>
                          <w:szCs w:val="14"/>
                        </w:rPr>
                        <w:t>Workshop om samarbete rörande M 16</w:t>
                      </w:r>
                      <w:r>
                        <w:rPr>
                          <w:sz w:val="14"/>
                          <w:szCs w:val="14"/>
                          <w:vertAlign w:val="superscript"/>
                        </w:rPr>
                        <w:t>56</w:t>
                      </w:r>
                      <w:r>
                        <w:rPr>
                          <w:sz w:val="14"/>
                          <w:szCs w:val="14"/>
                        </w:rPr>
                        <w:t xml:space="preserve">. </w:t>
                      </w:r>
                    </w:p>
                  </w:txbxContent>
                </v:textbox>
                <w10:wrap type="square" anchory="page"/>
              </v:shape>
            </w:pict>
          </mc:Fallback>
        </mc:AlternateContent>
      </w:r>
      <w:r w:rsidR="00A66638">
        <w:rPr>
          <w:rStyle w:val="FootnoteReference"/>
          <w:color w:val="FFFFFF" w:themeColor="background1"/>
        </w:rPr>
        <w:footnoteReference w:id="54"/>
      </w:r>
      <w:r w:rsidR="00A66638">
        <w:rPr>
          <w:color w:val="FFFFFF" w:themeColor="background1"/>
        </w:rPr>
        <w:t xml:space="preserve"> </w:t>
      </w:r>
      <w:r w:rsidR="00A66638">
        <w:rPr>
          <w:rStyle w:val="FootnoteReference"/>
          <w:color w:val="FFFFFF" w:themeColor="background1"/>
        </w:rPr>
        <w:footnoteReference w:id="55"/>
      </w:r>
      <w:r w:rsidR="00A66638">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lastRenderedPageBreak/>
        <w:t xml:space="preserve">Särskilda utmaningar </w:t>
      </w:r>
    </w:p>
    <w:p w:rsidR="00A45935" w:rsidRPr="00183E9B" w:rsidRDefault="00A45935" w:rsidP="00AB16BB">
      <w:pPr>
        <w:pStyle w:val="Hlistbullet"/>
      </w:pPr>
      <w:r>
        <w:rPr>
          <w:b/>
          <w:shd w:val="clear" w:color="auto" w:fill="FFFFFF"/>
        </w:rPr>
        <w:t>Att utarbeta kompletterande och programspecifika utvärderingsfaktorer.</w:t>
      </w:r>
      <w:r>
        <w:rPr>
          <w:shd w:val="clear" w:color="auto" w:fill="FFFFFF"/>
        </w:rPr>
        <w:t xml:space="preserve"> </w:t>
      </w:r>
      <w:r>
        <w:rPr>
          <w:color w:val="545454"/>
          <w:shd w:val="clear" w:color="auto" w:fill="FFFFFF"/>
        </w:rPr>
        <w:t xml:space="preserve">Gemensam utvärderingsfråga nr 2 är endast kopplad till en gemensam målindikator (T2: </w:t>
      </w:r>
      <w:r>
        <w:t xml:space="preserve">sammanlagt antal samarbetsprojekt som fått stöd inom ramen för samarbetsåtgärden) </w:t>
      </w:r>
      <w:r>
        <w:rPr>
          <w:color w:val="545454"/>
          <w:shd w:val="clear" w:color="auto" w:fill="FFFFFF"/>
        </w:rPr>
        <w:t>vilket inte är tillräckligt för att besvara utvärderingsfrågan.</w:t>
      </w:r>
    </w:p>
    <w:p w:rsidR="00A45935" w:rsidRPr="00183E9B" w:rsidRDefault="00A45935" w:rsidP="00AB16BB">
      <w:pPr>
        <w:pStyle w:val="Hlistbullet"/>
        <w:rPr>
          <w:rFonts w:eastAsia="Calibri"/>
          <w:shd w:val="clear" w:color="auto" w:fill="FFFFFF"/>
        </w:rPr>
      </w:pPr>
      <w:r>
        <w:rPr>
          <w:b/>
          <w:shd w:val="clear" w:color="auto" w:fill="FFFFFF"/>
        </w:rPr>
        <w:t xml:space="preserve">Att härleda de observerade förändringarna </w:t>
      </w:r>
      <w:r>
        <w:rPr>
          <w:shd w:val="clear" w:color="auto" w:fill="FFFFFF"/>
        </w:rPr>
        <w:t>till banden mellan jordbruk, skogsbruk samt forskning och innovation. Detta gäller de förändringar som är kopplade till miljöförvaltning och miljöprestanda</w:t>
      </w:r>
      <w:r>
        <w:rPr>
          <w:b/>
          <w:shd w:val="clear" w:color="auto" w:fill="FFFFFF"/>
        </w:rPr>
        <w:t xml:space="preserve">, </w:t>
      </w:r>
      <w:r>
        <w:rPr>
          <w:shd w:val="clear" w:color="auto" w:fill="FFFFFF"/>
        </w:rPr>
        <w:t xml:space="preserve">till samarbetsåtgärd M16 och dess bidrag till uppnåendet av landsbygdsprogrammets mål. </w:t>
      </w:r>
    </w:p>
    <w:p w:rsidR="00A45935" w:rsidRPr="00183E9B" w:rsidRDefault="00A45935" w:rsidP="00AB16BB">
      <w:pPr>
        <w:pStyle w:val="Hlistbullet"/>
        <w:rPr>
          <w:rFonts w:eastAsia="Calibri"/>
          <w:shd w:val="clear" w:color="auto" w:fill="FFFFFF"/>
        </w:rPr>
      </w:pPr>
      <w:r>
        <w:rPr>
          <w:b/>
          <w:shd w:val="clear" w:color="auto" w:fill="FFFFFF"/>
        </w:rPr>
        <w:t xml:space="preserve">Att identifiera bidragen av de åtgärder som planerats inom andra fokusområden än 1B </w:t>
      </w:r>
      <w:r>
        <w:rPr>
          <w:shd w:val="clear" w:color="auto" w:fill="FFFFFF"/>
        </w:rPr>
        <w:t xml:space="preserve">(däribland delåtgärderna i åtgärd M16) och som utformats för att stärka banden mellan jordbruk, skogsbruk, forskning och innovation, främst de som är kopplade till miljöförvaltning och miljöprestanda.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Förslag på metoder för att besvara gemensam utvärderingsfråga nr 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Interventionslogik </w:t>
      </w:r>
    </w:p>
    <w:p w:rsidR="00A45935" w:rsidRPr="00E05D08" w:rsidRDefault="00A45935" w:rsidP="00E05D08">
      <w:pPr>
        <w:spacing w:after="120" w:line="280" w:lineRule="atLeast"/>
        <w:mirrorIndents/>
        <w:rPr>
          <w:rFonts w:eastAsia="Times New Roman" w:cs="Times New Roman"/>
          <w:szCs w:val="20"/>
        </w:rPr>
      </w:pPr>
      <w:r>
        <w:t xml:space="preserve">I nedanstående exempel består den interventionslogik som är kopplad till gemensam utvärderingsfråga nr 2 av delåtgärder inom åtgärd M16 som planerats för fokusområde 1B eller andra fokusområden som bidrar till målen för fokusområde 1B. </w:t>
      </w:r>
    </w:p>
    <w:p w:rsidR="00A45935" w:rsidRPr="00E05D08" w:rsidRDefault="00A45935" w:rsidP="00E05D08">
      <w:pPr>
        <w:spacing w:after="120" w:line="280" w:lineRule="atLeast"/>
        <w:mirrorIndents/>
        <w:rPr>
          <w:rFonts w:eastAsia="Times New Roman" w:cs="Times New Roman"/>
          <w:szCs w:val="20"/>
        </w:rPr>
      </w:pPr>
      <w:r>
        <w:t xml:space="preserve">En möjlig startpunkt för översynen av interventionslogiken är granskningen av innovationspotentialen hos delåtgärderna i M16 för att främja innovation genom de tre handlingsvägarna. </w:t>
      </w:r>
    </w:p>
    <w:p w:rsidR="00A45935" w:rsidRPr="00BC5B1D" w:rsidRDefault="009F79DE" w:rsidP="00547012">
      <w:pPr>
        <w:pStyle w:val="HHeadingfigures"/>
      </w:pPr>
      <w:bookmarkStart w:id="113" w:name="_Toc508290402"/>
      <w:r w:rsidRPr="0042433A">
        <w:rPr>
          <w:noProof/>
          <w:lang w:val="en-GB" w:eastAsia="en-GB"/>
        </w:rPr>
        <w:drawing>
          <wp:anchor distT="0" distB="0" distL="114300" distR="114300" simplePos="0" relativeHeight="251686912" behindDoc="1" locked="0" layoutInCell="1" allowOverlap="1">
            <wp:simplePos x="0" y="0"/>
            <wp:positionH relativeFrom="column">
              <wp:posOffset>-200025</wp:posOffset>
            </wp:positionH>
            <wp:positionV relativeFrom="paragraph">
              <wp:posOffset>257810</wp:posOffset>
            </wp:positionV>
            <wp:extent cx="6275070" cy="3562350"/>
            <wp:effectExtent l="0" t="0" r="0" b="0"/>
            <wp:wrapSquare wrapText="bothSides"/>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75070"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F31">
        <w:t>Exempel på innovationspotential hos varje delåtgärd inom åtgärd M16</w:t>
      </w:r>
      <w:bookmarkEnd w:id="113"/>
    </w:p>
    <w:p w:rsidR="00A45935" w:rsidRPr="00E05D08" w:rsidRDefault="00A45935" w:rsidP="0042433A">
      <w:pPr>
        <w:spacing w:after="120" w:line="280" w:lineRule="atLeast"/>
        <w:mirrorIndents/>
        <w:rPr>
          <w:rFonts w:eastAsia="Times New Roman" w:cs="Times New Roman"/>
          <w:szCs w:val="20"/>
          <w:lang w:eastAsia="de-DE"/>
        </w:rPr>
      </w:pP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Källa: Europeiska helpdesken för utvärdering av landsbygdsutveckling, 2017.</w:t>
      </w:r>
    </w:p>
    <w:p w:rsidR="00A45935" w:rsidRPr="00E05D08" w:rsidRDefault="00647766"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648000" behindDoc="0" locked="0" layoutInCell="1" allowOverlap="1" wp14:anchorId="0187B8F4" wp14:editId="6D4D0473">
                <wp:simplePos x="0" y="0"/>
                <wp:positionH relativeFrom="column">
                  <wp:posOffset>-21395</wp:posOffset>
                </wp:positionH>
                <wp:positionV relativeFrom="paragraph">
                  <wp:posOffset>981612</wp:posOffset>
                </wp:positionV>
                <wp:extent cx="5733415" cy="1948180"/>
                <wp:effectExtent l="0" t="0" r="19685" b="1397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1948180"/>
                        </a:xfrm>
                        <a:prstGeom prst="round2DiagRect">
                          <a:avLst>
                            <a:gd name="adj1" fmla="val 11556"/>
                            <a:gd name="adj2" fmla="val 0"/>
                          </a:avLst>
                        </a:prstGeom>
                        <a:noFill/>
                        <a:ln w="25400" cap="flat" cmpd="sng" algn="ctr">
                          <a:solidFill>
                            <a:srgbClr val="F07E31"/>
                          </a:solidFill>
                          <a:prstDash val="solid"/>
                        </a:ln>
                        <a:effectLst/>
                      </wps:spPr>
                      <wps:txbx>
                        <w:txbxContent>
                          <w:p w:rsidR="004C3777" w:rsidRPr="00A10ACC" w:rsidRDefault="004C3777" w:rsidP="00E05D08">
                            <w:pPr>
                              <w:pStyle w:val="HStandard"/>
                              <w:rPr>
                                <w:sz w:val="18"/>
                              </w:rPr>
                            </w:pPr>
                            <w:r>
                              <w:rPr>
                                <w:noProof/>
                                <w:lang w:val="en-GB" w:eastAsia="en-GB"/>
                              </w:rPr>
                              <w:drawing>
                                <wp:inline distT="0" distB="0" distL="0" distR="0" wp14:anchorId="55C8DFA3" wp14:editId="16384EED">
                                  <wp:extent cx="353060" cy="359410"/>
                                  <wp:effectExtent l="0" t="0" r="8890" b="2540"/>
                                  <wp:docPr id="3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Exemplet visar innovationspotentialen hos de delåtgärder inom åtgärd M16 (som kan planeras inom alla fokusområden för landsbygdsutveckling) som bidrar till det politiska målet för fokusområde 1B. Även om alla de tio delåtgärderna i åtgärd M16 bidrar till att stärka banden mellan jordbruk, livsmedelsproduktion, skogsbruk, forskning och innovation är det endast delåtgärderna 5, 6, 8 och 9 som visar potential att bidra till att stärka dessa band för miljöförvaltning och miljöprestanda. När det gäller de tre handlingsvägarna för innovation främjar delåtgärderna 1, 5, 6, 7 och 8 tillkomsten av innovativa idéer (handlingsväg 1). Delåtgärd 1 främjar även byggandet av kapacitet och skapandet av en gynnsam miljö (handlingsvägarna 2 och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B8F4" id="Rectangle: Diagonal Corners Rounded 83" o:spid="_x0000_s1047" style="position:absolute;left:0;text-align:left;margin-left:-1.7pt;margin-top:77.3pt;width:451.45pt;height:15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948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" adj="-11796480,,5400" path="m225132,l5733415,r,l5733415,1723048v,124337,-100795,225132,-225132,225132l,1948180r,l,225132c,100795,100795,,225132,xe" filled="f" strokecolor="#f07e31" strokeweight="2pt">
                <v:stroke joinstyle="miter"/>
                <v:formulas/>
                <v:path arrowok="t" o:connecttype="custom" o:connectlocs="225132,0;5733415,0;5733415,0;5733415,1723048;5508283,1948180;0,1948180;0,1948180;0,225132;225132,0" o:connectangles="0,0,0,0,0,0,0,0,0" textboxrect="0,0,5733415,1948180"/>
                <v:textbox>
                  <w:txbxContent>
                    <w:p w:rsidR="004C3777" w:rsidRPr="00A10ACC" w:rsidRDefault="004C3777" w:rsidP="00E05D08">
                      <w:pPr>
                        <w:pStyle w:val="HStandard"/>
                        <w:rPr>
                          <w:sz w:val="18"/>
                        </w:rPr>
                      </w:pPr>
                      <w:r>
                        <w:rPr>
                          <w:noProof/>
                          <w:lang w:val="en-GB" w:eastAsia="en-GB"/>
                        </w:rPr>
                        <w:drawing>
                          <wp:inline distT="0" distB="0" distL="0" distR="0" wp14:anchorId="55C8DFA3" wp14:editId="16384EED">
                            <wp:extent cx="353060" cy="359410"/>
                            <wp:effectExtent l="0" t="0" r="8890" b="2540"/>
                            <wp:docPr id="3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Exemplet visar innovationspotentialen hos de delåtgärder inom åtgärd M16 (som kan planeras inom alla fokusområden för landsbygdsutveckling) som bidrar till det politiska målet för fokusområde 1B. Även om alla de tio delåtgärderna i åtgärd M16 bidrar till att stärka banden mellan jordbruk, livsmedelsproduktion, skogsbruk, forskning och innovation är det endast delåtgärderna 5, 6, 8 och 9 som visar potential att bidra till att stärka dessa band för miljöförvaltning och miljöprestanda. När det gäller de tre handlingsvägarna för innovation främjar delåtgärderna 1, 5, 6, 7 och 8 tillkomsten av innovativa idéer (handlingsväg 1). Delåtgärd 1 främjar även byggandet av kapacitet och skapandet av en gynnsam miljö (handlingsvägarna 2 och 3).</w:t>
                      </w:r>
                    </w:p>
                  </w:txbxContent>
                </v:textbox>
                <w10:wrap type="square"/>
              </v:shape>
            </w:pict>
          </mc:Fallback>
        </mc:AlternateContent>
      </w:r>
      <w:r>
        <w:t>Dessutom bör alla delåtgärder i åtgärd M16 som planerats inom andra fokusområden än fokusområde 1B ingå i bedömningen av om de innovationsrelaterade aspekterna av gemensam utvärderingsfråga nr 2 har uppnåtts. Om delåtgärd M16.1 planeras inom fokusområde 2A kan till exempel bidragen till kopplingar bland jordbrukare, forskare och innovationsrådgivare beaktas i bedömningen av gemensam utvärderingsfråga nr 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Utvärderingsfaktorer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De gemensamma bedömningskriterierna och indikatorerna för gemensam utvärderingsfråga nr 2 ligger kvar på utfallsnivån för insatserna inom samarbetsåtgärden. Det kan vara nödvändigt att ta fram kompletterande bedömningskriterier och indikatorer för att kunna bedöma resultaten av dessa åtgärder. I nedanstående tabell visas bedömningskriterierna, indikatorerna och datakraven för att kunna besvara gemensam utvärderingsfråga nr 2.</w:t>
      </w:r>
      <w:r w:rsidR="00912CD5">
        <w:tab/>
      </w:r>
    </w:p>
    <w:p w:rsidR="00A45935" w:rsidRPr="009A2DAD" w:rsidRDefault="00A45935" w:rsidP="009A2DAD">
      <w:pPr>
        <w:pStyle w:val="HHeadingtables"/>
        <w:rPr>
          <w:color w:val="6F6F6F"/>
          <w:sz w:val="18"/>
          <w:szCs w:val="18"/>
        </w:rPr>
      </w:pPr>
      <w:bookmarkStart w:id="114" w:name="_Toc508290382"/>
      <w:r>
        <w:rPr>
          <w:color w:val="6F6F6F"/>
          <w:sz w:val="18"/>
          <w:szCs w:val="18"/>
        </w:rPr>
        <w:lastRenderedPageBreak/>
        <w:t>Bedömningskriterier, indikatorer, databehov och datakällor</w:t>
      </w:r>
      <w:bookmarkEnd w:id="114"/>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Bedömningskriterier</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Indikatorer</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Databehov</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Datakällor</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 xml:space="preserve">Gemensamma utvärderingsfaktorer (i det gemensamma övervaknings- och utvärderingssystemet och faktorer som föreslås i arbetsdokumentet </w:t>
            </w:r>
            <w:r>
              <w:rPr>
                <w:b/>
                <w:i/>
                <w:color w:val="FFFFFF"/>
                <w:sz w:val="18"/>
                <w:szCs w:val="18"/>
              </w:rPr>
              <w:t>Common evaluation questions 2014-2020</w:t>
            </w:r>
            <w:r>
              <w:rPr>
                <w:b/>
                <w:color w:val="FFFFFF"/>
                <w:sz w:val="18"/>
                <w:szCs w:val="18"/>
              </w:rPr>
              <w:t>)</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Långsiktigt samarbete mellan enheter inom jordbruk, livsmedelsproduktion och skogsbruk samt institutioner för forskning och innovation har upprättats.</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T2: Sammanlagt antal samarbetsprojekt som fått stöd inom ramen för samarbetsåtgärden (artikel 35 i förordning (EU) nr 1305/2013) (grupper, nätverk/kluster, pilotprojekt).</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Kompletterande indikator:</w:t>
            </w:r>
            <w:r w:rsidR="00212DFA">
              <w:rPr>
                <w:color w:val="57825E"/>
                <w:sz w:val="18"/>
                <w:szCs w:val="18"/>
              </w:rPr>
              <w:t xml:space="preserve"> a</w:t>
            </w:r>
            <w:r>
              <w:rPr>
                <w:color w:val="57825E"/>
                <w:sz w:val="18"/>
                <w:szCs w:val="18"/>
              </w:rPr>
              <w:t>ntal och typer av partner som deltar i samarbetsprojekt, inbegripet deras roller och ansvarsområden.</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Antal insatser inom grupper inom det europeiska innovationspartnerskapet (datapost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Antal övriga samarbetsinsatser (grupper, nätverk/kluster, pilotprojekt) som ska stödjas inom åtgärd M16 Samarbete (datapost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Typer av involverade partner och deras antal.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Övervakningssystem för landsbygdsprogrammet</w:t>
            </w:r>
            <w:r w:rsidR="006D3C74">
              <w:rPr>
                <w:sz w:val="18"/>
                <w:szCs w:val="18"/>
              </w:rPr>
              <w:t>.</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Ansökningsformulär för stödmottagare (vid projektets början)</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Betalningskrav från stödmottagare (vid projektets slut)</w:t>
            </w:r>
          </w:p>
        </w:tc>
      </w:tr>
      <w:tr w:rsidR="00A45935" w:rsidRPr="00E05D08" w:rsidTr="005520BA">
        <w:tc>
          <w:tcPr>
            <w:tcW w:w="3578" w:type="dxa"/>
            <w:tcBorders>
              <w:top w:val="nil"/>
              <w:bottom w:val="single" w:sz="4" w:space="0" w:color="808080"/>
            </w:tcBorders>
          </w:tcPr>
          <w:p w:rsidR="00A45935" w:rsidRPr="00F639C6" w:rsidRDefault="00A45935" w:rsidP="007E63EF">
            <w:pPr>
              <w:spacing w:after="120" w:line="280" w:lineRule="atLeast"/>
              <w:ind w:left="29" w:right="110"/>
              <w:mirrorIndents/>
              <w:jc w:val="left"/>
              <w:rPr>
                <w:rFonts w:cs="Arial"/>
                <w:sz w:val="18"/>
                <w:szCs w:val="18"/>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Antal insatser som får stöd.</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Sammanlagt antal insatser som får stöd.</w:t>
            </w:r>
          </w:p>
          <w:p w:rsidR="00A45935" w:rsidRPr="00385368" w:rsidRDefault="00A45935" w:rsidP="007E63EF">
            <w:pPr>
              <w:spacing w:after="120" w:line="280" w:lineRule="atLeast"/>
              <w:ind w:left="11" w:right="12"/>
              <w:mirrorIndents/>
              <w:jc w:val="left"/>
              <w:rPr>
                <w:rFonts w:cs="Arial"/>
                <w:sz w:val="18"/>
                <w:szCs w:val="18"/>
              </w:rPr>
            </w:pPr>
            <w:r>
              <w:rPr>
                <w:sz w:val="18"/>
                <w:szCs w:val="18"/>
              </w:rPr>
              <w:t>Antal samarbetsprojekt som får stöd (O.16+O.17).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Övervakningssystem för landsbygdsprogrammet</w:t>
            </w:r>
            <w:r w:rsidR="006D3C74">
              <w:rPr>
                <w:sz w:val="18"/>
                <w:szCs w:val="18"/>
              </w:rPr>
              <w:t>.</w:t>
            </w:r>
            <w:r>
              <w:rPr>
                <w:sz w:val="18"/>
                <w:szCs w:val="18"/>
              </w:rPr>
              <w:t xml:space="preserve">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Ansökningsformulär för stödmottagare (vid projektets början)</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Betalningskrav från stödmottagare (vid projektets slut)</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Samarbetsinsatser mellan jordbruk, livsmedelsproduktion och skogsbruk samt forskning och innovation i syfte att förbättra miljöförvaltning och miljöprestanda har genomförts.</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T2: Sammanlagt antal samarbetsprojekt som fått stöd inom ramen för samarbetsåtgärden (artikel 35 i förordning (EU) nr 1305/2013) (grupper, nätverk/kluster, pilotprojekt).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Kompletterande indikator:</w:t>
            </w:r>
            <w:r>
              <w:rPr>
                <w:color w:val="57825E"/>
                <w:sz w:val="18"/>
                <w:szCs w:val="18"/>
              </w:rPr>
              <w:t xml:space="preserve"> andel (%) av samarbetsinsatser som fortsätter efter stödet inom landsbygdsprogrammet, </w:t>
            </w:r>
            <w:r>
              <w:rPr>
                <w:color w:val="57825E"/>
                <w:sz w:val="18"/>
                <w:szCs w:val="18"/>
              </w:rPr>
              <w:lastRenderedPageBreak/>
              <w:t>däribland i syfte att förbättra miljöförvaltning och miljöprestanda.</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Kompletterande indikator:</w:t>
            </w:r>
            <w:r>
              <w:rPr>
                <w:color w:val="57825E"/>
                <w:sz w:val="18"/>
                <w:szCs w:val="18"/>
              </w:rPr>
              <w:t xml:space="preserve"> antal och typer av partner som deltar i samarbetsprojekt, inbegripet deras roller och ansvarsområden.</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Antal insatser inom grupper inom det europeiska innovationspartnerskapet (datapost O.16) som gäller förbättrad miljöförvaltning och miljöprestanda.</w:t>
            </w:r>
          </w:p>
          <w:p w:rsidR="00585777" w:rsidRDefault="00585777" w:rsidP="007E63EF">
            <w:pPr>
              <w:spacing w:after="120" w:line="280" w:lineRule="atLeast"/>
              <w:ind w:left="11" w:right="12"/>
              <w:mirrorIndents/>
              <w:jc w:val="left"/>
              <w:rPr>
                <w:sz w:val="18"/>
                <w:szCs w:val="18"/>
              </w:rPr>
            </w:pP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Antal övriga samarbetsinsatser (grupper, nätverk/kluster, pilotprojekt) som ska stödjas inom åtgärd M16 Samarbete </w:t>
            </w:r>
            <w:r>
              <w:rPr>
                <w:sz w:val="18"/>
                <w:szCs w:val="18"/>
              </w:rPr>
              <w:lastRenderedPageBreak/>
              <w:t>(datapost O.17) och som gäller förbättrad miljöförvaltning och miljöprestanda.</w:t>
            </w:r>
          </w:p>
          <w:p w:rsidR="00A45935" w:rsidRPr="00385368" w:rsidRDefault="00A45935" w:rsidP="007E63EF">
            <w:pPr>
              <w:spacing w:after="120" w:line="280" w:lineRule="atLeast"/>
              <w:ind w:left="11" w:right="12"/>
              <w:mirrorIndents/>
              <w:jc w:val="left"/>
              <w:rPr>
                <w:rFonts w:cs="Arial"/>
                <w:sz w:val="18"/>
                <w:szCs w:val="18"/>
              </w:rPr>
            </w:pPr>
            <w:r>
              <w:rPr>
                <w:sz w:val="18"/>
                <w:szCs w:val="18"/>
              </w:rPr>
              <w:t>Typer av involverade partner och deras antal.</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Övervakningssystem för landsbygdsprogrammet</w:t>
            </w:r>
            <w:r w:rsidR="006D3C74">
              <w:rPr>
                <w:sz w:val="18"/>
                <w:szCs w:val="18"/>
              </w:rPr>
              <w:t>.</w:t>
            </w:r>
            <w:r>
              <w:rPr>
                <w:sz w:val="18"/>
                <w:szCs w:val="18"/>
              </w:rPr>
              <w:t xml:space="preserve">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Ansökningsformulär för stödmottagare (vid projektets början)</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Betalningskrav från stödmottagare (vid projektets slut)</w:t>
            </w:r>
          </w:p>
        </w:tc>
      </w:tr>
      <w:tr w:rsidR="00A45935" w:rsidRPr="00E05D08" w:rsidTr="005520BA">
        <w:tc>
          <w:tcPr>
            <w:tcW w:w="3578" w:type="dxa"/>
            <w:tcBorders>
              <w:top w:val="single" w:sz="4" w:space="0" w:color="808080"/>
            </w:tcBorders>
          </w:tcPr>
          <w:p w:rsidR="00A45935" w:rsidRPr="00F639C6" w:rsidRDefault="00A45935" w:rsidP="00E05D08">
            <w:pPr>
              <w:spacing w:after="120" w:line="280" w:lineRule="atLeast"/>
              <w:ind w:left="29" w:right="110"/>
              <w:mirrorIndents/>
              <w:rPr>
                <w:rFonts w:cs="Arial"/>
                <w:sz w:val="18"/>
                <w:szCs w:val="18"/>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Antal insatser som får stöd</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Sammanlagt antal insatser som får stöd.</w:t>
            </w:r>
          </w:p>
          <w:p w:rsidR="00A45935" w:rsidRPr="00385368" w:rsidRDefault="00A45935" w:rsidP="007E63EF">
            <w:pPr>
              <w:spacing w:after="120" w:line="280" w:lineRule="atLeast"/>
              <w:ind w:left="11" w:right="12"/>
              <w:mirrorIndents/>
              <w:jc w:val="left"/>
              <w:rPr>
                <w:rFonts w:cs="Arial"/>
                <w:sz w:val="18"/>
                <w:szCs w:val="18"/>
              </w:rPr>
            </w:pPr>
            <w:r>
              <w:rPr>
                <w:sz w:val="18"/>
                <w:szCs w:val="18"/>
              </w:rPr>
              <w:t>Antal samarbetsprojekt som får stöd (O.16+O.17).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Övervakningssystem för landsbygdsprogrammet</w:t>
            </w:r>
            <w:r w:rsidR="006D3C74">
              <w:rPr>
                <w:sz w:val="18"/>
                <w:szCs w:val="18"/>
              </w:rPr>
              <w:t>.</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Ansökningsformulär för stödmottagare (vid projektets början)</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Betalningskrav från stödmottagare (vid projektets slut)</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Kompletterande utvärderingsfaktorer (frivilliga)</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Samarbetsprojekt har förbättrat innovationskapaciteten, även inom området för miljöförvaltning och miljöprestanda.</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Antal och typ av innovationer som skapats genom samarbetsprojekt, bland dessa sådana som var inriktade på miljöförvaltning och miljöprestanda.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Antal innovationer som skapats.</w:t>
            </w:r>
          </w:p>
          <w:p w:rsidR="00A45935" w:rsidRPr="00385368" w:rsidRDefault="00A45935" w:rsidP="007E63EF">
            <w:pPr>
              <w:spacing w:after="120" w:line="280" w:lineRule="atLeast"/>
              <w:ind w:left="11" w:right="12"/>
              <w:mirrorIndents/>
              <w:jc w:val="left"/>
              <w:rPr>
                <w:rFonts w:cs="Arial"/>
                <w:sz w:val="18"/>
                <w:szCs w:val="18"/>
              </w:rPr>
            </w:pPr>
            <w:r>
              <w:rPr>
                <w:sz w:val="18"/>
                <w:szCs w:val="18"/>
              </w:rPr>
              <w:t>Antal innovationer för förbättrad miljöförvaltning och miljöprestanda.</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Enkäter.</w:t>
            </w:r>
          </w:p>
          <w:p w:rsidR="00A45935" w:rsidRPr="00385368" w:rsidRDefault="00A45935" w:rsidP="007E63EF">
            <w:pPr>
              <w:spacing w:after="120" w:line="280" w:lineRule="atLeast"/>
              <w:ind w:right="31"/>
              <w:mirrorIndents/>
              <w:jc w:val="left"/>
              <w:rPr>
                <w:rFonts w:cs="Arial"/>
                <w:sz w:val="18"/>
                <w:szCs w:val="18"/>
              </w:rPr>
            </w:pPr>
            <w:r>
              <w:rPr>
                <w:sz w:val="18"/>
                <w:szCs w:val="18"/>
              </w:rPr>
              <w:t>Intervjuer och fokusgrupper med de som deltar i samarbetsprojekt.</w:t>
            </w:r>
          </w:p>
          <w:p w:rsidR="00A45935" w:rsidRPr="00E05D08" w:rsidRDefault="00A45935" w:rsidP="007E63EF">
            <w:pPr>
              <w:spacing w:after="120" w:line="280" w:lineRule="atLeast"/>
              <w:ind w:right="31"/>
              <w:mirrorIndents/>
              <w:jc w:val="left"/>
              <w:rPr>
                <w:rFonts w:cs="Arial"/>
                <w:sz w:val="18"/>
                <w:szCs w:val="18"/>
              </w:rPr>
            </w:pPr>
            <w:r>
              <w:rPr>
                <w:sz w:val="18"/>
                <w:szCs w:val="18"/>
              </w:rPr>
              <w:t>Geografiskt informationssystem.</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Förslag på metoder för utvärdering </w:t>
      </w:r>
    </w:p>
    <w:p w:rsidR="00A45935" w:rsidRPr="00E05D08" w:rsidRDefault="00A45935" w:rsidP="00E05D08">
      <w:pPr>
        <w:spacing w:after="120" w:line="280" w:lineRule="atLeast"/>
        <w:mirrorIndents/>
        <w:rPr>
          <w:rFonts w:eastAsia="Times New Roman" w:cs="Times New Roman"/>
          <w:color w:val="F07E31"/>
          <w:szCs w:val="20"/>
          <w:u w:val="single"/>
        </w:rPr>
      </w:pPr>
      <w:r>
        <w:t xml:space="preserve">Beräkningen av de gemensamma indikatorer som är kopplade till gemensam utvärderingsfråga 2 beskrivs i bilaga 11 till riktlinjerna </w:t>
      </w:r>
      <w:hyperlink r:id="rId52" w:history="1">
        <w:r>
          <w:rPr>
            <w:i/>
            <w:color w:val="F07E31"/>
            <w:szCs w:val="20"/>
            <w:u w:val="single"/>
          </w:rPr>
          <w:t>Assessment of RDP results:</w:t>
        </w:r>
      </w:hyperlink>
      <w:hyperlink r:id="rId53" w:history="1">
        <w:r>
          <w:rPr>
            <w:color w:val="F07E31"/>
            <w:szCs w:val="20"/>
            <w:u w:val="single"/>
          </w:rPr>
          <w:t xml:space="preserve"> </w:t>
        </w:r>
        <w:r>
          <w:rPr>
            <w:i/>
            <w:color w:val="F07E31"/>
            <w:szCs w:val="20"/>
            <w:u w:val="single"/>
          </w:rPr>
          <w:t>how to prepare for reporting on evaluation in 2017</w:t>
        </w:r>
      </w:hyperlink>
    </w:p>
    <w:p w:rsidR="00A45935" w:rsidRPr="00E05D08" w:rsidRDefault="00A45935" w:rsidP="00E05D08">
      <w:pPr>
        <w:spacing w:after="120" w:line="280" w:lineRule="atLeast"/>
        <w:mirrorIndents/>
        <w:rPr>
          <w:rFonts w:eastAsia="Times New Roman" w:cs="Times New Roman"/>
          <w:szCs w:val="20"/>
        </w:rPr>
      </w:pPr>
      <w:r>
        <w:t>För bedömningen av den innovationsrelaterade delen av gemensam utvärderingsfråga nr 2 föreslås följande steg:</w:t>
      </w:r>
    </w:p>
    <w:p w:rsidR="00A45935" w:rsidRPr="008F1F04" w:rsidRDefault="00A45935" w:rsidP="00547012">
      <w:pPr>
        <w:pStyle w:val="Hlistbullet"/>
      </w:pPr>
      <w:r>
        <w:rPr>
          <w:b/>
        </w:rPr>
        <w:t>STEG 1: Identifiera stödmottagare inom åtgärd M16</w:t>
      </w:r>
      <w:r>
        <w:t xml:space="preserve"> och dess delåtgärder i enlighet med resultaten av identifieringen av deras innovationspotential (stödmottagare som genomfört insatser som räknas som innovativa) </w:t>
      </w:r>
    </w:p>
    <w:p w:rsidR="00A45935" w:rsidRPr="008F1F04" w:rsidRDefault="00A45935" w:rsidP="00547012">
      <w:pPr>
        <w:pStyle w:val="Hlistbullet"/>
      </w:pPr>
      <w:r>
        <w:rPr>
          <w:b/>
        </w:rPr>
        <w:t>STEG 2: Kvantifiera utfalls- och målindikatorer</w:t>
      </w:r>
      <w:r>
        <w:t xml:space="preserve"> med hjälp av övervakningsuppgifter om de operativa grupperna i landsbygdsprogrammets insatsdatabas. Vid användning av insatsdatabasen för utvärdering av innovation kan de förvaltande myndigheterna lägga till och samla in dataposter som har koppling operativa grupper och innovation. </w:t>
      </w:r>
    </w:p>
    <w:p w:rsidR="00A45935" w:rsidRPr="008F1F04" w:rsidRDefault="00A45935" w:rsidP="00547012">
      <w:pPr>
        <w:pStyle w:val="Hlistbullet"/>
      </w:pPr>
      <w:r>
        <w:rPr>
          <w:b/>
        </w:rPr>
        <w:t>STEG 3: Samla in bevis för att besvara den gemensamma utvärderingsfrågan</w:t>
      </w:r>
      <w:r>
        <w:t xml:space="preserve"> med hjälp av de specificerade metoderna</w:t>
      </w:r>
      <w:r>
        <w:rPr>
          <w:b/>
        </w:rPr>
        <w:t>.</w:t>
      </w:r>
      <w:r>
        <w:t xml:space="preserve"> Utarbeta öppna frågor för användningen av de metoder som ingår i nedanstående tabell (enkäter, fokusgrupper och delphimetoden) med hänsyn till de föreslagna bedömningskriterierna och indikatorerna såväl som resultaten av identifieringen av innovationspotentialen.</w:t>
      </w:r>
    </w:p>
    <w:p w:rsidR="00A45935" w:rsidRPr="008F1F04" w:rsidRDefault="00A45935" w:rsidP="00547012">
      <w:pPr>
        <w:pStyle w:val="Hlistbullet"/>
      </w:pPr>
      <w:r>
        <w:rPr>
          <w:b/>
        </w:rPr>
        <w:t>STEG 4: Analysera och tolka de insamlade bevisen</w:t>
      </w:r>
      <w:r>
        <w:t xml:space="preserve"> och använd dem för att besvara gemensam utvärderingsfråga nr 2 avseende förstärkningen av banden när det gäller innovation.</w:t>
      </w:r>
    </w:p>
    <w:p w:rsidR="00A45935" w:rsidRPr="00897804" w:rsidRDefault="00A45935" w:rsidP="00897804">
      <w:pPr>
        <w:pStyle w:val="HHeadingtables"/>
        <w:rPr>
          <w:color w:val="6F6F6F"/>
          <w:sz w:val="18"/>
          <w:szCs w:val="18"/>
        </w:rPr>
      </w:pPr>
      <w:bookmarkStart w:id="115" w:name="_Toc508290383"/>
      <w:r>
        <w:rPr>
          <w:color w:val="6F6F6F"/>
          <w:sz w:val="18"/>
          <w:szCs w:val="18"/>
        </w:rPr>
        <w:t>Rekommenderade metoder för gemensam utvärderingsfråga nr 2</w:t>
      </w:r>
      <w:bookmarkEnd w:id="115"/>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1"/>
      </w:tblGrid>
      <w:tr w:rsidR="00A45935" w:rsidRPr="00E05D08" w:rsidTr="00C31877">
        <w:trPr>
          <w:tblHeader/>
        </w:trPr>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Metoder</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Tips om hur metoderna kan användas</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Enkät till samarbetsprojekt och slutliga stödmottagare</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Välj ut ett urval av samarbetsprojekt (t.ex. utifrån sektor, den operativa gruppens storlek, geografi etc.) för att samla in uppgifter och information om indikatorer från stödmottagare via enkäten.</w:t>
            </w:r>
          </w:p>
          <w:p w:rsidR="00A45935" w:rsidRPr="00385368" w:rsidRDefault="00A45935" w:rsidP="008C0B17">
            <w:pPr>
              <w:numPr>
                <w:ilvl w:val="0"/>
                <w:numId w:val="21"/>
              </w:numPr>
              <w:spacing w:before="60" w:after="120" w:line="280" w:lineRule="atLeast"/>
              <w:ind w:left="459"/>
              <w:rPr>
                <w:sz w:val="18"/>
                <w:szCs w:val="18"/>
              </w:rPr>
            </w:pPr>
            <w:r>
              <w:rPr>
                <w:sz w:val="18"/>
                <w:szCs w:val="18"/>
              </w:rPr>
              <w:t>Välj bland annat ut samarbetsprojekt som kan påverka miljöförvaltning och miljöprestanda (t.ex. delåtgärderna 5, 6, 8 och 9 eller operativa grupper inom detta område – M16.1).</w:t>
            </w:r>
          </w:p>
          <w:p w:rsidR="00A45935" w:rsidRPr="00385368" w:rsidRDefault="00A45935" w:rsidP="008C0B17">
            <w:pPr>
              <w:numPr>
                <w:ilvl w:val="0"/>
                <w:numId w:val="21"/>
              </w:numPr>
              <w:spacing w:before="60" w:after="120" w:line="280" w:lineRule="atLeast"/>
              <w:ind w:left="459"/>
              <w:rPr>
                <w:sz w:val="18"/>
                <w:szCs w:val="18"/>
              </w:rPr>
            </w:pPr>
            <w:r>
              <w:rPr>
                <w:sz w:val="18"/>
                <w:szCs w:val="18"/>
              </w:rPr>
              <w:t>Utforma enkäterna med öppna frågor om hur samarbetsprojekten bidrar till a) utbytet av innovativa idéer, b) byggandet av innovationskapacitet, c) skapandet av en gynnsam miljö för innovation.</w:t>
            </w:r>
          </w:p>
          <w:p w:rsidR="00A45935" w:rsidRPr="00385368" w:rsidRDefault="00A45935" w:rsidP="008C0B17">
            <w:pPr>
              <w:numPr>
                <w:ilvl w:val="0"/>
                <w:numId w:val="21"/>
              </w:numPr>
              <w:spacing w:before="60" w:after="120" w:line="280" w:lineRule="atLeast"/>
              <w:ind w:left="459"/>
            </w:pPr>
            <w:r>
              <w:rPr>
                <w:sz w:val="18"/>
                <w:szCs w:val="18"/>
              </w:rPr>
              <w:t>Använd enkätresultaten för att bedöma hur olika former av samarbetsprojekt (samarbete mellan olika aktörer, kluster och nätverk samt operativa grupper) bidrar till starkare kopplingar mellan forskning/innovation och praktik.</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Strukturerade fokusgrupper</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Inrätta fokusgrupper med innovationsaktörer (t.ex. innovationsstödjande tjänster, rådgivare som fungerar som innovationsförmedlare, center för forskning och innovation etc.).</w:t>
            </w:r>
          </w:p>
          <w:p w:rsidR="00A45935" w:rsidRPr="00385368" w:rsidRDefault="00A45935" w:rsidP="008C0B17">
            <w:pPr>
              <w:numPr>
                <w:ilvl w:val="0"/>
                <w:numId w:val="22"/>
              </w:numPr>
              <w:spacing w:before="60" w:after="120" w:line="280" w:lineRule="atLeast"/>
              <w:ind w:left="459"/>
              <w:rPr>
                <w:sz w:val="18"/>
                <w:szCs w:val="18"/>
              </w:rPr>
            </w:pPr>
            <w:r>
              <w:rPr>
                <w:sz w:val="18"/>
                <w:szCs w:val="18"/>
              </w:rPr>
              <w:t>Analysera hur kopplingarna mellan aktörer påverkar innovationskapaciteten och skapandet av en gynnsam miljö för innovation.</w:t>
            </w:r>
          </w:p>
          <w:p w:rsidR="00A45935" w:rsidRPr="00385368" w:rsidRDefault="00A45935" w:rsidP="008C0B17">
            <w:pPr>
              <w:numPr>
                <w:ilvl w:val="0"/>
                <w:numId w:val="22"/>
              </w:numPr>
              <w:spacing w:before="60" w:after="120" w:line="280" w:lineRule="atLeast"/>
              <w:ind w:left="459"/>
              <w:rPr>
                <w:sz w:val="18"/>
                <w:szCs w:val="18"/>
              </w:rPr>
            </w:pPr>
            <w:r>
              <w:rPr>
                <w:sz w:val="18"/>
                <w:szCs w:val="18"/>
              </w:rPr>
              <w:t>Överväg alternativet att inrätta tematiska fokusgrupper (t.ex. en fokusgrupp för samarbetsprojekt som rör miljöfrågor, en annan för operativa grupper inom det europeiska innovationspartnerskapet etc.).</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lastRenderedPageBreak/>
              <w:t>Delphimetoden</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Organisera en delphiprocess med innovationsexperter (t.ex. aktörer som är involverade i samarbetsprojekt, men även akademiker etc.) för att göra en bedömning av de relevanta kriterierna.</w:t>
            </w:r>
          </w:p>
        </w:tc>
      </w:tr>
    </w:tbl>
    <w:p w:rsidR="00A45935" w:rsidRPr="00E05D08" w:rsidRDefault="00A45935" w:rsidP="00E05D08">
      <w:pPr>
        <w:spacing w:after="0" w:line="240" w:lineRule="auto"/>
        <w:rPr>
          <w:rFonts w:eastAsia="Times New Roman" w:cs="Times New Roman"/>
          <w:sz w:val="18"/>
          <w:szCs w:val="24"/>
        </w:rPr>
      </w:pPr>
      <w:r>
        <w:br w:type="page"/>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inline distT="0" distB="0" distL="0" distR="0" wp14:anchorId="467E4A97" wp14:editId="76005041">
                <wp:extent cx="5707380" cy="4829175"/>
                <wp:effectExtent l="0" t="0" r="26670" b="28575"/>
                <wp:docPr id="26" name="Rectangle: Diagonal Corners Rounded 26"/>
                <wp:cNvGraphicFramePr/>
                <a:graphic xmlns:a="http://schemas.openxmlformats.org/drawingml/2006/main">
                  <a:graphicData uri="http://schemas.microsoft.com/office/word/2010/wordprocessingShape">
                    <wps:wsp>
                      <wps:cNvSpPr/>
                      <wps:spPr>
                        <a:xfrm>
                          <a:off x="0" y="0"/>
                          <a:ext cx="5707380" cy="4829175"/>
                        </a:xfrm>
                        <a:prstGeom prst="round2DiagRect">
                          <a:avLst>
                            <a:gd name="adj1" fmla="val 7299"/>
                            <a:gd name="adj2" fmla="val 0"/>
                          </a:avLst>
                        </a:prstGeom>
                        <a:noFill/>
                        <a:ln w="25400" cap="flat" cmpd="sng" algn="ctr">
                          <a:solidFill>
                            <a:srgbClr val="F07E31"/>
                          </a:solidFill>
                          <a:prstDash val="solid"/>
                        </a:ln>
                        <a:effectLst/>
                      </wps:spPr>
                      <wps:txbx>
                        <w:txbxContent>
                          <w:p w:rsidR="004C3777" w:rsidRPr="001954EB" w:rsidRDefault="004C3777" w:rsidP="00E05D08">
                            <w:pPr>
                              <w:pStyle w:val="HStandard"/>
                              <w:rPr>
                                <w:b/>
                                <w:color w:val="F07E31"/>
                                <w:sz w:val="18"/>
                                <w:szCs w:val="18"/>
                              </w:rPr>
                            </w:pPr>
                            <w:r>
                              <w:rPr>
                                <w:noProof/>
                                <w:sz w:val="18"/>
                                <w:szCs w:val="18"/>
                                <w:lang w:val="en-GB" w:eastAsia="en-GB"/>
                              </w:rPr>
                              <w:drawing>
                                <wp:inline distT="0" distB="0" distL="0" distR="0" wp14:anchorId="0D16880E" wp14:editId="346E4B6A">
                                  <wp:extent cx="353060" cy="359410"/>
                                  <wp:effectExtent l="0" t="0" r="8890" b="2540"/>
                                  <wp:docPr id="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Exempel från de årliga genomföranderapporter som lämnades in 2017</w:t>
                            </w:r>
                          </w:p>
                          <w:p w:rsidR="004C3777" w:rsidRPr="00547012" w:rsidRDefault="004C3777" w:rsidP="00E05D08">
                            <w:pPr>
                              <w:rPr>
                                <w:rFonts w:cs="Arial"/>
                                <w:sz w:val="18"/>
                                <w:szCs w:val="18"/>
                              </w:rPr>
                            </w:pPr>
                            <w:r>
                              <w:rPr>
                                <w:b/>
                                <w:sz w:val="18"/>
                                <w:szCs w:val="18"/>
                              </w:rPr>
                              <w:t>Mecklenburg–Vorpommern (DE) –</w:t>
                            </w:r>
                            <w:r>
                              <w:rPr>
                                <w:sz w:val="18"/>
                                <w:szCs w:val="18"/>
                              </w:rPr>
                              <w:t xml:space="preserve"> använder följande tre bedömningskriterier när det gäller innovation:</w:t>
                            </w:r>
                          </w:p>
                          <w:p w:rsidR="004C3777" w:rsidRPr="001954EB" w:rsidRDefault="004C3777" w:rsidP="008C0B17">
                            <w:pPr>
                              <w:numPr>
                                <w:ilvl w:val="0"/>
                                <w:numId w:val="57"/>
                              </w:numPr>
                              <w:rPr>
                                <w:rFonts w:cs="Arial"/>
                                <w:sz w:val="18"/>
                                <w:szCs w:val="18"/>
                              </w:rPr>
                            </w:pPr>
                            <w:r>
                              <w:rPr>
                                <w:sz w:val="18"/>
                                <w:szCs w:val="18"/>
                              </w:rPr>
                              <w:t xml:space="preserve">Processer som stöds av landsbygdsprogrammet är innovativa och bygger på inhämtad kunskap. </w:t>
                            </w:r>
                          </w:p>
                          <w:p w:rsidR="004C3777" w:rsidRPr="001954EB" w:rsidRDefault="004C3777" w:rsidP="008C0B17">
                            <w:pPr>
                              <w:numPr>
                                <w:ilvl w:val="0"/>
                                <w:numId w:val="57"/>
                              </w:numPr>
                              <w:rPr>
                                <w:rFonts w:cs="Arial"/>
                                <w:sz w:val="18"/>
                                <w:szCs w:val="18"/>
                              </w:rPr>
                            </w:pPr>
                            <w:r>
                              <w:rPr>
                                <w:sz w:val="18"/>
                                <w:szCs w:val="18"/>
                              </w:rPr>
                              <w:t>Innovativa insatser genomförs och sprids via operativa grupper.</w:t>
                            </w:r>
                          </w:p>
                          <w:p w:rsidR="004C3777" w:rsidRPr="001954EB" w:rsidRDefault="004C3777" w:rsidP="008C0B17">
                            <w:pPr>
                              <w:numPr>
                                <w:ilvl w:val="0"/>
                                <w:numId w:val="57"/>
                              </w:numPr>
                              <w:rPr>
                                <w:rFonts w:cs="Arial"/>
                                <w:sz w:val="18"/>
                                <w:szCs w:val="18"/>
                              </w:rPr>
                            </w:pPr>
                            <w:r>
                              <w:rPr>
                                <w:sz w:val="18"/>
                                <w:szCs w:val="18"/>
                              </w:rPr>
                              <w:t>Erhållna resultat leder till en förbättrad marknadsställning för de berörda aktörerna genom innovation.</w:t>
                            </w:r>
                          </w:p>
                          <w:p w:rsidR="004C3777" w:rsidRPr="00547012" w:rsidRDefault="004C3777" w:rsidP="00E05D08">
                            <w:pPr>
                              <w:rPr>
                                <w:rFonts w:cs="Arial"/>
                                <w:sz w:val="18"/>
                                <w:szCs w:val="18"/>
                              </w:rPr>
                            </w:pPr>
                            <w:r>
                              <w:rPr>
                                <w:sz w:val="18"/>
                                <w:szCs w:val="18"/>
                              </w:rPr>
                              <w:t>Flera olika metoder används för att samla in information från det europeiska innovationspartnerskapets operativa grupper. Dessa omfattar olika dimensioner av innovation och syftar till att bedöma de operativa gruppernas kvalitet och effekter:</w:t>
                            </w:r>
                          </w:p>
                          <w:p w:rsidR="004C3777" w:rsidRPr="001954EB" w:rsidRDefault="004C3777" w:rsidP="008C0B17">
                            <w:pPr>
                              <w:numPr>
                                <w:ilvl w:val="0"/>
                                <w:numId w:val="58"/>
                              </w:numPr>
                              <w:rPr>
                                <w:rFonts w:cs="Arial"/>
                                <w:sz w:val="18"/>
                                <w:szCs w:val="18"/>
                              </w:rPr>
                            </w:pPr>
                            <w:r>
                              <w:rPr>
                                <w:sz w:val="18"/>
                                <w:szCs w:val="18"/>
                              </w:rPr>
                              <w:t>Analys av utgångsläget (bedömning av ramvillkor, intervjuer med aktörer etc.).</w:t>
                            </w:r>
                          </w:p>
                          <w:p w:rsidR="004C3777" w:rsidRPr="001954EB" w:rsidRDefault="004C3777" w:rsidP="008C0B17">
                            <w:pPr>
                              <w:numPr>
                                <w:ilvl w:val="0"/>
                                <w:numId w:val="58"/>
                              </w:numPr>
                              <w:rPr>
                                <w:rFonts w:cs="Arial"/>
                                <w:sz w:val="18"/>
                                <w:szCs w:val="18"/>
                              </w:rPr>
                            </w:pPr>
                            <w:r>
                              <w:rPr>
                                <w:sz w:val="18"/>
                                <w:szCs w:val="18"/>
                              </w:rPr>
                              <w:t xml:space="preserve">Bedömning av innovationernas egenskaper och typer genom analys av urvalskriterier och fallstudier. </w:t>
                            </w:r>
                          </w:p>
                          <w:p w:rsidR="004C3777" w:rsidRPr="001954EB" w:rsidRDefault="004C3777" w:rsidP="008C0B17">
                            <w:pPr>
                              <w:numPr>
                                <w:ilvl w:val="0"/>
                                <w:numId w:val="58"/>
                              </w:numPr>
                              <w:rPr>
                                <w:rFonts w:cs="Arial"/>
                                <w:sz w:val="18"/>
                                <w:szCs w:val="18"/>
                              </w:rPr>
                            </w:pPr>
                            <w:r>
                              <w:rPr>
                                <w:sz w:val="18"/>
                                <w:szCs w:val="18"/>
                              </w:rPr>
                              <w:t>Analys av erhållna resultat och deras spridning (enkät och egenbedömning av de operativa grupperna).</w:t>
                            </w:r>
                          </w:p>
                          <w:p w:rsidR="004C3777" w:rsidRPr="00547012" w:rsidRDefault="004C3777" w:rsidP="00E05D08">
                            <w:pPr>
                              <w:rPr>
                                <w:rFonts w:cs="Arial"/>
                                <w:sz w:val="18"/>
                                <w:szCs w:val="18"/>
                              </w:rPr>
                            </w:pPr>
                            <w:r>
                              <w:rPr>
                                <w:sz w:val="18"/>
                                <w:szCs w:val="18"/>
                              </w:rPr>
                              <w:t xml:space="preserve">Data- och informationskällorna omfattar övervakningsuppgifter, ansökningsformulär, projektdokumentation, primära statistiska uppgifter som samlats in genom enkäter, sekundära statistiska uppgifter från olika källor. </w:t>
                            </w:r>
                          </w:p>
                          <w:p w:rsidR="004C3777" w:rsidRPr="00547012" w:rsidRDefault="004C3777" w:rsidP="00E05D08">
                            <w:pPr>
                              <w:rPr>
                                <w:rFonts w:cs="Arial"/>
                                <w:sz w:val="18"/>
                                <w:szCs w:val="18"/>
                              </w:rPr>
                            </w:pPr>
                            <w:r>
                              <w:rPr>
                                <w:sz w:val="18"/>
                                <w:szCs w:val="18"/>
                              </w:rPr>
                              <w:t xml:space="preserve">Enkäter med stödmottagarna (det europeiska innovationspartnerskapets operativa grupper) utförs före och efter interventionen. </w:t>
                            </w:r>
                          </w:p>
                          <w:p w:rsidR="004C3777" w:rsidRPr="001954EB" w:rsidRDefault="004C3777" w:rsidP="00E05D08">
                            <w:pPr>
                              <w:pStyle w:val="HStandard"/>
                              <w:rPr>
                                <w:sz w:val="18"/>
                                <w:szCs w:val="18"/>
                              </w:rPr>
                            </w:pPr>
                            <w:r>
                              <w:rPr>
                                <w:b/>
                                <w:sz w:val="18"/>
                                <w:szCs w:val="18"/>
                              </w:rPr>
                              <w:t xml:space="preserve">Tjeckien – </w:t>
                            </w:r>
                            <w:r>
                              <w:rPr>
                                <w:sz w:val="18"/>
                                <w:szCs w:val="18"/>
                              </w:rPr>
                              <w:t>föreslår att en metod baserad på fallstudier ska användas för att samla in information från de operativa grupperna och de samarbetsprojekt som rör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7E4A97" id="Rectangle: Diagonal Corners Rounded 26" o:spid="_x0000_s1048" style="width:449.4pt;height:380.25pt;visibility:visible;mso-wrap-style:square;mso-left-percent:-10001;mso-top-percent:-10001;mso-position-horizontal:absolute;mso-position-horizontal-relative:char;mso-position-vertical:absolute;mso-position-vertical-relative:line;mso-left-percent:-10001;mso-top-percent:-10001;v-text-anchor:middle" coordsize="5707380,4829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" adj="-11796480,,5400" path="m352481,l5707380,r,l5707380,4476694v,194670,-157811,352481,-352481,352481l,4829175r,l,352481c,157811,157811,,352481,xe" filled="f" strokecolor="#f07e31" strokeweight="2pt">
                <v:stroke joinstyle="miter"/>
                <v:formulas/>
                <v:path arrowok="t" o:connecttype="custom" o:connectlocs="352481,0;5707380,0;5707380,0;5707380,4476694;5354899,4829175;0,4829175;0,4829175;0,352481;352481,0" o:connectangles="0,0,0,0,0,0,0,0,0" textboxrect="0,0,5707380,4829175"/>
                <v:textbox>
                  <w:txbxContent>
                    <w:p w:rsidR="004C3777" w:rsidRPr="001954EB" w:rsidRDefault="004C3777" w:rsidP="00E05D08">
                      <w:pPr>
                        <w:pStyle w:val="HStandard"/>
                        <w:rPr>
                          <w:b/>
                          <w:color w:val="F07E31"/>
                          <w:sz w:val="18"/>
                          <w:szCs w:val="18"/>
                        </w:rPr>
                      </w:pPr>
                      <w:r>
                        <w:rPr>
                          <w:noProof/>
                          <w:sz w:val="18"/>
                          <w:szCs w:val="18"/>
                          <w:lang w:val="en-GB" w:eastAsia="en-GB"/>
                        </w:rPr>
                        <w:drawing>
                          <wp:inline distT="0" distB="0" distL="0" distR="0" wp14:anchorId="0D16880E" wp14:editId="346E4B6A">
                            <wp:extent cx="353060" cy="359410"/>
                            <wp:effectExtent l="0" t="0" r="8890" b="2540"/>
                            <wp:docPr id="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Exempel från de årliga genomföranderapporter som lämnades in 2017</w:t>
                      </w:r>
                    </w:p>
                    <w:p w:rsidR="004C3777" w:rsidRPr="00547012" w:rsidRDefault="004C3777" w:rsidP="00E05D08">
                      <w:pPr>
                        <w:rPr>
                          <w:rFonts w:cs="Arial"/>
                          <w:sz w:val="18"/>
                          <w:szCs w:val="18"/>
                        </w:rPr>
                      </w:pPr>
                      <w:r>
                        <w:rPr>
                          <w:b/>
                          <w:sz w:val="18"/>
                          <w:szCs w:val="18"/>
                        </w:rPr>
                        <w:t>Mecklenburg–Vorpommern (DE) –</w:t>
                      </w:r>
                      <w:r>
                        <w:rPr>
                          <w:sz w:val="18"/>
                          <w:szCs w:val="18"/>
                        </w:rPr>
                        <w:t xml:space="preserve"> använder följande tre bedömningskriterier när det gäller innovation:</w:t>
                      </w:r>
                    </w:p>
                    <w:p w:rsidR="004C3777" w:rsidRPr="001954EB" w:rsidRDefault="004C3777" w:rsidP="008C0B17">
                      <w:pPr>
                        <w:numPr>
                          <w:ilvl w:val="0"/>
                          <w:numId w:val="57"/>
                        </w:numPr>
                        <w:rPr>
                          <w:rFonts w:cs="Arial"/>
                          <w:sz w:val="18"/>
                          <w:szCs w:val="18"/>
                        </w:rPr>
                      </w:pPr>
                      <w:r>
                        <w:rPr>
                          <w:sz w:val="18"/>
                          <w:szCs w:val="18"/>
                        </w:rPr>
                        <w:t xml:space="preserve">Processer som stöds av landsbygdsprogrammet är innovativa och bygger på inhämtad kunskap. </w:t>
                      </w:r>
                    </w:p>
                    <w:p w:rsidR="004C3777" w:rsidRPr="001954EB" w:rsidRDefault="004C3777" w:rsidP="008C0B17">
                      <w:pPr>
                        <w:numPr>
                          <w:ilvl w:val="0"/>
                          <w:numId w:val="57"/>
                        </w:numPr>
                        <w:rPr>
                          <w:rFonts w:cs="Arial"/>
                          <w:sz w:val="18"/>
                          <w:szCs w:val="18"/>
                        </w:rPr>
                      </w:pPr>
                      <w:r>
                        <w:rPr>
                          <w:sz w:val="18"/>
                          <w:szCs w:val="18"/>
                        </w:rPr>
                        <w:t>Innovativa insatser genomförs och sprids via operativa grupper.</w:t>
                      </w:r>
                    </w:p>
                    <w:p w:rsidR="004C3777" w:rsidRPr="001954EB" w:rsidRDefault="004C3777" w:rsidP="008C0B17">
                      <w:pPr>
                        <w:numPr>
                          <w:ilvl w:val="0"/>
                          <w:numId w:val="57"/>
                        </w:numPr>
                        <w:rPr>
                          <w:rFonts w:cs="Arial"/>
                          <w:sz w:val="18"/>
                          <w:szCs w:val="18"/>
                        </w:rPr>
                      </w:pPr>
                      <w:r>
                        <w:rPr>
                          <w:sz w:val="18"/>
                          <w:szCs w:val="18"/>
                        </w:rPr>
                        <w:t>Erhållna resultat leder till en förbättrad marknadsställning för de berörda aktörerna genom innovation.</w:t>
                      </w:r>
                    </w:p>
                    <w:p w:rsidR="004C3777" w:rsidRPr="00547012" w:rsidRDefault="004C3777" w:rsidP="00E05D08">
                      <w:pPr>
                        <w:rPr>
                          <w:rFonts w:cs="Arial"/>
                          <w:sz w:val="18"/>
                          <w:szCs w:val="18"/>
                        </w:rPr>
                      </w:pPr>
                      <w:r>
                        <w:rPr>
                          <w:sz w:val="18"/>
                          <w:szCs w:val="18"/>
                        </w:rPr>
                        <w:t>Flera olika metoder används för att samla in information från det europeiska innovationspartnerskapets operativa grupper. Dessa omfattar olika dimensioner av innovation och syftar till att bedöma de operativa gruppernas kvalitet och effekter:</w:t>
                      </w:r>
                    </w:p>
                    <w:p w:rsidR="004C3777" w:rsidRPr="001954EB" w:rsidRDefault="004C3777" w:rsidP="008C0B17">
                      <w:pPr>
                        <w:numPr>
                          <w:ilvl w:val="0"/>
                          <w:numId w:val="58"/>
                        </w:numPr>
                        <w:rPr>
                          <w:rFonts w:cs="Arial"/>
                          <w:sz w:val="18"/>
                          <w:szCs w:val="18"/>
                        </w:rPr>
                      </w:pPr>
                      <w:r>
                        <w:rPr>
                          <w:sz w:val="18"/>
                          <w:szCs w:val="18"/>
                        </w:rPr>
                        <w:t>Analys av utgångsläget (bedömning av ramvillkor, intervjuer med aktörer etc.).</w:t>
                      </w:r>
                    </w:p>
                    <w:p w:rsidR="004C3777" w:rsidRPr="001954EB" w:rsidRDefault="004C3777" w:rsidP="008C0B17">
                      <w:pPr>
                        <w:numPr>
                          <w:ilvl w:val="0"/>
                          <w:numId w:val="58"/>
                        </w:numPr>
                        <w:rPr>
                          <w:rFonts w:cs="Arial"/>
                          <w:sz w:val="18"/>
                          <w:szCs w:val="18"/>
                        </w:rPr>
                      </w:pPr>
                      <w:r>
                        <w:rPr>
                          <w:sz w:val="18"/>
                          <w:szCs w:val="18"/>
                        </w:rPr>
                        <w:t xml:space="preserve">Bedömning av innovationernas egenskaper och typer genom analys av urvalskriterier och fallstudier. </w:t>
                      </w:r>
                    </w:p>
                    <w:p w:rsidR="004C3777" w:rsidRPr="001954EB" w:rsidRDefault="004C3777" w:rsidP="008C0B17">
                      <w:pPr>
                        <w:numPr>
                          <w:ilvl w:val="0"/>
                          <w:numId w:val="58"/>
                        </w:numPr>
                        <w:rPr>
                          <w:rFonts w:cs="Arial"/>
                          <w:sz w:val="18"/>
                          <w:szCs w:val="18"/>
                        </w:rPr>
                      </w:pPr>
                      <w:r>
                        <w:rPr>
                          <w:sz w:val="18"/>
                          <w:szCs w:val="18"/>
                        </w:rPr>
                        <w:t>Analys av erhållna resultat och deras spridning (enkät och egenbedömning av de operativa grupperna).</w:t>
                      </w:r>
                    </w:p>
                    <w:p w:rsidR="004C3777" w:rsidRPr="00547012" w:rsidRDefault="004C3777" w:rsidP="00E05D08">
                      <w:pPr>
                        <w:rPr>
                          <w:rFonts w:cs="Arial"/>
                          <w:sz w:val="18"/>
                          <w:szCs w:val="18"/>
                        </w:rPr>
                      </w:pPr>
                      <w:r>
                        <w:rPr>
                          <w:sz w:val="18"/>
                          <w:szCs w:val="18"/>
                        </w:rPr>
                        <w:t xml:space="preserve">Data- och informationskällorna omfattar övervakningsuppgifter, ansökningsformulär, projektdokumentation, primära statistiska uppgifter som samlats in genom enkäter, sekundära statistiska uppgifter från olika källor. </w:t>
                      </w:r>
                    </w:p>
                    <w:p w:rsidR="004C3777" w:rsidRPr="00547012" w:rsidRDefault="004C3777" w:rsidP="00E05D08">
                      <w:pPr>
                        <w:rPr>
                          <w:rFonts w:cs="Arial"/>
                          <w:sz w:val="18"/>
                          <w:szCs w:val="18"/>
                        </w:rPr>
                      </w:pPr>
                      <w:r>
                        <w:rPr>
                          <w:sz w:val="18"/>
                          <w:szCs w:val="18"/>
                        </w:rPr>
                        <w:t xml:space="preserve">Enkäter med stödmottagarna (det europeiska innovationspartnerskapets operativa grupper) utförs före och efter interventionen. </w:t>
                      </w:r>
                    </w:p>
                    <w:p w:rsidR="004C3777" w:rsidRPr="001954EB" w:rsidRDefault="004C3777" w:rsidP="00E05D08">
                      <w:pPr>
                        <w:pStyle w:val="HStandard"/>
                        <w:rPr>
                          <w:sz w:val="18"/>
                          <w:szCs w:val="18"/>
                        </w:rPr>
                      </w:pPr>
                      <w:r>
                        <w:rPr>
                          <w:b/>
                          <w:sz w:val="18"/>
                          <w:szCs w:val="18"/>
                        </w:rPr>
                        <w:t xml:space="preserve">Tjeckien – </w:t>
                      </w:r>
                      <w:r>
                        <w:rPr>
                          <w:sz w:val="18"/>
                          <w:szCs w:val="18"/>
                        </w:rPr>
                        <w:t>föreslår att en metod baserad på fallstudier ska användas för att samla in information från de operativa grupperna och de samarbetsprojekt som rör innovation.</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Risker och lösningar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Risker</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Lösningar</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För vissa av indikatorerna finns det inga uppgifter förrän efter programperiodens slut (t.ex. antalet samarbetsinsatser som fortsätter efter stödet från landsbygdsprogrammet).</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De typer av samarbetsstrukturer som har skapats (rättslig struktur, sammansättning, parternas åtagandeförklaring etc.) kan analyseras genom en kvalitativ bedömning (t.ex. med hjälp av fokusgrupper eller intervjuer med de operativa gruppernas partner).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Insamling av information för vissa indikatorer som inte ingår i landsbygdsprogrammets övervakningssystem (t.ex. kompletterande indikatorer).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Information kan samlas in genom enkäter och intervjuer. </w:t>
            </w:r>
          </w:p>
          <w:p w:rsidR="00A45935" w:rsidRPr="00385368" w:rsidRDefault="00A45935" w:rsidP="00E05D08">
            <w:pPr>
              <w:spacing w:after="120" w:line="280" w:lineRule="atLeast"/>
              <w:ind w:left="27" w:right="47"/>
              <w:mirrorIndents/>
              <w:rPr>
                <w:sz w:val="18"/>
                <w:szCs w:val="18"/>
              </w:rPr>
            </w:pPr>
            <w:r>
              <w:rPr>
                <w:sz w:val="18"/>
                <w:szCs w:val="18"/>
              </w:rPr>
              <w:t xml:space="preserve">Alternativt kan de förvaltande myndigheterna överväga att ta med insamlingen av uppgifter för kompletterande indikatorer via insatsdatabasen. </w:t>
            </w:r>
          </w:p>
        </w:tc>
      </w:tr>
    </w:tbl>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Slutsatser och rekommendationer</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De viktigaste slutsatserna och rekommendationerna bör åtminstone behandla följande politiska frågor:</w:t>
      </w:r>
    </w:p>
    <w:p w:rsidR="00A45935" w:rsidRPr="00E54929" w:rsidRDefault="00A45935" w:rsidP="00547012">
      <w:pPr>
        <w:pStyle w:val="Hlistbullet"/>
        <w:rPr>
          <w:rFonts w:eastAsia="Calibri"/>
          <w:shd w:val="clear" w:color="auto" w:fill="FFFFFF"/>
        </w:rPr>
      </w:pPr>
      <w:r>
        <w:rPr>
          <w:b/>
          <w:shd w:val="clear" w:color="auto" w:fill="FFFFFF"/>
        </w:rPr>
        <w:t>Landsbygdsprogrammets tendens att använda samarbetsåtgärden för att identifiera innovation i landsbygdsområden.</w:t>
      </w:r>
      <w:r>
        <w:rPr>
          <w:shd w:val="clear" w:color="auto" w:fill="FFFFFF"/>
        </w:rPr>
        <w:t xml:space="preserve"> Inrättandet av en operativ grupp visar till exempel att en innovativ idé har identifierats och att den kan genomföras genom att koppla samman forskning och praktik. Omfattningen, innehållet och varaktigheten av det projekt som har utarbetats och </w:t>
      </w:r>
      <w:r>
        <w:rPr>
          <w:shd w:val="clear" w:color="auto" w:fill="FFFFFF"/>
        </w:rPr>
        <w:lastRenderedPageBreak/>
        <w:t>genomförts av den operativa gruppen ger användbar information för ytterligare slutsatser i detta avseende.</w:t>
      </w:r>
    </w:p>
    <w:p w:rsidR="00A45935" w:rsidRPr="00E54929" w:rsidRDefault="00A45935" w:rsidP="00547012">
      <w:pPr>
        <w:pStyle w:val="Hlistbullet"/>
        <w:rPr>
          <w:rFonts w:eastAsia="Calibri"/>
          <w:shd w:val="clear" w:color="auto" w:fill="FFFFFF"/>
        </w:rPr>
      </w:pPr>
      <w:r>
        <w:rPr>
          <w:b/>
          <w:shd w:val="clear" w:color="auto" w:fill="FFFFFF"/>
        </w:rPr>
        <w:t>Samarbetsprojektens effekter på innovationskapaciteten.</w:t>
      </w:r>
      <w:r>
        <w:rPr>
          <w:shd w:val="clear" w:color="auto" w:fill="FFFFFF"/>
        </w:rPr>
        <w:t xml:space="preserve"> Analysen av antalet och typerna av samarbetsprojekt såväl som innovationsaktörers deltagande kan leda till slutsatser om samarbetsåtgärdens framsteg i förhållande till innovationskapaciteten i landsbygdsområden.</w:t>
      </w:r>
    </w:p>
    <w:p w:rsidR="00A45935" w:rsidRPr="00E54929" w:rsidRDefault="00A45935" w:rsidP="00547012">
      <w:pPr>
        <w:pStyle w:val="Hlistbullet"/>
        <w:rPr>
          <w:rFonts w:eastAsia="Calibri"/>
          <w:shd w:val="clear" w:color="auto" w:fill="FFFFFF"/>
        </w:rPr>
      </w:pPr>
      <w:r>
        <w:rPr>
          <w:b/>
          <w:shd w:val="clear" w:color="auto" w:fill="FFFFFF"/>
        </w:rPr>
        <w:t>Samarbetsprojektens effekter när det gäller att skapa en gynnsam miljö för innovation</w:t>
      </w:r>
      <w:r>
        <w:rPr>
          <w:shd w:val="clear" w:color="auto" w:fill="FFFFFF"/>
        </w:rPr>
        <w:t xml:space="preserve"> (dvs. den omfattning i vilken samarbetsprojekten har gjort det möjligt att skapa strukturer och förfaranden som underlättar skapandet av innovativa idéer). Detta omfattar till exempel strukturer och metoder för innovationsförmedling, inrättande av permanenta kopplingar mellan små och medelstora företag, innovationstjänster och finansieringsorgan etc.</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Läs mer</w:t>
      </w:r>
    </w:p>
    <w:p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4722E42E" wp14:editId="4AEA29C1">
                <wp:extent cx="5633451" cy="1962443"/>
                <wp:effectExtent l="0" t="0" r="24765" b="19050"/>
                <wp:docPr id="27" name="Rectangle: Diagonal Corners Rounded 27"/>
                <wp:cNvGraphicFramePr/>
                <a:graphic xmlns:a="http://schemas.openxmlformats.org/drawingml/2006/main">
                  <a:graphicData uri="http://schemas.microsoft.com/office/word/2010/wordprocessingShape">
                    <wps:wsp>
                      <wps:cNvSpPr/>
                      <wps:spPr>
                        <a:xfrm>
                          <a:off x="0" y="0"/>
                          <a:ext cx="5633451" cy="1962443"/>
                        </a:xfrm>
                        <a:prstGeom prst="round2DiagRect">
                          <a:avLst>
                            <a:gd name="adj1" fmla="val 11556"/>
                            <a:gd name="adj2" fmla="val 0"/>
                          </a:avLst>
                        </a:prstGeom>
                        <a:noFill/>
                        <a:ln w="25400" cap="flat" cmpd="sng" algn="ctr">
                          <a:solidFill>
                            <a:srgbClr val="59638E"/>
                          </a:solidFill>
                          <a:prstDash val="solid"/>
                        </a:ln>
                        <a:effectLst/>
                      </wps:spPr>
                      <wps:txbx>
                        <w:txbxContent>
                          <w:p w:rsidR="004C3777" w:rsidRDefault="004C3777"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39"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4C3777" w:rsidRPr="00F639C6" w:rsidRDefault="004C3777" w:rsidP="00E05D08">
                            <w:pPr>
                              <w:pStyle w:val="HStandard"/>
                              <w:rPr>
                                <w:sz w:val="18"/>
                                <w:szCs w:val="18"/>
                                <w:lang w:val="en-US"/>
                              </w:rPr>
                            </w:pPr>
                            <w:r w:rsidRPr="00F639C6">
                              <w:rPr>
                                <w:sz w:val="18"/>
                                <w:szCs w:val="18"/>
                                <w:lang w:val="en-US"/>
                              </w:rPr>
                              <w:t xml:space="preserve">Riktlinjerna </w:t>
                            </w:r>
                            <w:hyperlink r:id="rId54" w:history="1">
                              <w:r w:rsidRPr="00F639C6">
                                <w:rPr>
                                  <w:rStyle w:val="Hyperlink"/>
                                  <w:i/>
                                  <w:sz w:val="18"/>
                                  <w:lang w:val="en-US"/>
                                </w:rPr>
                                <w:t>Assessment of RDP results:</w:t>
                              </w:r>
                            </w:hyperlink>
                            <w:hyperlink r:id="rId55" w:history="1">
                              <w:r w:rsidRPr="00F639C6">
                                <w:rPr>
                                  <w:rStyle w:val="Hyperlink"/>
                                  <w:sz w:val="18"/>
                                  <w:szCs w:val="18"/>
                                  <w:lang w:val="en-US"/>
                                </w:rPr>
                                <w:t xml:space="preserve"> </w:t>
                              </w:r>
                              <w:r w:rsidRPr="00F639C6">
                                <w:rPr>
                                  <w:rStyle w:val="Hyperlink"/>
                                  <w:i/>
                                  <w:sz w:val="18"/>
                                  <w:lang w:val="en-US"/>
                                </w:rPr>
                                <w:t>How to prepare for reporting on evaluation in 2017</w:t>
                              </w:r>
                            </w:hyperlink>
                            <w:r w:rsidRPr="00F639C6">
                              <w:rPr>
                                <w:sz w:val="18"/>
                                <w:szCs w:val="18"/>
                                <w:lang w:val="en-US"/>
                              </w:rPr>
                              <w:t xml:space="preserve">, bilaga 11. </w:t>
                            </w:r>
                          </w:p>
                          <w:p w:rsidR="004C3777" w:rsidRDefault="004C3777" w:rsidP="00E05D08">
                            <w:pPr>
                              <w:pStyle w:val="HStandard"/>
                              <w:rPr>
                                <w:sz w:val="18"/>
                                <w:szCs w:val="18"/>
                              </w:rPr>
                            </w:pPr>
                            <w:r>
                              <w:rPr>
                                <w:sz w:val="18"/>
                                <w:szCs w:val="18"/>
                              </w:rPr>
                              <w:t xml:space="preserve">Det vägledande dokumentet </w:t>
                            </w:r>
                            <w:hyperlink r:id="rId56" w:history="1">
                              <w:r>
                                <w:rPr>
                                  <w:rStyle w:val="Hyperlink"/>
                                  <w:i/>
                                  <w:sz w:val="18"/>
                                </w:rPr>
                                <w:t>Cooperation measure</w:t>
                              </w:r>
                            </w:hyperlink>
                            <w:r>
                              <w:rPr>
                                <w:sz w:val="18"/>
                                <w:szCs w:val="18"/>
                              </w:rPr>
                              <w:t>, artikel 35 i förordning (EU) nr 1305/2013, november 2014.</w:t>
                            </w:r>
                          </w:p>
                          <w:p w:rsidR="004C3777" w:rsidRPr="000041C9" w:rsidRDefault="004C3777" w:rsidP="00E05D08">
                            <w:pPr>
                              <w:pStyle w:val="HStandard"/>
                              <w:rPr>
                                <w:sz w:val="18"/>
                                <w:szCs w:val="18"/>
                              </w:rPr>
                            </w:pPr>
                            <w:r>
                              <w:rPr>
                                <w:sz w:val="18"/>
                                <w:szCs w:val="18"/>
                              </w:rPr>
                              <w:t xml:space="preserve">Dokument från den workshop som hölls av det europeiska nätverket för landsbygdsutveckling om M 16 Samarbete, juni 2016, Bryssel: </w:t>
                            </w:r>
                            <w:hyperlink r:id="rId57" w:history="1">
                              <w:r>
                                <w:rPr>
                                  <w:rStyle w:val="Hyperlink"/>
                                  <w:sz w:val="18"/>
                                  <w:szCs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22E42E" id="Rectangle: Diagonal Corners Rounded 27" o:spid="_x0000_s1049" style="width:443.6pt;height:154.5pt;visibility:visible;mso-wrap-style:square;mso-left-percent:-10001;mso-top-percent:-10001;mso-position-horizontal:absolute;mso-position-horizontal-relative:char;mso-position-vertical:absolute;mso-position-vertical-relative:line;mso-left-percent:-10001;mso-top-percent:-10001;v-text-anchor:middle" coordsize="5633451,19624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" adj="-11796480,,5400" path="m226780,l5633451,r,l5633451,1735663v,125247,-101533,226780,-226780,226780l,1962443r,l,226780c,101533,101533,,226780,xe" filled="f" strokecolor="#59638e" strokeweight="2pt">
                <v:stroke joinstyle="miter"/>
                <v:formulas/>
                <v:path arrowok="t" o:connecttype="custom" o:connectlocs="226780,0;5633451,0;5633451,0;5633451,1735663;5406671,1962443;0,1962443;0,1962443;0,226780;226780,0" o:connectangles="0,0,0,0,0,0,0,0,0" textboxrect="0,0,5633451,1962443"/>
                <v:textbox>
                  <w:txbxContent>
                    <w:p w:rsidR="004C3777" w:rsidRDefault="004C3777"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39"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4C3777" w:rsidRPr="00F639C6" w:rsidRDefault="004C3777" w:rsidP="00E05D08">
                      <w:pPr>
                        <w:pStyle w:val="HStandard"/>
                        <w:rPr>
                          <w:sz w:val="18"/>
                          <w:szCs w:val="18"/>
                          <w:lang w:val="en-US"/>
                        </w:rPr>
                      </w:pPr>
                      <w:r w:rsidRPr="00F639C6">
                        <w:rPr>
                          <w:sz w:val="18"/>
                          <w:szCs w:val="18"/>
                          <w:lang w:val="en-US"/>
                        </w:rPr>
                        <w:t xml:space="preserve">Riktlinjerna </w:t>
                      </w:r>
                      <w:hyperlink r:id="rId58" w:history="1">
                        <w:r w:rsidRPr="00F639C6">
                          <w:rPr>
                            <w:rStyle w:val="Hyperlink"/>
                            <w:i/>
                            <w:sz w:val="18"/>
                            <w:lang w:val="en-US"/>
                          </w:rPr>
                          <w:t>Assessment of RDP results:</w:t>
                        </w:r>
                      </w:hyperlink>
                      <w:hyperlink r:id="rId59" w:history="1">
                        <w:r w:rsidRPr="00F639C6">
                          <w:rPr>
                            <w:rStyle w:val="Hyperlink"/>
                            <w:sz w:val="18"/>
                            <w:szCs w:val="18"/>
                            <w:lang w:val="en-US"/>
                          </w:rPr>
                          <w:t xml:space="preserve"> </w:t>
                        </w:r>
                        <w:r w:rsidRPr="00F639C6">
                          <w:rPr>
                            <w:rStyle w:val="Hyperlink"/>
                            <w:i/>
                            <w:sz w:val="18"/>
                            <w:lang w:val="en-US"/>
                          </w:rPr>
                          <w:t>How to prepare for reporting on evaluation in 2017</w:t>
                        </w:r>
                      </w:hyperlink>
                      <w:r w:rsidRPr="00F639C6">
                        <w:rPr>
                          <w:sz w:val="18"/>
                          <w:szCs w:val="18"/>
                          <w:lang w:val="en-US"/>
                        </w:rPr>
                        <w:t xml:space="preserve">, bilaga 11. </w:t>
                      </w:r>
                    </w:p>
                    <w:p w:rsidR="004C3777" w:rsidRDefault="004C3777" w:rsidP="00E05D08">
                      <w:pPr>
                        <w:pStyle w:val="HStandard"/>
                        <w:rPr>
                          <w:sz w:val="18"/>
                          <w:szCs w:val="18"/>
                        </w:rPr>
                      </w:pPr>
                      <w:r>
                        <w:rPr>
                          <w:sz w:val="18"/>
                          <w:szCs w:val="18"/>
                        </w:rPr>
                        <w:t xml:space="preserve">Det vägledande dokumentet </w:t>
                      </w:r>
                      <w:hyperlink r:id="rId60" w:history="1">
                        <w:r>
                          <w:rPr>
                            <w:rStyle w:val="Hyperlink"/>
                            <w:i/>
                            <w:sz w:val="18"/>
                          </w:rPr>
                          <w:t>Cooperation measure</w:t>
                        </w:r>
                      </w:hyperlink>
                      <w:r>
                        <w:rPr>
                          <w:sz w:val="18"/>
                          <w:szCs w:val="18"/>
                        </w:rPr>
                        <w:t>, artikel 35 i förordning (EU) nr 1305/2013, november 2014.</w:t>
                      </w:r>
                    </w:p>
                    <w:p w:rsidR="004C3777" w:rsidRPr="000041C9" w:rsidRDefault="004C3777" w:rsidP="00E05D08">
                      <w:pPr>
                        <w:pStyle w:val="HStandard"/>
                        <w:rPr>
                          <w:sz w:val="18"/>
                          <w:szCs w:val="18"/>
                        </w:rPr>
                      </w:pPr>
                      <w:r>
                        <w:rPr>
                          <w:sz w:val="18"/>
                          <w:szCs w:val="18"/>
                        </w:rPr>
                        <w:t xml:space="preserve">Dokument från den workshop som hölls av det europeiska nätverket för landsbygdsutveckling om M 16 Samarbete, juni 2016, Bryssel: </w:t>
                      </w:r>
                      <w:hyperlink r:id="rId61" w:history="1">
                        <w:r>
                          <w:rPr>
                            <w:rStyle w:val="Hyperlink"/>
                            <w:sz w:val="18"/>
                            <w:szCs w:val="18"/>
                          </w:rPr>
                          <w:t>http://enrd.ec.europa.eu/news-events/events/enrd-workshop-measure-16-cooperation_en</w:t>
                        </w:r>
                      </w:hyperlink>
                    </w:p>
                  </w:txbxContent>
                </v:textbox>
                <w10:anchorlock/>
              </v:shape>
            </w:pict>
          </mc:Fallback>
        </mc:AlternateContent>
      </w:r>
      <w:bookmarkStart w:id="116" w:name="_Toc501382133"/>
    </w:p>
    <w:p w:rsidR="00D50380" w:rsidRDefault="00D50380" w:rsidP="0079071D">
      <w:pPr>
        <w:pStyle w:val="HHeading3"/>
        <w:numPr>
          <w:ilvl w:val="2"/>
          <w:numId w:val="119"/>
        </w:numPr>
        <w:tabs>
          <w:tab w:val="clear" w:pos="567"/>
        </w:tabs>
        <w:spacing w:before="480" w:line="280" w:lineRule="exact"/>
        <w:ind w:left="567" w:hanging="567"/>
      </w:pPr>
      <w:bookmarkStart w:id="117" w:name="CEQ_NRN"/>
      <w:bookmarkStart w:id="118" w:name="_Toc508290310"/>
      <w:bookmarkEnd w:id="117"/>
      <w:r>
        <w:t>Gemensam utvärderingsfråga nr 21: ”I vilken utsträckning har det nationella landsbygdsnätverket bidragit till att uppnå de mål som anges i artikel 54.2 i förordning (EU) nr 1305/2013?”</w:t>
      </w:r>
      <w:bookmarkEnd w:id="118"/>
    </w:p>
    <w:bookmarkEnd w:id="116"/>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Bakgrund till den gemensamma utvärderingsfrågan</w:t>
      </w:r>
    </w:p>
    <w:p w:rsidR="00A45935" w:rsidRPr="00E05D08" w:rsidRDefault="00A45935" w:rsidP="00E05D08">
      <w:pPr>
        <w:spacing w:after="120" w:line="280" w:lineRule="atLeast"/>
        <w:mirrorIndents/>
        <w:rPr>
          <w:rFonts w:eastAsia="Calibri" w:cs="Times New Roman"/>
          <w:szCs w:val="20"/>
        </w:rPr>
      </w:pPr>
      <w:r>
        <w:t>Denna fråga gäller uppnåendet av de nationella landsbygdsnätverkets fyra mål</w:t>
      </w:r>
      <w:r>
        <w:rPr>
          <w:rFonts w:eastAsia="Times New Roman" w:cs="Times New Roman"/>
          <w:szCs w:val="20"/>
          <w:vertAlign w:val="superscript"/>
          <w:lang w:eastAsia="de-DE"/>
        </w:rPr>
        <w:footnoteReference w:id="57"/>
      </w:r>
      <w:r>
        <w:t>. I dessa riktlinjer</w:t>
      </w:r>
      <w:r>
        <w:rPr>
          <w:rFonts w:eastAsia="Times New Roman" w:cs="Times New Roman"/>
          <w:szCs w:val="20"/>
          <w:vertAlign w:val="superscript"/>
          <w:lang w:eastAsia="de-DE"/>
        </w:rPr>
        <w:footnoteReference w:id="58"/>
      </w:r>
      <w:r>
        <w:t xml:space="preserve"> diskuteras gemensam utvärderingsfråga nr 21 i förhållande till det nationella landsbygdsnätverkets mål</w:t>
      </w:r>
      <w:r>
        <w:rPr>
          <w:szCs w:val="18"/>
          <w14:textFill>
            <w14:solidFill>
              <w14:srgbClr w14:val="373737">
                <w14:lumMod w14:val="75000"/>
              </w14:srgbClr>
            </w14:solidFill>
          </w14:textFill>
        </w:rPr>
        <w:t xml:space="preserve"> ”att främja innovation inom jordbruket, livsmedelsproduktionen och skogsbruket samt på landsbygden” </w:t>
      </w:r>
      <w:r>
        <w:t xml:space="preserve">i syfte att utvärdera innovation som främjas av landsbygdsnätverket från 2019 och framåt. </w:t>
      </w:r>
    </w:p>
    <w:p w:rsidR="00A45935" w:rsidRPr="00E05D08" w:rsidRDefault="00A45935" w:rsidP="00E05D08">
      <w:pPr>
        <w:spacing w:after="120" w:line="280" w:lineRule="atLeast"/>
        <w:mirrorIndents/>
        <w:rPr>
          <w:rFonts w:eastAsia="Calibri" w:cs="Times New Roman"/>
          <w:szCs w:val="20"/>
        </w:rPr>
      </w:pPr>
      <w:r>
        <w:t>Det nationella landsbygdsnätverket är verksamt genom olika grupper av åtgärder som har inrättats i handlingsplanen och omfattar olika typer av intressenter, däribland innovationsaktörer. Därför är det viktigt att ta reda på vilka grupper av åtgärder</w:t>
      </w:r>
      <w:r>
        <w:rPr>
          <w:rFonts w:eastAsia="Calibri" w:cs="Times New Roman"/>
          <w:szCs w:val="20"/>
          <w:vertAlign w:val="superscript"/>
        </w:rPr>
        <w:footnoteReference w:id="59"/>
      </w:r>
      <w:r>
        <w:t xml:space="preserve"> som har potential att främja innovation genom de tre handlingsvägarna (se </w:t>
      </w:r>
      <w:hyperlink w:anchor="Innovation_RD" w:history="1">
        <w:r>
          <w:rPr>
            <w:rStyle w:val="Hyperlink"/>
            <w:sz w:val="20"/>
            <w:szCs w:val="20"/>
          </w:rPr>
          <w:t>kapitel 1.1</w:t>
        </w:r>
      </w:hyperlink>
      <w:r>
        <w:t xml:space="preserve">) och vilka typer av aktörer inom innovationssystemet som är involverade och kan påverkas av dessa åtgärder när det gäller främjandet av innovation. </w:t>
      </w:r>
    </w:p>
    <w:p w:rsidR="001327F5" w:rsidRDefault="00A45935" w:rsidP="00E05D08">
      <w:pPr>
        <w:spacing w:after="120" w:line="280" w:lineRule="atLeast"/>
        <w:mirrorIndents/>
        <w:rPr>
          <w:rFonts w:eastAsia="Calibri" w:cs="Times New Roman"/>
          <w:szCs w:val="20"/>
        </w:rPr>
      </w:pPr>
      <w:r>
        <w:t>De åtgärder som ingår i det nationella landsbygdsnätverkets handlingsplan faller under de sju grupper av aktiviteter som föreskrivs i förordningen</w:t>
      </w:r>
      <w:r>
        <w:rPr>
          <w:rFonts w:eastAsia="Calibri" w:cs="Times New Roman"/>
          <w:szCs w:val="20"/>
          <w:vertAlign w:val="superscript"/>
        </w:rPr>
        <w:footnoteReference w:id="60"/>
      </w:r>
      <w:r>
        <w:t>. Exempel på hur dessa aktiviteter kan ha samband med främjandet av innovation anges i rutorna nedan.</w:t>
      </w:r>
    </w:p>
    <w:p w:rsidR="001327F5" w:rsidRPr="00E05D08" w:rsidRDefault="001327F5" w:rsidP="001327F5">
      <w:pPr>
        <w:spacing w:after="120" w:line="280" w:lineRule="atLeast"/>
        <w:mirrorIndents/>
        <w:rPr>
          <w:rFonts w:eastAsia="Calibri" w:cs="Times New Roman"/>
          <w:szCs w:val="20"/>
        </w:rPr>
      </w:pPr>
      <w:r>
        <w:lastRenderedPageBreak/>
        <w:t>Som en del av det tekniska stödet ägnar sig de nationella landsbygdsnätverken åt att följa och stödja genomförandet av landsbygdsprogrammet och att bidra direkt till främjandet av innovation som ett övergripande mål. De nationella landsbygdsnätverken kan emellertid även samverka med andra innovationsaktörer inom landsbygdsutvecklingen, däribland lokala aktionsgrupper inom Leader-strategin eller EIP-Agri (se exemplen i rutan).</w:t>
      </w:r>
    </w:p>
    <w:p w:rsidR="00A45935" w:rsidRPr="00E05D08" w:rsidRDefault="00547012"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anchor distT="0" distB="0" distL="114300" distR="114300" simplePos="0" relativeHeight="251664384" behindDoc="1" locked="0" layoutInCell="1" allowOverlap="1" wp14:anchorId="2A356B5B" wp14:editId="64ABF431">
                <wp:simplePos x="0" y="0"/>
                <wp:positionH relativeFrom="column">
                  <wp:posOffset>0</wp:posOffset>
                </wp:positionH>
                <wp:positionV relativeFrom="paragraph">
                  <wp:posOffset>245516</wp:posOffset>
                </wp:positionV>
                <wp:extent cx="5780405" cy="7089775"/>
                <wp:effectExtent l="0" t="0" r="10795" b="15875"/>
                <wp:wrapTight wrapText="bothSides">
                  <wp:wrapPolygon edited="0">
                    <wp:start x="854" y="0"/>
                    <wp:lineTo x="0" y="348"/>
                    <wp:lineTo x="0" y="21590"/>
                    <wp:lineTo x="20786" y="21590"/>
                    <wp:lineTo x="20857" y="21590"/>
                    <wp:lineTo x="21284" y="21358"/>
                    <wp:lineTo x="21569" y="21010"/>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7089775"/>
                        </a:xfrm>
                        <a:prstGeom prst="round2DiagRect">
                          <a:avLst>
                            <a:gd name="adj1" fmla="val 6054"/>
                            <a:gd name="adj2" fmla="val 0"/>
                          </a:avLst>
                        </a:prstGeom>
                        <a:noFill/>
                        <a:ln w="25400" cap="flat" cmpd="sng" algn="ctr">
                          <a:solidFill>
                            <a:srgbClr val="F07E31"/>
                          </a:solidFill>
                          <a:prstDash val="solid"/>
                        </a:ln>
                        <a:effectLst/>
                      </wps:spPr>
                      <wps:txbx>
                        <w:txbxContent>
                          <w:p w:rsidR="004C3777" w:rsidRPr="0079762F" w:rsidRDefault="004C3777" w:rsidP="00E05D08">
                            <w:pPr>
                              <w:pStyle w:val="HStandard"/>
                              <w:ind w:left="567" w:hanging="567"/>
                              <w:rPr>
                                <w:i/>
                                <w:sz w:val="18"/>
                                <w:szCs w:val="18"/>
                              </w:rPr>
                            </w:pPr>
                            <w:r>
                              <w:rPr>
                                <w:noProof/>
                                <w:sz w:val="18"/>
                                <w:szCs w:val="18"/>
                                <w:lang w:val="en-GB" w:eastAsia="en-GB"/>
                              </w:rPr>
                              <w:drawing>
                                <wp:inline distT="0" distB="0" distL="0" distR="0" wp14:anchorId="0B55C8E3" wp14:editId="75086DA6">
                                  <wp:extent cx="353060" cy="359410"/>
                                  <wp:effectExtent l="0" t="0" r="8890" b="2540"/>
                                  <wp:docPr id="4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Främjande av nya idéer och utbyte av innovationer:</w:t>
                            </w:r>
                          </w:p>
                          <w:p w:rsidR="004C3777" w:rsidRPr="0079762F" w:rsidRDefault="004C3777" w:rsidP="008C0B17">
                            <w:pPr>
                              <w:pStyle w:val="HStandard"/>
                              <w:numPr>
                                <w:ilvl w:val="0"/>
                                <w:numId w:val="26"/>
                              </w:numPr>
                              <w:ind w:left="567" w:hanging="567"/>
                              <w:rPr>
                                <w:sz w:val="18"/>
                                <w:szCs w:val="18"/>
                              </w:rPr>
                            </w:pPr>
                            <w:r>
                              <w:rPr>
                                <w:sz w:val="18"/>
                                <w:szCs w:val="18"/>
                              </w:rPr>
                              <w:t>Insamling av projektexempel som omfattar alla prioriteringar för landsbygdsprogrammet. Dessa kan till exempel vara inriktade på innovativa projekt eller inrättande av databaser över innovativa projekt och därigenom bidra till identifiering och utbyte av innovationer.</w:t>
                            </w:r>
                          </w:p>
                          <w:p w:rsidR="004C3777" w:rsidRPr="0079762F" w:rsidRDefault="004C3777" w:rsidP="008C0B17">
                            <w:pPr>
                              <w:pStyle w:val="HStandard"/>
                              <w:numPr>
                                <w:ilvl w:val="0"/>
                                <w:numId w:val="26"/>
                              </w:numPr>
                              <w:ind w:left="567" w:hanging="567"/>
                              <w:rPr>
                                <w:sz w:val="18"/>
                                <w:szCs w:val="18"/>
                              </w:rPr>
                            </w:pPr>
                            <w:r>
                              <w:rPr>
                                <w:sz w:val="18"/>
                                <w:szCs w:val="18"/>
                              </w:rPr>
                              <w:t>Underlättande av tematiska och analytiska utbyten mellan aktörer inom landsbygdsutveckling genom utbyte och spridning av resultat. Sådana utbyten kan även främja innovation genom att stimulera och utbyta nya idéer och skapa villkor för utveckling av ny kunskap.</w:t>
                            </w:r>
                          </w:p>
                          <w:p w:rsidR="004C3777" w:rsidRDefault="004C3777" w:rsidP="008C0B17">
                            <w:pPr>
                              <w:pStyle w:val="HStandard"/>
                              <w:numPr>
                                <w:ilvl w:val="0"/>
                                <w:numId w:val="26"/>
                              </w:numPr>
                              <w:ind w:left="567" w:hanging="567"/>
                              <w:rPr>
                                <w:sz w:val="18"/>
                                <w:szCs w:val="18"/>
                              </w:rPr>
                            </w:pPr>
                            <w:r>
                              <w:rPr>
                                <w:sz w:val="18"/>
                                <w:szCs w:val="18"/>
                              </w:rPr>
                              <w:t>Publicitet och information om landsbygdsprogrammet och informations- och kommunikationsaktiviteter riktade mot allmänheten. Detta kan bland annat omfatta information om landsbygdsprogrammets innovationsrelaterade framsteg, de operativa gruppernas framsteg inom det europeiska innovationspartnerskapet, hur LLU-strategier och partnerskap främjar innovation, exempel på sådana partnerskap och innovativa Leader/LLU-projekt etc.</w:t>
                            </w:r>
                          </w:p>
                          <w:p w:rsidR="004C3777" w:rsidRPr="00E05D08" w:rsidRDefault="004C3777" w:rsidP="008A0CFF">
                            <w:pPr>
                              <w:pStyle w:val="HStandard"/>
                              <w:rPr>
                                <w:b/>
                                <w:color w:val="F07E31"/>
                                <w:sz w:val="18"/>
                                <w:szCs w:val="18"/>
                              </w:rPr>
                            </w:pPr>
                            <w:r>
                              <w:rPr>
                                <w:b/>
                                <w:color w:val="F07E31"/>
                                <w:sz w:val="18"/>
                                <w:szCs w:val="18"/>
                              </w:rPr>
                              <w:t>Byggande av innovationskapacitet:</w:t>
                            </w:r>
                          </w:p>
                          <w:p w:rsidR="004C3777" w:rsidRPr="0079762F" w:rsidRDefault="004C3777" w:rsidP="008A0CFF">
                            <w:pPr>
                              <w:pStyle w:val="HStandard"/>
                              <w:numPr>
                                <w:ilvl w:val="0"/>
                                <w:numId w:val="26"/>
                              </w:numPr>
                              <w:rPr>
                                <w:sz w:val="18"/>
                                <w:szCs w:val="18"/>
                              </w:rPr>
                            </w:pPr>
                            <w:r>
                              <w:rPr>
                                <w:sz w:val="18"/>
                                <w:szCs w:val="18"/>
                              </w:rPr>
                              <w:t>Utbildnings- och nätverksverksamhet för rådgivare och innovationsstödjande tjänster med inriktning på innovation inom jordbruket, skogsbruket och andra sektorer som berörs av landsbygdsprogrammet. Utbildning av rådgivare och innovationsstödjande tjänster kan till exempel underlätta inrättandet av operativa grupper inom det europeiska innovationspartnerskapet och därigenom bidra till byggandet av innovationskapacitet på landsbygden, eftersom de operativa grupperna förväntas utarbeta innovativa projekt.</w:t>
                            </w:r>
                          </w:p>
                          <w:p w:rsidR="004C3777" w:rsidRPr="00ED3BAD" w:rsidRDefault="004C3777" w:rsidP="008A0CFF">
                            <w:pPr>
                              <w:pStyle w:val="HStandard"/>
                              <w:numPr>
                                <w:ilvl w:val="0"/>
                                <w:numId w:val="26"/>
                              </w:numPr>
                              <w:rPr>
                                <w:sz w:val="18"/>
                                <w:szCs w:val="18"/>
                              </w:rPr>
                            </w:pPr>
                            <w:r>
                              <w:rPr>
                                <w:sz w:val="18"/>
                                <w:szCs w:val="18"/>
                              </w:rPr>
                              <w:t>Utbildnings- och nätverksverksamhet för lokala aktionsgrupper och i synnerhet tekniskt stöd för interregionalt och gränsöverskridande samarbete för att underlätta samarbetet mellan grupperna och leta efter partner inom ramen för åtgärd M16 (samarbete). Det nationella landsbygdsnätverket kan till exempel underlätta det samarbete som stödjer experimentering och innovation.</w:t>
                            </w:r>
                          </w:p>
                          <w:p w:rsidR="004C3777" w:rsidRPr="0079762F" w:rsidRDefault="004C3777" w:rsidP="008A0CFF">
                            <w:pPr>
                              <w:pStyle w:val="HStandard"/>
                              <w:ind w:left="567" w:hanging="567"/>
                              <w:rPr>
                                <w:i/>
                                <w:sz w:val="18"/>
                                <w:szCs w:val="18"/>
                              </w:rPr>
                            </w:pPr>
                            <w:r>
                              <w:rPr>
                                <w:b/>
                                <w:color w:val="F07E31"/>
                                <w:sz w:val="18"/>
                                <w:szCs w:val="18"/>
                              </w:rPr>
                              <w:t>Skapande av en gynnsam miljö för innovation:</w:t>
                            </w:r>
                          </w:p>
                          <w:p w:rsidR="004C3777" w:rsidRPr="00ED3BAD" w:rsidRDefault="004C3777" w:rsidP="008A0CFF">
                            <w:pPr>
                              <w:pStyle w:val="HStandard"/>
                              <w:numPr>
                                <w:ilvl w:val="0"/>
                                <w:numId w:val="29"/>
                              </w:numPr>
                              <w:ind w:left="567" w:hanging="567"/>
                              <w:rPr>
                                <w:sz w:val="18"/>
                                <w:szCs w:val="18"/>
                              </w:rPr>
                            </w:pPr>
                            <w:r>
                              <w:rPr>
                                <w:sz w:val="18"/>
                                <w:szCs w:val="18"/>
                              </w:rPr>
                              <w:t>Deltagande i och bidragande till aktiviteter inom de europeiska nätverken, i synnerhet det europeiska nätverket för landsbygdsutveckling och EIP-Agri, kan göra det möjligt att främja en gynnsam miljö för innovation genom dessa nätverk.</w:t>
                            </w:r>
                          </w:p>
                          <w:p w:rsidR="004C3777" w:rsidRPr="00547012" w:rsidRDefault="004C3777" w:rsidP="00547012">
                            <w:pPr>
                              <w:pStyle w:val="HStandard"/>
                              <w:numPr>
                                <w:ilvl w:val="0"/>
                                <w:numId w:val="29"/>
                              </w:numPr>
                              <w:ind w:left="567" w:hanging="567"/>
                              <w:rPr>
                                <w:sz w:val="18"/>
                                <w:szCs w:val="18"/>
                              </w:rPr>
                            </w:pPr>
                            <w:r>
                              <w:rPr>
                                <w:sz w:val="18"/>
                                <w:szCs w:val="18"/>
                              </w:rPr>
                              <w:t>De nationella landsbygdsnätverken kan främja innovation genom att sammanföra innovationsaktörer (jordbrukare, forskare, icke-statliga organisationer, lokala aktionsgrupper etc.), samla in information, inleda initiativ på gräsrotsnivå, hjälpa till att förfina innovativa idéer och erbjuda stöd för att hitta partner och finansiering. Allt detta bidrar till en gynnsam miljö för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6B5B" id="Rectangle: Diagonal Corners Rounded 28" o:spid="_x0000_s1050" style="position:absolute;left:0;text-align:left;margin-left:0;margin-top:19.35pt;width:455.15pt;height:5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7089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" adj="-11796480,,5400" path="m349946,l5780405,r,l5780405,6739829v,193270,-156676,349946,-349946,349946l,7089775r,l,349946c,156676,156676,,349946,xe" filled="f" strokecolor="#f07e31" strokeweight="2pt">
                <v:stroke joinstyle="miter"/>
                <v:formulas/>
                <v:path arrowok="t" o:connecttype="custom" o:connectlocs="349946,0;5780405,0;5780405,0;5780405,6739829;5430459,7089775;0,7089775;0,7089775;0,349946;349946,0" o:connectangles="0,0,0,0,0,0,0,0,0" textboxrect="0,0,5780405,7089775"/>
                <v:textbox>
                  <w:txbxContent>
                    <w:p w:rsidR="004C3777" w:rsidRPr="0079762F" w:rsidRDefault="004C3777" w:rsidP="00E05D08">
                      <w:pPr>
                        <w:pStyle w:val="HStandard"/>
                        <w:ind w:left="567" w:hanging="567"/>
                        <w:rPr>
                          <w:i/>
                          <w:sz w:val="18"/>
                          <w:szCs w:val="18"/>
                        </w:rPr>
                      </w:pPr>
                      <w:r>
                        <w:rPr>
                          <w:noProof/>
                          <w:sz w:val="18"/>
                          <w:szCs w:val="18"/>
                          <w:lang w:val="en-GB" w:eastAsia="en-GB"/>
                        </w:rPr>
                        <w:drawing>
                          <wp:inline distT="0" distB="0" distL="0" distR="0" wp14:anchorId="0B55C8E3" wp14:editId="75086DA6">
                            <wp:extent cx="353060" cy="359410"/>
                            <wp:effectExtent l="0" t="0" r="8890" b="2540"/>
                            <wp:docPr id="4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Främjande av nya idéer och utbyte av innovationer:</w:t>
                      </w:r>
                    </w:p>
                    <w:p w:rsidR="004C3777" w:rsidRPr="0079762F" w:rsidRDefault="004C3777" w:rsidP="008C0B17">
                      <w:pPr>
                        <w:pStyle w:val="HStandard"/>
                        <w:numPr>
                          <w:ilvl w:val="0"/>
                          <w:numId w:val="26"/>
                        </w:numPr>
                        <w:ind w:left="567" w:hanging="567"/>
                        <w:rPr>
                          <w:sz w:val="18"/>
                          <w:szCs w:val="18"/>
                        </w:rPr>
                      </w:pPr>
                      <w:r>
                        <w:rPr>
                          <w:sz w:val="18"/>
                          <w:szCs w:val="18"/>
                        </w:rPr>
                        <w:t>Insamling av projektexempel som omfattar alla prioriteringar för landsbygdsprogrammet. Dessa kan till exempel vara inriktade på innovativa projekt eller inrättande av databaser över innovativa projekt och därigenom bidra till identifiering och utbyte av innovationer.</w:t>
                      </w:r>
                    </w:p>
                    <w:p w:rsidR="004C3777" w:rsidRPr="0079762F" w:rsidRDefault="004C3777" w:rsidP="008C0B17">
                      <w:pPr>
                        <w:pStyle w:val="HStandard"/>
                        <w:numPr>
                          <w:ilvl w:val="0"/>
                          <w:numId w:val="26"/>
                        </w:numPr>
                        <w:ind w:left="567" w:hanging="567"/>
                        <w:rPr>
                          <w:sz w:val="18"/>
                          <w:szCs w:val="18"/>
                        </w:rPr>
                      </w:pPr>
                      <w:r>
                        <w:rPr>
                          <w:sz w:val="18"/>
                          <w:szCs w:val="18"/>
                        </w:rPr>
                        <w:t>Underlättande av tematiska och analytiska utbyten mellan aktörer inom landsbygdsutveckling genom utbyte och spridning av resultat. Sådana utbyten kan även främja innovation genom att stimulera och utbyta nya idéer och skapa villkor för utveckling av ny kunskap.</w:t>
                      </w:r>
                    </w:p>
                    <w:p w:rsidR="004C3777" w:rsidRDefault="004C3777" w:rsidP="008C0B17">
                      <w:pPr>
                        <w:pStyle w:val="HStandard"/>
                        <w:numPr>
                          <w:ilvl w:val="0"/>
                          <w:numId w:val="26"/>
                        </w:numPr>
                        <w:ind w:left="567" w:hanging="567"/>
                        <w:rPr>
                          <w:sz w:val="18"/>
                          <w:szCs w:val="18"/>
                        </w:rPr>
                      </w:pPr>
                      <w:r>
                        <w:rPr>
                          <w:sz w:val="18"/>
                          <w:szCs w:val="18"/>
                        </w:rPr>
                        <w:t>Publicitet och information om landsbygdsprogrammet och informations- och kommunikationsaktiviteter riktade mot allmänheten. Detta kan bland annat omfatta information om landsbygdsprogrammets innovationsrelaterade framsteg, de operativa gruppernas framsteg inom det europeiska innovationspartnerskapet, hur LLU-strategier och partnerskap främjar innovation, exempel på sådana partnerskap och innovativa Leader/LLU-projekt etc.</w:t>
                      </w:r>
                    </w:p>
                    <w:p w:rsidR="004C3777" w:rsidRPr="00E05D08" w:rsidRDefault="004C3777" w:rsidP="008A0CFF">
                      <w:pPr>
                        <w:pStyle w:val="HStandard"/>
                        <w:rPr>
                          <w:b/>
                          <w:color w:val="F07E31"/>
                          <w:sz w:val="18"/>
                          <w:szCs w:val="18"/>
                        </w:rPr>
                      </w:pPr>
                      <w:r>
                        <w:rPr>
                          <w:b/>
                          <w:color w:val="F07E31"/>
                          <w:sz w:val="18"/>
                          <w:szCs w:val="18"/>
                        </w:rPr>
                        <w:t>Byggande av innovationskapacitet:</w:t>
                      </w:r>
                    </w:p>
                    <w:p w:rsidR="004C3777" w:rsidRPr="0079762F" w:rsidRDefault="004C3777" w:rsidP="008A0CFF">
                      <w:pPr>
                        <w:pStyle w:val="HStandard"/>
                        <w:numPr>
                          <w:ilvl w:val="0"/>
                          <w:numId w:val="26"/>
                        </w:numPr>
                        <w:rPr>
                          <w:sz w:val="18"/>
                          <w:szCs w:val="18"/>
                        </w:rPr>
                      </w:pPr>
                      <w:r>
                        <w:rPr>
                          <w:sz w:val="18"/>
                          <w:szCs w:val="18"/>
                        </w:rPr>
                        <w:t>Utbildnings- och nätverksverksamhet för rådgivare och innovationsstödjande tjänster med inriktning på innovation inom jordbruket, skogsbruket och andra sektorer som berörs av landsbygdsprogrammet. Utbildning av rådgivare och innovationsstödjande tjänster kan till exempel underlätta inrättandet av operativa grupper inom det europeiska innovationspartnerskapet och därigenom bidra till byggandet av innovationskapacitet på landsbygden, eftersom de operativa grupperna förväntas utarbeta innovativa projekt.</w:t>
                      </w:r>
                    </w:p>
                    <w:p w:rsidR="004C3777" w:rsidRPr="00ED3BAD" w:rsidRDefault="004C3777" w:rsidP="008A0CFF">
                      <w:pPr>
                        <w:pStyle w:val="HStandard"/>
                        <w:numPr>
                          <w:ilvl w:val="0"/>
                          <w:numId w:val="26"/>
                        </w:numPr>
                        <w:rPr>
                          <w:sz w:val="18"/>
                          <w:szCs w:val="18"/>
                        </w:rPr>
                      </w:pPr>
                      <w:r>
                        <w:rPr>
                          <w:sz w:val="18"/>
                          <w:szCs w:val="18"/>
                        </w:rPr>
                        <w:t>Utbildnings- och nätverksverksamhet för lokala aktionsgrupper och i synnerhet tekniskt stöd för interregionalt och gränsöverskridande samarbete för att underlätta samarbetet mellan grupperna och leta efter partner inom ramen för åtgärd M16 (samarbete). Det nationella landsbygdsnätverket kan till exempel underlätta det samarbete som stödjer experimentering och innovation.</w:t>
                      </w:r>
                    </w:p>
                    <w:p w:rsidR="004C3777" w:rsidRPr="0079762F" w:rsidRDefault="004C3777" w:rsidP="008A0CFF">
                      <w:pPr>
                        <w:pStyle w:val="HStandard"/>
                        <w:ind w:left="567" w:hanging="567"/>
                        <w:rPr>
                          <w:i/>
                          <w:sz w:val="18"/>
                          <w:szCs w:val="18"/>
                        </w:rPr>
                      </w:pPr>
                      <w:r>
                        <w:rPr>
                          <w:b/>
                          <w:color w:val="F07E31"/>
                          <w:sz w:val="18"/>
                          <w:szCs w:val="18"/>
                        </w:rPr>
                        <w:t>Skapande av en gynnsam miljö för innovation:</w:t>
                      </w:r>
                    </w:p>
                    <w:p w:rsidR="004C3777" w:rsidRPr="00ED3BAD" w:rsidRDefault="004C3777" w:rsidP="008A0CFF">
                      <w:pPr>
                        <w:pStyle w:val="HStandard"/>
                        <w:numPr>
                          <w:ilvl w:val="0"/>
                          <w:numId w:val="29"/>
                        </w:numPr>
                        <w:ind w:left="567" w:hanging="567"/>
                        <w:rPr>
                          <w:sz w:val="18"/>
                          <w:szCs w:val="18"/>
                        </w:rPr>
                      </w:pPr>
                      <w:r>
                        <w:rPr>
                          <w:sz w:val="18"/>
                          <w:szCs w:val="18"/>
                        </w:rPr>
                        <w:t>Deltagande i och bidragande till aktiviteter inom de europeiska nätverken, i synnerhet det europeiska nätverket för landsbygdsutveckling och EIP-Agri, kan göra det möjligt att främja en gynnsam miljö för innovation genom dessa nätverk.</w:t>
                      </w:r>
                    </w:p>
                    <w:p w:rsidR="004C3777" w:rsidRPr="00547012" w:rsidRDefault="004C3777" w:rsidP="00547012">
                      <w:pPr>
                        <w:pStyle w:val="HStandard"/>
                        <w:numPr>
                          <w:ilvl w:val="0"/>
                          <w:numId w:val="29"/>
                        </w:numPr>
                        <w:ind w:left="567" w:hanging="567"/>
                        <w:rPr>
                          <w:sz w:val="18"/>
                          <w:szCs w:val="18"/>
                        </w:rPr>
                      </w:pPr>
                      <w:r>
                        <w:rPr>
                          <w:sz w:val="18"/>
                          <w:szCs w:val="18"/>
                        </w:rPr>
                        <w:t>De nationella landsbygdsnätverken kan främja innovation genom att sammanföra innovationsaktörer (jordbrukare, forskare, icke-statliga organisationer, lokala aktionsgrupper etc.), samla in information, inleda initiativ på gräsrotsnivå, hjälpa till att förfina innovativa idéer och erbjuda stöd för att hitta partner och finansiering. Allt detta bidrar till en gynnsam miljö för innovation.</w:t>
                      </w:r>
                    </w:p>
                  </w:txbxContent>
                </v:textbox>
                <w10:wrap type="tight"/>
              </v:shape>
            </w:pict>
          </mc:Fallback>
        </mc:AlternateContent>
      </w:r>
    </w:p>
    <w:p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rPr>
          <w:rFonts w:eastAsia="Times New Roman" w:cs="Times New Roman"/>
          <w:szCs w:val="20"/>
        </w:rPr>
      </w:pPr>
      <w:r>
        <w:t xml:space="preserve">Det bör noteras att denna utvärderingsfråga avser nationella landsbygdsnätverk som inte bara främjar innovation inom jordbruket, utan inom landsbygdsområdena i sin helhet. De nationella </w:t>
      </w:r>
      <w:r>
        <w:lastRenderedPageBreak/>
        <w:t>landsbygdsnätverken kan vara aktiva på många olika sätt för att främja innovation och bidra med någonting nytt till samhällena på landsbygden genom att</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arbeta tillsammans med organisationer och företag på landsbygden för att stimulera nya idéer och metoder som tillgodoser gemensamma behov,</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dra fördel av god praxis genom att sammanföra olika aktörer inom landsbygdsutvecklingen med relevanta experter, akademiker och forskningsinstitut,</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erbjuda utbildning i specifika innovationsrelaterade ämnen,</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 xml:space="preserve">hjälpa de lokala aktionsgrupperna och aktörerna inom Leader-strategin att stödja innovation som en nyckelprincip för deras lokala utvecklingsstrategier och ”kläcka” nya idéer och metoder. </w:t>
      </w:r>
    </w:p>
    <w:p w:rsidR="00A45935" w:rsidRPr="00E05D08" w:rsidRDefault="00A45935" w:rsidP="00E05D08">
      <w:pPr>
        <w:spacing w:after="120" w:line="280" w:lineRule="atLeast"/>
        <w:mirrorIndents/>
        <w:rPr>
          <w:rFonts w:eastAsia="Times New Roman" w:cs="Times New Roman"/>
          <w:szCs w:val="20"/>
        </w:rPr>
      </w:pPr>
      <w:r>
        <w:t>Innan gemensam utvärderingsfråga nr 21 behandlas är det därför viktigt att klargöra dessa aspekter och skapa en god förståelse för hur ett nationellt landsbygdsnätverk kan främja innovation genom sina aktiviteter.</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Särskilda utmaningar </w:t>
      </w:r>
    </w:p>
    <w:p w:rsidR="00A45935" w:rsidRPr="00C9522B" w:rsidRDefault="00A45935" w:rsidP="00547012">
      <w:pPr>
        <w:pStyle w:val="Hlistbullet"/>
      </w:pPr>
      <w:r>
        <w:rPr>
          <w:b/>
          <w:shd w:val="clear" w:color="auto" w:fill="FFFFFF"/>
        </w:rPr>
        <w:t>Att utarbeta kompletterande och programspecifika utvärderingsfaktorer för utvärdering av innovation inom de nationella landsbygdsnätverken</w:t>
      </w:r>
      <w:r>
        <w:rPr>
          <w:shd w:val="clear" w:color="auto" w:fill="FFFFFF"/>
        </w:rPr>
        <w:t xml:space="preserve">. Hur ska man </w:t>
      </w:r>
      <w:r>
        <w:t xml:space="preserve">utforma och använda kompletterande indikatorer (för resultat och inverkan) vid sidan av de utfallsindikatorer som redan tillhandahålls genom det gemensamma övervaknings- och utvärderingssystemet för att </w:t>
      </w:r>
      <w:r>
        <w:rPr>
          <w:shd w:val="clear" w:color="auto" w:fill="FFFFFF"/>
        </w:rPr>
        <w:t>besvara</w:t>
      </w:r>
      <w:r>
        <w:t xml:space="preserve"> gemensam utvärderingsfråga nr 21 när det gäller främjandet av innovation? </w:t>
      </w:r>
    </w:p>
    <w:p w:rsidR="00A45935" w:rsidRPr="00C9522B" w:rsidRDefault="00A45935" w:rsidP="00547012">
      <w:pPr>
        <w:pStyle w:val="Hlistbullet"/>
      </w:pPr>
      <w:r>
        <w:rPr>
          <w:b/>
          <w:shd w:val="clear" w:color="auto" w:fill="FFFFFF"/>
        </w:rPr>
        <w:t xml:space="preserve">Att härleda innovationsprocesserna till det nationella landsbygdsnätverkets interventioner. </w:t>
      </w:r>
      <w:r>
        <w:rPr>
          <w:shd w:val="clear" w:color="auto" w:fill="FFFFFF"/>
        </w:rPr>
        <w:t xml:space="preserve">Hur ska man mäta i vilken utsträckning de innovationsprocesser som skapas i landsbygdsområden hänför sig direkt eller </w:t>
      </w:r>
      <w:r>
        <w:t>indirekt</w:t>
      </w:r>
      <w:r>
        <w:rPr>
          <w:shd w:val="clear" w:color="auto" w:fill="FFFFFF"/>
        </w:rPr>
        <w:t xml:space="preserve"> till det nationella landsbygdsnätverkets aktiviteter?</w:t>
      </w:r>
    </w:p>
    <w:p w:rsidR="00A45935" w:rsidRPr="00C9522B" w:rsidRDefault="00A45935" w:rsidP="00547012">
      <w:pPr>
        <w:pStyle w:val="Hlistbullet"/>
      </w:pPr>
      <w:r>
        <w:rPr>
          <w:b/>
        </w:rPr>
        <w:t>Att härleda innovation som främjats genom landsbygdsprogrammet till det nationella landsbygdsnätverket</w:t>
      </w:r>
      <w:r>
        <w:t xml:space="preserve">, särskilt genom att bedöma i vilken utsträckning den innovation som främjats genom landsbygdsprogrammet kan kopplas till det nationella landsbygdsnätverkets aktiviteter. Detta betyder att effekterna av det nationella landsbygdsnätverkets aktiviteter för att främja innovation bör isoleras från effekterna av andra insatser inom landsbygdsprogrammet (andra åtgärder etc.).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Förslag på metod för att besvara gemensam utvärderingsfråga nr 21</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Interventionslogik </w:t>
      </w:r>
    </w:p>
    <w:p w:rsidR="00A45935" w:rsidRPr="00E05D08" w:rsidRDefault="00A45935" w:rsidP="00E05D08">
      <w:pPr>
        <w:spacing w:after="120" w:line="280" w:lineRule="atLeast"/>
        <w:mirrorIndents/>
        <w:rPr>
          <w:rFonts w:eastAsia="Times New Roman" w:cs="Times New Roman"/>
          <w:szCs w:val="20"/>
        </w:rPr>
      </w:pPr>
      <w:r>
        <w:t>Den strategi för innovation som fastställs under utformningen av landsbygdsprogrammet</w:t>
      </w:r>
      <w:r>
        <w:rPr>
          <w:rFonts w:eastAsia="Times New Roman" w:cs="Times New Roman"/>
          <w:szCs w:val="20"/>
          <w:vertAlign w:val="superscript"/>
          <w:lang w:eastAsia="de-DE"/>
        </w:rPr>
        <w:footnoteReference w:id="61"/>
      </w:r>
      <w:r>
        <w:t xml:space="preserve"> omfattar även det nationella landsbygdsnätverket. Vid utarbetandet av den utvärdering som ska rapporteras i den årliga genomföranderapport som ska lämnas in 2019 ska den grupp av åtgärder som ingår i det nationella landsbygdsnätverkets handlingsplan granskas avseende dess potential att främja innovation på samma sätt som åtgärderna inom landsbygdsprogrammet. Detta gäller det nationella landsbygdsnätverkets potential att a) identifiera och utbyta nya idéer, b) bygga innovationskapacitet och c) skapa en gynnsam miljö för innovation. Följaktligen ingår alla aktiviteter som genomförts inom ramen för det nationella landsbygdsnätverkets grupp av åtgärder, och som har visat innovationspotential, som en del av nätverkets underliggande innovationsrelaterade interventionslogik.</w:t>
      </w:r>
    </w:p>
    <w:p w:rsidR="00A45935" w:rsidRPr="00E05D08" w:rsidRDefault="00A45935" w:rsidP="006E2A31">
      <w:pPr>
        <w:pStyle w:val="HStandard"/>
        <w:rPr>
          <w:b/>
          <w:sz w:val="16"/>
        </w:rPr>
      </w:pPr>
      <w:r>
        <w:lastRenderedPageBreak/>
        <w:t xml:space="preserve">I nedanstående figur visas det nationella landsbygdsnätverkets innovationsrelaterade interventionslogik och hur den kan rekonstrueras utifrån nätverkets befintliga interventionslogik eller från nätverkets handlingsplan. </w:t>
      </w:r>
      <w:r>
        <w:br w:type="page"/>
      </w:r>
    </w:p>
    <w:p w:rsidR="00A45935" w:rsidRPr="00CB68D9" w:rsidRDefault="00A45935" w:rsidP="00676B41">
      <w:pPr>
        <w:pStyle w:val="HHeadingfigures"/>
      </w:pPr>
      <w:bookmarkStart w:id="119" w:name="_Toc508290403"/>
      <w:r>
        <w:lastRenderedPageBreak/>
        <w:t>Det nationella landsbygdsnätverkets interventionslogik för innovation</w:t>
      </w:r>
      <w:bookmarkEnd w:id="119"/>
    </w:p>
    <w:p w:rsidR="00A45935" w:rsidRPr="00E05D08" w:rsidRDefault="00421963" w:rsidP="00421963">
      <w:pPr>
        <w:spacing w:before="240" w:after="120" w:line="280" w:lineRule="atLeast"/>
        <w:ind w:left="-142"/>
        <w:mirrorIndents/>
        <w:rPr>
          <w:rFonts w:eastAsia="Times New Roman" w:cs="Times New Roman"/>
          <w:b/>
          <w:szCs w:val="20"/>
        </w:rPr>
      </w:pPr>
      <w:r w:rsidRPr="00421963">
        <w:rPr>
          <w:noProof/>
          <w:lang w:val="en-GB" w:eastAsia="en-GB"/>
        </w:rPr>
        <w:drawing>
          <wp:inline distT="0" distB="0" distL="0" distR="0">
            <wp:extent cx="5731510" cy="3661130"/>
            <wp:effectExtent l="0" t="0" r="254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661130"/>
                    </a:xfrm>
                    <a:prstGeom prst="rect">
                      <a:avLst/>
                    </a:prstGeom>
                    <a:noFill/>
                    <a:ln>
                      <a:noFill/>
                    </a:ln>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Källa: Europeiska helpdesken för utvärdering av landsbygdsutveckling, 2017.</w:t>
      </w:r>
    </w:p>
    <w:p w:rsidR="00A45935" w:rsidRPr="00E05D08" w:rsidRDefault="00A45935" w:rsidP="00E05D08">
      <w:pPr>
        <w:spacing w:before="120" w:after="120" w:line="280" w:lineRule="atLeast"/>
        <w:mirrorIndents/>
        <w:rPr>
          <w:rFonts w:eastAsia="Times New Roman" w:cs="Times New Roman"/>
          <w:szCs w:val="20"/>
        </w:rPr>
      </w:pPr>
      <w:r>
        <w:t>Utifrån figuren kan det nationella landsbygdsnätverkets innovationsrelaterade interventionslogik rekonstrueras på följande sätt:</w:t>
      </w:r>
    </w:p>
    <w:p w:rsidR="00A45935" w:rsidRPr="00BC2432" w:rsidRDefault="00A45935" w:rsidP="00676B41">
      <w:pPr>
        <w:pStyle w:val="Hlistbullet"/>
      </w:pPr>
      <w:r>
        <w:rPr>
          <w:b/>
        </w:rPr>
        <w:t>STEG 1</w:t>
      </w:r>
      <w:r>
        <w:t xml:space="preserve">: Identifiera de innovationsbehov inom landsbygdsprogrammets område som kan tillgodoses genom landsbygdsnätverk. </w:t>
      </w:r>
    </w:p>
    <w:p w:rsidR="00A45935" w:rsidRPr="00BC2432" w:rsidRDefault="00A45935" w:rsidP="00676B41">
      <w:pPr>
        <w:pStyle w:val="Hlistbullet"/>
      </w:pPr>
      <w:r>
        <w:rPr>
          <w:b/>
        </w:rPr>
        <w:t>STEG 2:</w:t>
      </w:r>
      <w:r>
        <w:t xml:space="preserve"> Koppla de aktiviteter som anges i det nationella landsbygdsnätverkets handlingsplan (och som fördefinierats i den rättsliga ramen för programperioden 2014–2020</w:t>
      </w:r>
      <w:r>
        <w:rPr>
          <w:rFonts w:cs="Arial"/>
          <w:vertAlign w:val="superscript"/>
        </w:rPr>
        <w:footnoteReference w:id="62"/>
      </w:r>
      <w:r>
        <w:t xml:space="preserve">) med de tre handlingsvägarna och därigenom med det övergripande målet att främja innovation genom landsbygdsnätverket (baserat på analysen av åtgärdernas innovationspotential – se </w:t>
      </w:r>
      <w:hyperlink w:anchor="Screening_Potential" w:history="1">
        <w:r>
          <w:rPr>
            <w:rStyle w:val="Hyperlink"/>
            <w:sz w:val="20"/>
          </w:rPr>
          <w:t>kapitel 2.2</w:t>
        </w:r>
      </w:hyperlink>
      <w:r>
        <w:t>)</w:t>
      </w:r>
      <w:r w:rsidR="00421963">
        <w:t>.</w:t>
      </w:r>
    </w:p>
    <w:p w:rsidR="00A45935" w:rsidRPr="00BC2432" w:rsidRDefault="00A45935" w:rsidP="00676B41">
      <w:pPr>
        <w:pStyle w:val="Hlistbullet"/>
      </w:pPr>
      <w:r>
        <w:rPr>
          <w:b/>
        </w:rPr>
        <w:t>STEG 3:</w:t>
      </w:r>
      <w:r>
        <w:t xml:space="preserve"> Använd förändringsteorin för att definiera de utfall som förväntas genom aktiviteterna och som leder till förväntade resultat med koppling till de tre handlingsvägarna. Effekterna kopplas till de gemensamma målen för det nationella landsbygdsnätverket och landsbygdsprogrammet.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Utvärderingsfaktorer </w:t>
      </w:r>
    </w:p>
    <w:p w:rsidR="00A45935" w:rsidRPr="00E05D08" w:rsidRDefault="00A45935" w:rsidP="00676B41">
      <w:pPr>
        <w:spacing w:after="120" w:line="280" w:lineRule="atLeast"/>
        <w:ind w:left="142"/>
        <w:mirrorIndents/>
        <w:rPr>
          <w:rFonts w:eastAsia="Times New Roman" w:cs="Times New Roman"/>
          <w:szCs w:val="20"/>
        </w:rPr>
      </w:pPr>
      <w:r>
        <w:t>Det finns ett bedömningskriterium för att besvara gemensam utvärderingsfråga nr 21, nämligen att innovation inom jordbruket, livsmedelsproduktionen och skogsbruket samt på landsbygden har främjats av det nationella landsbygdsnätverket</w:t>
      </w:r>
      <w:r>
        <w:rPr>
          <w:rFonts w:eastAsia="Times New Roman" w:cs="Times New Roman"/>
          <w:szCs w:val="20"/>
          <w:vertAlign w:val="superscript"/>
          <w:lang w:eastAsia="de-DE"/>
        </w:rPr>
        <w:footnoteReference w:id="63"/>
      </w:r>
      <w:r>
        <w:t>. Detta kriterium stöds av följande två gemensamma utfallsindikatorer</w:t>
      </w:r>
      <w:r>
        <w:rPr>
          <w:rFonts w:eastAsia="Times New Roman" w:cs="Times New Roman"/>
          <w:szCs w:val="20"/>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rPr>
          <w:szCs w:val="20"/>
        </w:rPr>
      </w:pPr>
      <w:r>
        <w:t>Antal tematiska och analytiska utbyten som inrättats med stöd av det nationella landsbygdsnätverket (O24)</w:t>
      </w:r>
    </w:p>
    <w:p w:rsidR="00A45935" w:rsidRPr="005D0347" w:rsidRDefault="00A45935" w:rsidP="008C0B17">
      <w:pPr>
        <w:numPr>
          <w:ilvl w:val="0"/>
          <w:numId w:val="95"/>
        </w:numPr>
        <w:tabs>
          <w:tab w:val="left" w:pos="426"/>
        </w:tabs>
        <w:ind w:left="426" w:hanging="284"/>
        <w:mirrorIndents/>
        <w:rPr>
          <w:szCs w:val="20"/>
        </w:rPr>
      </w:pPr>
      <w:r>
        <w:lastRenderedPageBreak/>
        <w:t>Antal verksamheter inom det europeiska nätverket för landsbygdsutveckling som det nationella landsbygdsnätverket har deltagit i (O26)</w:t>
      </w:r>
    </w:p>
    <w:p w:rsidR="00A45935" w:rsidRPr="00E05D08" w:rsidRDefault="00A45935" w:rsidP="00E05D08">
      <w:pPr>
        <w:spacing w:after="120" w:line="280" w:lineRule="atLeast"/>
        <w:mirrorIndents/>
        <w:rPr>
          <w:rFonts w:eastAsia="Times New Roman" w:cs="Times New Roman"/>
          <w:szCs w:val="20"/>
        </w:rPr>
      </w:pPr>
      <w:r>
        <w:t>Kompletterande bedömningskriterier och indikatorer föreslås i tabell 5. I detta syfte har det befintliga bedömningskriteriet delats upp i flera olika kriterier längs de tre handlingsvägarna för innovation.</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20" w:name="_Toc508290384"/>
      <w:r>
        <w:rPr>
          <w:color w:val="6F6F6F"/>
          <w:sz w:val="18"/>
          <w:szCs w:val="18"/>
        </w:rPr>
        <w:lastRenderedPageBreak/>
        <w:t>Förslag på kompletterande bedömningskriterier, indikatorer och uppgifter för att kunna besvara gemensam utvärderingsfråga nr 21</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Bedömningskriterier</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Indikatorer</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Uppgifter som behövs</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Datakällor</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 xml:space="preserve">Gemensamma utvärderingsfaktorer (i det gemensamma övervaknings- och utvärderingssystemet och faktorer som föreslås i arbetsdokumentet </w:t>
            </w:r>
            <w:r>
              <w:rPr>
                <w:b/>
                <w:i/>
                <w:color w:val="FFFFFF"/>
                <w:sz w:val="18"/>
              </w:rPr>
              <w:t>Common evaluation questions 2014-2020</w:t>
            </w:r>
            <w:r>
              <w:rPr>
                <w:b/>
                <w:color w:val="FFFFFF"/>
                <w:sz w:val="18"/>
                <w:szCs w:val="18"/>
              </w:rPr>
              <w:t>)</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Innovation inom jordbruk, livsmedelsproduktion, skogsbruk och på landsbygden har främjats genom det nationella landsbygdsnätverket.</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O.24 – Antal tematiska och analytiska utbyten som inrättats med stöd av det nationella landsbygdsnätverket (avseende innovation).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O.25 – Antal kommunikationsverktyg för det nationella landsbygdsnätverket (avseende innovation).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O.26 – Antal verksamheter inom det europeiska nätverket för landsbygdsutveckling som det nationella landsbygdsnätverket har deltagit i (avseende innovation).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Kompletterande indikator: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Andel (%) av innovativa projekt som uppmuntras av det nationella landsbygdsnätverket jämfört med det totala antalet innovativa projekt som stöds av landsbygdsprogrammet.</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Uppgifter om innovativa tematiska och analytiska utbyten som inrättats av det nationella landsbygdsnätverket.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Uppgifter om kommunikationsverktyg avseende innovation som inrättats av det nationella landsbygdsnätverket.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Information om aktiviteter avseende innovation inom det europeiska nätverket för landsbygdsutveckling som det nationella landsbygdsnätverket har deltagit i.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Uppgifter om innovationsprojekt inom landsbygdsprogrammet som har inletts eller fått stöd av det nationella landsbygdsnätverket.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Övervakningssystem för landsbygdsprogrammet.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Övervakning och egenbedömning av det nationella landsbygdsnätverket.</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Övervakning av det europeiska nätverket för landsbygdsutveckling (nätverksstatistik).</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Kompletterande utvärderingsfaktorer som kopplas till det nationella landsbygdsnätverkets bidrag till identifieringen och utbytet av innovation (frivilliga)</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De publicitets-, informations- och kommunikationsaktiviteter som utförs av det nationella landsbygdsnätverket med </w:t>
            </w:r>
            <w:r>
              <w:rPr>
                <w:sz w:val="18"/>
                <w:szCs w:val="18"/>
                <w14:textFill>
                  <w14:solidFill>
                    <w14:srgbClr w14:val="373737">
                      <w14:lumMod w14:val="75000"/>
                    </w14:srgbClr>
                  </w14:solidFill>
                </w14:textFill>
              </w:rPr>
              <w:lastRenderedPageBreak/>
              <w:t>avseende på innovation inom landsbygdsprogrammet har ökat.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Antal publicitets-, informations- och kommunikationsaktiviteter avseende innovation som utförts av det nationella landsbygdsnätverket.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publicitets-, informations- och kommunikationsaktiviteter uppdelade efter ämne.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Övervakning och egenbedömning av nationella landsbygdsnätverk.</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Intervjuer.</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Publikationer från det nationella landsbygdsnätverket.</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lastRenderedPageBreak/>
              <w:t>Kompletterande utvärderingsfaktorer som kopplas till det nationella landsbygdsnätverkets bidrag till innovationskapaciteten (frivilliga)</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Det nationella landsbygdsnätverkets aktiviteter för utbildning och nätverksarbete har ökat för a) rådgivare och innovationsstödjande tjänster och/eller b) de lokala aktionsgrupperna.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aktiviteter för utbildning och nätverksarbete inom det nationella landsbygdsnätverket för a) rådgivare och innovationsstödjande tjänster och/eller b) de lokala aktionsgrupperna.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aktiviteter för utbildning och nätverksarbete, uppdelat efter målgrupp.</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Nationella landsbygdsnätverk (övervakning, egenbedömning, intervjuer, publikationer).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Lokala aktionsgrupper (intervjuer, enkäter, fokusgrupper).</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Möjligheten för rådgivare och innovationsstödjande tjänster att underlätta inrättandet av operativa grupper har förbättrats tack vare det nationella landsbygdsnätverkets aktiviteter.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operativa grupper som inrättats med stöd av rådgivare/innovationsstödjande tjänster och som har deltagit i utbildning/nätverksarbete som anordnats av det nationella landsbygdsnätverket.</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operativa grupper som inrättats med stöd av rådgivare/innovationsstödjande tjänster.</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operativa grupper som inrättats med stöd av rådgivare/innovationsstödjande tjänster och som har deltagit i utbildning/nätverksarbete som anordnats av det nationella landsbygdsnätverket.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Nationella landsbygdsnätverk (övervakning, egenbedömning, intervjuer, publikationer).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Enkäter/fokusgrupper för operativa grupper.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Enkäter/fokusgrupper för rådgivare (innovationsstödjande tjänster).</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Kompletterande utvärderingsfaktorer som kopplas till det nationella landsbygdsnätverkets bidrag till skapandet av en gynnsam miljö för innovation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Det nationella landsbygdsnätverkets deltagande i innovationsrelaterade aktiviteter inom det europeiska nätverket för landsbygdsutveckling har ökat.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Antal verksamheter inom det europeiska nätverket för landsbygdsutveckling som det nationella landsbygdsnätverket har deltagit i (O.26), med avseende på innovation.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verksamheter inom det europeiska nätverket för landsbygdsutveckling som det nationella landsbygdsnätverket har deltagit i (O.26), uppdelat per ämne.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Övervakningstabeller.</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Nationella landsbygdsnätverk (övervakning, egenbedömning, intervjuer, publikationer).</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Det nationella landsbygdsnätverkets deltagande i aktiviteter inom det </w:t>
            </w:r>
            <w:r>
              <w:rPr>
                <w:sz w:val="18"/>
                <w:szCs w:val="18"/>
                <w14:textFill>
                  <w14:solidFill>
                    <w14:srgbClr w14:val="373737">
                      <w14:lumMod w14:val="75000"/>
                    </w14:srgbClr>
                  </w14:solidFill>
                </w14:textFill>
              </w:rPr>
              <w:lastRenderedPageBreak/>
              <w:t>europeiska innovationspartnerskapet har ökat.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Antal och typ av bidrag från det nationella landsbygdsnätverket till EIP-Agri, däribland</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exempel på projekt/god praxis med inriktning på innovation,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anordnande av möten om innovation,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utveckling av nätverk mellan innovationsaktörer, i första hand lokala aktionsgrupper och operativa grupper,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gränsöverskridande informationsutbyte om projekt, forskningsinitiativ, tematiska nätverk och finansiering inom Horisont 2020,</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stöd till innovationsstödjande tjänster vid genomförande av innovativa åtgärder och inrättande av operativa grupper,</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stöd vid eftersökning av partner.</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Antal bidrag från det nationella landsbygdsnätverket till det europeiska innovationspartnerskapet uppdelat efter </w:t>
            </w:r>
            <w:r>
              <w:rPr>
                <w:sz w:val="18"/>
                <w:szCs w:val="18"/>
                <w14:textFill>
                  <w14:solidFill>
                    <w14:srgbClr w14:val="373737">
                      <w14:lumMod w14:val="75000"/>
                    </w14:srgbClr>
                  </w14:solidFill>
                </w14:textFill>
              </w:rPr>
              <w:lastRenderedPageBreak/>
              <w:t>typ enligt artikel 35.2 a–f i förordning (EU) nr 1305/2013.</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Nationella landsbygdsnätverk (övervakning, egenbedömning, intervjuer, publikationer).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Nätverksstruktur på medlemsstatsnivå för innovationsstödjande tjänster (om skild från det nationella landsbygdsnätverket).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Europeiska innovationspartnerskapets servicepunkt.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Enkäter/fokusgrupper för projekt inom de operativa grupperna.</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Ökat samarbete, utbyte och nätverksarbete bland innovationsprojektets partner.</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Antal ytterligare nätverk/partnerskap/samarbetsgrupper bland innovationsprojektets partner som uppmuntras av det nationella landsbygdsnätverket.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nätverk, partnerskap och/eller samarbetsgrupper bland innovationsprojektets partner som fått stöd av det nationella landsbygdsnätverket.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Det nationella landsbygdsnätverkets databas.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Enkäter/fokusgrupper.</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Förslag på metoder för utvärdering </w:t>
      </w:r>
    </w:p>
    <w:p w:rsidR="00A45935" w:rsidRPr="00E05D08" w:rsidRDefault="00A45935" w:rsidP="00E05D08">
      <w:pPr>
        <w:spacing w:after="120" w:line="280" w:lineRule="atLeast"/>
        <w:mirrorIndents/>
        <w:rPr>
          <w:rFonts w:eastAsia="Times New Roman" w:cs="Arial"/>
          <w:szCs w:val="20"/>
        </w:rPr>
      </w:pPr>
      <w:r>
        <w:t>Vi rekommenderar följande steg för att besvara gemensam utvärderingsfråga nr 21:</w:t>
      </w:r>
    </w:p>
    <w:p w:rsidR="00A45935" w:rsidRPr="007707EC" w:rsidRDefault="00A45935" w:rsidP="00676B41">
      <w:pPr>
        <w:pStyle w:val="Hlistbullet"/>
      </w:pPr>
      <w:r>
        <w:rPr>
          <w:b/>
        </w:rPr>
        <w:t>STEG 1: Samla in information för att identifiera det nationella landsbygdsnätverkets bidrag till främjandet av innovation</w:t>
      </w:r>
      <w:r>
        <w:t xml:space="preserve"> från aktörer som är involverade i de insatser inom det nationella landsbygdsnätverket som har innovationspotential. Detta kan ske genom användning av bedömningskriterierna och indikatorerna samt genomförande av metoderna i tabell 6 nedan.</w:t>
      </w:r>
    </w:p>
    <w:p w:rsidR="00A45935" w:rsidRPr="007707EC" w:rsidRDefault="00A45935" w:rsidP="00676B41">
      <w:pPr>
        <w:pStyle w:val="Hlistbullet"/>
      </w:pPr>
      <w:r>
        <w:rPr>
          <w:b/>
        </w:rPr>
        <w:t>STEG 2: Kvantifiera utfallsindikatorer och indikatorer med koppling till innovation som är specifika för det nationella landsbygdsnätverket</w:t>
      </w:r>
      <w:r>
        <w:t xml:space="preserve"> genom att använda övervakningsuppgifter om landsbygdsnätverkets aktiviteter från landsbygdsprogrammets insatsdatabas och landsbygdsnätverkets övervakningssystem. </w:t>
      </w:r>
    </w:p>
    <w:p w:rsidR="00A45935" w:rsidRPr="007707EC" w:rsidRDefault="00A45935" w:rsidP="00676B41">
      <w:pPr>
        <w:pStyle w:val="Hlistbullet"/>
      </w:pPr>
      <w:r>
        <w:rPr>
          <w:b/>
        </w:rPr>
        <w:t>STEG 3: Tillämpa förändringsteorin för att jämföra resultaten av innovationspotentialen</w:t>
      </w:r>
      <w:r>
        <w:t xml:space="preserve"> i de av det nationella landsbygdsnätverkets aktiviteter som identifierades i början av utvärderingsprocessen med de aktiviteter som genomförts. Detta omfattar utarbetandet av en tidslinje för orsakssambandet och en redogörelse med beskrivning av resultaten av det nationella landsbygdsnätverkets aktiviteter i relation till handlingsvägarna för innovation och hur de kom till (där även information från övervakningssystemet används).</w:t>
      </w:r>
      <w:r>
        <w:rPr>
          <w:b/>
        </w:rPr>
        <w:t xml:space="preserve"> Validera</w:t>
      </w:r>
      <w:r>
        <w:t xml:space="preserve"> ovanstående genom att använda tekniker för triangelmätning.</w:t>
      </w:r>
    </w:p>
    <w:p w:rsidR="00A45935" w:rsidRPr="007707EC" w:rsidRDefault="00A45935" w:rsidP="00676B41">
      <w:pPr>
        <w:pStyle w:val="Hlistbullet"/>
      </w:pPr>
      <w:r>
        <w:rPr>
          <w:b/>
        </w:rPr>
        <w:t>STEG 4: Besvara den gemensamma utvärderingsfrågan genom att bedöma i vilken utsträckning det nationella landsbygdsnätverket har bidragit till att främja innovation</w:t>
      </w:r>
      <w:r>
        <w:t xml:space="preserve"> genom olika grupper av aktiviteter med hjälp av en likertskala</w:t>
      </w:r>
      <w:r>
        <w:rPr>
          <w:rFonts w:cs="Arial"/>
          <w:vertAlign w:val="superscript"/>
        </w:rPr>
        <w:footnoteReference w:id="65"/>
      </w:r>
      <w:r>
        <w:t>. Utvärderaren bör även gradera den undersökta/intervjuade aktörens förtroende för resultatens tillförlitlighet på en femgradig skala. Den bedömda tillförlitligheten måste motiveras.</w:t>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350ACAF5" wp14:editId="58084B3F">
                <wp:extent cx="5828030" cy="3552093"/>
                <wp:effectExtent l="0" t="0" r="20320" b="10795"/>
                <wp:docPr id="550" name="Rectangle: Diagonal Corners Rounded 550"/>
                <wp:cNvGraphicFramePr/>
                <a:graphic xmlns:a="http://schemas.openxmlformats.org/drawingml/2006/main">
                  <a:graphicData uri="http://schemas.microsoft.com/office/word/2010/wordprocessingShape">
                    <wps:wsp>
                      <wps:cNvSpPr/>
                      <wps:spPr>
                        <a:xfrm>
                          <a:off x="0" y="0"/>
                          <a:ext cx="5828030" cy="3552093"/>
                        </a:xfrm>
                        <a:prstGeom prst="round2DiagRect">
                          <a:avLst>
                            <a:gd name="adj1" fmla="val 6942"/>
                            <a:gd name="adj2" fmla="val 0"/>
                          </a:avLst>
                        </a:prstGeom>
                        <a:noFill/>
                        <a:ln w="25400" cap="flat" cmpd="sng" algn="ctr">
                          <a:solidFill>
                            <a:srgbClr val="F07E31"/>
                          </a:solidFill>
                          <a:prstDash val="solid"/>
                        </a:ln>
                        <a:effectLst/>
                      </wps:spPr>
                      <wps:txbx>
                        <w:txbxContent>
                          <w:p w:rsidR="004C3777" w:rsidRPr="00E05D08" w:rsidRDefault="004C3777" w:rsidP="00E05D08">
                            <w:pPr>
                              <w:pStyle w:val="HStandard"/>
                              <w:ind w:left="567" w:hanging="567"/>
                              <w:rPr>
                                <w:b/>
                                <w:color w:val="F07E31"/>
                                <w:sz w:val="18"/>
                                <w:szCs w:val="18"/>
                              </w:rPr>
                            </w:pPr>
                            <w:r>
                              <w:rPr>
                                <w:noProof/>
                                <w:sz w:val="18"/>
                                <w:szCs w:val="18"/>
                                <w:lang w:val="en-GB" w:eastAsia="en-GB"/>
                              </w:rPr>
                              <w:drawing>
                                <wp:inline distT="0" distB="0" distL="0" distR="0" wp14:anchorId="0B564B03" wp14:editId="08887827">
                                  <wp:extent cx="353060" cy="359410"/>
                                  <wp:effectExtent l="0" t="0" r="8890" b="2540"/>
                                  <wp:docPr id="4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Exempel från de årliga genomföranderapporter som lämnades in 2017</w:t>
                            </w:r>
                          </w:p>
                          <w:p w:rsidR="004C3777" w:rsidRPr="00EF653F" w:rsidRDefault="004C3777" w:rsidP="00E05D08">
                            <w:pPr>
                              <w:pStyle w:val="HStandard"/>
                              <w:rPr>
                                <w:sz w:val="18"/>
                                <w:szCs w:val="18"/>
                              </w:rPr>
                            </w:pPr>
                            <w:r>
                              <w:rPr>
                                <w:b/>
                                <w:sz w:val="18"/>
                                <w:szCs w:val="18"/>
                              </w:rPr>
                              <w:t xml:space="preserve">Tjeckien – </w:t>
                            </w:r>
                            <w:r>
                              <w:rPr>
                                <w:sz w:val="18"/>
                                <w:szCs w:val="18"/>
                              </w:rPr>
                              <w:t>nämner fallstudier baserade på information som samlats in från stödmottagare i innovativa projekt. Republiken föreslår att uppgifter om innovativa projekt ska spåras för utfallsindikatorerna O.24 och O.25 genom insatsdatabasen och att de ska användas för utvärderingen 2019.</w:t>
                            </w:r>
                          </w:p>
                          <w:p w:rsidR="004C3777" w:rsidRPr="00EF653F" w:rsidRDefault="004C3777" w:rsidP="008C0B17">
                            <w:pPr>
                              <w:pStyle w:val="HStandard"/>
                              <w:numPr>
                                <w:ilvl w:val="0"/>
                                <w:numId w:val="49"/>
                              </w:numPr>
                              <w:tabs>
                                <w:tab w:val="left" w:pos="5702"/>
                              </w:tabs>
                              <w:ind w:left="567" w:hanging="567"/>
                              <w:rPr>
                                <w:sz w:val="18"/>
                                <w:szCs w:val="18"/>
                              </w:rPr>
                            </w:pPr>
                            <w:r>
                              <w:rPr>
                                <w:sz w:val="18"/>
                                <w:szCs w:val="18"/>
                              </w:rPr>
                              <w:t xml:space="preserve">O.24 – Antal tematiska och analytiska utbyten mellan aktörer inom landsbygdsutvecklingen som inrättats med stöd av det nationella landsbygdsnätverket och som är inriktade på rådgivare och innovationsstödjande tjänster. </w:t>
                            </w:r>
                          </w:p>
                          <w:p w:rsidR="004C3777" w:rsidRPr="00EF653F" w:rsidRDefault="004C3777" w:rsidP="008C0B17">
                            <w:pPr>
                              <w:pStyle w:val="HStandard"/>
                              <w:numPr>
                                <w:ilvl w:val="0"/>
                                <w:numId w:val="49"/>
                              </w:numPr>
                              <w:tabs>
                                <w:tab w:val="left" w:pos="5702"/>
                              </w:tabs>
                              <w:ind w:left="567" w:hanging="567"/>
                              <w:rPr>
                                <w:sz w:val="18"/>
                                <w:szCs w:val="18"/>
                              </w:rPr>
                            </w:pPr>
                            <w:r>
                              <w:rPr>
                                <w:sz w:val="18"/>
                                <w:szCs w:val="18"/>
                              </w:rPr>
                              <w:t>O.25 – Antal kommunikationsverktyg för det nationella landsbygdsnätverket som är inriktade på rådgivare och innovationsstödjande tjänster.</w:t>
                            </w:r>
                          </w:p>
                          <w:p w:rsidR="004C3777" w:rsidRDefault="004C3777" w:rsidP="00E05D08">
                            <w:pPr>
                              <w:pStyle w:val="HStandard"/>
                              <w:rPr>
                                <w:sz w:val="18"/>
                                <w:szCs w:val="18"/>
                              </w:rPr>
                            </w:pPr>
                            <w:r>
                              <w:rPr>
                                <w:b/>
                                <w:sz w:val="18"/>
                                <w:szCs w:val="18"/>
                              </w:rPr>
                              <w:t>Slovakien –</w:t>
                            </w:r>
                            <w:r>
                              <w:rPr>
                                <w:sz w:val="18"/>
                                <w:szCs w:val="18"/>
                              </w:rPr>
                              <w:t xml:space="preserve"> beskriver intervjuer med berörda aktörer (det nationella landsbygdsnätverket och aktörer som deltar i nätverkets aktiviteter) för att samla in uppgifter om kompletterande indikatorer. Andelen (%) innovativa projekt som fått stöd av det nationella landsbygdsnätverket jämfört med det totala antalet innovativa projekt som stöds av landsbygdsprogrammet. </w:t>
                            </w:r>
                          </w:p>
                          <w:p w:rsidR="004C3777" w:rsidRPr="00ED3BAD" w:rsidRDefault="004C3777" w:rsidP="00E05D08">
                            <w:pPr>
                              <w:pStyle w:val="HStandard"/>
                              <w:rPr>
                                <w:sz w:val="18"/>
                                <w:szCs w:val="18"/>
                              </w:rPr>
                            </w:pPr>
                            <w:r>
                              <w:rPr>
                                <w:b/>
                                <w:sz w:val="18"/>
                                <w:szCs w:val="18"/>
                              </w:rPr>
                              <w:t>Castilla y León</w:t>
                            </w:r>
                            <w:r>
                              <w:rPr>
                                <w:sz w:val="18"/>
                                <w:szCs w:val="18"/>
                              </w:rPr>
                              <w:t xml:space="preserve"> </w:t>
                            </w:r>
                            <w:r>
                              <w:rPr>
                                <w:b/>
                                <w:sz w:val="18"/>
                                <w:szCs w:val="18"/>
                              </w:rPr>
                              <w:t>(ES) –</w:t>
                            </w:r>
                            <w:r>
                              <w:rPr>
                                <w:sz w:val="18"/>
                                <w:szCs w:val="18"/>
                              </w:rPr>
                              <w:t xml:space="preserve"> rekommenderar att en indikator införs i övervakningssystemet för att mäta antalet deltagare i projekt inom ramen för åtgärd M16.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0ACAF5" id="Rectangle: Diagonal Corners Rounded 550" o:spid="_x0000_s1051" style="width:458.9pt;height:279.7pt;visibility:visible;mso-wrap-style:square;mso-left-percent:-10001;mso-top-percent:-10001;mso-position-horizontal:absolute;mso-position-horizontal-relative:char;mso-position-vertical:absolute;mso-position-vertical-relative:line;mso-left-percent:-10001;mso-top-percent:-10001;v-text-anchor:middle" coordsize="5828030,35520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" adj="-11796480,,5400" path="m246586,l5828030,r,l5828030,3305507v,136186,-110400,246586,-246586,246586l,3552093r,l,246586c,110400,110400,,246586,xe" filled="f" strokecolor="#f07e31" strokeweight="2pt">
                <v:stroke joinstyle="miter"/>
                <v:formulas/>
                <v:path arrowok="t" o:connecttype="custom" o:connectlocs="246586,0;5828030,0;5828030,0;5828030,3305507;5581444,3552093;0,3552093;0,3552093;0,246586;246586,0" o:connectangles="0,0,0,0,0,0,0,0,0" textboxrect="0,0,5828030,3552093"/>
                <v:textbox>
                  <w:txbxContent>
                    <w:p w:rsidR="004C3777" w:rsidRPr="00E05D08" w:rsidRDefault="004C3777" w:rsidP="00E05D08">
                      <w:pPr>
                        <w:pStyle w:val="HStandard"/>
                        <w:ind w:left="567" w:hanging="567"/>
                        <w:rPr>
                          <w:b/>
                          <w:color w:val="F07E31"/>
                          <w:sz w:val="18"/>
                          <w:szCs w:val="18"/>
                        </w:rPr>
                      </w:pPr>
                      <w:r>
                        <w:rPr>
                          <w:noProof/>
                          <w:sz w:val="18"/>
                          <w:szCs w:val="18"/>
                          <w:lang w:val="en-GB" w:eastAsia="en-GB"/>
                        </w:rPr>
                        <w:drawing>
                          <wp:inline distT="0" distB="0" distL="0" distR="0" wp14:anchorId="0B564B03" wp14:editId="08887827">
                            <wp:extent cx="353060" cy="359410"/>
                            <wp:effectExtent l="0" t="0" r="8890" b="2540"/>
                            <wp:docPr id="4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Exempel från de årliga genomföranderapporter som lämnades in 2017</w:t>
                      </w:r>
                    </w:p>
                    <w:p w:rsidR="004C3777" w:rsidRPr="00EF653F" w:rsidRDefault="004C3777" w:rsidP="00E05D08">
                      <w:pPr>
                        <w:pStyle w:val="HStandard"/>
                        <w:rPr>
                          <w:sz w:val="18"/>
                          <w:szCs w:val="18"/>
                        </w:rPr>
                      </w:pPr>
                      <w:r>
                        <w:rPr>
                          <w:b/>
                          <w:sz w:val="18"/>
                          <w:szCs w:val="18"/>
                        </w:rPr>
                        <w:t xml:space="preserve">Tjeckien – </w:t>
                      </w:r>
                      <w:r>
                        <w:rPr>
                          <w:sz w:val="18"/>
                          <w:szCs w:val="18"/>
                        </w:rPr>
                        <w:t>nämner fallstudier baserade på information som samlats in från stödmottagare i innovativa projekt. Republiken föreslår att uppgifter om innovativa projekt ska spåras för utfallsindikatorerna O.24 och O.25 genom insatsdatabasen och att de ska användas för utvärderingen 2019.</w:t>
                      </w:r>
                    </w:p>
                    <w:p w:rsidR="004C3777" w:rsidRPr="00EF653F" w:rsidRDefault="004C3777" w:rsidP="008C0B17">
                      <w:pPr>
                        <w:pStyle w:val="HStandard"/>
                        <w:numPr>
                          <w:ilvl w:val="0"/>
                          <w:numId w:val="49"/>
                        </w:numPr>
                        <w:tabs>
                          <w:tab w:val="left" w:pos="5702"/>
                        </w:tabs>
                        <w:ind w:left="567" w:hanging="567"/>
                        <w:rPr>
                          <w:sz w:val="18"/>
                          <w:szCs w:val="18"/>
                        </w:rPr>
                      </w:pPr>
                      <w:r>
                        <w:rPr>
                          <w:sz w:val="18"/>
                          <w:szCs w:val="18"/>
                        </w:rPr>
                        <w:t xml:space="preserve">O.24 – Antal tematiska och analytiska utbyten mellan aktörer inom landsbygdsutvecklingen som inrättats med stöd av det nationella landsbygdsnätverket och som är inriktade på rådgivare och innovationsstödjande tjänster. </w:t>
                      </w:r>
                    </w:p>
                    <w:p w:rsidR="004C3777" w:rsidRPr="00EF653F" w:rsidRDefault="004C3777" w:rsidP="008C0B17">
                      <w:pPr>
                        <w:pStyle w:val="HStandard"/>
                        <w:numPr>
                          <w:ilvl w:val="0"/>
                          <w:numId w:val="49"/>
                        </w:numPr>
                        <w:tabs>
                          <w:tab w:val="left" w:pos="5702"/>
                        </w:tabs>
                        <w:ind w:left="567" w:hanging="567"/>
                        <w:rPr>
                          <w:sz w:val="18"/>
                          <w:szCs w:val="18"/>
                        </w:rPr>
                      </w:pPr>
                      <w:r>
                        <w:rPr>
                          <w:sz w:val="18"/>
                          <w:szCs w:val="18"/>
                        </w:rPr>
                        <w:t>O.25 – Antal kommunikationsverktyg för det nationella landsbygdsnätverket som är inriktade på rådgivare och innovationsstödjande tjänster.</w:t>
                      </w:r>
                    </w:p>
                    <w:p w:rsidR="004C3777" w:rsidRDefault="004C3777" w:rsidP="00E05D08">
                      <w:pPr>
                        <w:pStyle w:val="HStandard"/>
                        <w:rPr>
                          <w:sz w:val="18"/>
                          <w:szCs w:val="18"/>
                        </w:rPr>
                      </w:pPr>
                      <w:r>
                        <w:rPr>
                          <w:b/>
                          <w:sz w:val="18"/>
                          <w:szCs w:val="18"/>
                        </w:rPr>
                        <w:t>Slovakien –</w:t>
                      </w:r>
                      <w:r>
                        <w:rPr>
                          <w:sz w:val="18"/>
                          <w:szCs w:val="18"/>
                        </w:rPr>
                        <w:t xml:space="preserve"> beskriver intervjuer med berörda aktörer (det nationella landsbygdsnätverket och aktörer som deltar i nätverkets aktiviteter) för att samla in uppgifter om kompletterande indikatorer. Andelen (%) innovativa projekt som fått stöd av det nationella landsbygdsnätverket jämfört med det totala antalet innovativa projekt som stöds av landsbygdsprogrammet. </w:t>
                      </w:r>
                    </w:p>
                    <w:p w:rsidR="004C3777" w:rsidRPr="00ED3BAD" w:rsidRDefault="004C3777" w:rsidP="00E05D08">
                      <w:pPr>
                        <w:pStyle w:val="HStandard"/>
                        <w:rPr>
                          <w:sz w:val="18"/>
                          <w:szCs w:val="18"/>
                        </w:rPr>
                      </w:pPr>
                      <w:r>
                        <w:rPr>
                          <w:b/>
                          <w:sz w:val="18"/>
                          <w:szCs w:val="18"/>
                        </w:rPr>
                        <w:t>Castilla y León</w:t>
                      </w:r>
                      <w:r>
                        <w:rPr>
                          <w:sz w:val="18"/>
                          <w:szCs w:val="18"/>
                        </w:rPr>
                        <w:t xml:space="preserve"> </w:t>
                      </w:r>
                      <w:r>
                        <w:rPr>
                          <w:b/>
                          <w:sz w:val="18"/>
                          <w:szCs w:val="18"/>
                        </w:rPr>
                        <w:t>(ES) –</w:t>
                      </w:r>
                      <w:r>
                        <w:rPr>
                          <w:sz w:val="18"/>
                          <w:szCs w:val="18"/>
                        </w:rPr>
                        <w:t xml:space="preserve"> rekommenderar att en indikator införs i övervakningssystemet för att mäta antalet deltagare i projekt inom ramen för åtgärd M16.</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lastRenderedPageBreak/>
        <w:t>I riktlinjerna</w:t>
      </w:r>
      <w:r>
        <w:rPr>
          <w:i/>
          <w:szCs w:val="20"/>
        </w:rPr>
        <w:t xml:space="preserve"> </w:t>
      </w:r>
      <w:hyperlink r:id="rId63" w:history="1">
        <w:r>
          <w:rPr>
            <w:rStyle w:val="Hyperlink"/>
            <w:i/>
            <w:sz w:val="20"/>
            <w:szCs w:val="20"/>
          </w:rPr>
          <w:t>Evaluation of NRNs 2014-2020</w:t>
        </w:r>
      </w:hyperlink>
      <w:r>
        <w:t xml:space="preserve"> (Utvärdering av nationella landsbygdsnätverk 2014–2020)</w:t>
      </w:r>
      <w:r>
        <w:rPr>
          <w:rFonts w:eastAsia="Times New Roman" w:cs="Times New Roman"/>
          <w:szCs w:val="20"/>
          <w:vertAlign w:val="superscript"/>
          <w:lang w:eastAsia="de-DE"/>
        </w:rPr>
        <w:footnoteReference w:id="66"/>
      </w:r>
      <w:r>
        <w:t xml:space="preserve"> finns en detaljerad beskrivning av metoderna och verktygen för utvärdering av nationella landsbygdsnätverk. I dessa riktlinjer föreslås ett tillvägagångssätt som kombinerar kvalitativa och kvantitativa metoder. Dessa omfattar i sin tur enkäter, dialogbaserade metoder, analytiska metoder och diagnostiska metoder. </w:t>
      </w:r>
    </w:p>
    <w:p w:rsidR="00A45935" w:rsidRPr="00E05D08" w:rsidRDefault="00A45935" w:rsidP="00E05D08">
      <w:pPr>
        <w:spacing w:after="120" w:line="280" w:lineRule="atLeast"/>
        <w:mirrorIndents/>
        <w:rPr>
          <w:rFonts w:eastAsia="Times New Roman" w:cs="Times New Roman"/>
          <w:szCs w:val="20"/>
        </w:rPr>
      </w:pPr>
      <w:r>
        <w:t xml:space="preserve">I följande tabell presenteras en kortfattad översikt över metoderna för att besvara gemensam utvärderingsfråga nr 21 med avseende på innovationsmål (d) för nationella landsbygdsnätverk. En fullständig beskrivning av dessa metoder finns i riktlinjerna </w:t>
      </w:r>
      <w:hyperlink r:id="rId64" w:history="1">
        <w:r>
          <w:rPr>
            <w:rStyle w:val="Hyperlink"/>
            <w:i/>
            <w:sz w:val="20"/>
            <w:szCs w:val="20"/>
          </w:rPr>
          <w:t>Evaluation of NRNs 2014-2020</w:t>
        </w:r>
      </w:hyperlink>
      <w:r>
        <w:t>.</w:t>
      </w:r>
    </w:p>
    <w:p w:rsidR="00A45935" w:rsidRPr="00E05D08" w:rsidRDefault="00A45935" w:rsidP="00F97438">
      <w:pPr>
        <w:pStyle w:val="HHeading1"/>
        <w:numPr>
          <w:ilvl w:val="0"/>
          <w:numId w:val="0"/>
        </w:numPr>
        <w:rPr>
          <w:b w:val="0"/>
          <w:color w:val="373737"/>
          <w:sz w:val="16"/>
        </w:rPr>
        <w:sectPr w:rsidR="00A45935" w:rsidRPr="00E05D08" w:rsidSect="001F6F07">
          <w:headerReference w:type="first" r:id="rId65"/>
          <w:endnotePr>
            <w:numFmt w:val="decimal"/>
          </w:endnotePr>
          <w:pgSz w:w="11907" w:h="16840" w:code="9"/>
          <w:pgMar w:top="1440" w:right="1440" w:bottom="1134" w:left="1440" w:header="567" w:footer="1020" w:gutter="0"/>
          <w:cols w:space="708"/>
          <w:noEndnote/>
          <w:docGrid w:linePitch="435"/>
        </w:sectPr>
      </w:pPr>
    </w:p>
    <w:p w:rsidR="00A45935" w:rsidRPr="00E05D08" w:rsidRDefault="00A45935" w:rsidP="00E05D08">
      <w:pPr>
        <w:spacing w:after="0" w:line="240" w:lineRule="auto"/>
        <w:rPr>
          <w:rFonts w:eastAsia="Times New Roman" w:cs="Times New Roman"/>
          <w:b/>
          <w:sz w:val="16"/>
          <w:szCs w:val="20"/>
        </w:rPr>
      </w:pPr>
    </w:p>
    <w:p w:rsidR="00A45935" w:rsidRPr="00D57D0A" w:rsidRDefault="00A45935" w:rsidP="00D57D0A">
      <w:pPr>
        <w:pStyle w:val="HHeadingtables"/>
        <w:rPr>
          <w:color w:val="6F6F6F"/>
          <w:sz w:val="18"/>
          <w:szCs w:val="18"/>
        </w:rPr>
      </w:pPr>
      <w:bookmarkStart w:id="121" w:name="_Toc508290385"/>
      <w:r>
        <w:rPr>
          <w:color w:val="6F6F6F"/>
          <w:sz w:val="18"/>
          <w:szCs w:val="18"/>
        </w:rPr>
        <w:t>Rekommenderade metoder för gemensam utvärderingsfråga nr 21</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Metod</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Tips för användning av de olika metoderna för att besvara gemensam utvärderingsfråga nr 21</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Enkäter</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Kan användas för att samla in uppgifter och information om innovation som inte ingår i övervakningsdatabaserna, särskilt när det gäller kompletterande indikatorer.</w:t>
            </w:r>
          </w:p>
          <w:p w:rsidR="00A45935" w:rsidRPr="00385368" w:rsidRDefault="00A45935" w:rsidP="00E05D08">
            <w:pPr>
              <w:spacing w:after="120" w:line="280" w:lineRule="atLeast"/>
              <w:rPr>
                <w:rFonts w:eastAsia="Calibri" w:cs="Arial"/>
                <w:sz w:val="18"/>
                <w:szCs w:val="18"/>
              </w:rPr>
            </w:pPr>
            <w:r>
              <w:rPr>
                <w:sz w:val="18"/>
                <w:szCs w:val="18"/>
              </w:rPr>
              <w:t>Enkäter kan skickas ut till de nationella landsbygdsnätverken, det europeiska innovationspartnerskapets operativa grupper, projektens stödmottagare och andra innovationsaktörer.</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Fokusgrupper (dialogbaserad metod)</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Används vid dialogbaserade utvärderingsmetoder och kan utformas för gemensam utvärderingsfråga nr 21 enligt följande:</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En utformning i två nivåer med fokusgrupper på båda nivåerna (dvs. rådgivare/innovationsstödjande tjänster och lokala aktionsgrupper). Båda nivåerna kan få utbildning och delta i nätverksaktiviteter som anordnas av det nationella landsbygdsnätverket. </w:t>
            </w:r>
          </w:p>
          <w:p w:rsidR="00A45935" w:rsidRPr="00385368" w:rsidRDefault="00A45935" w:rsidP="008C0B17">
            <w:pPr>
              <w:numPr>
                <w:ilvl w:val="0"/>
                <w:numId w:val="40"/>
              </w:numPr>
              <w:spacing w:before="60" w:after="120" w:line="280" w:lineRule="atLeast"/>
              <w:ind w:left="317"/>
              <w:rPr>
                <w:rFonts w:cs="Arial"/>
                <w:sz w:val="18"/>
              </w:rPr>
            </w:pPr>
            <w:r>
              <w:rPr>
                <w:sz w:val="18"/>
              </w:rPr>
              <w:t>En utformning med inriktning på det tematiska innovationsområdet (t.ex. grupper av personer med olika perspektiv för att validera det nationella landsbygdsnätverkets aktiviteter för främjande av innovation).</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Funktionsanalys av nätverk (diagnostisk metod)</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Kombination av en onlineenkät till de operativa grupperna (med åtskillnad mellan de som har fått någon form av stöd – förmedlingsfunktion, utbildning etc. – från det nationella landsbygdsnätverket och de som inte har fått något stöd) och en serie av djupgående intervjuer med ett urval av operativa grupper. Alternativt kan en fokusgrupp inrättas för att spegla de preliminära resultaten av onlineenkäten.</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Analys av berörda aktörer (diagnostisk metod)</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Kan riktas till innovationsaktörer på olika nivåer: Det nationella landsbygdsnätverket eller nätverksstrukturen på medlemsstatsnivå för innovationsstödjande tjänster (om skild från det nationella landsbygdsnätverket). Samordnarna för de tematiska nätverken, samordnarna för de operativa grupperna och även det europeiska innovationspartnerskapets servicepunkt. </w:t>
            </w:r>
          </w:p>
          <w:p w:rsidR="00A45935" w:rsidRPr="00385368" w:rsidRDefault="00A45935" w:rsidP="00E05D08">
            <w:pPr>
              <w:spacing w:after="120" w:line="280" w:lineRule="atLeast"/>
              <w:rPr>
                <w:rFonts w:eastAsia="Calibri" w:cs="Arial"/>
                <w:sz w:val="18"/>
                <w:szCs w:val="18"/>
              </w:rPr>
            </w:pPr>
            <w:r>
              <w:rPr>
                <w:sz w:val="18"/>
                <w:szCs w:val="18"/>
              </w:rPr>
              <w:t xml:space="preserve">En analys av de berörda aktörerna underlättar insamlingen av information om de indikatorer där data inte samlas in genom övervakningsdatabasen. När det gäller gemensam utvärderingsfråga nr 21 kan endast tre av utfallsindikatorerna kvantifieras med hjälp av övervakningsuppgifterna, och till och med då kan övervakningsuppgifterna vara för allmänna för en bedömning av </w:t>
            </w:r>
            <w:r>
              <w:rPr>
                <w:sz w:val="18"/>
                <w:szCs w:val="18"/>
              </w:rPr>
              <w:lastRenderedPageBreak/>
              <w:t>innovationsfaktorerna. Exempelvis kan antalet tematiska och analytiska utbyten som inrättats med stöd av det nationella landsbygdsnätverket (O.24) registreras i övervakningsdatabasen utan uppgifter om vilka av dessa utbyten som är inriktade på innovationsfrågor.</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b/>
                <w:sz w:val="18"/>
                <w:szCs w:val="18"/>
              </w:rPr>
              <w:lastRenderedPageBreak/>
              <w:t xml:space="preserve">Analys av sociala nätverk </w:t>
            </w:r>
            <w:r>
              <w:rPr>
                <w:sz w:val="18"/>
                <w:szCs w:val="18"/>
              </w:rPr>
              <w:t>(diagnostisk metod)</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En analys av ett socialt nätverk kan utföras avseende en tematisk aspekt, särskilt främjandet av det nationella landsbygdsnätverkets innovationsmål, genom att undersöka innovationsnätverkets kopplingspunkter (t.ex. att identifiera viktiga innovationsaktörer i nätverket), bedöma deras strukturella egenskaper (t.ex. om aktörerna har en central eller perifer funktion) och eventuella överlappningar mellan dem (t.ex. för att identifiera viktiga kopplingar) och att diskutera dem i en fokusgrupp.</w:t>
            </w:r>
          </w:p>
          <w:p w:rsidR="00A45935" w:rsidRPr="00385368" w:rsidRDefault="00A45935" w:rsidP="00E05D08">
            <w:pPr>
              <w:spacing w:after="120" w:line="280" w:lineRule="atLeast"/>
              <w:rPr>
                <w:rFonts w:eastAsia="Calibri" w:cs="Arial"/>
                <w:sz w:val="18"/>
                <w:szCs w:val="18"/>
              </w:rPr>
            </w:pPr>
            <w:r>
              <w:rPr>
                <w:sz w:val="18"/>
                <w:szCs w:val="18"/>
              </w:rPr>
              <w:t>Analysen kan underlätta mätningen av innovationsaktörernas deltagande i det nationella landsbygdsnätverket och bedömningen av de innovationsrelaterade utfallens effektivitet (t.ex. tematiska och analytiska utbyten av innovation, utbildning och nätverksarbete som rör innovation samt insamling av projektexempel om innovation).</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Fallstudier</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Fallstudier kan anpassas och användas i alla typer av utvärderingar. De gör det möjligt att kombinera olika metoder, och de har en mycket flexibel utformning. När det gäller gemensam utvärderingsfråga nr 21 föreslås att fallstudier bör utformas utifrån följande frågor/kriterier med koppling till innovation:</w:t>
            </w:r>
          </w:p>
          <w:p w:rsidR="00A45935" w:rsidRPr="00385368" w:rsidRDefault="00A45935" w:rsidP="008C0B17">
            <w:pPr>
              <w:numPr>
                <w:ilvl w:val="0"/>
                <w:numId w:val="41"/>
              </w:numPr>
              <w:spacing w:before="60" w:after="120" w:line="280" w:lineRule="atLeast"/>
              <w:ind w:left="360"/>
              <w:rPr>
                <w:sz w:val="18"/>
              </w:rPr>
            </w:pPr>
            <w:r>
              <w:rPr>
                <w:sz w:val="18"/>
              </w:rPr>
              <w:t>Analysera det nationella landsbygdsnätverkets roll när det gäller att inrätta operativa grupper och därigenom främja innovation inom jordbruk och skogsbruk samt på landsbygden.</w:t>
            </w:r>
          </w:p>
          <w:p w:rsidR="00A45935" w:rsidRPr="00385368" w:rsidRDefault="00A45935" w:rsidP="008C0B17">
            <w:pPr>
              <w:numPr>
                <w:ilvl w:val="0"/>
                <w:numId w:val="41"/>
              </w:numPr>
              <w:spacing w:before="60" w:after="120" w:line="280" w:lineRule="atLeast"/>
              <w:ind w:left="360"/>
              <w:rPr>
                <w:sz w:val="18"/>
              </w:rPr>
            </w:pPr>
            <w:r>
              <w:rPr>
                <w:sz w:val="18"/>
              </w:rPr>
              <w:t>Analysera det nationella landsbygdsnätverkets bidrag när det gäller att lyfta fram rådgivare och innovationsstödjande tjänster som ledare i de interaktiva innovationsprocesserna (t.ex. fånga upp idéer om praxis samt förmedla, underlätta och sprida ny kunskap).</w:t>
            </w:r>
          </w:p>
          <w:p w:rsidR="00A45935" w:rsidRPr="00385368" w:rsidRDefault="00A45935" w:rsidP="008C0B17">
            <w:pPr>
              <w:numPr>
                <w:ilvl w:val="0"/>
                <w:numId w:val="41"/>
              </w:numPr>
              <w:spacing w:before="60" w:after="120" w:line="280" w:lineRule="atLeast"/>
              <w:ind w:left="360"/>
              <w:rPr>
                <w:sz w:val="18"/>
              </w:rPr>
            </w:pPr>
            <w:r>
              <w:rPr>
                <w:sz w:val="18"/>
              </w:rPr>
              <w:t>Analysera det nationella landsbygdsnätverkets roll inom tematiska nätverk som kopplar samman de operativa grupperna och därigenom bedöma kopplingarna med Horisont 2020-strategin.</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Risker och lösningar</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Risker</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Lösningar</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Uppgifter för de tre gemensamma utfallsindikatorerna bör finnas tillgängliga, men är sannolikt inte inriktade på innovation. Uppgifter om tematiska och analytiska utbyten samlas till exempel inte alltid in efter ämne, eller mer specifikt efter innovation. På samma sätt är kommunikationsverktygen inte alltid uppdelade efter ämne (t.ex. meddelande av innovationsresultat).</w:t>
            </w:r>
          </w:p>
        </w:tc>
        <w:tc>
          <w:tcPr>
            <w:tcW w:w="4509" w:type="dxa"/>
          </w:tcPr>
          <w:p w:rsidR="00A45935" w:rsidRPr="00385368" w:rsidRDefault="00A45935" w:rsidP="007E63EF">
            <w:pPr>
              <w:spacing w:after="120" w:line="280" w:lineRule="atLeast"/>
              <w:rPr>
                <w:sz w:val="18"/>
                <w:szCs w:val="18"/>
              </w:rPr>
            </w:pPr>
            <w:r>
              <w:rPr>
                <w:sz w:val="18"/>
                <w:szCs w:val="18"/>
              </w:rPr>
              <w:t>De förvaltande myndigheterna kan införa innovationskomponenten för de tre gemensamma utfallsindikatorerna i övervakningsdatabaserna</w:t>
            </w:r>
            <w:r>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lastRenderedPageBreak/>
              <w:t>För alla andra av de indikatorer som föreslås samlas uppgifter inte in i övervakningssyfte, såvida inte de förvaltande myndigheterna eller det nationella landsbygdsnätverket har beslutat detta som tillägg till de gemensamma dataposterna.</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I ett tidigt skede av genomförandet bör de nationella landsbygdsnätverken markera vilka aktiviteter som är inriktade på att främja innovation (t.ex. utbildning av innovationsaktörer, tematiska utbyten om innovation, insamling av god praxis när det gäller innovation, stöd för inrättandet av operativa grupper etc.).</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Om endast en metod (kvalitativ eller kvantitativ) används för att analysera uppgifterna kan resultaten bli otillförlitliga.</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Använd en kombination av utvärderingsmetoder med hjälp av vilka information samlas in fortlöpande eller i efterhand, såsom beskrivs ovan (enkäter, fokusgrupper, diagnostiska metoder, fallstudier), som gör det möjligt att triangelmäta och ta fram mer tillförlitliga resultat.</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Slutsatser och rekommendationer</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Slutsatserna och rekommendationerna bör vara inriktade på följande frågor:</w:t>
      </w:r>
    </w:p>
    <w:p w:rsidR="00A45935" w:rsidRPr="00E72529" w:rsidRDefault="00A45935" w:rsidP="00676B41">
      <w:pPr>
        <w:pStyle w:val="Hlistbullet"/>
        <w:rPr>
          <w:rFonts w:eastAsia="Calibri"/>
          <w:shd w:val="clear" w:color="auto" w:fill="FFFFFF"/>
        </w:rPr>
      </w:pPr>
      <w:r>
        <w:rPr>
          <w:b/>
          <w:shd w:val="clear" w:color="auto" w:fill="FFFFFF"/>
        </w:rPr>
        <w:t>De nationella landsbygdsnätverkens bidrag för att främja innovation</w:t>
      </w:r>
      <w:r>
        <w:rPr>
          <w:shd w:val="clear" w:color="auto" w:fill="FFFFFF"/>
        </w:rPr>
        <w:t xml:space="preserve"> inom jordbruk, livsmedelsproduktion och skogsbruk samt på landsbygden.</w:t>
      </w:r>
    </w:p>
    <w:p w:rsidR="00A45935" w:rsidRPr="00E72529" w:rsidRDefault="00A45935" w:rsidP="00676B41">
      <w:pPr>
        <w:pStyle w:val="Hlistbullet"/>
        <w:rPr>
          <w:rFonts w:eastAsia="Calibri"/>
          <w:shd w:val="clear" w:color="auto" w:fill="FFFFFF"/>
        </w:rPr>
      </w:pPr>
      <w:r>
        <w:rPr>
          <w:b/>
          <w:shd w:val="clear" w:color="auto" w:fill="FFFFFF"/>
        </w:rPr>
        <w:t>De viktigaste faktorer och villkor</w:t>
      </w:r>
      <w:r>
        <w:rPr>
          <w:shd w:val="clear" w:color="auto" w:fill="FFFFFF"/>
        </w:rPr>
        <w:t xml:space="preserve"> som gör de nationella landsbygdsnätverken till nyckelaktörer inom de interaktiva innovationsprocesserna.</w:t>
      </w:r>
    </w:p>
    <w:p w:rsidR="00A45935" w:rsidRPr="00E72529" w:rsidRDefault="00A45935" w:rsidP="00676B41">
      <w:pPr>
        <w:pStyle w:val="Hlistbullet"/>
        <w:rPr>
          <w:rFonts w:eastAsia="Calibri"/>
          <w:shd w:val="clear" w:color="auto" w:fill="FFFFFF"/>
        </w:rPr>
      </w:pPr>
      <w:r>
        <w:rPr>
          <w:b/>
          <w:shd w:val="clear" w:color="auto" w:fill="FFFFFF"/>
        </w:rPr>
        <w:t>De nationella landsbygdsnätverkens roll i innovationssystemet</w:t>
      </w:r>
      <w:r>
        <w:rPr>
          <w:shd w:val="clear" w:color="auto" w:fill="FFFFFF"/>
        </w:rPr>
        <w:t xml:space="preserve"> för att 1) identifiera innovation genom insamling och spridning av god praxis, 2) bygga innovationskapacitet genom utbildning, nätverksarbete, tematiska och analytiska utbyten och 3) skapa en gynnsam miljö för innovation genom stöd till och ledning av det europeiska innovationspartnerskapets operativa grupper.</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Läs mer</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292C2586" wp14:editId="3491ED4B">
                <wp:extent cx="5625465" cy="3439550"/>
                <wp:effectExtent l="0" t="0" r="13335" b="27940"/>
                <wp:docPr id="552" name="Rectangle: Diagonal Corners Rounded 552"/>
                <wp:cNvGraphicFramePr/>
                <a:graphic xmlns:a="http://schemas.openxmlformats.org/drawingml/2006/main">
                  <a:graphicData uri="http://schemas.microsoft.com/office/word/2010/wordprocessingShape">
                    <wps:wsp>
                      <wps:cNvSpPr/>
                      <wps:spPr>
                        <a:xfrm>
                          <a:off x="0" y="0"/>
                          <a:ext cx="5625465" cy="3439550"/>
                        </a:xfrm>
                        <a:prstGeom prst="round2DiagRect">
                          <a:avLst>
                            <a:gd name="adj1" fmla="val 9900"/>
                            <a:gd name="adj2" fmla="val 0"/>
                          </a:avLst>
                        </a:prstGeom>
                        <a:noFill/>
                        <a:ln w="25400" cap="flat" cmpd="sng" algn="ctr">
                          <a:solidFill>
                            <a:srgbClr val="59638E"/>
                          </a:solidFill>
                          <a:prstDash val="solid"/>
                        </a:ln>
                        <a:effectLst/>
                      </wps:spPr>
                      <wps:txbx>
                        <w:txbxContent>
                          <w:p w:rsidR="004C3777" w:rsidRDefault="004C3777"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42"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4C3777" w:rsidRPr="006F1763" w:rsidRDefault="004C3777" w:rsidP="00E05D08">
                            <w:pPr>
                              <w:pStyle w:val="HStandard"/>
                              <w:rPr>
                                <w:sz w:val="18"/>
                                <w:szCs w:val="18"/>
                              </w:rPr>
                            </w:pPr>
                            <w:r>
                              <w:rPr>
                                <w:sz w:val="18"/>
                                <w:szCs w:val="18"/>
                              </w:rPr>
                              <w:t xml:space="preserve">Europeiska helpdesken för utvärdering (2016). </w:t>
                            </w:r>
                            <w:r w:rsidRPr="00147EAF">
                              <w:rPr>
                                <w:sz w:val="18"/>
                                <w:szCs w:val="18"/>
                              </w:rPr>
                              <w:t>Riktlinjerna</w:t>
                            </w:r>
                            <w:r>
                              <w:rPr>
                                <w:sz w:val="18"/>
                                <w:szCs w:val="18"/>
                              </w:rPr>
                              <w:t xml:space="preserve"> </w:t>
                            </w:r>
                            <w:hyperlink r:id="rId66" w:history="1">
                              <w:r>
                                <w:rPr>
                                  <w:i/>
                                  <w:color w:val="F07E31"/>
                                  <w:sz w:val="18"/>
                                  <w:u w:val="single"/>
                                </w:rPr>
                                <w:t>Assessment of RDP results:</w:t>
                              </w:r>
                            </w:hyperlink>
                            <w:hyperlink r:id="rId67" w:history="1">
                              <w:r>
                                <w:rPr>
                                  <w:color w:val="F07E31"/>
                                  <w:sz w:val="18"/>
                                  <w:szCs w:val="18"/>
                                  <w:u w:val="single"/>
                                </w:rPr>
                                <w:t xml:space="preserve"> </w:t>
                              </w:r>
                              <w:r>
                                <w:rPr>
                                  <w:i/>
                                  <w:color w:val="F07E31"/>
                                  <w:sz w:val="18"/>
                                  <w:u w:val="single"/>
                                </w:rPr>
                                <w:t>How to prepare for reporting on evaluation in 2017</w:t>
                              </w:r>
                            </w:hyperlink>
                            <w:r>
                              <w:rPr>
                                <w:sz w:val="18"/>
                                <w:szCs w:val="18"/>
                              </w:rPr>
                              <w:t xml:space="preserve"> bilaga 11 </w:t>
                            </w:r>
                          </w:p>
                          <w:p w:rsidR="004C3777" w:rsidRPr="006F1763" w:rsidRDefault="004C3777" w:rsidP="00E05D08">
                            <w:pPr>
                              <w:pStyle w:val="HStandard"/>
                              <w:rPr>
                                <w:sz w:val="18"/>
                                <w:szCs w:val="18"/>
                              </w:rPr>
                            </w:pPr>
                            <w:r>
                              <w:rPr>
                                <w:sz w:val="18"/>
                                <w:szCs w:val="18"/>
                              </w:rPr>
                              <w:t>Europeiska nätverket för landsbygdsutveckling (2014),</w:t>
                            </w:r>
                            <w:hyperlink r:id="rId68" w:history="1">
                              <w:r>
                                <w:rPr>
                                  <w:rStyle w:val="Hyperlink"/>
                                  <w:sz w:val="18"/>
                                  <w:szCs w:val="18"/>
                                </w:rPr>
                                <w:t xml:space="preserve"> </w:t>
                              </w:r>
                              <w:r>
                                <w:rPr>
                                  <w:rStyle w:val="Hyperlink"/>
                                  <w:i/>
                                  <w:sz w:val="18"/>
                                </w:rPr>
                                <w:t>NRN Guidebook</w:t>
                              </w:r>
                            </w:hyperlink>
                            <w:r>
                              <w:rPr>
                                <w:sz w:val="18"/>
                                <w:szCs w:val="18"/>
                              </w:rPr>
                              <w:t>. (Handbok om det nationella landsbygdsnätverket). Luxembourg Publications Office</w:t>
                            </w:r>
                          </w:p>
                          <w:p w:rsidR="004C3777" w:rsidRPr="006F1763" w:rsidRDefault="004C3777" w:rsidP="00E05D08">
                            <w:pPr>
                              <w:pStyle w:val="HStandard"/>
                              <w:rPr>
                                <w:sz w:val="18"/>
                                <w:szCs w:val="18"/>
                              </w:rPr>
                            </w:pPr>
                            <w:r>
                              <w:rPr>
                                <w:sz w:val="18"/>
                                <w:szCs w:val="18"/>
                              </w:rPr>
                              <w:t xml:space="preserve">Europeiska helpdesken för utvärdering (2016), riktlinjerna </w:t>
                            </w:r>
                            <w:hyperlink r:id="rId69" w:history="1">
                              <w:r>
                                <w:rPr>
                                  <w:rStyle w:val="Hyperlink"/>
                                  <w:i/>
                                  <w:sz w:val="18"/>
                                </w:rPr>
                                <w:t>Evaluation of National Rural Networks 2014-2020</w:t>
                              </w:r>
                            </w:hyperlink>
                          </w:p>
                          <w:p w:rsidR="004C3777" w:rsidRPr="00F639C6" w:rsidRDefault="004C3777" w:rsidP="00E05D08">
                            <w:pPr>
                              <w:pStyle w:val="HStandard"/>
                              <w:rPr>
                                <w:sz w:val="18"/>
                                <w:szCs w:val="18"/>
                                <w:lang w:val="en-US"/>
                              </w:rPr>
                            </w:pPr>
                            <w:r>
                              <w:rPr>
                                <w:sz w:val="18"/>
                                <w:szCs w:val="18"/>
                              </w:rPr>
                              <w:t xml:space="preserve">Europeiska kommissionen, GD Jordbruk och landsbygdsutveckling (2014). </w:t>
                            </w:r>
                            <w:hyperlink r:id="rId70" w:history="1">
                              <w:r w:rsidRPr="00F639C6">
                                <w:rPr>
                                  <w:rStyle w:val="Hyperlink"/>
                                  <w:i/>
                                  <w:sz w:val="18"/>
                                  <w:lang w:val="en-US"/>
                                </w:rPr>
                                <w:t>Guidelines on programming for innovation and the implementation of the EIP for agricultural productivity and sustainability</w:t>
                              </w:r>
                            </w:hyperlink>
                          </w:p>
                          <w:p w:rsidR="004C3777" w:rsidRPr="006F1763" w:rsidRDefault="004C3777" w:rsidP="00E05D08">
                            <w:pPr>
                              <w:pStyle w:val="HStandard"/>
                              <w:rPr>
                                <w:sz w:val="18"/>
                                <w:szCs w:val="18"/>
                              </w:rPr>
                            </w:pPr>
                            <w:r>
                              <w:rPr>
                                <w:sz w:val="18"/>
                                <w:szCs w:val="18"/>
                              </w:rPr>
                              <w:t xml:space="preserve">Europeiska helpdesken för utvärdering (2014). Interventionslogik och utvärderingsram för 2014–2020. Nationella landsbygdsnätverk. Bakgrundsdokument som presenterades vid </w:t>
                            </w:r>
                            <w:hyperlink r:id="rId71" w:history="1">
                              <w:r>
                                <w:rPr>
                                  <w:rStyle w:val="Hyperlink"/>
                                  <w:i/>
                                  <w:sz w:val="18"/>
                                </w:rPr>
                                <w:t>Good Practice Workshop “National Rural Networks:</w:t>
                              </w:r>
                            </w:hyperlink>
                            <w:hyperlink r:id="rId72" w:history="1">
                              <w:r>
                                <w:rPr>
                                  <w:rStyle w:val="Hyperlink"/>
                                  <w:sz w:val="18"/>
                                  <w:szCs w:val="18"/>
                                </w:rPr>
                                <w:t xml:space="preserve"> </w:t>
                              </w:r>
                              <w:r>
                                <w:rPr>
                                  <w:rStyle w:val="Hyperlink"/>
                                  <w:i/>
                                  <w:sz w:val="18"/>
                                </w:rPr>
                                <w:t>How to show their benefits</w:t>
                              </w:r>
                              <w:r>
                                <w:rPr>
                                  <w:rStyle w:val="Hyperlink"/>
                                  <w:sz w:val="18"/>
                                  <w:szCs w:val="18"/>
                                </w:rPr>
                                <w:t>”</w:t>
                              </w:r>
                            </w:hyperlink>
                            <w:r>
                              <w:t xml:space="preserve"> </w:t>
                            </w:r>
                            <w:r>
                              <w:rPr>
                                <w:sz w:val="18"/>
                                <w:szCs w:val="18"/>
                              </w:rPr>
                              <w:t>(Workshop för god praxis om nationella landsbygdsnätverk), Rom (Italien), 10 och 11 april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2C2586" id="Rectangle: Diagonal Corners Rounded 552" o:spid="_x0000_s1052" style="width:442.95pt;height:270.85pt;visibility:visible;mso-wrap-style:square;mso-left-percent:-10001;mso-top-percent:-10001;mso-position-horizontal:absolute;mso-position-horizontal-relative:char;mso-position-vertical:absolute;mso-position-vertical-relative:line;mso-left-percent:-10001;mso-top-percent:-10001;v-text-anchor:middle" coordsize="5625465,3439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" adj="-11796480,,5400" path="m340515,l5625465,r,l5625465,3099035v,188061,-152454,340515,-340515,340515l,3439550r,l,340515c,152454,152454,,340515,xe" filled="f" strokecolor="#59638e" strokeweight="2pt">
                <v:stroke joinstyle="miter"/>
                <v:formulas/>
                <v:path arrowok="t" o:connecttype="custom" o:connectlocs="340515,0;5625465,0;5625465,0;5625465,3099035;5284950,3439550;0,3439550;0,3439550;0,340515;340515,0" o:connectangles="0,0,0,0,0,0,0,0,0" textboxrect="0,0,5625465,3439550"/>
                <v:textbox>
                  <w:txbxContent>
                    <w:p w:rsidR="004C3777" w:rsidRDefault="004C3777"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42"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4C3777" w:rsidRPr="006F1763" w:rsidRDefault="004C3777" w:rsidP="00E05D08">
                      <w:pPr>
                        <w:pStyle w:val="HStandard"/>
                        <w:rPr>
                          <w:sz w:val="18"/>
                          <w:szCs w:val="18"/>
                        </w:rPr>
                      </w:pPr>
                      <w:r>
                        <w:rPr>
                          <w:sz w:val="18"/>
                          <w:szCs w:val="18"/>
                        </w:rPr>
                        <w:t xml:space="preserve">Europeiska helpdesken för utvärdering (2016). </w:t>
                      </w:r>
                      <w:r w:rsidRPr="00147EAF">
                        <w:rPr>
                          <w:sz w:val="18"/>
                          <w:szCs w:val="18"/>
                        </w:rPr>
                        <w:t>Riktlinjerna</w:t>
                      </w:r>
                      <w:r>
                        <w:rPr>
                          <w:sz w:val="18"/>
                          <w:szCs w:val="18"/>
                        </w:rPr>
                        <w:t xml:space="preserve"> </w:t>
                      </w:r>
                      <w:hyperlink r:id="rId73" w:history="1">
                        <w:r>
                          <w:rPr>
                            <w:i/>
                            <w:color w:val="F07E31"/>
                            <w:sz w:val="18"/>
                            <w:u w:val="single"/>
                          </w:rPr>
                          <w:t>Assessment of RDP results:</w:t>
                        </w:r>
                      </w:hyperlink>
                      <w:hyperlink r:id="rId74" w:history="1">
                        <w:r>
                          <w:rPr>
                            <w:color w:val="F07E31"/>
                            <w:sz w:val="18"/>
                            <w:szCs w:val="18"/>
                            <w:u w:val="single"/>
                          </w:rPr>
                          <w:t xml:space="preserve"> </w:t>
                        </w:r>
                        <w:r>
                          <w:rPr>
                            <w:i/>
                            <w:color w:val="F07E31"/>
                            <w:sz w:val="18"/>
                            <w:u w:val="single"/>
                          </w:rPr>
                          <w:t>How to prepare for reporting on evaluation in 2017</w:t>
                        </w:r>
                      </w:hyperlink>
                      <w:r>
                        <w:rPr>
                          <w:sz w:val="18"/>
                          <w:szCs w:val="18"/>
                        </w:rPr>
                        <w:t xml:space="preserve"> bilaga 11 </w:t>
                      </w:r>
                    </w:p>
                    <w:p w:rsidR="004C3777" w:rsidRPr="006F1763" w:rsidRDefault="004C3777" w:rsidP="00E05D08">
                      <w:pPr>
                        <w:pStyle w:val="HStandard"/>
                        <w:rPr>
                          <w:sz w:val="18"/>
                          <w:szCs w:val="18"/>
                        </w:rPr>
                      </w:pPr>
                      <w:r>
                        <w:rPr>
                          <w:sz w:val="18"/>
                          <w:szCs w:val="18"/>
                        </w:rPr>
                        <w:t>Europeiska nätverket för landsbygdsutveckling (2014),</w:t>
                      </w:r>
                      <w:hyperlink r:id="rId75" w:history="1">
                        <w:r>
                          <w:rPr>
                            <w:rStyle w:val="Hyperlink"/>
                            <w:sz w:val="18"/>
                            <w:szCs w:val="18"/>
                          </w:rPr>
                          <w:t xml:space="preserve"> </w:t>
                        </w:r>
                        <w:r>
                          <w:rPr>
                            <w:rStyle w:val="Hyperlink"/>
                            <w:i/>
                            <w:sz w:val="18"/>
                          </w:rPr>
                          <w:t>NRN Guidebook</w:t>
                        </w:r>
                      </w:hyperlink>
                      <w:r>
                        <w:rPr>
                          <w:sz w:val="18"/>
                          <w:szCs w:val="18"/>
                        </w:rPr>
                        <w:t>. (Handbok om det nationella landsbygdsnätverket). Luxembourg Publications Office</w:t>
                      </w:r>
                    </w:p>
                    <w:p w:rsidR="004C3777" w:rsidRPr="006F1763" w:rsidRDefault="004C3777" w:rsidP="00E05D08">
                      <w:pPr>
                        <w:pStyle w:val="HStandard"/>
                        <w:rPr>
                          <w:sz w:val="18"/>
                          <w:szCs w:val="18"/>
                        </w:rPr>
                      </w:pPr>
                      <w:r>
                        <w:rPr>
                          <w:sz w:val="18"/>
                          <w:szCs w:val="18"/>
                        </w:rPr>
                        <w:t xml:space="preserve">Europeiska helpdesken för utvärdering (2016), riktlinjerna </w:t>
                      </w:r>
                      <w:hyperlink r:id="rId76" w:history="1">
                        <w:r>
                          <w:rPr>
                            <w:rStyle w:val="Hyperlink"/>
                            <w:i/>
                            <w:sz w:val="18"/>
                          </w:rPr>
                          <w:t>Evaluation of National Rural Networks 2014-2020</w:t>
                        </w:r>
                      </w:hyperlink>
                    </w:p>
                    <w:p w:rsidR="004C3777" w:rsidRPr="00F639C6" w:rsidRDefault="004C3777" w:rsidP="00E05D08">
                      <w:pPr>
                        <w:pStyle w:val="HStandard"/>
                        <w:rPr>
                          <w:sz w:val="18"/>
                          <w:szCs w:val="18"/>
                          <w:lang w:val="en-US"/>
                        </w:rPr>
                      </w:pPr>
                      <w:r>
                        <w:rPr>
                          <w:sz w:val="18"/>
                          <w:szCs w:val="18"/>
                        </w:rPr>
                        <w:t xml:space="preserve">Europeiska kommissionen, GD Jordbruk och landsbygdsutveckling (2014). </w:t>
                      </w:r>
                      <w:hyperlink r:id="rId77" w:history="1">
                        <w:r w:rsidRPr="00F639C6">
                          <w:rPr>
                            <w:rStyle w:val="Hyperlink"/>
                            <w:i/>
                            <w:sz w:val="18"/>
                            <w:lang w:val="en-US"/>
                          </w:rPr>
                          <w:t>Guidelines on programming for innovation and the implementation of the EIP for agricultural productivity and sustainability</w:t>
                        </w:r>
                      </w:hyperlink>
                    </w:p>
                    <w:p w:rsidR="004C3777" w:rsidRPr="006F1763" w:rsidRDefault="004C3777" w:rsidP="00E05D08">
                      <w:pPr>
                        <w:pStyle w:val="HStandard"/>
                        <w:rPr>
                          <w:sz w:val="18"/>
                          <w:szCs w:val="18"/>
                        </w:rPr>
                      </w:pPr>
                      <w:r>
                        <w:rPr>
                          <w:sz w:val="18"/>
                          <w:szCs w:val="18"/>
                        </w:rPr>
                        <w:t xml:space="preserve">Europeiska helpdesken för utvärdering (2014). Interventionslogik och utvärderingsram för 2014–2020. Nationella landsbygdsnätverk. Bakgrundsdokument som presenterades vid </w:t>
                      </w:r>
                      <w:hyperlink r:id="rId78" w:history="1">
                        <w:r>
                          <w:rPr>
                            <w:rStyle w:val="Hyperlink"/>
                            <w:i/>
                            <w:sz w:val="18"/>
                          </w:rPr>
                          <w:t>Good Practice Workshop “National Rural Networks:</w:t>
                        </w:r>
                      </w:hyperlink>
                      <w:hyperlink r:id="rId79" w:history="1">
                        <w:r>
                          <w:rPr>
                            <w:rStyle w:val="Hyperlink"/>
                            <w:sz w:val="18"/>
                            <w:szCs w:val="18"/>
                          </w:rPr>
                          <w:t xml:space="preserve"> </w:t>
                        </w:r>
                        <w:r>
                          <w:rPr>
                            <w:rStyle w:val="Hyperlink"/>
                            <w:i/>
                            <w:sz w:val="18"/>
                          </w:rPr>
                          <w:t>How to show their benefits</w:t>
                        </w:r>
                        <w:r>
                          <w:rPr>
                            <w:rStyle w:val="Hyperlink"/>
                            <w:sz w:val="18"/>
                            <w:szCs w:val="18"/>
                          </w:rPr>
                          <w:t>”</w:t>
                        </w:r>
                      </w:hyperlink>
                      <w:r>
                        <w:t xml:space="preserve"> </w:t>
                      </w:r>
                      <w:r>
                        <w:rPr>
                          <w:sz w:val="18"/>
                          <w:szCs w:val="18"/>
                        </w:rPr>
                        <w:t>(Workshop för god praxis om nationella landsbygdsnätverk), Rom (Italien), 10 och 11 april 2014</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2" w:name="_Toc501382134"/>
      <w:bookmarkStart w:id="123" w:name="_Toc508290311"/>
      <w:r>
        <w:lastRenderedPageBreak/>
        <w:t>Gemensam utvärderingsfråga nr 23: ”I vilken utsträckning har landsbygdsprogrammet bidragit till Europa 2020-strategins överordnade mål att 3 % av EU:s BNP ska investeras i forskning och utveckling och innovation?”</w:t>
      </w:r>
      <w:bookmarkEnd w:id="122"/>
      <w:bookmarkEnd w:id="123"/>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Bakgrund till den gemensamma utvärderingsfrågan</w:t>
      </w:r>
    </w:p>
    <w:p w:rsidR="00A45935" w:rsidRPr="00E05D08" w:rsidRDefault="00A45935" w:rsidP="00E05D08">
      <w:pPr>
        <w:spacing w:after="120" w:line="280" w:lineRule="atLeast"/>
        <w:mirrorIndents/>
        <w:rPr>
          <w:rFonts w:eastAsia="Times New Roman" w:cs="Times New Roman"/>
          <w:szCs w:val="20"/>
        </w:rPr>
      </w:pPr>
      <w:r>
        <w:t xml:space="preserve">Denna gemensamma utvärderingsfråga gäller ett av EU 2020-strategins fem överordnade mål, nämligen att ”3 % av EU:s BNP ska investeras i forskning och utveckling och innovation”. För att förstå denna fråga måste man ta hänsyn till sambandet och mätningen av det överordnade målet, framför allt dess syfte att förbättra villkoren för innovation, forskning och utveckling med användning av en kombination av offentliga och privata medel. </w:t>
      </w:r>
    </w:p>
    <w:p w:rsidR="00A45935" w:rsidRPr="00E05D08" w:rsidRDefault="00A45935" w:rsidP="00E05D08">
      <w:pPr>
        <w:spacing w:after="120" w:line="280" w:lineRule="atLeast"/>
        <w:mirrorIndents/>
        <w:rPr>
          <w:rFonts w:eastAsia="Times New Roman" w:cs="Times New Roman"/>
          <w:szCs w:val="20"/>
        </w:rPr>
      </w:pPr>
      <w:r>
        <w:t xml:space="preserve">Det överordnade målet är kopplat till EU 2020-strategins prioriteringar för en smart och hållbar tillväxt för alla, baserad på kunskap och innovation. Målet omfattar behovet av att både den offentliga och den privata sektorn investerar i FoU, men det är inriktat </w:t>
      </w:r>
      <w:r>
        <w:rPr>
          <w:b/>
          <w:szCs w:val="20"/>
        </w:rPr>
        <w:t>på insatser snarare än inverkan</w:t>
      </w:r>
      <w:r>
        <w:rPr>
          <w:rFonts w:eastAsia="Times New Roman" w:cs="Times New Roman"/>
          <w:szCs w:val="20"/>
          <w:vertAlign w:val="superscript"/>
          <w:lang w:eastAsia="de-DE"/>
        </w:rPr>
        <w:footnoteReference w:id="68"/>
      </w:r>
      <w:r>
        <w:t xml:space="preserve">. Det finns ett klart behov av att förbättra villkoren för privat FoU i EU, och många av de åtgärder som föreslås i denna strategi kommer att åstadkomma detta. Det är också tydligt att vi, om vi ser på FoU samt innovation sammantaget, skulle få en bredare utgiftsram som är mer relevant för företagens verksamhet och för produktivitetens drivkrafter. Kommissionen föreslår att 3 %-målet bibehålls, men håller samtidigt på att utarbeta en indikator som kan avspegla intensiteten avseende forskning och utvekling samt innovation. </w:t>
      </w:r>
    </w:p>
    <w:p w:rsidR="00A45935" w:rsidRPr="00E05D08" w:rsidRDefault="00A45935" w:rsidP="00E05D08">
      <w:pPr>
        <w:spacing w:after="120" w:line="280" w:lineRule="atLeast"/>
        <w:mirrorIndents/>
        <w:rPr>
          <w:rFonts w:eastAsia="Times New Roman" w:cs="Times New Roman"/>
          <w:szCs w:val="20"/>
        </w:rPr>
      </w:pPr>
      <w:r>
        <w:t>Detta överordnade mål har omvandlats i EU:s medlemsstater till nationella mål som speglar olika situationer och omständigheter så att varje medlemsstat kan kontrollera sina framsteg mot målen i EU 2020-strategin</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Särskilda utmaningar </w:t>
      </w:r>
    </w:p>
    <w:p w:rsidR="00A45935" w:rsidRPr="006C63CD" w:rsidRDefault="00A45935" w:rsidP="00676B41">
      <w:pPr>
        <w:pStyle w:val="Hlistbullet"/>
      </w:pPr>
      <w:r>
        <w:rPr>
          <w:b/>
        </w:rPr>
        <w:t xml:space="preserve">Datahantering för at säkerställa en hög kvalitet på uppgifterna om FoU och innovation. </w:t>
      </w:r>
      <w:r>
        <w:t>Eurostat publicerar regelbundet en övergripande framstegsrapport om indikatorn för det överordnade målet</w:t>
      </w:r>
      <w:r>
        <w:rPr>
          <w:vertAlign w:val="superscript"/>
        </w:rPr>
        <w:footnoteReference w:id="70"/>
      </w:r>
      <w:r>
        <w:t>. Insamlingen av uppgifter regleras av Frascatimanualen (OECD)</w:t>
      </w:r>
      <w:r>
        <w:rPr>
          <w:vertAlign w:val="superscript"/>
        </w:rPr>
        <w:footnoteReference w:id="71"/>
      </w:r>
      <w:r>
        <w:t xml:space="preserve"> och av särskilda EU-förordningar</w:t>
      </w:r>
      <w:r>
        <w:rPr>
          <w:vertAlign w:val="superscript"/>
        </w:rPr>
        <w:footnoteReference w:id="72"/>
      </w:r>
      <w:r>
        <w:t xml:space="preserve">. Frascatimanualen utgör även grunden för insamling av uppgifter om standardindikatorn för den </w:t>
      </w:r>
      <w:r>
        <w:rPr>
          <w:shd w:val="clear" w:color="auto" w:fill="FFFFFF"/>
        </w:rPr>
        <w:t>överordnade</w:t>
      </w:r>
      <w:r>
        <w:t xml:space="preserve"> målindikatorn ”inhemska bruttoutgifter för FoU” (GERD, gross domestic expenditure on R&amp;D), som samlas in av Eurostat</w:t>
      </w:r>
      <w:r>
        <w:rPr>
          <w:vertAlign w:val="superscript"/>
        </w:rPr>
        <w:footnoteReference w:id="73"/>
      </w:r>
      <w:r>
        <w:t xml:space="preserve">. Denna indikator omfattar utgifter </w:t>
      </w:r>
      <w:r>
        <w:rPr>
          <w:color w:val="333333"/>
          <w:shd w:val="clear" w:color="auto" w:fill="FFFFFF"/>
        </w:rPr>
        <w:t>för forskning och utveckling för affärsföretag, högre utbildningsinstitutioner såväl som för statliga och privata icke vinstdrivande organisationer.</w:t>
      </w:r>
      <w:r>
        <w:t xml:space="preserve"> GERD anges av Eurostat för nivåerna NUTS 1 och NUTS 2. Indikatorn ”% av total GERD” visar de </w:t>
      </w:r>
      <w:r>
        <w:rPr>
          <w:color w:val="333333"/>
          <w:shd w:val="clear" w:color="auto" w:fill="FFFFFF"/>
        </w:rPr>
        <w:t>relativa andelarna av de olika finansieringskällorna för FoU: industri, statliga myndigheter, högre utbildning och den privata icke vinstdrivande sektorn. Den femte finansieringskällan som visas är utlandsfinansiering av GERD. ”</w:t>
      </w:r>
      <w:r>
        <w:t>% av total GERD”</w:t>
      </w:r>
      <w:r>
        <w:rPr>
          <w:color w:val="333333"/>
          <w:shd w:val="clear" w:color="auto" w:fill="FFFFFF"/>
        </w:rPr>
        <w:t xml:space="preserve"> anges för nivån NUTS 1. Även om Eurostat publicerar de senaste uppgifterna finns en fördröjning på mellan 2 och 3 år. </w:t>
      </w:r>
      <w:r>
        <w:t xml:space="preserve">Eurostat tillhandahåller inte uppgifter om GERD eller procentsatsen för total GERD per ekonomisk sektor (t.ex. livsmedelsindustri, jordbruk). Även om statistiken uttryckligen avser utgifter för forskning och utveckling omfattar den i viss utsträckning även </w:t>
      </w:r>
      <w:r>
        <w:rPr>
          <w:b/>
        </w:rPr>
        <w:t>utgifter för innovation</w:t>
      </w:r>
      <w:r>
        <w:t xml:space="preserve"> såsom föreskrivs i Europa 2020-strategin. För finansieringsprogram </w:t>
      </w:r>
      <w:r>
        <w:rPr>
          <w:color w:val="333333"/>
          <w:shd w:val="clear" w:color="auto" w:fill="FFFFFF"/>
        </w:rPr>
        <w:t>som</w:t>
      </w:r>
      <w:r>
        <w:t xml:space="preserve"> främjar innovation fungerar Frascatimanualen som referenspunkt. Manualen används för att </w:t>
      </w:r>
      <w:r>
        <w:lastRenderedPageBreak/>
        <w:t xml:space="preserve">mäta vetenskapliga, tekniska och innovationsfrämjande aktiviteter, men gränsen mellan FoU och innovation är i detta avseende inte alltid tydlig. </w:t>
      </w:r>
    </w:p>
    <w:p w:rsidR="00A45935" w:rsidRPr="006C63CD" w:rsidRDefault="00A45935" w:rsidP="00676B41">
      <w:pPr>
        <w:pStyle w:val="Hlistbullet"/>
      </w:pPr>
      <w:r>
        <w:rPr>
          <w:b/>
        </w:rPr>
        <w:t xml:space="preserve">Att bedöma landsbygdsprogrammets bidrag till det överordnade målet. </w:t>
      </w:r>
      <w:r>
        <w:t>Utmaningen är att spegla landsbygdsprogrammets bidrag till det överordnade målet på ett lämpligt och realistiskt sätt med tanke på programmens inriktning mot Europa 2020-strategin. Inom ramen för denna utvärdering är det även nödvändigt att ta hänsyn till egenskaperna hos Ejflus interventioner och särdrag i de landsbygdsområden och sektorer där de tillämpas. Eftersom landsbygdsområdena i regel har en svagare struktur än de tätbebyggda områdena, och eftersom EU 2020-strategin baseras på investeringar i områden och sektorer med stark tillväxt, kan landsbygdsprogrammens bidrag förväntas vara lägre än bidragen från övriga operativa program relativt sett</w:t>
      </w:r>
      <w:r>
        <w:rPr>
          <w:vertAlign w:val="superscript"/>
        </w:rPr>
        <w:footnoteReference w:id="74"/>
      </w:r>
      <w:r>
        <w:t xml:space="preserve">. Något som verkar vara mindre viktigt för de nationella ekonomierna kan emellertid vara värdefullt för landsbygdsområdenas BNP och deras framtida utveckling. Därför är det viktigt att beräkna det överordnade målet för landsbygdsprogrammets bidrag och besvara den gemensamma utvärderingsfrågan.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Förslag på metod för att besvara gemensam utvärderingsfråga nr 23</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Interventionslogik </w:t>
      </w:r>
    </w:p>
    <w:p w:rsidR="00697455" w:rsidRDefault="00A45935" w:rsidP="00E05D08">
      <w:pPr>
        <w:spacing w:after="120" w:line="280" w:lineRule="atLeast"/>
        <w:mirrorIndents/>
        <w:rPr>
          <w:rFonts w:eastAsia="Times New Roman" w:cs="Times New Roman"/>
          <w:szCs w:val="20"/>
        </w:rPr>
      </w:pPr>
      <w:r>
        <w:t xml:space="preserve">Alla de åtgärder/delåtgärder i landsbygdsprogrammet som bidrar till att främja innovation genom de tre handlingsvägarna i landsbygdsområden som identifierats genom en granskning av deras innovationspotential (se </w:t>
      </w:r>
      <w:hyperlink w:anchor="Screening_Potential" w:history="1">
        <w:r>
          <w:rPr>
            <w:rStyle w:val="Hyperlink"/>
            <w:sz w:val="20"/>
            <w:szCs w:val="20"/>
          </w:rPr>
          <w:t>kapitel 2.2</w:t>
        </w:r>
      </w:hyperlink>
      <w:r>
        <w:t xml:space="preserve">) bör ses som en del av interventionslogiken med koppling till gemensam utvärderingsfråga nr 23. Detta går längre än de åtgärder som i första hand betraktas som innovationsfrämjande åtgärder – M1, M2 och M16 – och kan även omfatta annan investering, marknadsföring och andra områdesspecifika åtgärder vars genomförande kan stödja innovation (t.ex. genom innovationsrelaterade kriterier för projekturval). Insatser som genomförts inom ramen för dessa åtgärder och delåtgärder beaktas vid beräkning av utgifterna för FoU och innovation, och bedömningen av det överordnade målet eller dess proxyvariabel (GERD) och kompletterande indikatorer används för att besvara gemensam utvärderingsfråga nr 23 (som identifierats vid granskningen av innovationspotentialen – se </w:t>
      </w:r>
      <w:hyperlink w:anchor="Screening_Potential" w:history="1">
        <w:r>
          <w:rPr>
            <w:rStyle w:val="Hyperlink"/>
            <w:sz w:val="20"/>
            <w:szCs w:val="20"/>
          </w:rPr>
          <w:t>kapitel 2.2</w:t>
        </w:r>
      </w:hyperlink>
      <w:r>
        <w:t xml:space="preserve">). </w:t>
      </w:r>
    </w:p>
    <w:p w:rsidR="00697455" w:rsidRDefault="00697455">
      <w:pPr>
        <w:jc w:val="left"/>
        <w:rPr>
          <w:rFonts w:eastAsia="Times New Roman" w:cs="Times New Roman"/>
          <w:szCs w:val="20"/>
        </w:rPr>
      </w:pPr>
      <w:r>
        <w:br w:type="page"/>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Utvärderingsfaktorer med koppling till gemensam utvärderingsfråga nr 23</w:t>
      </w:r>
    </w:p>
    <w:p w:rsidR="00A45935" w:rsidRPr="00E05D08" w:rsidRDefault="00A45935" w:rsidP="00E05D08">
      <w:pPr>
        <w:spacing w:after="120" w:line="280" w:lineRule="atLeast"/>
        <w:mirrorIndents/>
        <w:rPr>
          <w:rFonts w:eastAsia="Times New Roman" w:cs="Times New Roman"/>
          <w:szCs w:val="20"/>
        </w:rPr>
      </w:pPr>
      <w:r>
        <w:t xml:space="preserve">I arbetsdokumentet </w:t>
      </w:r>
      <w:hyperlink r:id="rId80" w:history="1">
        <w:r>
          <w:rPr>
            <w:rStyle w:val="Hyperlink"/>
            <w:i/>
            <w:sz w:val="20"/>
            <w:szCs w:val="20"/>
          </w:rPr>
          <w:t>Common Evaluation Questions for RDPs 2014-2020</w:t>
        </w:r>
      </w:hyperlink>
      <w:r>
        <w:t xml:space="preserve"> föreslås två bedömningskriterier (investeringarna i FoU har ökat och innovation har främjats), två gemensamma indikatorer i det gemensamma övervaknings- och utvärderingssystemet (T1 – utgifter inom ramen för artiklarna 14 och 35 samt T2 – sammanlagt antal samarbetsprojekt som fått stöd inom ramen för samarbetsåtgärden) och en kompletterande indikator (landsbygdsprogrammets utgifter för FoU i % av BNP) för att besvara gemensam utvärderingsfråga nr 23. Dessa faktorer kan emellertid inte fånga upp landsbygdsprogrammets bidrag till det överordnade målet fullt ut. </w:t>
      </w:r>
    </w:p>
    <w:p w:rsidR="00A45935" w:rsidRPr="00E05D08" w:rsidRDefault="00A45935" w:rsidP="00E05D08">
      <w:pPr>
        <w:spacing w:after="120" w:line="280" w:lineRule="atLeast"/>
        <w:mirrorIndents/>
        <w:rPr>
          <w:rFonts w:eastAsia="Times New Roman" w:cs="Times New Roman"/>
          <w:szCs w:val="20"/>
        </w:rPr>
      </w:pPr>
      <w:r>
        <w:t xml:space="preserve">Därför innehåller dessa riktlinjer förslag på kompletterande utvärderingsfaktorer för att besvara gemensam utvärderingsfråga nr 23 (se </w:t>
      </w:r>
      <w:hyperlink w:anchor="JC_Indic_data" w:history="1">
        <w:r>
          <w:rPr>
            <w:rStyle w:val="Hyperlink"/>
            <w:sz w:val="20"/>
            <w:szCs w:val="20"/>
          </w:rPr>
          <w:t>tabell 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25" w:name="JC_Indic_data"/>
      <w:bookmarkStart w:id="126" w:name="_Toc508290386"/>
      <w:bookmarkEnd w:id="125"/>
      <w:r>
        <w:rPr>
          <w:color w:val="6F6F6F"/>
          <w:sz w:val="18"/>
          <w:szCs w:val="18"/>
        </w:rPr>
        <w:lastRenderedPageBreak/>
        <w:t>Bedömningskriterier, indikatorer och uppgifter som behövs för att besvara gemensam utvärderingsfråga nr 23</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7D5760">
        <w:trPr>
          <w:trHeight w:val="294"/>
          <w:tblHeader/>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Bedömningskriterier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Indikatorer</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Databehov</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Datakällor</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 xml:space="preserve">Gemensamma utvärderingsfaktorer (i det gemensamma övervaknings- och utvärderingssystemet och faktorer som föreslås i arbetsdokumentet </w:t>
            </w:r>
            <w:r>
              <w:rPr>
                <w:b/>
                <w:i/>
                <w:color w:val="FFFFFF"/>
                <w:sz w:val="18"/>
                <w:szCs w:val="20"/>
              </w:rPr>
              <w:t>Common Evaluation Questions 2014-2020</w:t>
            </w:r>
            <w:r>
              <w:rPr>
                <w:b/>
                <w:color w:val="FFFFFF"/>
                <w:sz w:val="18"/>
                <w:szCs w:val="18"/>
              </w:rPr>
              <w:t>)</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Investeringarna för Fou och innovation har ökat</w:t>
            </w:r>
            <w:r>
              <w:rPr>
                <w:rFonts w:eastAsia="Times New Roman" w:cs="Arial"/>
                <w:sz w:val="18"/>
                <w:szCs w:val="18"/>
                <w:vertAlign w:val="superscript"/>
                <w:lang w:eastAsia="de-AT"/>
              </w:rPr>
              <w:footnoteReference w:id="75"/>
            </w:r>
            <w:r>
              <w:rPr>
                <w:sz w:val="18"/>
                <w:szCs w:val="18"/>
              </w:rPr>
              <w:t>.</w:t>
            </w:r>
          </w:p>
          <w:p w:rsidR="00A45935" w:rsidRPr="00E05D08" w:rsidRDefault="00A45935" w:rsidP="00697455">
            <w:pPr>
              <w:spacing w:after="120" w:line="280" w:lineRule="atLeast"/>
              <w:jc w:val="left"/>
              <w:rPr>
                <w:rFonts w:eastAsia="Times New Roman" w:cs="Arial"/>
                <w:sz w:val="18"/>
                <w:szCs w:val="18"/>
              </w:rPr>
            </w:pPr>
            <w:r>
              <w:rPr>
                <w:sz w:val="18"/>
                <w:szCs w:val="18"/>
              </w:rPr>
              <w:t xml:space="preserve">Innovation har främjats.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T1: Andelen (%) utgifter inom ramen för artiklarna 14, 15 och 35 i förordning (EU) nr 1305/2013 i förhållande till de sammanlagda utgifterna för landsbygdsprogrammet.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T2: Sammanlagt antal samarbetsprojekt som fått stöd inom ramen för samarbetsåtgärden (artikel 35 i förordning (EU) nr 1305/2013) (grupper, nätverk/kluster, pilotprojekt).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Kompletterande indikator:</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Landsbygdsprogrammets utgifter för FoU i % av BNP (GERD för ”landsbygdsutveckling”).</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Uppgifter om landsbygdsprogrammets utgifter för FoU och innovation.</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Uppgifter om landsbygdsprogrammets totala utgifter. </w:t>
            </w:r>
          </w:p>
          <w:p w:rsidR="00A45935" w:rsidRPr="00E05D08" w:rsidRDefault="00A45935" w:rsidP="00BA4FCD">
            <w:pPr>
              <w:spacing w:after="120" w:line="280" w:lineRule="atLeast"/>
              <w:jc w:val="left"/>
              <w:rPr>
                <w:rFonts w:eastAsia="Times New Roman" w:cs="Arial"/>
                <w:sz w:val="18"/>
                <w:szCs w:val="18"/>
              </w:rPr>
            </w:pPr>
            <w:r>
              <w:rPr>
                <w:sz w:val="18"/>
                <w:szCs w:val="18"/>
              </w:rPr>
              <w:t>Uppgifter om utgifter för FoU och innovation i medlemsstaten/regionen.</w:t>
            </w:r>
          </w:p>
          <w:p w:rsidR="00A45935" w:rsidRPr="00E05D08" w:rsidRDefault="00A45935" w:rsidP="00BA4FCD">
            <w:pPr>
              <w:spacing w:after="120" w:line="280" w:lineRule="atLeast"/>
              <w:jc w:val="left"/>
              <w:rPr>
                <w:rFonts w:eastAsia="Times New Roman" w:cs="Arial"/>
                <w:sz w:val="18"/>
                <w:szCs w:val="18"/>
              </w:rPr>
            </w:pPr>
            <w:r>
              <w:rPr>
                <w:sz w:val="18"/>
                <w:szCs w:val="18"/>
              </w:rPr>
              <w:t>Uppgifter om BNP för medlemsstaten/regionen.</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Övervakningssystem för landsbygdsprogrammet.</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Nationell/regional statistik. </w:t>
            </w:r>
          </w:p>
        </w:tc>
      </w:tr>
    </w:tbl>
    <w:p w:rsidR="007D5760" w:rsidRDefault="007D5760">
      <w:r>
        <w:br w:type="page"/>
      </w:r>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7D5760" w:rsidRPr="00E05D08" w:rsidTr="007D5760">
        <w:trPr>
          <w:trHeight w:val="404"/>
        </w:trPr>
        <w:tc>
          <w:tcPr>
            <w:tcW w:w="3684" w:type="dxa"/>
            <w:shd w:val="clear" w:color="auto" w:fill="ED7D31" w:themeFill="accent2"/>
            <w:vAlign w:val="center"/>
          </w:tcPr>
          <w:p w:rsidR="007D5760" w:rsidRPr="00E05D08" w:rsidRDefault="007D5760" w:rsidP="007D5760">
            <w:pPr>
              <w:spacing w:before="60" w:after="0" w:line="240" w:lineRule="auto"/>
              <w:jc w:val="center"/>
              <w:rPr>
                <w:rFonts w:eastAsia="Times New Roman" w:cs="Arial"/>
                <w:b/>
                <w:bCs/>
                <w:color w:val="FFFFFF"/>
                <w:sz w:val="18"/>
                <w:szCs w:val="18"/>
              </w:rPr>
            </w:pPr>
            <w:r>
              <w:rPr>
                <w:b/>
                <w:bCs/>
                <w:color w:val="FFFFFF"/>
                <w:sz w:val="18"/>
                <w:szCs w:val="18"/>
              </w:rPr>
              <w:lastRenderedPageBreak/>
              <w:t xml:space="preserve">Bedömningskriterier </w:t>
            </w:r>
          </w:p>
        </w:tc>
        <w:tc>
          <w:tcPr>
            <w:tcW w:w="3684" w:type="dxa"/>
            <w:shd w:val="clear" w:color="auto" w:fill="ED7D31" w:themeFill="accent2"/>
            <w:vAlign w:val="center"/>
          </w:tcPr>
          <w:p w:rsidR="007D5760" w:rsidRPr="00E05D08" w:rsidRDefault="007D5760" w:rsidP="007D5760">
            <w:pPr>
              <w:spacing w:before="60" w:after="0" w:line="240" w:lineRule="auto"/>
              <w:jc w:val="center"/>
              <w:rPr>
                <w:rFonts w:eastAsia="Times New Roman" w:cs="Arial"/>
                <w:color w:val="FFFFFF"/>
                <w:sz w:val="18"/>
                <w:szCs w:val="18"/>
              </w:rPr>
            </w:pPr>
            <w:r>
              <w:rPr>
                <w:b/>
                <w:bCs/>
                <w:color w:val="FFFFFF"/>
                <w:sz w:val="18"/>
                <w:szCs w:val="18"/>
              </w:rPr>
              <w:t>Indikatorer</w:t>
            </w:r>
          </w:p>
        </w:tc>
        <w:tc>
          <w:tcPr>
            <w:tcW w:w="3684" w:type="dxa"/>
            <w:shd w:val="clear" w:color="auto" w:fill="ED7D31" w:themeFill="accent2"/>
            <w:vAlign w:val="center"/>
          </w:tcPr>
          <w:p w:rsidR="007D5760" w:rsidRPr="00E05D08" w:rsidRDefault="007D5760" w:rsidP="007D5760">
            <w:pPr>
              <w:spacing w:before="60" w:after="0" w:line="240" w:lineRule="auto"/>
              <w:jc w:val="center"/>
              <w:rPr>
                <w:rFonts w:eastAsia="Times New Roman" w:cs="Arial"/>
                <w:b/>
                <w:bCs/>
                <w:color w:val="FFFFFF"/>
                <w:sz w:val="18"/>
                <w:szCs w:val="18"/>
              </w:rPr>
            </w:pPr>
            <w:r>
              <w:rPr>
                <w:b/>
                <w:bCs/>
                <w:color w:val="FFFFFF"/>
                <w:sz w:val="18"/>
                <w:szCs w:val="18"/>
              </w:rPr>
              <w:t>Databehov</w:t>
            </w:r>
          </w:p>
        </w:tc>
        <w:tc>
          <w:tcPr>
            <w:tcW w:w="3685" w:type="dxa"/>
            <w:shd w:val="clear" w:color="auto" w:fill="ED7D31" w:themeFill="accent2"/>
            <w:vAlign w:val="center"/>
          </w:tcPr>
          <w:p w:rsidR="007D5760" w:rsidRPr="00E05D08" w:rsidRDefault="007D5760" w:rsidP="007D5760">
            <w:pPr>
              <w:spacing w:before="60" w:after="0" w:line="240" w:lineRule="auto"/>
              <w:jc w:val="center"/>
              <w:rPr>
                <w:rFonts w:eastAsia="Times New Roman" w:cs="Arial"/>
                <w:b/>
                <w:bCs/>
                <w:color w:val="FFFFFF"/>
                <w:sz w:val="18"/>
                <w:szCs w:val="18"/>
              </w:rPr>
            </w:pPr>
            <w:r>
              <w:rPr>
                <w:b/>
                <w:bCs/>
                <w:color w:val="FFFFFF"/>
                <w:sz w:val="18"/>
                <w:szCs w:val="18"/>
              </w:rPr>
              <w:t>Datakällor</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Kompletterande utvärderingsfaktorer (frivilliga)</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Investeringarna för FoU och innovation har ökat.</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Kompletterande indikatorer: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Inhemska bruttoutgifter för FoU (GERD) i förhållande till bruttonationalprodukten (BNP).</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Landsbygdsprogrammets utgifter för FoU och innovation i % av landsbygdsprogrammets totala utgifter.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t>Landsbygdsprogrammets utgifter för FoU och innovation i % av de inhemska bruttoutgifterna för FoU och innovation.</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t>Uppgifter om FoU och innovation i enlighet med Frascatimanualen.</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Uppgifter om landsbygdsprogrammets utgifter för FoU och innovation per typ av stödmottagare.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Uppgifter om landsbygdsprogrammets totala utgifter. </w:t>
            </w:r>
          </w:p>
          <w:p w:rsidR="00A45935" w:rsidRPr="00E05D08" w:rsidRDefault="00A45935" w:rsidP="00BA4FCD">
            <w:pPr>
              <w:spacing w:after="120" w:line="280" w:lineRule="atLeast"/>
              <w:jc w:val="left"/>
              <w:rPr>
                <w:rFonts w:eastAsia="Times New Roman" w:cs="Arial"/>
                <w:sz w:val="18"/>
                <w:szCs w:val="18"/>
              </w:rPr>
            </w:pPr>
            <w:r>
              <w:rPr>
                <w:sz w:val="18"/>
                <w:szCs w:val="18"/>
              </w:rPr>
              <w:t>Uppgifter om utgifter för FoU och innovation i medlemsstaten/regionen.</w:t>
            </w:r>
          </w:p>
          <w:p w:rsidR="00A45935" w:rsidRPr="00E05D08" w:rsidRDefault="00A45935" w:rsidP="00BA4FCD">
            <w:pPr>
              <w:spacing w:after="120" w:line="280" w:lineRule="atLeast"/>
              <w:jc w:val="left"/>
              <w:rPr>
                <w:rFonts w:eastAsia="Times New Roman" w:cs="Arial"/>
                <w:sz w:val="18"/>
                <w:szCs w:val="18"/>
              </w:rPr>
            </w:pPr>
            <w:r>
              <w:rPr>
                <w:sz w:val="18"/>
                <w:szCs w:val="18"/>
              </w:rPr>
              <w:t>Uppgifter om BNP för medlemsstaten/regionen.</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Övervakningssystem för landsbygdsprogrammet.</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Nationell/regional statistik.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Förslag på metoder för utvärdering</w:t>
      </w:r>
    </w:p>
    <w:p w:rsidR="00A45935" w:rsidRPr="00E05D08" w:rsidRDefault="00A45935" w:rsidP="00E05D08">
      <w:pPr>
        <w:spacing w:after="120" w:line="280" w:lineRule="atLeast"/>
        <w:mirrorIndents/>
        <w:rPr>
          <w:rFonts w:eastAsia="Times New Roman" w:cs="Times New Roman"/>
          <w:szCs w:val="20"/>
        </w:rPr>
      </w:pPr>
      <w:r>
        <w:t>Indikatorn för det överordnade målet samlas in av Eurostat genom nationell statistik och avser de inhemska bruttoutgifterna för FoU (GERD) som en proxyvariabel för BNP, även känd som FoU-intensitet. I statistiken sammanställs utgifterna för FoU i sektorerna 1) företagssektorn, 2) den offentliga sektorn, 3) universitets- och högskolesektorn och 4) den privata icke-vinstdrivande sektorn. Mer detaljerad information om beräkningen av varje indikator finns i tabell 8.</w:t>
      </w:r>
    </w:p>
    <w:p w:rsidR="00F73706" w:rsidRPr="0059311F" w:rsidRDefault="00F73706" w:rsidP="00F73706">
      <w:pPr>
        <w:pStyle w:val="Hlistbullet"/>
      </w:pPr>
      <w:r>
        <w:t xml:space="preserve">Uppgifter för de gemensamma indikatorerna T1 och T2 samlas in direkt via landsbygdsprogrammets övervakningssystem (insatsdatabasen). </w:t>
      </w:r>
    </w:p>
    <w:p w:rsidR="00F73706" w:rsidRPr="00F73706" w:rsidRDefault="00F73706" w:rsidP="00F73706">
      <w:pPr>
        <w:pStyle w:val="Hlistbullet"/>
      </w:pPr>
      <w:r>
        <w:t xml:space="preserve">Det överordnade målet </w:t>
      </w:r>
      <w:r>
        <w:rPr>
          <w:i/>
        </w:rPr>
        <w:t>”Inhemska bruttoutgifter för FoU (GERD) i förhållande till bruttonationalprodukten (BNP)”</w:t>
      </w:r>
      <w:r>
        <w:t xml:space="preserve"> kan samlas in på nivåerna NUTS 1 och NUTS 2 från Eurostat.</w:t>
      </w:r>
    </w:p>
    <w:p w:rsidR="00F73706" w:rsidRPr="00F73706" w:rsidRDefault="00F73706" w:rsidP="00F73706">
      <w:pPr>
        <w:pStyle w:val="Hlistbullet"/>
      </w:pPr>
      <w:r>
        <w:t xml:space="preserve">Den kompletterande indikatorn </w:t>
      </w:r>
      <w:r>
        <w:rPr>
          <w:i/>
        </w:rPr>
        <w:t>”Landsbygdsprogrammets utgifter för FoU i % av BNP”</w:t>
      </w:r>
      <w:r>
        <w:t xml:space="preserve"> (nedan kallad </w:t>
      </w:r>
      <w:r>
        <w:rPr>
          <w:i/>
        </w:rPr>
        <w:t>GERD för landsbygdsutveckling</w:t>
      </w:r>
      <w:r>
        <w:t>)</w:t>
      </w:r>
      <w:r>
        <w:rPr>
          <w:sz w:val="18"/>
          <w:szCs w:val="18"/>
        </w:rPr>
        <w:t xml:space="preserve"> </w:t>
      </w:r>
      <w:r>
        <w:t>visar landsbygdsprogrammets utgifter för FoU via relevanta åtgärder/del</w:t>
      </w:r>
      <w:r w:rsidR="0068184C">
        <w:t>åtgärder i förhållande till BNP:</w:t>
      </w:r>
    </w:p>
    <w:p w:rsidR="00F73706" w:rsidRPr="00F73706" w:rsidRDefault="00F73706" w:rsidP="00F73706">
      <w:pPr>
        <w:pStyle w:val="Hlistbullet2"/>
      </w:pPr>
      <w:r>
        <w:t xml:space="preserve">Uppgifter om BNP samlas in genom nationell statistik och finns även tillgängliga i EU:s källor (Eurostat). </w:t>
      </w:r>
    </w:p>
    <w:p w:rsidR="00F73706" w:rsidRPr="00F73706" w:rsidRDefault="00F73706" w:rsidP="00F73706">
      <w:pPr>
        <w:pStyle w:val="Hlistbullet2"/>
      </w:pPr>
      <w:r>
        <w:t xml:space="preserve">Uppgifter om landsbygdsprogrammets utgifter för forskning, utveckling och innovation kan hämtas från programmets övervakningssystem genom att beräkna utgifterna med koppling till insatserna med innovationspotential (som identifierats under granskningen av innovationspotential – se </w:t>
      </w:r>
      <w:hyperlink w:anchor="Screening_Potential" w:history="1">
        <w:r>
          <w:rPr>
            <w:rStyle w:val="Hyperlink"/>
            <w:sz w:val="20"/>
          </w:rPr>
          <w:t>kapitel 2.2</w:t>
        </w:r>
      </w:hyperlink>
      <w:r>
        <w:t xml:space="preserve">) och delas upp per stödmottagare i de olika sektorerna i enlighet med Frascatimanualen. </w:t>
      </w:r>
    </w:p>
    <w:p w:rsidR="00F73706" w:rsidRPr="00F73706" w:rsidRDefault="00F73706" w:rsidP="00F73706">
      <w:pPr>
        <w:pStyle w:val="Hlistbullet"/>
      </w:pPr>
      <w:r>
        <w:t xml:space="preserve">Den kompletterande indikatorn </w:t>
      </w:r>
      <w:r>
        <w:rPr>
          <w:i/>
        </w:rPr>
        <w:t>”Landsbygdsprogrammets utgifter för FoU och innovation i % av landsbygdsprogrammets totala utgifter”</w:t>
      </w:r>
      <w:r>
        <w:t xml:space="preserve"> visar storleken på landsbygdsprogrammets budget som är avsedd för stöd till forskning, utveckling och innovation. Uppgifter för denna indikator kan även hämtas från landsbygdsprogrammets övervakningssystem om insatsdatabasen är anpassad för att även spåra information om de projekt som har hög innovationspotential enligt den granskning som föregick utvärderingen.</w:t>
      </w:r>
    </w:p>
    <w:p w:rsidR="00A45935" w:rsidRPr="00E05D08" w:rsidRDefault="00F73706" w:rsidP="00F73706">
      <w:pPr>
        <w:pStyle w:val="Hlistbullet"/>
      </w:pPr>
      <w:r>
        <w:t xml:space="preserve">Den kompletterande indikatorn </w:t>
      </w:r>
      <w:r>
        <w:rPr>
          <w:i/>
        </w:rPr>
        <w:t>“Landsbygdsprogrammets utgifter för FoU och innovation i % av de inhemska bruttoutgifterna för FoU och innovation”</w:t>
      </w:r>
      <w:r>
        <w:t xml:space="preserve"> visar förhållandet mellan programmets investeringar i forskning, utveckling och innovation och de inhemska bruttoutgifterna för FoU. Uppgifterna kan hämtas i landsbygdsprogrammets övervakningssystem, från nationell och regional statistik samt från Eurostat.</w:t>
      </w:r>
    </w:p>
    <w:p w:rsidR="00A45935" w:rsidRPr="00E05D08" w:rsidRDefault="00A45935" w:rsidP="00E05D08">
      <w:pPr>
        <w:spacing w:after="120" w:line="280" w:lineRule="atLeast"/>
        <w:mirrorIndents/>
        <w:rPr>
          <w:rFonts w:eastAsia="Times New Roman" w:cs="Times New Roman"/>
          <w:szCs w:val="20"/>
        </w:rPr>
      </w:pPr>
      <w:r>
        <w:t>Indikatorernas värden kan beräknas i förhand (planerade bidrag) och vid tidpunkten för utvärderingen för den årliga genomföranderapporten 2019 och efterhandsutvärderingen (faktiska bidrag vid tidpunkten för utvärderingen), vilket möjliggör en jämförelse mellan planerade och faktiska bidrag. Exemplet i tabell 8 visar de planerade och faktiska värdena för gemensamma och kompletterande indikatorer:</w:t>
      </w:r>
    </w:p>
    <w:p w:rsidR="00A45935" w:rsidRPr="00E05D08" w:rsidRDefault="00A45935" w:rsidP="00E05D08">
      <w:pPr>
        <w:spacing w:after="0" w:line="240" w:lineRule="auto"/>
        <w:rPr>
          <w:rFonts w:eastAsia="Times New Roman" w:cs="Times New Roman"/>
          <w:b/>
          <w:sz w:val="16"/>
          <w:szCs w:val="20"/>
          <w:highlight w:val="yellow"/>
        </w:rPr>
      </w:pPr>
      <w:bookmarkStart w:id="127" w:name="_Hlk501698024"/>
      <w:r>
        <w:br w:type="page"/>
      </w:r>
    </w:p>
    <w:p w:rsidR="00A45935" w:rsidRPr="00D62992" w:rsidRDefault="00A45935" w:rsidP="00485ED0">
      <w:pPr>
        <w:pStyle w:val="HHeadingtables"/>
        <w:ind w:right="-513"/>
        <w:rPr>
          <w:color w:val="6F6F6F"/>
          <w:sz w:val="18"/>
          <w:szCs w:val="18"/>
        </w:rPr>
      </w:pPr>
      <w:bookmarkStart w:id="128" w:name="_Toc508290387"/>
      <w:r>
        <w:rPr>
          <w:color w:val="6F6F6F"/>
          <w:sz w:val="18"/>
          <w:szCs w:val="18"/>
        </w:rPr>
        <w:lastRenderedPageBreak/>
        <w:t>Exempel på planerade och faktiska värden för gemensamma och kompletterande indikatorer</w:t>
      </w:r>
      <w:bookmarkEnd w:id="128"/>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2172"/>
        <w:gridCol w:w="2949"/>
        <w:gridCol w:w="1493"/>
        <w:gridCol w:w="1493"/>
        <w:gridCol w:w="1021"/>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Indikatorer</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Planerade</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Faktiska</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Beräkning</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Landsbygdsprogrammets ingångsuppgifter (insatsdatabasen)</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Landsbygdsprogrammets totala utgifter (sammanlagt).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Landsbygdsprogrammets utgifter inom ramen för artiklarna 14, 15 och 35 i förordning (EU) nr 1305/2013 (sammanlagt).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Landsbygdsprogrammets utgifter för alla åtgärder/delåtgärder för investering i FoU med förmåga att främja innovation (sammanlagt).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Kontext</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Nationell/regional BNP (för alla sektorer) (årligen).</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Inhemska bruttoutgifter för FoU (GERD) för alla sektorer (årligen).</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Värden för gemensamma målindikatorer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T1: Andelen (%) utgifter inom ramen för artiklarna 14, 15 och 35 i förordning (EU) nr 1305/2013 i förhållande till de sammanlagda utgifterna för landsbygdsprogrammet.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w:t>
            </w:r>
            <w:r>
              <w:rPr>
                <w:color w:val="F07E31"/>
                <w:sz w:val="18"/>
                <w:szCs w:val="20"/>
              </w:rPr>
              <w:br/>
              <w:t>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T2: Sammanlagt antal samarbetsprojekt som fått stöd inom ramen för samarbetsåtgärden (artikel 35 i förordning (EU) nr 1305/2013) (grupper, nätverk/kluster, pilotprojekt).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Värden för kompletterande resultatindikatorer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Inhemska bruttoutgifter för FoU (GERD) i förhållande till bruttonationalprodukten (BNP).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Landsbygdsprogrammets utgifter för FoU i % av BNP (GERD för landsbygdsutveckling).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 xml:space="preserve">i= </w:t>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Landsbygdsprogrammets utgifter för FoU och innovation i % av landsbygdsprogrammets totala utgifter.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w:t>
            </w:r>
            <w:r>
              <w:rPr>
                <w:color w:val="F07E31"/>
                <w:sz w:val="18"/>
                <w:szCs w:val="18"/>
              </w:rPr>
              <w:br/>
              <w:t>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Landsbygdsprogrammets utgifter för FoU och innovation i % av de inhemska bruttoutgifterna för FoU och innovation.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w:t>
            </w:r>
            <w:r>
              <w:rPr>
                <w:color w:val="F07E31"/>
                <w:sz w:val="18"/>
                <w:szCs w:val="18"/>
              </w:rPr>
              <w:br/>
              <w:t>c*100/e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Risker och lösningar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7"/>
          <w:p w:rsidR="00A45935" w:rsidRPr="00E05D08" w:rsidRDefault="00A45935" w:rsidP="00E05D08">
            <w:pPr>
              <w:spacing w:after="120" w:line="280" w:lineRule="atLeast"/>
              <w:mirrorIndents/>
              <w:jc w:val="center"/>
              <w:rPr>
                <w:b/>
                <w:color w:val="FFFFFF"/>
                <w:sz w:val="18"/>
                <w:szCs w:val="18"/>
              </w:rPr>
            </w:pPr>
            <w:r>
              <w:rPr>
                <w:b/>
                <w:color w:val="FFFFFF"/>
                <w:sz w:val="18"/>
                <w:szCs w:val="18"/>
              </w:rPr>
              <w:t>Risk</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Lösning</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 xml:space="preserve">Felaktig uppskattning av potentialen hos landsbygdsprogrammets olika åtgärder för att främja innovation på landsbygden, huvudsakligen de som faller utanför typiska innovationsåtgärder som M1, M2, M16, M19 eller M20, vilket kan orsaka fel i </w:t>
            </w:r>
            <w:r>
              <w:rPr>
                <w:sz w:val="18"/>
                <w:szCs w:val="18"/>
              </w:rPr>
              <w:lastRenderedPageBreak/>
              <w:t>beräkningen av landsbygdsprogrammets utgifter med koppling till FoU och innovation.</w:t>
            </w:r>
          </w:p>
          <w:p w:rsidR="00A45935" w:rsidRPr="00F639C6"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lastRenderedPageBreak/>
              <w:t xml:space="preserve">Denna risk kan delvis elimineras om en noggrann bedömning av landsbygdsprogrammets innovationspotential har utförts innan utvärderingen påbörjas. En markering av de åtgärder inom landsbygdsprogrammet som kan uppvisa hög </w:t>
            </w:r>
            <w:r>
              <w:rPr>
                <w:sz w:val="18"/>
                <w:szCs w:val="18"/>
              </w:rPr>
              <w:lastRenderedPageBreak/>
              <w:t xml:space="preserve">innovationspotential underlättar bedömningen av deras faktiska förmåga att göra detta. Om utvärderarna till exempel vet vilka åtgärder som kan ha en stark effekt när det gäller att stimulera nya idéer kontrollerar de åtgärdernas ”innovativa prestanda” vid tidpunkten för utvärderingen och tar hänsyn till deras utgifter vid beräkningen av indikatorerna.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lastRenderedPageBreak/>
              <w:t>Brist på uppgifter av hög kvalitet (i rätt format) om FoU och innovation i den nationella och regionala statistiken. Om det finns en brist på uppgifter av hög kvalitet är risken att utvärderarna inte använder lämpliga tekniker för att beräkna de utgifter som investerats i FoU och innovation. Detta kan göra det svårare att ta fram realistiska värden för de kompletterande indikatorer som föreslagits.</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För att undvika denna risk är det viktigt att utvärderarna har tillräcklig kapacitet och rätt verktyg (t.ex. koefficienter) för att kunna göra en uppskattning av de statistiska värdena på nationell/regional nivå.</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Slutsatser och rekommendationer </w:t>
      </w:r>
    </w:p>
    <w:p w:rsidR="00A45935" w:rsidRPr="00E05D08" w:rsidRDefault="00A45935" w:rsidP="00E05D08">
      <w:pPr>
        <w:spacing w:after="120" w:line="280" w:lineRule="atLeast"/>
        <w:mirrorIndents/>
        <w:rPr>
          <w:rFonts w:eastAsia="Times New Roman" w:cs="Times New Roman"/>
          <w:szCs w:val="20"/>
        </w:rPr>
      </w:pPr>
      <w:r>
        <w:t>Slutsatserna och rekommendationerna för gemensam utvärderingsfråga nr 23 bör ta hänsyn till följande:</w:t>
      </w:r>
    </w:p>
    <w:p w:rsidR="00A45935" w:rsidRPr="00545C6C" w:rsidRDefault="00A45935" w:rsidP="000026C6">
      <w:pPr>
        <w:pStyle w:val="Hlistbullet"/>
      </w:pPr>
      <w:r>
        <w:rPr>
          <w:b/>
        </w:rPr>
        <w:t>Nivån av investeringar i FoU och innovation</w:t>
      </w:r>
      <w:r>
        <w:t xml:space="preserve"> som genomförts genom landsbygdsprogrammet i förhållande till den övergripande situationen för investeringar i FoU och innovation i medlemsstaten/regionen.</w:t>
      </w:r>
    </w:p>
    <w:p w:rsidR="00A45935" w:rsidRPr="00545C6C" w:rsidRDefault="00A45935" w:rsidP="000026C6">
      <w:pPr>
        <w:pStyle w:val="Hlistbullet"/>
      </w:pPr>
      <w:r>
        <w:rPr>
          <w:b/>
        </w:rPr>
        <w:t>Potentialen hos enskilda åtgärder att investera i FoU och innovation</w:t>
      </w:r>
      <w:r>
        <w:t xml:space="preserve"> inom jordbruk, livsmedelsproduktion och skogsbruk samt på landsbygden. </w:t>
      </w:r>
    </w:p>
    <w:p w:rsidR="00A45935" w:rsidRPr="00E05D08" w:rsidRDefault="00A45935" w:rsidP="00F31494">
      <w:pPr>
        <w:pStyle w:val="HHeading4"/>
        <w:rPr>
          <w:rFonts w:eastAsia="Calibri"/>
        </w:rPr>
      </w:pPr>
      <w:r>
        <w:t>Läs mer</w:t>
      </w:r>
    </w:p>
    <w:p w:rsidR="00A45935" w:rsidRPr="00E05D08" w:rsidRDefault="00A45935" w:rsidP="00F31494">
      <w:pPr>
        <w:pStyle w:val="HStandard"/>
      </w:pPr>
      <w:r>
        <w:rPr>
          <w:noProof/>
          <w:lang w:val="en-GB" w:eastAsia="en-GB"/>
        </w:rPr>
        <mc:AlternateContent>
          <mc:Choice Requires="wps">
            <w:drawing>
              <wp:inline distT="0" distB="0" distL="0" distR="0" wp14:anchorId="430D079D" wp14:editId="4857FB72">
                <wp:extent cx="5765165" cy="2672862"/>
                <wp:effectExtent l="0" t="0" r="26035" b="13335"/>
                <wp:docPr id="559" name="Rectangle: Diagonal Corners Rounded 559"/>
                <wp:cNvGraphicFramePr/>
                <a:graphic xmlns:a="http://schemas.openxmlformats.org/drawingml/2006/main">
                  <a:graphicData uri="http://schemas.microsoft.com/office/word/2010/wordprocessingShape">
                    <wps:wsp>
                      <wps:cNvSpPr/>
                      <wps:spPr>
                        <a:xfrm>
                          <a:off x="0" y="0"/>
                          <a:ext cx="5765165" cy="2672862"/>
                        </a:xfrm>
                        <a:prstGeom prst="round2DiagRect">
                          <a:avLst>
                            <a:gd name="adj1" fmla="val 9341"/>
                            <a:gd name="adj2" fmla="val 0"/>
                          </a:avLst>
                        </a:prstGeom>
                        <a:noFill/>
                        <a:ln w="25400" cap="flat" cmpd="sng" algn="ctr">
                          <a:solidFill>
                            <a:srgbClr val="59638E"/>
                          </a:solidFill>
                          <a:prstDash val="solid"/>
                        </a:ln>
                        <a:effectLst/>
                      </wps:spPr>
                      <wps:txbx>
                        <w:txbxContent>
                          <w:p w:rsidR="004C3777" w:rsidRDefault="004C3777"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43"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4C3777" w:rsidRPr="008D17C8" w:rsidRDefault="004C3777" w:rsidP="00E05D08">
                            <w:pPr>
                              <w:pStyle w:val="HStandard"/>
                              <w:rPr>
                                <w:sz w:val="18"/>
                                <w:szCs w:val="18"/>
                              </w:rPr>
                            </w:pPr>
                            <w:r>
                              <w:rPr>
                                <w:sz w:val="18"/>
                                <w:szCs w:val="18"/>
                              </w:rPr>
                              <w:t xml:space="preserve">Europeiska kommissionen (2010) Europa 2020 - </w:t>
                            </w:r>
                            <w:hyperlink r:id="rId81" w:history="1">
                              <w:r>
                                <w:rPr>
                                  <w:rStyle w:val="Hyperlink"/>
                                  <w:i/>
                                  <w:sz w:val="18"/>
                                </w:rPr>
                                <w:t>En strategi för smart och hållbar tillväxt för alla</w:t>
                              </w:r>
                            </w:hyperlink>
                          </w:p>
                          <w:p w:rsidR="004C3777" w:rsidRPr="008D17C8" w:rsidRDefault="004C3777" w:rsidP="00E05D08">
                            <w:pPr>
                              <w:pStyle w:val="HStandard"/>
                              <w:rPr>
                                <w:sz w:val="18"/>
                                <w:szCs w:val="18"/>
                              </w:rPr>
                            </w:pPr>
                            <w:r w:rsidRPr="00F639C6">
                              <w:rPr>
                                <w:sz w:val="18"/>
                                <w:szCs w:val="18"/>
                                <w:lang w:val="en-US"/>
                              </w:rPr>
                              <w:t xml:space="preserve">Eurostat (2017) </w:t>
                            </w:r>
                            <w:hyperlink r:id="rId82" w:history="1">
                              <w:r w:rsidRPr="00F639C6">
                                <w:rPr>
                                  <w:rStyle w:val="Hyperlink"/>
                                  <w:i/>
                                  <w:sz w:val="18"/>
                                  <w:lang w:val="en-US"/>
                                </w:rPr>
                                <w:t>Smarter, greener, more inclusive?</w:t>
                              </w:r>
                            </w:hyperlink>
                            <w:hyperlink r:id="rId83" w:history="1">
                              <w:r w:rsidRPr="00F639C6">
                                <w:rPr>
                                  <w:rStyle w:val="Hyperlink"/>
                                  <w:sz w:val="18"/>
                                  <w:szCs w:val="18"/>
                                  <w:lang w:val="en-US"/>
                                </w:rPr>
                                <w:t xml:space="preserve"> </w:t>
                              </w:r>
                              <w:r>
                                <w:rPr>
                                  <w:rStyle w:val="Hyperlink"/>
                                  <w:i/>
                                  <w:sz w:val="18"/>
                                </w:rPr>
                                <w:t>Indicators to support the Europe 2020 Strategy</w:t>
                              </w:r>
                            </w:hyperlink>
                            <w:r>
                              <w:t xml:space="preserve"> </w:t>
                            </w:r>
                            <w:r w:rsidRPr="00D55CC8">
                              <w:rPr>
                                <w:sz w:val="18"/>
                                <w:szCs w:val="18"/>
                              </w:rPr>
                              <w:t>(Smartare, grönare och till för alla? Indikatorer till stöd för Europa 2020-strategin)</w:t>
                            </w:r>
                          </w:p>
                          <w:p w:rsidR="004C3777" w:rsidRPr="008D17C8" w:rsidRDefault="004C3777" w:rsidP="00E05D08">
                            <w:pPr>
                              <w:pStyle w:val="HStandard"/>
                              <w:rPr>
                                <w:sz w:val="18"/>
                                <w:szCs w:val="18"/>
                              </w:rPr>
                            </w:pPr>
                            <w:r>
                              <w:rPr>
                                <w:sz w:val="18"/>
                                <w:szCs w:val="18"/>
                              </w:rPr>
                              <w:t xml:space="preserve">Dietz S. (2017), </w:t>
                            </w:r>
                            <w:hyperlink r:id="rId84" w:history="1">
                              <w:r>
                                <w:rPr>
                                  <w:rStyle w:val="Hyperlink"/>
                                  <w:i/>
                                  <w:sz w:val="18"/>
                                </w:rPr>
                                <w:t>ELER im Kontext der Strategie „Europa 202</w:t>
                              </w:r>
                              <w:r>
                                <w:rPr>
                                  <w:rStyle w:val="Hyperlink"/>
                                  <w:i/>
                                  <w:sz w:val="18"/>
                                  <w:szCs w:val="18"/>
                                </w:rPr>
                                <w:t>0”</w:t>
                              </w:r>
                            </w:hyperlink>
                            <w:r>
                              <w:rPr>
                                <w:sz w:val="18"/>
                                <w:szCs w:val="18"/>
                              </w:rPr>
                              <w:t>, presentation vid MEN-D Annual Event 2017</w:t>
                            </w:r>
                          </w:p>
                          <w:p w:rsidR="004C3777" w:rsidRPr="00F639C6" w:rsidRDefault="004C3777" w:rsidP="00E05D08">
                            <w:pPr>
                              <w:pStyle w:val="HStandard"/>
                              <w:rPr>
                                <w:sz w:val="18"/>
                                <w:szCs w:val="18"/>
                                <w:lang w:val="de-DE"/>
                              </w:rPr>
                            </w:pPr>
                            <w:r w:rsidRPr="00F639C6">
                              <w:rPr>
                                <w:sz w:val="18"/>
                                <w:szCs w:val="18"/>
                                <w:lang w:val="de-DE"/>
                              </w:rPr>
                              <w:t xml:space="preserve">MEN-D (2015) </w:t>
                            </w:r>
                            <w:hyperlink r:id="rId85" w:history="1">
                              <w:r w:rsidRPr="00F639C6">
                                <w:rPr>
                                  <w:rStyle w:val="Hyperlink"/>
                                  <w:i/>
                                  <w:sz w:val="18"/>
                                  <w:lang w:val="de-DE"/>
                                </w:rPr>
                                <w:t>Monitoring und Evaluierung der ELER-Förderperiode 2014 – 2020:</w:t>
                              </w:r>
                              <w:r w:rsidRPr="00F639C6">
                                <w:rPr>
                                  <w:rStyle w:val="Hyperlink"/>
                                  <w:sz w:val="18"/>
                                  <w:szCs w:val="18"/>
                                  <w:lang w:val="de-DE"/>
                                </w:rPr>
                                <w:t xml:space="preserve"> </w:t>
                              </w:r>
                              <w:r w:rsidRPr="00F639C6">
                                <w:rPr>
                                  <w:rStyle w:val="Hyperlink"/>
                                  <w:i/>
                                  <w:sz w:val="18"/>
                                  <w:lang w:val="de-DE"/>
                                </w:rPr>
                                <w:t>Auswertung der Methoden und Erfahrungen der Ex-Ante Bewertung.</w:t>
                              </w:r>
                            </w:hyperlink>
                          </w:p>
                          <w:p w:rsidR="004C3777" w:rsidRPr="00F639C6" w:rsidRDefault="004C3777" w:rsidP="00E05D08">
                            <w:pPr>
                              <w:pStyle w:val="HStandard"/>
                              <w:rPr>
                                <w:sz w:val="18"/>
                                <w:szCs w:val="18"/>
                                <w:lang w:val="de-DE"/>
                              </w:rPr>
                            </w:pPr>
                            <w:r w:rsidRPr="00F639C6">
                              <w:rPr>
                                <w:sz w:val="18"/>
                                <w:szCs w:val="18"/>
                                <w:lang w:val="de-DE"/>
                              </w:rPr>
                              <w:t xml:space="preserve">MEN-D (2017) </w:t>
                            </w:r>
                            <w:hyperlink r:id="rId86" w:history="1">
                              <w:r w:rsidRPr="00F639C6">
                                <w:rPr>
                                  <w:rStyle w:val="Hyperlink"/>
                                  <w:i/>
                                  <w:sz w:val="18"/>
                                  <w:lang w:val="de-DE"/>
                                </w:rPr>
                                <w:t>EAFRD in the context of the Europe 2020 Strategy - evaluation of contributions and future challenges</w:t>
                              </w:r>
                            </w:hyperlink>
                            <w:r w:rsidRPr="00F639C6">
                              <w:rPr>
                                <w:sz w:val="18"/>
                                <w:szCs w:val="18"/>
                                <w:lang w:val="de-DE"/>
                              </w:rPr>
                              <w:t xml:space="preserve"> (Ejflu inom ramen för Europa 2020-strategin – utvärdering av bidrag och framtida utmaningar).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0D079D" id="Rectangle: Diagonal Corners Rounded 559" o:spid="_x0000_s1053" style="width:453.95pt;height:210.45pt;visibility:visible;mso-wrap-style:square;mso-left-percent:-10001;mso-top-percent:-10001;mso-position-horizontal:absolute;mso-position-horizontal-relative:char;mso-position-vertical:absolute;mso-position-vertical-relative:line;mso-left-percent:-10001;mso-top-percent:-10001;v-text-anchor:middle" coordsize="5765165,26728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" adj="-11796480,,5400" path="m249672,l5765165,r,l5765165,2423190v,137890,-111782,249672,-249672,249672l,2672862r,l,249672c,111782,111782,,249672,xe" filled="f" strokecolor="#59638e" strokeweight="2pt">
                <v:stroke joinstyle="miter"/>
                <v:formulas/>
                <v:path arrowok="t" o:connecttype="custom" o:connectlocs="249672,0;5765165,0;5765165,0;5765165,2423190;5515493,2672862;0,2672862;0,2672862;0,249672;249672,0" o:connectangles="0,0,0,0,0,0,0,0,0" textboxrect="0,0,5765165,2672862"/>
                <v:textbox>
                  <w:txbxContent>
                    <w:p w:rsidR="004C3777" w:rsidRDefault="004C3777"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43"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4C3777" w:rsidRPr="008D17C8" w:rsidRDefault="004C3777" w:rsidP="00E05D08">
                      <w:pPr>
                        <w:pStyle w:val="HStandard"/>
                        <w:rPr>
                          <w:sz w:val="18"/>
                          <w:szCs w:val="18"/>
                        </w:rPr>
                      </w:pPr>
                      <w:r>
                        <w:rPr>
                          <w:sz w:val="18"/>
                          <w:szCs w:val="18"/>
                        </w:rPr>
                        <w:t xml:space="preserve">Europeiska kommissionen (2010) Europa 2020 - </w:t>
                      </w:r>
                      <w:hyperlink r:id="rId87" w:history="1">
                        <w:r>
                          <w:rPr>
                            <w:rStyle w:val="Hyperlink"/>
                            <w:i/>
                            <w:sz w:val="18"/>
                          </w:rPr>
                          <w:t>En strategi för smart och hållbar tillväxt för alla</w:t>
                        </w:r>
                      </w:hyperlink>
                    </w:p>
                    <w:p w:rsidR="004C3777" w:rsidRPr="008D17C8" w:rsidRDefault="004C3777" w:rsidP="00E05D08">
                      <w:pPr>
                        <w:pStyle w:val="HStandard"/>
                        <w:rPr>
                          <w:sz w:val="18"/>
                          <w:szCs w:val="18"/>
                        </w:rPr>
                      </w:pPr>
                      <w:r w:rsidRPr="00F639C6">
                        <w:rPr>
                          <w:sz w:val="18"/>
                          <w:szCs w:val="18"/>
                          <w:lang w:val="en-US"/>
                        </w:rPr>
                        <w:t xml:space="preserve">Eurostat (2017) </w:t>
                      </w:r>
                      <w:hyperlink r:id="rId88" w:history="1">
                        <w:r w:rsidRPr="00F639C6">
                          <w:rPr>
                            <w:rStyle w:val="Hyperlink"/>
                            <w:i/>
                            <w:sz w:val="18"/>
                            <w:lang w:val="en-US"/>
                          </w:rPr>
                          <w:t>Smarter, greener, more inclusive?</w:t>
                        </w:r>
                      </w:hyperlink>
                      <w:hyperlink r:id="rId89" w:history="1">
                        <w:r w:rsidRPr="00F639C6">
                          <w:rPr>
                            <w:rStyle w:val="Hyperlink"/>
                            <w:sz w:val="18"/>
                            <w:szCs w:val="18"/>
                            <w:lang w:val="en-US"/>
                          </w:rPr>
                          <w:t xml:space="preserve"> </w:t>
                        </w:r>
                        <w:r>
                          <w:rPr>
                            <w:rStyle w:val="Hyperlink"/>
                            <w:i/>
                            <w:sz w:val="18"/>
                          </w:rPr>
                          <w:t>Indicators to support the Europe 2020 Strategy</w:t>
                        </w:r>
                      </w:hyperlink>
                      <w:r>
                        <w:t xml:space="preserve"> </w:t>
                      </w:r>
                      <w:r w:rsidRPr="00D55CC8">
                        <w:rPr>
                          <w:sz w:val="18"/>
                          <w:szCs w:val="18"/>
                        </w:rPr>
                        <w:t>(Smartare, grönare och till för alla? Indikatorer till stöd för Europa 2020-strategin)</w:t>
                      </w:r>
                    </w:p>
                    <w:p w:rsidR="004C3777" w:rsidRPr="008D17C8" w:rsidRDefault="004C3777" w:rsidP="00E05D08">
                      <w:pPr>
                        <w:pStyle w:val="HStandard"/>
                        <w:rPr>
                          <w:sz w:val="18"/>
                          <w:szCs w:val="18"/>
                        </w:rPr>
                      </w:pPr>
                      <w:r>
                        <w:rPr>
                          <w:sz w:val="18"/>
                          <w:szCs w:val="18"/>
                        </w:rPr>
                        <w:t xml:space="preserve">Dietz S. (2017), </w:t>
                      </w:r>
                      <w:hyperlink r:id="rId90" w:history="1">
                        <w:r>
                          <w:rPr>
                            <w:rStyle w:val="Hyperlink"/>
                            <w:i/>
                            <w:sz w:val="18"/>
                          </w:rPr>
                          <w:t>ELER im Kontext der Strategie „Europa 202</w:t>
                        </w:r>
                        <w:r>
                          <w:rPr>
                            <w:rStyle w:val="Hyperlink"/>
                            <w:i/>
                            <w:sz w:val="18"/>
                            <w:szCs w:val="18"/>
                          </w:rPr>
                          <w:t>0”</w:t>
                        </w:r>
                      </w:hyperlink>
                      <w:r>
                        <w:rPr>
                          <w:sz w:val="18"/>
                          <w:szCs w:val="18"/>
                        </w:rPr>
                        <w:t>, presentation vid MEN-D Annual Event 2017</w:t>
                      </w:r>
                    </w:p>
                    <w:p w:rsidR="004C3777" w:rsidRPr="00F639C6" w:rsidRDefault="004C3777" w:rsidP="00E05D08">
                      <w:pPr>
                        <w:pStyle w:val="HStandard"/>
                        <w:rPr>
                          <w:sz w:val="18"/>
                          <w:szCs w:val="18"/>
                          <w:lang w:val="de-DE"/>
                        </w:rPr>
                      </w:pPr>
                      <w:r w:rsidRPr="00F639C6">
                        <w:rPr>
                          <w:sz w:val="18"/>
                          <w:szCs w:val="18"/>
                          <w:lang w:val="de-DE"/>
                        </w:rPr>
                        <w:t xml:space="preserve">MEN-D (2015) </w:t>
                      </w:r>
                      <w:hyperlink r:id="rId91" w:history="1">
                        <w:r w:rsidRPr="00F639C6">
                          <w:rPr>
                            <w:rStyle w:val="Hyperlink"/>
                            <w:i/>
                            <w:sz w:val="18"/>
                            <w:lang w:val="de-DE"/>
                          </w:rPr>
                          <w:t>Monitoring und Evaluierung der ELER-Förderperiode 2014 – 2020:</w:t>
                        </w:r>
                        <w:r w:rsidRPr="00F639C6">
                          <w:rPr>
                            <w:rStyle w:val="Hyperlink"/>
                            <w:sz w:val="18"/>
                            <w:szCs w:val="18"/>
                            <w:lang w:val="de-DE"/>
                          </w:rPr>
                          <w:t xml:space="preserve"> </w:t>
                        </w:r>
                        <w:r w:rsidRPr="00F639C6">
                          <w:rPr>
                            <w:rStyle w:val="Hyperlink"/>
                            <w:i/>
                            <w:sz w:val="18"/>
                            <w:lang w:val="de-DE"/>
                          </w:rPr>
                          <w:t>Auswertung der Methoden und Erfahrungen der Ex-Ante Bewertung.</w:t>
                        </w:r>
                      </w:hyperlink>
                    </w:p>
                    <w:p w:rsidR="004C3777" w:rsidRPr="00F639C6" w:rsidRDefault="004C3777" w:rsidP="00E05D08">
                      <w:pPr>
                        <w:pStyle w:val="HStandard"/>
                        <w:rPr>
                          <w:sz w:val="18"/>
                          <w:szCs w:val="18"/>
                          <w:lang w:val="de-DE"/>
                        </w:rPr>
                      </w:pPr>
                      <w:r w:rsidRPr="00F639C6">
                        <w:rPr>
                          <w:sz w:val="18"/>
                          <w:szCs w:val="18"/>
                          <w:lang w:val="de-DE"/>
                        </w:rPr>
                        <w:t xml:space="preserve">MEN-D (2017) </w:t>
                      </w:r>
                      <w:hyperlink r:id="rId92" w:history="1">
                        <w:r w:rsidRPr="00F639C6">
                          <w:rPr>
                            <w:rStyle w:val="Hyperlink"/>
                            <w:i/>
                            <w:sz w:val="18"/>
                            <w:lang w:val="de-DE"/>
                          </w:rPr>
                          <w:t>EAFRD in the context of the Europe 2020 Strategy - evaluation of contributions and future challenges</w:t>
                        </w:r>
                      </w:hyperlink>
                      <w:r w:rsidRPr="00F639C6">
                        <w:rPr>
                          <w:sz w:val="18"/>
                          <w:szCs w:val="18"/>
                          <w:lang w:val="de-DE"/>
                        </w:rPr>
                        <w:t xml:space="preserve"> (Ejflu inom ramen för Europa 2020-strategin – utvärdering av bidrag och framtida utmaningar).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29" w:name="_Toc501382135"/>
      <w:bookmarkStart w:id="130" w:name="_Toc508290312"/>
      <w:r>
        <w:lastRenderedPageBreak/>
        <w:t>Gemensam utvärderingsfråga nr 30: ”I vilken utsträckning har insatserna inom landsbygdsprogrammet bidragit till att främja innovation?”</w:t>
      </w:r>
      <w:bookmarkEnd w:id="129"/>
      <w:bookmarkEnd w:id="130"/>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Bakgrund till den gemensamma utvärderingsfrågan</w:t>
      </w:r>
    </w:p>
    <w:p w:rsidR="00A45935" w:rsidRPr="00E05D08" w:rsidRDefault="00A45935" w:rsidP="00E05D08">
      <w:pPr>
        <w:spacing w:after="120" w:line="280" w:lineRule="atLeast"/>
        <w:mirrorIndents/>
        <w:rPr>
          <w:rFonts w:eastAsia="Times New Roman" w:cs="Arial"/>
          <w:szCs w:val="20"/>
        </w:rPr>
      </w:pPr>
      <w:r>
        <w:t xml:space="preserve">Gemensam utvärderingsfråga nr 30 gäller processen för att främja innovation. Detta gör </w:t>
      </w:r>
      <w:r w:rsidR="0003762E">
        <w:t xml:space="preserve">det till en mycket </w:t>
      </w:r>
      <w:r>
        <w:t>bre</w:t>
      </w:r>
      <w:r w:rsidR="0003762E">
        <w:t>d</w:t>
      </w:r>
      <w:r>
        <w:t xml:space="preserve"> </w:t>
      </w:r>
      <w:r w:rsidR="0003762E">
        <w:t xml:space="preserve">fråga </w:t>
      </w:r>
      <w:r>
        <w:t xml:space="preserve">med tanke på att </w:t>
      </w:r>
      <w:r>
        <w:rPr>
          <w:b/>
          <w:szCs w:val="20"/>
        </w:rPr>
        <w:t>innovation</w:t>
      </w:r>
      <w:r>
        <w:t xml:space="preserve"> </w:t>
      </w:r>
      <w:r>
        <w:rPr>
          <w:b/>
          <w:szCs w:val="20"/>
        </w:rPr>
        <w:t xml:space="preserve">uppstår vid interaktion mellan aktörer i innovationssystemet. </w:t>
      </w:r>
      <w:r>
        <w:t xml:space="preserve">Bedömningen av processerna tar lång tid, och frågan kan därför inte besvaras förrän landsbygdsprogrammets intervention har lett till betydande framsteg (i den </w:t>
      </w:r>
      <w:r w:rsidR="0003762E">
        <w:t xml:space="preserve">årliga </w:t>
      </w:r>
      <w:r>
        <w:t xml:space="preserve">genomföranderapport som lämnas in 2019) eller har avslutats (efterhandsutvärderingen). </w:t>
      </w:r>
    </w:p>
    <w:p w:rsidR="00A45935" w:rsidRPr="00E05D08" w:rsidRDefault="00A45935" w:rsidP="00E05D08">
      <w:pPr>
        <w:spacing w:after="120" w:line="280" w:lineRule="atLeast"/>
        <w:mirrorIndents/>
        <w:rPr>
          <w:rFonts w:eastAsia="Times New Roman" w:cs="Arial"/>
          <w:szCs w:val="20"/>
        </w:rPr>
      </w:pPr>
      <w:r>
        <w:t xml:space="preserve">EU är intresserat av landsbygdsprogrammets betydelsefulla bidrag till innovation, dvs. framgångsrika innovationsprocesser som har lett till relativt stora förändringar (t.ex. att ett relativt stort antal lantbrukare har börjat använda en ny teknik). Det första steget för att besvara gemensam utvärderingsfråga nr 30 är därför att identifiera vilka stora förändringar som landsbygdsprogrammet kan ha bidragit till, och där åtminstone en del av bidraget skapades genom främjande av innovation. Dessa stora förändringar kan identifieras genom bedömning av effektindikatorerna och insamling av ytterligare information (t.ex. genom skrivbordsgranskningar och intervjuer med aktörerna utifrån identifieringen av innovationspotential, se </w:t>
      </w:r>
      <w:r>
        <w:rPr>
          <w:color w:val="F07E31"/>
          <w:szCs w:val="20"/>
        </w:rPr>
        <w:t>kapitel 2.2</w:t>
      </w:r>
      <w:r>
        <w:t xml:space="preserve">). Resultaten kommer även att användas för att besvara andra gemensamma utvärderingsfrågor än nr 30 (nr 24–29). </w:t>
      </w:r>
    </w:p>
    <w:p w:rsidR="00A45935" w:rsidRPr="00E05D08" w:rsidRDefault="00A45935" w:rsidP="00E05D08">
      <w:pPr>
        <w:spacing w:after="120" w:line="280" w:lineRule="atLeast"/>
        <w:mirrorIndents/>
        <w:rPr>
          <w:rFonts w:eastAsia="Times New Roman" w:cs="Arial"/>
          <w:szCs w:val="20"/>
        </w:rPr>
      </w:pPr>
      <w:r>
        <w:t xml:space="preserve">I kapitel 1.1 antas att landsbygdsprogrammets åtgärder/delåtgärder bidrar till att </w:t>
      </w:r>
      <w:r>
        <w:rPr>
          <w:b/>
          <w:szCs w:val="20"/>
        </w:rPr>
        <w:t xml:space="preserve">främja innovation </w:t>
      </w:r>
      <w:r>
        <w:t xml:space="preserve">genom tre sammanlänkade handlingsvägar (se </w:t>
      </w:r>
      <w:hyperlink w:anchor="Pathways" w:history="1">
        <w:r>
          <w:rPr>
            <w:rStyle w:val="Hyperlink"/>
            <w:sz w:val="20"/>
            <w:szCs w:val="20"/>
          </w:rPr>
          <w:t>figur 1</w:t>
        </w:r>
      </w:hyperlink>
      <w:r>
        <w:t xml:space="preserve">). Värdet av de tre handlingsvägarna är att de hjälper utvärderaren att få en bättre förståelse för innovationsprocessen. I riktlinjerna föreslås därför att gemensam utvärderingsfråga nr 30 delas upp i tre delfrågor som motsvarar de tre handlingsvägarna: </w:t>
      </w:r>
    </w:p>
    <w:p w:rsidR="00A45935" w:rsidRPr="00BE70EE" w:rsidRDefault="00A45935" w:rsidP="000026C6">
      <w:pPr>
        <w:pStyle w:val="Hlistbullet"/>
      </w:pPr>
      <w:r>
        <w:t>I vilken utsträckning har landsbygdsprogrammet främjat innovation genom att stimulera innovationspotentialen? (handlingsväg 1)</w:t>
      </w:r>
    </w:p>
    <w:p w:rsidR="00A45935" w:rsidRPr="00BE70EE" w:rsidRDefault="00A45935" w:rsidP="000026C6">
      <w:pPr>
        <w:pStyle w:val="Hlistbullet"/>
      </w:pPr>
      <w:r>
        <w:t>I vilken utsträckning har landsbygdsprogrammet främjat innovation genom att bygga upp innovationskapaciteten? (handlingsväg 2)</w:t>
      </w:r>
    </w:p>
    <w:p w:rsidR="00A45935" w:rsidRPr="00BE70EE" w:rsidRDefault="00A45935" w:rsidP="000026C6">
      <w:pPr>
        <w:pStyle w:val="Hlistbullet"/>
      </w:pPr>
      <w:r>
        <w:t>I vilken utsträckning har landsbygdsprogrammet främjat innovation genom att skapa upp en gynnsam miljö för innovation? (handlingsväg 3)</w:t>
      </w:r>
    </w:p>
    <w:p w:rsidR="00A45935" w:rsidRPr="00E05D08" w:rsidRDefault="00A45935" w:rsidP="00690E70">
      <w:pPr>
        <w:spacing w:after="120" w:line="280" w:lineRule="atLeast"/>
        <w:mirrorIndents/>
        <w:rPr>
          <w:rFonts w:eastAsia="Times New Roman" w:cs="Arial"/>
          <w:szCs w:val="20"/>
        </w:rPr>
      </w:pPr>
      <w:r>
        <w:t xml:space="preserve">Samverkan mellan handlingsvägarna är också viktig. Processen med att stimulera innovationspotentialen genom samarbete (t.ex. genom att utveckla och införa en ny teknik) bygger upp de berörda individernas och organisationernas innovationskapacitet såväl som innovationssystemet i sig. Samverkan mellan handlingsvägarna bör beaktas när de tre delfrågorna och gemensam utvärderingsfråga nr 30 ska besvaras.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Särskilda utmaningar </w:t>
      </w:r>
    </w:p>
    <w:p w:rsidR="00A45935" w:rsidRPr="00241663" w:rsidRDefault="00A45935" w:rsidP="000026C6">
      <w:pPr>
        <w:pStyle w:val="Hlistbullet"/>
      </w:pPr>
      <w:r>
        <w:rPr>
          <w:b/>
        </w:rPr>
        <w:t>Att utarbeta kompletterande utvärderingsfaktorer</w:t>
      </w:r>
      <w:r>
        <w:t xml:space="preserve"> för att besvara gemensam utvärderingsfråga nr 30 (bedömningskriterier och indikatorer, både kvalitativa och kvantitativa). </w:t>
      </w:r>
    </w:p>
    <w:p w:rsidR="00A45935" w:rsidRPr="00241663" w:rsidRDefault="00A45935" w:rsidP="000026C6">
      <w:pPr>
        <w:pStyle w:val="Hlistbullet"/>
      </w:pPr>
      <w:r>
        <w:rPr>
          <w:b/>
        </w:rPr>
        <w:t>Att tillämpa utvärderingsmetoder</w:t>
      </w:r>
      <w:r>
        <w:t xml:space="preserve"> som gör det möjligt att härleda de observerade förändringarna i </w:t>
      </w:r>
      <w:r>
        <w:rPr>
          <w:u w:val="single"/>
        </w:rPr>
        <w:t>alla tre</w:t>
      </w:r>
      <w:r>
        <w:t xml:space="preserve"> handlingsvägarna i innovationssystemet till landsbygdsprogrammets interventioner. </w:t>
      </w:r>
    </w:p>
    <w:p w:rsidR="00A45935" w:rsidRPr="00241663" w:rsidRDefault="00A45935" w:rsidP="000026C6">
      <w:pPr>
        <w:pStyle w:val="Hlistbullet"/>
      </w:pPr>
      <w:r>
        <w:rPr>
          <w:b/>
        </w:rPr>
        <w:t>Att bedöma förändringar</w:t>
      </w:r>
      <w:r>
        <w:t xml:space="preserve"> som inträffat till följd av innovationer som fått stöd genom landsbygdsprogrammet.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Förslag på metod för att besvara gemensam utvärderingsfråga nr 30</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Interventionslogik </w:t>
      </w:r>
    </w:p>
    <w:p w:rsidR="00A45935" w:rsidRDefault="00A45935" w:rsidP="00E05D08">
      <w:pPr>
        <w:spacing w:after="120" w:line="280" w:lineRule="atLeast"/>
        <w:mirrorIndents/>
        <w:rPr>
          <w:rFonts w:eastAsia="Times New Roman" w:cs="Arial"/>
          <w:szCs w:val="20"/>
        </w:rPr>
      </w:pPr>
      <w:r>
        <w:lastRenderedPageBreak/>
        <w:t>Landsbygdsprogrammets strategi för innovation fastställs vid utformningen av programmet</w:t>
      </w:r>
      <w:r>
        <w:rPr>
          <w:rFonts w:eastAsia="Times New Roman" w:cs="Times New Roman"/>
          <w:szCs w:val="20"/>
          <w:vertAlign w:val="superscript"/>
          <w:lang w:eastAsia="de-DE"/>
        </w:rPr>
        <w:footnoteReference w:id="76"/>
      </w:r>
      <w:r>
        <w:t xml:space="preserve">. Vid granskningen av innovationspotentialen hos landsbygdsprogrammets åtgärder/delåtgärder under utvärderingens förberedande skede granskas och provas alla åtgärder/delåtgärder (inte bara M1, M2, M16, M19 och TA) för att bedöma deras potential att stimulera idéer, bygga kapacitet och skapa en gynnsam miljö. Följaktligen förväntas </w:t>
      </w:r>
      <w:r>
        <w:rPr>
          <w:b/>
          <w:szCs w:val="20"/>
        </w:rPr>
        <w:t>alla åtgärder och delåtgärder i landsbygdsprogrammet som har visat en betydande innovationspotential</w:t>
      </w:r>
      <w:r>
        <w:t xml:space="preserve"> ingå i programmets innovationsrelaterade interventionslogik som leder programmets genomförande mot innovation. Utvärderaren använder denna logik som ett ingångsvärde för att fastställa hur landsbygdsprogrammet har bidragit till innovation (se </w:t>
      </w:r>
      <w:hyperlink w:anchor="Example_IL" w:history="1">
        <w:r>
          <w:rPr>
            <w:rStyle w:val="Hyperlink"/>
            <w:sz w:val="20"/>
            <w:szCs w:val="20"/>
          </w:rPr>
          <w:t>figur 11</w:t>
        </w:r>
      </w:hyperlink>
      <w:r>
        <w:t>).</w:t>
      </w:r>
    </w:p>
    <w:p w:rsidR="00A45935" w:rsidRPr="00916AB5" w:rsidRDefault="00B6357F" w:rsidP="000026C6">
      <w:pPr>
        <w:pStyle w:val="HHeadingfigures"/>
      </w:pPr>
      <w:bookmarkStart w:id="131" w:name="Example_IL"/>
      <w:bookmarkStart w:id="132" w:name="_Toc508290404"/>
      <w:bookmarkEnd w:id="131"/>
      <w:r w:rsidRPr="00A17E45">
        <w:rPr>
          <w:noProof/>
          <w:lang w:val="en-GB" w:eastAsia="en-GB"/>
        </w:rPr>
        <w:drawing>
          <wp:anchor distT="0" distB="0" distL="114300" distR="114300" simplePos="0" relativeHeight="251688960" behindDoc="1" locked="0" layoutInCell="1" allowOverlap="1">
            <wp:simplePos x="0" y="0"/>
            <wp:positionH relativeFrom="column">
              <wp:posOffset>-314325</wp:posOffset>
            </wp:positionH>
            <wp:positionV relativeFrom="paragraph">
              <wp:posOffset>257810</wp:posOffset>
            </wp:positionV>
            <wp:extent cx="6483350" cy="3448050"/>
            <wp:effectExtent l="0" t="0" r="0" b="0"/>
            <wp:wrapSquare wrapText="bothSides"/>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8335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F31">
        <w:t>Exempel på interventionslogik för gemensam utvärderingsfråga nr 30</w:t>
      </w:r>
      <w:bookmarkEnd w:id="132"/>
    </w:p>
    <w:p w:rsidR="00A45935" w:rsidRPr="00E05D08" w:rsidRDefault="00A45935" w:rsidP="00A17E45">
      <w:pPr>
        <w:suppressAutoHyphens/>
        <w:spacing w:before="60" w:after="140" w:line="240" w:lineRule="auto"/>
        <w:mirrorIndents/>
        <w:rPr>
          <w:rFonts w:eastAsia="Times New Roman" w:cs="Times New Roman"/>
          <w:i/>
          <w:noProof/>
          <w:sz w:val="16"/>
          <w:szCs w:val="20"/>
          <w:lang w:eastAsia="en-GB"/>
        </w:rPr>
      </w:pP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Källa: Europeiska helpdesken för utvärdering av landsbygdsutveckling, 2017.</w:t>
      </w:r>
    </w:p>
    <w:p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mc:AlternateContent>
          <mc:Choice Requires="wps">
            <w:drawing>
              <wp:inline distT="0" distB="0" distL="0" distR="0" wp14:anchorId="08563829" wp14:editId="6EB5207C">
                <wp:extent cx="5732145" cy="2194560"/>
                <wp:effectExtent l="0" t="0" r="20955" b="15240"/>
                <wp:docPr id="560" name="Rectangle: Diagonal Corners Rounded 560"/>
                <wp:cNvGraphicFramePr/>
                <a:graphic xmlns:a="http://schemas.openxmlformats.org/drawingml/2006/main">
                  <a:graphicData uri="http://schemas.microsoft.com/office/word/2010/wordprocessingShape">
                    <wps:wsp>
                      <wps:cNvSpPr/>
                      <wps:spPr>
                        <a:xfrm>
                          <a:off x="0" y="0"/>
                          <a:ext cx="5732145" cy="2194560"/>
                        </a:xfrm>
                        <a:prstGeom prst="round2DiagRect">
                          <a:avLst>
                            <a:gd name="adj1" fmla="val 11556"/>
                            <a:gd name="adj2" fmla="val 0"/>
                          </a:avLst>
                        </a:prstGeom>
                        <a:noFill/>
                        <a:ln w="25400" cap="flat" cmpd="sng" algn="ctr">
                          <a:solidFill>
                            <a:srgbClr val="F07E31"/>
                          </a:solidFill>
                          <a:prstDash val="solid"/>
                        </a:ln>
                        <a:effectLst/>
                      </wps:spPr>
                      <wps:txbx>
                        <w:txbxContent>
                          <w:p w:rsidR="004C3777" w:rsidRPr="0079762F" w:rsidRDefault="004C3777"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I detta exempel förväntas åtgärderna (cirklarna) inom fokusområdena (rektanglarna) främja innovation i sig själva eller i kombination med andra åtgärder på olika sätt (de tre handlingsvägarna visas med symboler). Till exempel förväntas åtgärderna M16 och M2 som planeras inom fokusområde 3A – integrering av primärproducenter i livsmedelskedjan och inom fokusområde 5A – vatteneffektivitet att främja innovation gemensamt genom alla de tre handlingsvägarna. I ett annat fall – fokusområde 5B – förväntas båda åtgärderna i kombination med åtgärd M4 främja innovation genom att bygga kapacitet på ett samarbetsbaserat sätt. </w:t>
                            </w:r>
                          </w:p>
                          <w:p w:rsidR="004C3777" w:rsidRPr="00ED3BAD" w:rsidRDefault="004C3777" w:rsidP="00E05D08">
                            <w:pPr>
                              <w:pStyle w:val="HStandard"/>
                              <w:rPr>
                                <w:sz w:val="18"/>
                                <w:szCs w:val="18"/>
                              </w:rPr>
                            </w:pPr>
                            <w:r>
                              <w:rPr>
                                <w:sz w:val="18"/>
                              </w:rPr>
                              <w:t>Åtgärder med innovationspotential förväntas generera utfall som leder till resultat när det gäller att främja innovation genom de tre handlingsvägarna för att i slutändan påverka uppnåendet av de politiska målen.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63829" id="Rectangle: Diagonal Corners Rounded 560" o:spid="_x0000_s1054" style="width:451.35pt;height:172.8pt;visibility:visible;mso-wrap-style:square;mso-left-percent:-10001;mso-top-percent:-10001;mso-position-horizontal:absolute;mso-position-horizontal-relative:char;mso-position-vertical:absolute;mso-position-vertical-relative:line;mso-left-percent:-10001;mso-top-percent:-10001;v-text-anchor:middle" coordsize="5732145,2194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" adj="-11796480,,5400" path="m253603,l5732145,r,l5732145,1940957v,140061,-113542,253603,-253603,253603l,2194560r,l,253603c,113542,113542,,253603,xe" filled="f" strokecolor="#f07e31" strokeweight="2pt">
                <v:stroke joinstyle="miter"/>
                <v:formulas/>
                <v:path arrowok="t" o:connecttype="custom" o:connectlocs="253603,0;5732145,0;5732145,0;5732145,1940957;5478542,2194560;0,2194560;0,2194560;0,253603;253603,0" o:connectangles="0,0,0,0,0,0,0,0,0" textboxrect="0,0,5732145,2194560"/>
                <v:textbox>
                  <w:txbxContent>
                    <w:p w:rsidR="004C3777" w:rsidRPr="0079762F" w:rsidRDefault="004C3777"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I detta exempel förväntas åtgärderna (cirklarna) inom fokusområdena (rektanglarna) främja innovation i sig själva eller i kombination med andra åtgärder på olika sätt (de tre handlingsvägarna visas med symboler). Till exempel förväntas åtgärderna M16 och M2 som planeras inom fokusområde 3A – integrering av primärproducenter i livsmedelskedjan och inom fokusområde 5A – vatteneffektivitet att främja innovation gemensamt genom alla de tre handlingsvägarna. I ett annat fall – fokusområde 5B – förväntas båda åtgärderna i kombination med åtgärd M4 främja innovation genom att bygga kapacitet på ett samarbetsbaserat sätt. </w:t>
                      </w:r>
                    </w:p>
                    <w:p w:rsidR="004C3777" w:rsidRPr="00ED3BAD" w:rsidRDefault="004C3777" w:rsidP="00E05D08">
                      <w:pPr>
                        <w:pStyle w:val="HStandard"/>
                        <w:rPr>
                          <w:sz w:val="18"/>
                          <w:szCs w:val="18"/>
                        </w:rPr>
                      </w:pPr>
                      <w:r>
                        <w:rPr>
                          <w:sz w:val="18"/>
                        </w:rPr>
                        <w:t>Åtgärder med innovationspotential förväntas generera utfall som leder till resultat när det gäller att främja innovation genom de tre handlingsvägarna för att i slutändan påverka uppnåendet av de politiska målen.</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4"/>
          <w:headerReference w:type="first" r:id="rId95"/>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t xml:space="preserve">Eftersom innovation i sig är en komplicerad och kontinuerlig process är det svårt att matcha den förväntade innovationspotentialen med vilka interventioner inom landsbygdsprogrammet som gjorde </w:t>
      </w:r>
      <w:r>
        <w:lastRenderedPageBreak/>
        <w:t>skillnad. Vid tidpunkten för utvärderingen är det därför utvärderarens uppgift att jämföra landsbygdsprogrammets innovationspotential med de faktiska bidragen till förändringen.</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Utvärderingsfaktorer </w:t>
      </w:r>
    </w:p>
    <w:p w:rsidR="00A45935" w:rsidRPr="00E05D08" w:rsidRDefault="00A45935" w:rsidP="00E05D08">
      <w:pPr>
        <w:spacing w:after="120" w:line="280" w:lineRule="atLeast"/>
        <w:mirrorIndents/>
        <w:rPr>
          <w:rFonts w:eastAsia="Times New Roman" w:cs="Times New Roman"/>
          <w:szCs w:val="20"/>
        </w:rPr>
      </w:pPr>
      <w:r>
        <w:t xml:space="preserve">I arbetsdokumentet </w:t>
      </w:r>
      <w:hyperlink r:id="rId96" w:history="1">
        <w:r>
          <w:rPr>
            <w:rStyle w:val="Hyperlink"/>
            <w:i/>
            <w:sz w:val="20"/>
            <w:szCs w:val="20"/>
          </w:rPr>
          <w:t>Common Evaluation Questions for RDPs 2014-2020</w:t>
        </w:r>
      </w:hyperlink>
      <w:r>
        <w:t xml:space="preserve"> föreslås ett bedömningskriterium (innovation har främjats i områden och sektorer på landsbygden) och en gemensam indikator (T1 – utgifter inom ramen för artiklarna 14, 15 och 35). Det rekommenderas även att kompletterande kvantitativ och kvalitativ information om innovation samlas in för att besvara gemensam utvärderingsfråga nr 30. Dessa faktorer kan emellertid inte fånga upp landsbygdsprogrammets bidrag till främjandet av innovation fullt ut. </w:t>
      </w:r>
    </w:p>
    <w:p w:rsidR="00A45935" w:rsidRPr="00E05D08" w:rsidRDefault="00A45935" w:rsidP="00E05D08">
      <w:pPr>
        <w:spacing w:after="120" w:line="280" w:lineRule="atLeast"/>
        <w:mirrorIndents/>
        <w:rPr>
          <w:rFonts w:eastAsia="Times New Roman" w:cs="Times New Roman"/>
          <w:szCs w:val="20"/>
        </w:rPr>
      </w:pPr>
      <w:r>
        <w:t xml:space="preserve">Därför innehåller dessa riktlinjer förslag på att använda kompletterande utvärderingsfaktorer för att besvara gemensam utvärderingsfråga nr 30 (se </w:t>
      </w:r>
      <w:hyperlink w:anchor="CEQ_fostering" w:history="1">
        <w:r>
          <w:rPr>
            <w:rStyle w:val="Hyperlink"/>
            <w:sz w:val="20"/>
            <w:szCs w:val="20"/>
          </w:rPr>
          <w:t>tabell 9</w:t>
        </w:r>
      </w:hyperlink>
      <w:r>
        <w:t xml:space="preserve">). När det gäller gemensam utvärderingsfråga nr 30 är utvärderingsfaktorerna kopplade till de tre delfrågor som motsvarar de tre handlingsvägarna i innovationsprocessen. De föreslagna bedömningskriterierna är kopplade till varje handlingsvägs egenskaper. Detta gör att man kan se om handlingsvägen har följts under hela genomförandet av de åtgärder inom landsbygdsprogrammet som identifierades vid granskningen av innovationspotential. </w:t>
      </w:r>
    </w:p>
    <w:p w:rsidR="00A45935" w:rsidRPr="00E05D08" w:rsidRDefault="00A45935" w:rsidP="00E05D08">
      <w:pPr>
        <w:spacing w:after="120" w:line="280" w:lineRule="atLeast"/>
        <w:mirrorIndents/>
        <w:rPr>
          <w:rFonts w:eastAsia="Times New Roman" w:cs="Times New Roman"/>
          <w:szCs w:val="20"/>
        </w:rPr>
      </w:pPr>
      <w:r>
        <w:t xml:space="preserve">Bortsett från de gemensamma indikatorerna är de föreslagna faktorerna inte bindande, och aktörerna i medlemsstaterna kan utveckla egna bedömningskriterier och kompletterande indikatorer.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33" w:name="CEQ_fostering"/>
      <w:bookmarkStart w:id="134" w:name="_Toc508290388"/>
      <w:bookmarkEnd w:id="133"/>
      <w:r>
        <w:rPr>
          <w:color w:val="6F6F6F"/>
          <w:sz w:val="18"/>
          <w:szCs w:val="18"/>
        </w:rPr>
        <w:lastRenderedPageBreak/>
        <w:t>Utvärderingsfaktorer med koppling till gemensam utvärderingsfråga nr 30</w:t>
      </w:r>
      <w:bookmarkEnd w:id="134"/>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Utvärderingsfaktorer (delfrågor, bedömningskriterier och indikatorer) som tillhandahålls utöver de som kopierats från arbetsdokumentet </w:t>
      </w:r>
      <w:hyperlink r:id="rId97" w:history="1">
        <w:r>
          <w:rPr>
            <w:rStyle w:val="Hyperlink"/>
            <w:i/>
            <w:sz w:val="20"/>
            <w:szCs w:val="20"/>
          </w:rPr>
          <w:t>Common Evaluation Questions for RDPs 2014-2020</w:t>
        </w:r>
      </w:hyperlink>
      <w:r>
        <w:rPr>
          <w:i/>
          <w:szCs w:val="20"/>
        </w:rPr>
        <w:t xml:space="preserve"> står i kursiv stil.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24"/>
        <w:gridCol w:w="2738"/>
        <w:gridCol w:w="3232"/>
        <w:gridCol w:w="2687"/>
        <w:gridCol w:w="2675"/>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Delfrågor</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Bedömningskriterier</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Resultatindikatorer</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Data- och informationsbehov</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Datakällor</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I vilken utsträckning har landsbygdsprogrammet främjat innovation genom att stimulera innovationspotentialen (handlingsväg 1)?</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Kompletterande bedömningskriterier: antagande av innovativa idéer, processer, modeller och/eller tekniker som införts genom landsbygdsprogrammet.</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T1: Andelen (%) utgifter inom ramen för artiklarna 14, 15 och 35 i förordning (EU) nr 1305/2013 i förhållande till de sammanlagda utgifterna för landsbygdsprogrammet. </w:t>
            </w:r>
          </w:p>
          <w:p w:rsidR="001275FF" w:rsidRPr="00F639C6" w:rsidRDefault="001275FF" w:rsidP="00F73706">
            <w:pPr>
              <w:spacing w:line="220" w:lineRule="atLeast"/>
              <w:jc w:val="left"/>
              <w:rPr>
                <w:rFonts w:cs="Arial"/>
                <w:sz w:val="18"/>
                <w:szCs w:val="16"/>
              </w:rPr>
            </w:pPr>
          </w:p>
          <w:p w:rsidR="00A45935" w:rsidRPr="00F639C6"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Antal innovativa insatser som fått stöd och som genomförts och spridits av det europeiska innovationspartnerskapets operativa grupper.</w:t>
            </w:r>
          </w:p>
          <w:p w:rsidR="001275FF" w:rsidRPr="00F639C6" w:rsidRDefault="001275FF" w:rsidP="00F73706">
            <w:pPr>
              <w:spacing w:line="220" w:lineRule="atLeast"/>
              <w:jc w:val="left"/>
              <w:rPr>
                <w:rFonts w:cs="Arial"/>
                <w:sz w:val="18"/>
                <w:szCs w:val="16"/>
              </w:rPr>
            </w:pPr>
          </w:p>
          <w:p w:rsidR="00A45935" w:rsidRPr="00F639C6"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i/>
                <w:sz w:val="18"/>
                <w:szCs w:val="16"/>
              </w:rPr>
            </w:pPr>
            <w:r>
              <w:rPr>
                <w:i/>
                <w:color w:val="57825E"/>
                <w:sz w:val="18"/>
                <w:szCs w:val="16"/>
                <w:u w:val="single"/>
              </w:rPr>
              <w:t>Kompletterande resultatindikator</w:t>
            </w:r>
            <w:r>
              <w:rPr>
                <w:i/>
                <w:color w:val="57825E"/>
                <w:sz w:val="18"/>
                <w:szCs w:val="16"/>
              </w:rPr>
              <w:t xml:space="preserve">: grad av antagande av nya idéer, processer, modeller och/eller tekniker som införts av aktörerna. </w:t>
            </w:r>
          </w:p>
        </w:tc>
        <w:tc>
          <w:tcPr>
            <w:tcW w:w="2715" w:type="dxa"/>
          </w:tcPr>
          <w:p w:rsidR="00A45935" w:rsidRPr="00385368" w:rsidRDefault="00A45935" w:rsidP="00F73706">
            <w:pPr>
              <w:spacing w:line="220" w:lineRule="atLeast"/>
              <w:jc w:val="left"/>
              <w:rPr>
                <w:rFonts w:cs="Arial"/>
                <w:sz w:val="18"/>
                <w:szCs w:val="16"/>
              </w:rPr>
            </w:pPr>
            <w:r>
              <w:rPr>
                <w:sz w:val="18"/>
                <w:szCs w:val="16"/>
              </w:rPr>
              <w:t>Uppgifter om utgifter för insatser som genomförts inom ramen för åtgärderna M1, M2 och M16.</w:t>
            </w:r>
          </w:p>
          <w:p w:rsidR="00A45935" w:rsidRPr="00F639C6" w:rsidRDefault="00A45935" w:rsidP="00F73706">
            <w:pPr>
              <w:spacing w:line="220" w:lineRule="atLeast"/>
              <w:jc w:val="left"/>
              <w:rPr>
                <w:rFonts w:cs="Arial"/>
                <w:sz w:val="18"/>
                <w:szCs w:val="16"/>
              </w:rPr>
            </w:pPr>
          </w:p>
          <w:p w:rsidR="00A45935" w:rsidRPr="00F639C6" w:rsidRDefault="00A45935" w:rsidP="00F73706">
            <w:pPr>
              <w:spacing w:line="220" w:lineRule="atLeast"/>
              <w:jc w:val="left"/>
              <w:rPr>
                <w:rFonts w:cs="Arial"/>
                <w:sz w:val="18"/>
                <w:szCs w:val="16"/>
              </w:rPr>
            </w:pPr>
          </w:p>
          <w:p w:rsidR="00A45935" w:rsidRPr="00F639C6"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Uppgifter om innovativa åtgärder som genomförts av det europeiska innovationspartnerskapets operativa grupper. </w:t>
            </w:r>
          </w:p>
          <w:p w:rsidR="00A45935" w:rsidRPr="00F639C6" w:rsidRDefault="00A45935" w:rsidP="00F73706">
            <w:pPr>
              <w:spacing w:line="220" w:lineRule="atLeast"/>
              <w:jc w:val="left"/>
              <w:rPr>
                <w:rFonts w:cs="Arial"/>
                <w:sz w:val="18"/>
                <w:szCs w:val="16"/>
              </w:rPr>
            </w:pPr>
          </w:p>
          <w:p w:rsidR="00A45935" w:rsidRPr="00F639C6"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Uppgifter och information om vilka innovativa idéer, modeller och tekniker som genererats. </w:t>
            </w:r>
          </w:p>
          <w:p w:rsidR="00A45935" w:rsidRPr="00F639C6" w:rsidRDefault="00A45935" w:rsidP="00F73706">
            <w:pPr>
              <w:spacing w:line="220" w:lineRule="atLeast"/>
              <w:jc w:val="left"/>
              <w:rPr>
                <w:rFonts w:cs="Arial"/>
                <w:sz w:val="18"/>
                <w:szCs w:val="16"/>
              </w:rPr>
            </w:pPr>
          </w:p>
          <w:p w:rsidR="00A45935" w:rsidRPr="00F639C6" w:rsidRDefault="00A45935" w:rsidP="00F73706">
            <w:pPr>
              <w:spacing w:line="220" w:lineRule="atLeast"/>
              <w:jc w:val="left"/>
              <w:rPr>
                <w:rFonts w:cs="Arial"/>
                <w:sz w:val="18"/>
                <w:szCs w:val="16"/>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Övervakningssystem för landsbygdsprogrammet. </w:t>
            </w:r>
          </w:p>
          <w:p w:rsidR="00A45935" w:rsidRPr="00F639C6" w:rsidRDefault="00A45935" w:rsidP="00F73706">
            <w:pPr>
              <w:spacing w:line="220" w:lineRule="atLeast"/>
              <w:jc w:val="left"/>
              <w:rPr>
                <w:rFonts w:cs="Arial"/>
                <w:sz w:val="18"/>
                <w:szCs w:val="16"/>
              </w:rPr>
            </w:pPr>
          </w:p>
          <w:p w:rsidR="00A45935" w:rsidRPr="00F639C6" w:rsidRDefault="00A45935" w:rsidP="00F73706">
            <w:pPr>
              <w:spacing w:line="220" w:lineRule="atLeast"/>
              <w:jc w:val="left"/>
              <w:rPr>
                <w:rFonts w:cs="Arial"/>
                <w:sz w:val="18"/>
                <w:szCs w:val="16"/>
              </w:rPr>
            </w:pPr>
          </w:p>
          <w:p w:rsidR="00A45935" w:rsidRPr="00F639C6" w:rsidRDefault="00A45935" w:rsidP="00F73706">
            <w:pPr>
              <w:spacing w:line="220" w:lineRule="atLeast"/>
              <w:jc w:val="left"/>
              <w:rPr>
                <w:rFonts w:cs="Arial"/>
                <w:sz w:val="18"/>
                <w:szCs w:val="16"/>
              </w:rPr>
            </w:pPr>
          </w:p>
          <w:p w:rsidR="00A45935" w:rsidRPr="00F639C6" w:rsidRDefault="00A45935" w:rsidP="00F73706">
            <w:pPr>
              <w:spacing w:line="220" w:lineRule="atLeast"/>
              <w:jc w:val="left"/>
              <w:rPr>
                <w:rFonts w:cs="Arial"/>
                <w:sz w:val="18"/>
                <w:szCs w:val="16"/>
              </w:rPr>
            </w:pPr>
          </w:p>
          <w:p w:rsidR="00A45935" w:rsidRPr="00F639C6"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Övervakningssystemet för landsbygdsprogram och intervjuer.</w:t>
            </w:r>
          </w:p>
          <w:p w:rsidR="00A45935" w:rsidRPr="00F639C6" w:rsidRDefault="00A45935" w:rsidP="00F73706">
            <w:pPr>
              <w:spacing w:line="220" w:lineRule="atLeast"/>
              <w:jc w:val="left"/>
              <w:rPr>
                <w:rFonts w:cs="Arial"/>
                <w:sz w:val="18"/>
                <w:szCs w:val="16"/>
              </w:rPr>
            </w:pPr>
          </w:p>
          <w:p w:rsidR="00A45935" w:rsidRDefault="00A45935" w:rsidP="00F73706">
            <w:pPr>
              <w:spacing w:line="220" w:lineRule="atLeast"/>
              <w:jc w:val="left"/>
              <w:rPr>
                <w:rFonts w:cs="Arial"/>
                <w:sz w:val="18"/>
                <w:szCs w:val="16"/>
              </w:rPr>
            </w:pPr>
          </w:p>
          <w:p w:rsidR="0003762E" w:rsidRPr="00F639C6" w:rsidRDefault="0003762E" w:rsidP="00F73706">
            <w:pPr>
              <w:spacing w:line="220" w:lineRule="atLeast"/>
              <w:jc w:val="left"/>
              <w:rPr>
                <w:rFonts w:cs="Arial"/>
                <w:sz w:val="18"/>
                <w:szCs w:val="16"/>
              </w:rPr>
            </w:pPr>
          </w:p>
          <w:p w:rsidR="00A45935" w:rsidRPr="00F639C6"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Övervakningssystemet för landsbygdsprogram och enkäter, intervjuer.</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I vilken utsträckning har landsbygdsprogrammet främjat innovation genom att bygga upp innovationskapaciteten (handlingsväg 2)?</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Kompletterande bedömningskriterier: Landsbygdsprogrammet ökade de funktionella kopplingarna mellan olika typer av aktörer. </w:t>
            </w:r>
          </w:p>
          <w:p w:rsidR="00A45935" w:rsidRPr="00F639C6" w:rsidRDefault="00A45935" w:rsidP="00F73706">
            <w:pPr>
              <w:spacing w:line="220" w:lineRule="atLeast"/>
              <w:jc w:val="left"/>
              <w:rPr>
                <w:rFonts w:eastAsia="Calibri" w:cs="Arial"/>
                <w:i/>
                <w:sz w:val="18"/>
                <w:szCs w:val="16"/>
              </w:rPr>
            </w:pPr>
          </w:p>
          <w:p w:rsidR="00A45935" w:rsidRPr="00F639C6" w:rsidRDefault="00A45935" w:rsidP="00F73706">
            <w:pPr>
              <w:spacing w:line="220" w:lineRule="atLeast"/>
              <w:jc w:val="left"/>
              <w:rPr>
                <w:rFonts w:eastAsia="Calibri" w:cs="Arial"/>
                <w:i/>
                <w:sz w:val="18"/>
                <w:szCs w:val="16"/>
              </w:rPr>
            </w:pPr>
          </w:p>
          <w:p w:rsidR="00A45935" w:rsidRPr="00F639C6" w:rsidRDefault="00A45935" w:rsidP="00F73706">
            <w:pPr>
              <w:spacing w:line="220" w:lineRule="atLeast"/>
              <w:jc w:val="left"/>
              <w:rPr>
                <w:rFonts w:eastAsia="Calibri" w:cs="Arial"/>
                <w:i/>
                <w:sz w:val="18"/>
                <w:szCs w:val="16"/>
              </w:rPr>
            </w:pPr>
          </w:p>
          <w:p w:rsidR="00A45935" w:rsidRDefault="00A45935" w:rsidP="00F73706">
            <w:pPr>
              <w:spacing w:line="220" w:lineRule="atLeast"/>
              <w:jc w:val="left"/>
              <w:rPr>
                <w:rFonts w:eastAsia="Calibri" w:cs="Arial"/>
                <w:i/>
                <w:sz w:val="18"/>
                <w:szCs w:val="16"/>
              </w:rPr>
            </w:pPr>
          </w:p>
          <w:p w:rsidR="0003762E" w:rsidRDefault="0003762E" w:rsidP="00F73706">
            <w:pPr>
              <w:spacing w:line="220" w:lineRule="atLeast"/>
              <w:jc w:val="left"/>
              <w:rPr>
                <w:rFonts w:eastAsia="Calibri" w:cs="Arial"/>
                <w:i/>
                <w:sz w:val="18"/>
                <w:szCs w:val="16"/>
              </w:rPr>
            </w:pPr>
          </w:p>
          <w:p w:rsidR="0003762E" w:rsidRDefault="0003762E" w:rsidP="00F73706">
            <w:pPr>
              <w:spacing w:line="220" w:lineRule="atLeast"/>
              <w:jc w:val="left"/>
              <w:rPr>
                <w:rFonts w:eastAsia="Calibri" w:cs="Arial"/>
                <w:i/>
                <w:sz w:val="18"/>
                <w:szCs w:val="16"/>
              </w:rPr>
            </w:pPr>
          </w:p>
          <w:p w:rsidR="0003762E" w:rsidRPr="00F639C6" w:rsidRDefault="0003762E" w:rsidP="00F73706">
            <w:pPr>
              <w:spacing w:line="220" w:lineRule="atLeast"/>
              <w:jc w:val="left"/>
              <w:rPr>
                <w:rFonts w:eastAsia="Calibri" w:cs="Arial"/>
                <w:i/>
                <w:sz w:val="18"/>
                <w:szCs w:val="16"/>
              </w:rPr>
            </w:pPr>
          </w:p>
          <w:p w:rsidR="00A45935" w:rsidRPr="00F639C6" w:rsidRDefault="00A45935" w:rsidP="00F73706">
            <w:pPr>
              <w:spacing w:line="220" w:lineRule="atLeast"/>
              <w:jc w:val="left"/>
              <w:rPr>
                <w:rFonts w:eastAsia="Calibri" w:cs="Arial"/>
                <w:i/>
                <w:sz w:val="18"/>
                <w:szCs w:val="16"/>
              </w:rPr>
            </w:pPr>
          </w:p>
          <w:p w:rsidR="00A45935" w:rsidRPr="00F639C6"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lastRenderedPageBreak/>
              <w:t>Kompletterande bedömningskriterier: Utbildningsplattformar och andra typer av institutionellt utrymme som möjliggör utbyte, reflektion och lärande har skapats och stärkts.</w:t>
            </w:r>
          </w:p>
          <w:p w:rsidR="00A45935" w:rsidRDefault="00A45935" w:rsidP="00F73706">
            <w:pPr>
              <w:spacing w:line="220" w:lineRule="atLeast"/>
              <w:jc w:val="left"/>
              <w:rPr>
                <w:rFonts w:eastAsia="Calibri" w:cs="Arial"/>
                <w:i/>
                <w:sz w:val="18"/>
                <w:szCs w:val="16"/>
              </w:rPr>
            </w:pPr>
          </w:p>
          <w:p w:rsidR="0003762E" w:rsidRDefault="0003762E" w:rsidP="00F73706">
            <w:pPr>
              <w:spacing w:line="220" w:lineRule="atLeast"/>
              <w:jc w:val="left"/>
              <w:rPr>
                <w:rFonts w:eastAsia="Calibri" w:cs="Arial"/>
                <w:i/>
                <w:sz w:val="18"/>
                <w:szCs w:val="16"/>
              </w:rPr>
            </w:pPr>
          </w:p>
          <w:p w:rsidR="0003762E" w:rsidRPr="00F639C6" w:rsidRDefault="0003762E"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sz w:val="18"/>
                <w:szCs w:val="16"/>
              </w:rPr>
            </w:pPr>
            <w:r>
              <w:rPr>
                <w:i/>
                <w:sz w:val="18"/>
                <w:szCs w:val="16"/>
              </w:rPr>
              <w:t xml:space="preserve">Kompletterande bedömningskriterier: Informationsflödet mellan olika aktörer i det innovationssystem där förändringen skedde har förbättrats.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Kompletterande resultatindikator:</w:t>
            </w:r>
            <w:r>
              <w:rPr>
                <w:i/>
                <w:color w:val="57825E"/>
                <w:sz w:val="18"/>
                <w:szCs w:val="16"/>
              </w:rPr>
              <w:t xml:space="preserve"> antal formella partnerskap som förmedlats genom landsbygdsprogrammet och som kopplas till de förändringar inom prioriteringarna för landsbygdsutvecklingen som programmet har bidragit till. </w:t>
            </w:r>
          </w:p>
          <w:p w:rsidR="00A45935" w:rsidRPr="00F639C6"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t xml:space="preserve">Ökning (%) av antal och typer av partner som deltar i samarbetsprojekt (arbetsdokumentet om gemensamma utvärderingsfrågor för landsbygdsprogram 2014–2020). </w:t>
            </w:r>
          </w:p>
          <w:p w:rsidR="00A45935" w:rsidRPr="00F639C6"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Kompletterande resultatindikator:</w:t>
            </w:r>
            <w:r>
              <w:rPr>
                <w:i/>
                <w:color w:val="57825E"/>
                <w:sz w:val="18"/>
                <w:szCs w:val="16"/>
              </w:rPr>
              <w:t xml:space="preserve"> antal och kvalitet på plattformar och utrymmen som stöder innovation och som landsbygdsprogrammet har inrättat eller stärkt, t.ex. övningssamhällen, innovationsplattformar, evenemang som anordnats för reflektion och lärande. </w:t>
            </w:r>
          </w:p>
          <w:p w:rsidR="00A45935" w:rsidRPr="00F639C6" w:rsidRDefault="00A45935"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Kompletterande resultatindikator: </w:t>
            </w:r>
            <w:r w:rsidR="00D65F31">
              <w:rPr>
                <w:i/>
                <w:color w:val="57825E"/>
                <w:sz w:val="18"/>
                <w:szCs w:val="16"/>
              </w:rPr>
              <w:t>M</w:t>
            </w:r>
            <w:r>
              <w:rPr>
                <w:i/>
                <w:color w:val="57825E"/>
                <w:sz w:val="18"/>
                <w:szCs w:val="16"/>
              </w:rPr>
              <w:t xml:space="preserve">inskning av den genomsnittliga längden på nätverkens vägar och av nätverkens variation (åtgärder för analys av sociala nätverk).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Information om formella relationer.</w:t>
            </w:r>
          </w:p>
          <w:p w:rsidR="00A45935" w:rsidRPr="00F639C6" w:rsidRDefault="00A45935"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Default="00A45935" w:rsidP="00F73706">
            <w:pPr>
              <w:spacing w:line="220" w:lineRule="atLeast"/>
              <w:jc w:val="left"/>
              <w:rPr>
                <w:rFonts w:eastAsia="Calibri" w:cs="Arial"/>
                <w:sz w:val="18"/>
                <w:szCs w:val="16"/>
              </w:rPr>
            </w:pPr>
          </w:p>
          <w:p w:rsidR="0003762E" w:rsidRDefault="0003762E" w:rsidP="00F73706">
            <w:pPr>
              <w:spacing w:line="220" w:lineRule="atLeast"/>
              <w:jc w:val="left"/>
              <w:rPr>
                <w:rFonts w:eastAsia="Calibri" w:cs="Arial"/>
                <w:sz w:val="18"/>
                <w:szCs w:val="16"/>
              </w:rPr>
            </w:pPr>
          </w:p>
          <w:p w:rsidR="0003762E" w:rsidRPr="00F639C6" w:rsidRDefault="0003762E"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Uppgifter om antal och typer av partner i samarbetsprojekt. </w:t>
            </w:r>
          </w:p>
          <w:p w:rsidR="00A45935" w:rsidRDefault="00A45935" w:rsidP="00F73706">
            <w:pPr>
              <w:spacing w:line="220" w:lineRule="atLeast"/>
              <w:jc w:val="left"/>
              <w:rPr>
                <w:rFonts w:eastAsia="Calibri" w:cs="Arial"/>
                <w:sz w:val="18"/>
                <w:szCs w:val="16"/>
              </w:rPr>
            </w:pPr>
          </w:p>
          <w:p w:rsidR="0003762E" w:rsidRDefault="0003762E" w:rsidP="00F73706">
            <w:pPr>
              <w:spacing w:line="220" w:lineRule="atLeast"/>
              <w:jc w:val="left"/>
              <w:rPr>
                <w:rFonts w:eastAsia="Calibri" w:cs="Arial"/>
                <w:sz w:val="18"/>
                <w:szCs w:val="16"/>
              </w:rPr>
            </w:pPr>
          </w:p>
          <w:p w:rsidR="0003762E" w:rsidRPr="00F639C6" w:rsidRDefault="0003762E"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lastRenderedPageBreak/>
              <w:t>Information om plattformar som inrättats genom landsbygdsprogrammet.</w:t>
            </w:r>
          </w:p>
          <w:p w:rsidR="00A45935" w:rsidRPr="00F639C6" w:rsidRDefault="00A45935"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560E46" w:rsidRPr="00F639C6" w:rsidRDefault="00560E46" w:rsidP="00F73706">
            <w:pPr>
              <w:spacing w:line="220" w:lineRule="atLeast"/>
              <w:jc w:val="left"/>
              <w:rPr>
                <w:rFonts w:eastAsia="Calibri" w:cs="Arial"/>
                <w:sz w:val="18"/>
                <w:szCs w:val="16"/>
              </w:rPr>
            </w:pPr>
          </w:p>
          <w:p w:rsidR="00560E46" w:rsidRPr="00F639C6" w:rsidRDefault="00560E46" w:rsidP="00F7370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Information om nätverk.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Intervjuer och fokusgrupper. </w:t>
            </w:r>
          </w:p>
          <w:p w:rsidR="00A45935" w:rsidRPr="00F639C6" w:rsidRDefault="00A45935"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Default="00A45935" w:rsidP="00F73706">
            <w:pPr>
              <w:spacing w:line="220" w:lineRule="atLeast"/>
              <w:jc w:val="left"/>
              <w:rPr>
                <w:rFonts w:eastAsia="Calibri" w:cs="Arial"/>
                <w:sz w:val="18"/>
                <w:szCs w:val="16"/>
              </w:rPr>
            </w:pPr>
          </w:p>
          <w:p w:rsidR="0003762E" w:rsidRPr="00F639C6" w:rsidRDefault="0003762E"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Övervakningssystem för landsbygdsprogrammet.</w:t>
            </w:r>
          </w:p>
          <w:p w:rsidR="00A45935" w:rsidRPr="00F639C6" w:rsidRDefault="00A45935" w:rsidP="00F73706">
            <w:pPr>
              <w:spacing w:line="220" w:lineRule="atLeast"/>
              <w:jc w:val="left"/>
              <w:rPr>
                <w:rFonts w:eastAsia="Calibri" w:cs="Arial"/>
                <w:sz w:val="18"/>
                <w:szCs w:val="16"/>
              </w:rPr>
            </w:pPr>
          </w:p>
          <w:p w:rsidR="00A45935" w:rsidRDefault="00A45935" w:rsidP="00F73706">
            <w:pPr>
              <w:spacing w:line="220" w:lineRule="atLeast"/>
              <w:jc w:val="left"/>
              <w:rPr>
                <w:rFonts w:eastAsia="Calibri" w:cs="Arial"/>
                <w:sz w:val="18"/>
                <w:szCs w:val="16"/>
              </w:rPr>
            </w:pPr>
          </w:p>
          <w:p w:rsidR="0003762E" w:rsidRPr="00F639C6" w:rsidRDefault="0003762E"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lastRenderedPageBreak/>
              <w:t xml:space="preserve">Intervjuer och fokusgrupper. </w:t>
            </w:r>
          </w:p>
          <w:p w:rsidR="00A45935" w:rsidRPr="00F639C6" w:rsidRDefault="00A45935"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Pr="00F639C6" w:rsidRDefault="00A45935" w:rsidP="00F73706">
            <w:pPr>
              <w:spacing w:line="220" w:lineRule="atLeast"/>
              <w:jc w:val="left"/>
              <w:rPr>
                <w:rFonts w:eastAsia="Calibri" w:cs="Arial"/>
                <w:sz w:val="18"/>
                <w:szCs w:val="16"/>
              </w:rPr>
            </w:pPr>
          </w:p>
          <w:p w:rsidR="00A45935" w:rsidRDefault="00A45935" w:rsidP="00F73706">
            <w:pPr>
              <w:spacing w:line="220" w:lineRule="atLeast"/>
              <w:jc w:val="left"/>
              <w:rPr>
                <w:rFonts w:eastAsia="Calibri" w:cs="Arial"/>
                <w:sz w:val="18"/>
                <w:szCs w:val="16"/>
              </w:rPr>
            </w:pPr>
          </w:p>
          <w:p w:rsidR="0003762E" w:rsidRPr="00F639C6" w:rsidRDefault="0003762E" w:rsidP="00F73706">
            <w:pPr>
              <w:spacing w:line="220" w:lineRule="atLeast"/>
              <w:jc w:val="left"/>
              <w:rPr>
                <w:rFonts w:eastAsia="Calibri" w:cs="Arial"/>
                <w:sz w:val="18"/>
                <w:szCs w:val="16"/>
              </w:rPr>
            </w:pPr>
          </w:p>
          <w:p w:rsidR="00560E46" w:rsidRPr="00F639C6" w:rsidRDefault="00560E46" w:rsidP="00F73706">
            <w:pPr>
              <w:spacing w:line="220" w:lineRule="atLeast"/>
              <w:jc w:val="left"/>
              <w:rPr>
                <w:rFonts w:eastAsia="Calibri" w:cs="Arial"/>
                <w:sz w:val="18"/>
                <w:szCs w:val="16"/>
              </w:rPr>
            </w:pPr>
          </w:p>
          <w:p w:rsidR="00560E46" w:rsidRPr="00F639C6" w:rsidRDefault="00560E46" w:rsidP="00F7370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Information från analysen av sociala nätverk.</w:t>
            </w:r>
          </w:p>
        </w:tc>
      </w:tr>
      <w:tr w:rsidR="00A45935" w:rsidRPr="00E05D08" w:rsidTr="00F73706">
        <w:trPr>
          <w:trHeight w:val="4850"/>
        </w:trPr>
        <w:tc>
          <w:tcPr>
            <w:tcW w:w="2988" w:type="dxa"/>
          </w:tcPr>
          <w:p w:rsidR="00A45935" w:rsidRPr="00385368" w:rsidRDefault="00A45935" w:rsidP="00F73706">
            <w:pPr>
              <w:spacing w:line="220" w:lineRule="atLeast"/>
              <w:jc w:val="left"/>
              <w:rPr>
                <w:rFonts w:cs="Arial"/>
                <w:i/>
                <w:sz w:val="18"/>
                <w:szCs w:val="16"/>
              </w:rPr>
            </w:pPr>
            <w:r>
              <w:rPr>
                <w:i/>
                <w:sz w:val="18"/>
                <w:szCs w:val="16"/>
              </w:rPr>
              <w:lastRenderedPageBreak/>
              <w:t>I vilken utsträckning har landsbygdsprogrammet främjat innovation genom att skapa upp en gynnsam miljö för innovation (handlingsväg 3)?</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Kompletterande bedömningskriterier: Landsbygdsprogrammet har välgrundade strategier som stöder de förändringar som programmet har bidragit till.</w:t>
            </w:r>
          </w:p>
          <w:p w:rsidR="00A45935" w:rsidRPr="00F639C6"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Kompletterande bedömningskriterier: Landsbygdsprogrammet har skapat möjligheter för utbildning och utbyte av innovativa metoder. </w:t>
            </w:r>
          </w:p>
          <w:p w:rsidR="00A45935" w:rsidRPr="00F639C6"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Kompletterande bedömningskriterier: Landsbygdsprogrammet har möjliggjort samverkan mellan aktörer (nationella/gränsöverskridande) för att främja innovation. </w:t>
            </w:r>
          </w:p>
          <w:p w:rsidR="00A45935" w:rsidRPr="00F639C6"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lastRenderedPageBreak/>
              <w:t xml:space="preserve">Kompletterande bedömningskriterier: Landsbygdsprogrammet har gett stöd åt nya tekniker i landsbygdsområdena.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Kompletterande resultatindikator:</w:t>
            </w:r>
            <w:r>
              <w:rPr>
                <w:i/>
                <w:color w:val="57825E"/>
                <w:sz w:val="18"/>
                <w:szCs w:val="16"/>
              </w:rPr>
              <w:t xml:space="preserve"> antal och typer av strategier som landsbygdsprogrammet har påverkat vid nivån för de deltagande organisationerna och den bredare gynnsamma miljön. </w:t>
            </w:r>
          </w:p>
          <w:p w:rsidR="00A45935" w:rsidRPr="00F639C6"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Kompletterande resultatindikator:</w:t>
            </w:r>
            <w:r>
              <w:rPr>
                <w:i/>
                <w:color w:val="57825E"/>
                <w:sz w:val="18"/>
                <w:szCs w:val="16"/>
              </w:rPr>
              <w:t xml:space="preserve"> antal utbildningar och evenemang för utbyte av innovativa metoder och deras andel av det totala antalet utbildningar/evenemang som stöds av landsbygdsprogrammet. </w:t>
            </w:r>
          </w:p>
          <w:p w:rsidR="00A45935" w:rsidRPr="00F639C6"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Kompletterande resultatindikator:</w:t>
            </w:r>
            <w:r>
              <w:rPr>
                <w:i/>
                <w:color w:val="57825E"/>
                <w:sz w:val="18"/>
                <w:szCs w:val="16"/>
              </w:rPr>
              <w:t xml:space="preserve"> antal evenemang med inriktning på upprättandet av kontakter mellan innovationsaktörer som stöds av landsbygdsprogrammet. </w:t>
            </w:r>
          </w:p>
          <w:p w:rsidR="00A45935" w:rsidRPr="00F639C6" w:rsidRDefault="00A45935" w:rsidP="00F73706">
            <w:pPr>
              <w:spacing w:line="220" w:lineRule="atLeast"/>
              <w:jc w:val="left"/>
              <w:rPr>
                <w:rFonts w:eastAsia="Calibri" w:cs="Arial"/>
                <w:i/>
                <w:color w:val="57825E"/>
                <w:sz w:val="18"/>
                <w:szCs w:val="16"/>
              </w:rPr>
            </w:pPr>
          </w:p>
          <w:p w:rsidR="00A45935" w:rsidRPr="00F639C6" w:rsidRDefault="00A45935" w:rsidP="00F73706">
            <w:pPr>
              <w:spacing w:line="220" w:lineRule="atLeast"/>
              <w:jc w:val="left"/>
              <w:rPr>
                <w:rFonts w:eastAsia="Calibri" w:cs="Arial"/>
                <w:i/>
                <w:color w:val="57825E"/>
                <w:sz w:val="18"/>
                <w:szCs w:val="16"/>
              </w:rPr>
            </w:pPr>
          </w:p>
          <w:p w:rsidR="00560E46" w:rsidRPr="00F639C6"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lastRenderedPageBreak/>
              <w:t>Kompletterande resultatindikator:</w:t>
            </w:r>
            <w:r>
              <w:rPr>
                <w:i/>
                <w:color w:val="57825E"/>
                <w:sz w:val="18"/>
                <w:szCs w:val="16"/>
              </w:rPr>
              <w:t xml:space="preserve"> antal nya tekniker i landsbygdsområden som stöds av landsbygdsprogrammet, uppdelade efter typ.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lastRenderedPageBreak/>
              <w:t xml:space="preserve">Information om strategier. </w:t>
            </w:r>
          </w:p>
          <w:p w:rsidR="00A45935" w:rsidRPr="00F639C6" w:rsidRDefault="00A45935" w:rsidP="00560E46">
            <w:pPr>
              <w:spacing w:line="220" w:lineRule="atLeast"/>
              <w:jc w:val="left"/>
              <w:rPr>
                <w:rFonts w:eastAsia="Calibri" w:cs="Arial"/>
                <w:sz w:val="18"/>
                <w:szCs w:val="16"/>
              </w:rPr>
            </w:pPr>
          </w:p>
          <w:p w:rsidR="00A45935" w:rsidRPr="00F639C6" w:rsidRDefault="00A45935" w:rsidP="00560E46">
            <w:pPr>
              <w:spacing w:line="220" w:lineRule="atLeast"/>
              <w:jc w:val="left"/>
              <w:rPr>
                <w:rFonts w:eastAsia="Calibri" w:cs="Arial"/>
                <w:sz w:val="18"/>
                <w:szCs w:val="16"/>
              </w:rPr>
            </w:pPr>
          </w:p>
          <w:p w:rsidR="00560E46" w:rsidRPr="00F639C6" w:rsidRDefault="00560E46" w:rsidP="00560E46">
            <w:pPr>
              <w:spacing w:line="220" w:lineRule="atLeast"/>
              <w:jc w:val="left"/>
              <w:rPr>
                <w:rFonts w:eastAsia="Calibri" w:cs="Arial"/>
                <w:sz w:val="18"/>
                <w:szCs w:val="16"/>
              </w:rPr>
            </w:pPr>
          </w:p>
          <w:p w:rsidR="00560E46" w:rsidRDefault="00560E46" w:rsidP="00560E46">
            <w:pPr>
              <w:spacing w:line="220" w:lineRule="atLeast"/>
              <w:jc w:val="left"/>
              <w:rPr>
                <w:rFonts w:eastAsia="Calibri" w:cs="Arial"/>
                <w:sz w:val="18"/>
                <w:szCs w:val="16"/>
              </w:rPr>
            </w:pPr>
          </w:p>
          <w:p w:rsidR="0003762E" w:rsidRPr="00F639C6" w:rsidRDefault="0003762E" w:rsidP="00560E46">
            <w:pPr>
              <w:spacing w:line="220" w:lineRule="atLeast"/>
              <w:jc w:val="left"/>
              <w:rPr>
                <w:rFonts w:eastAsia="Calibri" w:cs="Arial"/>
                <w:sz w:val="18"/>
                <w:szCs w:val="16"/>
              </w:rPr>
            </w:pPr>
          </w:p>
          <w:p w:rsidR="00560E46" w:rsidRPr="00F639C6" w:rsidRDefault="00560E46" w:rsidP="00560E4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Information om utbildningar och evenemang.</w:t>
            </w:r>
          </w:p>
          <w:p w:rsidR="00A45935" w:rsidRDefault="00A45935" w:rsidP="00560E46">
            <w:pPr>
              <w:spacing w:line="220" w:lineRule="atLeast"/>
              <w:jc w:val="left"/>
              <w:rPr>
                <w:rFonts w:eastAsia="Calibri" w:cs="Arial"/>
                <w:sz w:val="18"/>
                <w:szCs w:val="16"/>
              </w:rPr>
            </w:pPr>
          </w:p>
          <w:p w:rsidR="0003762E" w:rsidRPr="00F639C6" w:rsidRDefault="0003762E" w:rsidP="00560E46">
            <w:pPr>
              <w:spacing w:line="220" w:lineRule="atLeast"/>
              <w:jc w:val="left"/>
              <w:rPr>
                <w:rFonts w:eastAsia="Calibri" w:cs="Arial"/>
                <w:sz w:val="18"/>
                <w:szCs w:val="16"/>
              </w:rPr>
            </w:pPr>
          </w:p>
          <w:p w:rsidR="00A45935" w:rsidRPr="00F639C6" w:rsidRDefault="00A45935" w:rsidP="00560E46">
            <w:pPr>
              <w:spacing w:line="220" w:lineRule="atLeast"/>
              <w:jc w:val="left"/>
              <w:rPr>
                <w:rFonts w:eastAsia="Calibri" w:cs="Arial"/>
                <w:sz w:val="18"/>
                <w:szCs w:val="16"/>
              </w:rPr>
            </w:pPr>
          </w:p>
          <w:p w:rsidR="00A45935" w:rsidRPr="00F639C6" w:rsidRDefault="00A45935" w:rsidP="00560E46">
            <w:pPr>
              <w:spacing w:line="220" w:lineRule="atLeast"/>
              <w:jc w:val="left"/>
              <w:rPr>
                <w:rFonts w:eastAsia="Calibri" w:cs="Arial"/>
                <w:sz w:val="18"/>
                <w:szCs w:val="16"/>
              </w:rPr>
            </w:pPr>
          </w:p>
          <w:p w:rsidR="00A45935" w:rsidRPr="00F639C6" w:rsidRDefault="00A45935" w:rsidP="00560E4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Information om nya tekniker.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Intervjuer och fokusgrupper, (t.ex. sammanställning av utfall [outcome harvesting]). </w:t>
            </w:r>
          </w:p>
          <w:p w:rsidR="00A45935" w:rsidRPr="00F639C6" w:rsidRDefault="00A45935" w:rsidP="00560E46">
            <w:pPr>
              <w:spacing w:line="220" w:lineRule="atLeast"/>
              <w:jc w:val="left"/>
              <w:rPr>
                <w:rFonts w:eastAsia="Calibri" w:cs="Arial"/>
                <w:sz w:val="18"/>
                <w:szCs w:val="18"/>
              </w:rPr>
            </w:pPr>
          </w:p>
          <w:p w:rsidR="00A45935" w:rsidRPr="00F639C6" w:rsidRDefault="00A45935" w:rsidP="00560E46">
            <w:pPr>
              <w:spacing w:line="220" w:lineRule="atLeast"/>
              <w:jc w:val="left"/>
              <w:rPr>
                <w:rFonts w:eastAsia="Calibri" w:cs="Arial"/>
                <w:sz w:val="18"/>
                <w:szCs w:val="18"/>
              </w:rPr>
            </w:pPr>
          </w:p>
          <w:p w:rsidR="00560E46" w:rsidRPr="00F639C6" w:rsidRDefault="00560E46" w:rsidP="00560E46">
            <w:pPr>
              <w:spacing w:line="220" w:lineRule="atLeast"/>
              <w:jc w:val="left"/>
              <w:rPr>
                <w:rFonts w:eastAsia="Calibri" w:cs="Arial"/>
                <w:sz w:val="18"/>
                <w:szCs w:val="18"/>
              </w:rPr>
            </w:pPr>
          </w:p>
          <w:p w:rsidR="00560E46" w:rsidRPr="00F639C6" w:rsidRDefault="00560E46" w:rsidP="00560E46">
            <w:pPr>
              <w:spacing w:line="220" w:lineRule="atLeast"/>
              <w:jc w:val="left"/>
              <w:rPr>
                <w:rFonts w:eastAsia="Calibri" w:cs="Arial"/>
                <w:sz w:val="18"/>
                <w:szCs w:val="18"/>
              </w:rPr>
            </w:pPr>
          </w:p>
          <w:p w:rsidR="00A45935" w:rsidRPr="00E05D08" w:rsidRDefault="00A45935" w:rsidP="00560E46">
            <w:pPr>
              <w:spacing w:line="220" w:lineRule="atLeast"/>
              <w:jc w:val="left"/>
              <w:rPr>
                <w:rFonts w:eastAsia="Calibri" w:cs="Arial"/>
                <w:sz w:val="18"/>
                <w:szCs w:val="18"/>
              </w:rPr>
            </w:pPr>
            <w:r>
              <w:rPr>
                <w:sz w:val="18"/>
                <w:szCs w:val="18"/>
              </w:rPr>
              <w:t>Övervakningssystem för landsbygdsprogrammet.</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Förslag på metoder för utvärdering</w:t>
      </w:r>
    </w:p>
    <w:p w:rsidR="00A45935" w:rsidRPr="00E05D08" w:rsidRDefault="00A45935" w:rsidP="00E05D08">
      <w:pPr>
        <w:spacing w:after="120" w:line="280" w:lineRule="atLeast"/>
        <w:mirrorIndents/>
        <w:rPr>
          <w:rFonts w:eastAsia="Times New Roman" w:cs="Arial"/>
          <w:szCs w:val="20"/>
        </w:rPr>
      </w:pPr>
      <w:r>
        <w:t xml:space="preserve">Den utvärderingsmetod som föreslås för att besvara gemensam utvärderingsfråga nr 30 är </w:t>
      </w:r>
      <w:r>
        <w:rPr>
          <w:b/>
          <w:szCs w:val="20"/>
        </w:rPr>
        <w:t>fallstudiemetoden</w:t>
      </w:r>
      <w:r>
        <w:t>. Följande steg rekommenderas för de utvärderare som utför bedömningen:</w:t>
      </w:r>
    </w:p>
    <w:p w:rsidR="00A45935" w:rsidRDefault="00A45935" w:rsidP="000026C6">
      <w:pPr>
        <w:pStyle w:val="Hlistbullet"/>
      </w:pPr>
      <w:r>
        <w:rPr>
          <w:b/>
        </w:rPr>
        <w:t>STEG 1 –</w:t>
      </w:r>
      <w:r>
        <w:t xml:space="preserve"> </w:t>
      </w:r>
      <w:r>
        <w:rPr>
          <w:b/>
        </w:rPr>
        <w:t>Identifiera betydande förändringar som landsbygdsprogrammet kan hävda att det har bidragit till genom att främja innovation via en eller fler av de tre handlingsvägarna</w:t>
      </w:r>
      <w:r>
        <w:t>. Detta kan göras med hänvisning till svaren på de gemensamma utvärderingsfrågorna 22–29 (avseende EU 2020-strategin och de övergripande målen för den gemensamma jordbrukspolitiken), genom att intervjua personal och/eller genomföra en skrivbordsgranskning av projektets dokumentation. De ansvariga för landsbygdsprogrammet kan till exempel hävda att de har bidragit till att förbättra jordbrukens lönsamhet väsentligt genom att utveckla en ny jordbruksmaskin som efterhand har fått stor spridning bland andra jordbrukare. Sökandet efter betydande förändringar bör utgå från förutsägelserna om den sannolika spridningen när innovationspotentialen fastställdes i början av programmet.</w:t>
      </w:r>
    </w:p>
    <w:p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79AB952F" wp14:editId="6467B5CE">
                <wp:extent cx="5374005" cy="3474720"/>
                <wp:effectExtent l="0" t="0" r="17145" b="11430"/>
                <wp:docPr id="719" name="Rectangle: Diagonal Corners Rounded 719"/>
                <wp:cNvGraphicFramePr/>
                <a:graphic xmlns:a="http://schemas.openxmlformats.org/drawingml/2006/main">
                  <a:graphicData uri="http://schemas.microsoft.com/office/word/2010/wordprocessingShape">
                    <wps:wsp>
                      <wps:cNvSpPr/>
                      <wps:spPr>
                        <a:xfrm>
                          <a:off x="0" y="0"/>
                          <a:ext cx="5374005" cy="3474720"/>
                        </a:xfrm>
                        <a:prstGeom prst="round2DiagRect">
                          <a:avLst>
                            <a:gd name="adj1" fmla="val 3961"/>
                            <a:gd name="adj2" fmla="val 0"/>
                          </a:avLst>
                        </a:prstGeom>
                        <a:noFill/>
                        <a:ln w="25400" cap="flat" cmpd="sng" algn="ctr">
                          <a:solidFill>
                            <a:srgbClr val="F07E31"/>
                          </a:solidFill>
                          <a:prstDash val="solid"/>
                        </a:ln>
                        <a:effectLst/>
                      </wps:spPr>
                      <wps:txbx>
                        <w:txbxContent>
                          <w:p w:rsidR="004C3777" w:rsidRPr="00253803" w:rsidRDefault="004C3777"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Ett tematiskt nätverk för jordbruk med höga naturvärden.</w:t>
                            </w:r>
                            <w:r>
                              <w:rPr>
                                <w:color w:val="F07E31"/>
                                <w:sz w:val="18"/>
                                <w:szCs w:val="18"/>
                              </w:rPr>
                              <w:t xml:space="preserve"> </w:t>
                            </w:r>
                          </w:p>
                          <w:p w:rsidR="004C3777" w:rsidRPr="00253803" w:rsidRDefault="004C3777" w:rsidP="00320AA0">
                            <w:pPr>
                              <w:spacing w:line="280" w:lineRule="atLeast"/>
                              <w:rPr>
                                <w:rFonts w:cs="Arial"/>
                                <w:sz w:val="18"/>
                                <w:szCs w:val="18"/>
                              </w:rPr>
                            </w:pPr>
                            <w:r>
                              <w:rPr>
                                <w:sz w:val="18"/>
                                <w:szCs w:val="18"/>
                              </w:rPr>
                              <w:t xml:space="preserve">Som en del av Horisont 2020-strategins forskningsprojekt </w:t>
                            </w:r>
                            <w:hyperlink r:id="rId98" w:history="1">
                              <w:r>
                                <w:rPr>
                                  <w:rStyle w:val="Hyperlink"/>
                                  <w:sz w:val="18"/>
                                  <w:szCs w:val="18"/>
                                </w:rPr>
                                <w:t>HNV-Link</w:t>
                              </w:r>
                            </w:hyperlink>
                            <w:r>
                              <w:rPr>
                                <w:sz w:val="18"/>
                                <w:szCs w:val="18"/>
                              </w:rPr>
                              <w:t xml:space="preserve"> har ett forskarteam tagit fram en bedömningsram för att analysera det utgångsläge för områden med höga naturvärden som innovation potentiellt kan bidra till. Denna bedömning av utgångsläget omfattar en analys av flera egenskaper som rör </w:t>
                            </w:r>
                          </w:p>
                          <w:p w:rsidR="004C3777" w:rsidRPr="00253803" w:rsidRDefault="004C3777" w:rsidP="00320AA0">
                            <w:pPr>
                              <w:numPr>
                                <w:ilvl w:val="0"/>
                                <w:numId w:val="63"/>
                              </w:numPr>
                              <w:ind w:left="567" w:hanging="567"/>
                              <w:contextualSpacing/>
                              <w:rPr>
                                <w:rFonts w:cs="Arial"/>
                                <w:sz w:val="18"/>
                                <w:szCs w:val="18"/>
                              </w:rPr>
                            </w:pPr>
                            <w:r>
                              <w:rPr>
                                <w:sz w:val="18"/>
                                <w:szCs w:val="18"/>
                              </w:rPr>
                              <w:t>jordbrukets ekosystem (mark, klimat och geografiska förhållanden),</w:t>
                            </w:r>
                          </w:p>
                          <w:p w:rsidR="004C3777" w:rsidRPr="00253803" w:rsidRDefault="004C3777" w:rsidP="00320AA0">
                            <w:pPr>
                              <w:numPr>
                                <w:ilvl w:val="0"/>
                                <w:numId w:val="63"/>
                              </w:numPr>
                              <w:ind w:left="567" w:hanging="567"/>
                              <w:contextualSpacing/>
                              <w:rPr>
                                <w:rFonts w:cs="Arial"/>
                                <w:sz w:val="18"/>
                                <w:szCs w:val="18"/>
                              </w:rPr>
                            </w:pPr>
                            <w:r>
                              <w:rPr>
                                <w:sz w:val="18"/>
                                <w:szCs w:val="18"/>
                              </w:rPr>
                              <w:t>jordbruken och deras dynamik i jordbrukssystemet,</w:t>
                            </w:r>
                          </w:p>
                          <w:p w:rsidR="004C3777" w:rsidRPr="00253803" w:rsidRDefault="004C3777" w:rsidP="00320AA0">
                            <w:pPr>
                              <w:numPr>
                                <w:ilvl w:val="0"/>
                                <w:numId w:val="63"/>
                              </w:numPr>
                              <w:ind w:left="567" w:hanging="567"/>
                              <w:contextualSpacing/>
                              <w:rPr>
                                <w:rFonts w:cs="Arial"/>
                                <w:sz w:val="18"/>
                                <w:szCs w:val="18"/>
                              </w:rPr>
                            </w:pPr>
                            <w:r>
                              <w:rPr>
                                <w:sz w:val="18"/>
                                <w:szCs w:val="18"/>
                              </w:rPr>
                              <w:t xml:space="preserve">förhållandena på landsbygden och allmänna drivkrafter (politiska åtgärder, tekniker, sociala förändringar), </w:t>
                            </w:r>
                          </w:p>
                          <w:p w:rsidR="004C3777" w:rsidRPr="00253803" w:rsidRDefault="004C3777" w:rsidP="00320AA0">
                            <w:pPr>
                              <w:numPr>
                                <w:ilvl w:val="0"/>
                                <w:numId w:val="63"/>
                              </w:numPr>
                              <w:ind w:left="567" w:hanging="567"/>
                              <w:contextualSpacing/>
                              <w:rPr>
                                <w:rFonts w:cs="Arial"/>
                                <w:sz w:val="18"/>
                                <w:szCs w:val="18"/>
                              </w:rPr>
                            </w:pPr>
                            <w:r>
                              <w:rPr>
                                <w:sz w:val="18"/>
                                <w:szCs w:val="18"/>
                              </w:rPr>
                              <w:t>övergripande frågor (aktörer och social organisation).</w:t>
                            </w:r>
                          </w:p>
                          <w:p w:rsidR="004C3777" w:rsidRPr="000E5745" w:rsidRDefault="004C3777" w:rsidP="00320AA0">
                            <w:pPr>
                              <w:pStyle w:val="Hlistbullet"/>
                              <w:numPr>
                                <w:ilvl w:val="0"/>
                                <w:numId w:val="0"/>
                              </w:numPr>
                              <w:rPr>
                                <w:sz w:val="18"/>
                                <w:szCs w:val="18"/>
                              </w:rPr>
                            </w:pPr>
                            <w:r>
                              <w:rPr>
                                <w:sz w:val="18"/>
                                <w:szCs w:val="18"/>
                              </w:rPr>
                              <w:t xml:space="preserve">Olika metoder som kombinerades för att skapa ett utgångsläge var 1) bedömning av jordbrukets ekosystem, 2) analys av jordbrukssystemet, 3) analys av förhållandena på landsbygden och 4) analys av aktörer. Denna metod används för att bygga upp en kontrafaktisk situation för att bedöma processen såväl som effekterna av de innovationer som genomförs i områden med höga naturvärden. Ett exempel på tillämpningen av metoden finns här: </w:t>
                            </w:r>
                            <w:hyperlink r:id="rId99"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AB952F" id="Rectangle: Diagonal Corners Rounded 719" o:spid="_x0000_s1055" style="width:423.15pt;height:273.6pt;visibility:visible;mso-wrap-style:square;mso-left-percent:-10001;mso-top-percent:-10001;mso-position-horizontal:absolute;mso-position-horizontal-relative:char;mso-position-vertical:absolute;mso-position-vertical-relative:line;mso-left-percent:-10001;mso-top-percent:-10001;v-text-anchor:middle" coordsize="5374005,3474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" adj="-11796480,,5400" path="m137634,l5374005,r,l5374005,3337086v,76013,-61621,137634,-137634,137634l,3474720r,l,137634c,61621,61621,,137634,xe" filled="f" strokecolor="#f07e31" strokeweight="2pt">
                <v:stroke joinstyle="miter"/>
                <v:formulas/>
                <v:path arrowok="t" o:connecttype="custom" o:connectlocs="137634,0;5374005,0;5374005,0;5374005,3337086;5236371,3474720;0,3474720;0,3474720;0,137634;137634,0" o:connectangles="0,0,0,0,0,0,0,0,0" textboxrect="0,0,5374005,3474720"/>
                <v:textbox>
                  <w:txbxContent>
                    <w:p w:rsidR="004C3777" w:rsidRPr="00253803" w:rsidRDefault="004C3777"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Ett tematiskt nätverk för jordbruk med höga naturvärden.</w:t>
                      </w:r>
                      <w:r>
                        <w:rPr>
                          <w:color w:val="F07E31"/>
                          <w:sz w:val="18"/>
                          <w:szCs w:val="18"/>
                        </w:rPr>
                        <w:t xml:space="preserve"> </w:t>
                      </w:r>
                    </w:p>
                    <w:p w:rsidR="004C3777" w:rsidRPr="00253803" w:rsidRDefault="004C3777" w:rsidP="00320AA0">
                      <w:pPr>
                        <w:spacing w:line="280" w:lineRule="atLeast"/>
                        <w:rPr>
                          <w:rFonts w:cs="Arial"/>
                          <w:sz w:val="18"/>
                          <w:szCs w:val="18"/>
                        </w:rPr>
                      </w:pPr>
                      <w:r>
                        <w:rPr>
                          <w:sz w:val="18"/>
                          <w:szCs w:val="18"/>
                        </w:rPr>
                        <w:t xml:space="preserve">Som en del av Horisont 2020-strategins forskningsprojekt </w:t>
                      </w:r>
                      <w:hyperlink r:id="rId100" w:history="1">
                        <w:r>
                          <w:rPr>
                            <w:rStyle w:val="Hyperlink"/>
                            <w:sz w:val="18"/>
                            <w:szCs w:val="18"/>
                          </w:rPr>
                          <w:t>HNV-Link</w:t>
                        </w:r>
                      </w:hyperlink>
                      <w:r>
                        <w:rPr>
                          <w:sz w:val="18"/>
                          <w:szCs w:val="18"/>
                        </w:rPr>
                        <w:t xml:space="preserve"> har ett forskarteam tagit fram en bedömningsram för att analysera det utgångsläge för områden med höga naturvärden som innovation potentiellt kan bidra till. Denna bedömning av utgångsläget omfattar en analys av flera egenskaper som rör </w:t>
                      </w:r>
                    </w:p>
                    <w:p w:rsidR="004C3777" w:rsidRPr="00253803" w:rsidRDefault="004C3777" w:rsidP="00320AA0">
                      <w:pPr>
                        <w:numPr>
                          <w:ilvl w:val="0"/>
                          <w:numId w:val="63"/>
                        </w:numPr>
                        <w:ind w:left="567" w:hanging="567"/>
                        <w:contextualSpacing/>
                        <w:rPr>
                          <w:rFonts w:cs="Arial"/>
                          <w:sz w:val="18"/>
                          <w:szCs w:val="18"/>
                        </w:rPr>
                      </w:pPr>
                      <w:r>
                        <w:rPr>
                          <w:sz w:val="18"/>
                          <w:szCs w:val="18"/>
                        </w:rPr>
                        <w:t>jordbrukets ekosystem (mark, klimat och geografiska förhållanden),</w:t>
                      </w:r>
                    </w:p>
                    <w:p w:rsidR="004C3777" w:rsidRPr="00253803" w:rsidRDefault="004C3777" w:rsidP="00320AA0">
                      <w:pPr>
                        <w:numPr>
                          <w:ilvl w:val="0"/>
                          <w:numId w:val="63"/>
                        </w:numPr>
                        <w:ind w:left="567" w:hanging="567"/>
                        <w:contextualSpacing/>
                        <w:rPr>
                          <w:rFonts w:cs="Arial"/>
                          <w:sz w:val="18"/>
                          <w:szCs w:val="18"/>
                        </w:rPr>
                      </w:pPr>
                      <w:r>
                        <w:rPr>
                          <w:sz w:val="18"/>
                          <w:szCs w:val="18"/>
                        </w:rPr>
                        <w:t>jordbruken och deras dynamik i jordbrukssystemet,</w:t>
                      </w:r>
                    </w:p>
                    <w:p w:rsidR="004C3777" w:rsidRPr="00253803" w:rsidRDefault="004C3777" w:rsidP="00320AA0">
                      <w:pPr>
                        <w:numPr>
                          <w:ilvl w:val="0"/>
                          <w:numId w:val="63"/>
                        </w:numPr>
                        <w:ind w:left="567" w:hanging="567"/>
                        <w:contextualSpacing/>
                        <w:rPr>
                          <w:rFonts w:cs="Arial"/>
                          <w:sz w:val="18"/>
                          <w:szCs w:val="18"/>
                        </w:rPr>
                      </w:pPr>
                      <w:r>
                        <w:rPr>
                          <w:sz w:val="18"/>
                          <w:szCs w:val="18"/>
                        </w:rPr>
                        <w:t xml:space="preserve">förhållandena på landsbygden och allmänna drivkrafter (politiska åtgärder, tekniker, sociala förändringar), </w:t>
                      </w:r>
                    </w:p>
                    <w:p w:rsidR="004C3777" w:rsidRPr="00253803" w:rsidRDefault="004C3777" w:rsidP="00320AA0">
                      <w:pPr>
                        <w:numPr>
                          <w:ilvl w:val="0"/>
                          <w:numId w:val="63"/>
                        </w:numPr>
                        <w:ind w:left="567" w:hanging="567"/>
                        <w:contextualSpacing/>
                        <w:rPr>
                          <w:rFonts w:cs="Arial"/>
                          <w:sz w:val="18"/>
                          <w:szCs w:val="18"/>
                        </w:rPr>
                      </w:pPr>
                      <w:r>
                        <w:rPr>
                          <w:sz w:val="18"/>
                          <w:szCs w:val="18"/>
                        </w:rPr>
                        <w:t>övergripande frågor (aktörer och social organisation).</w:t>
                      </w:r>
                    </w:p>
                    <w:p w:rsidR="004C3777" w:rsidRPr="000E5745" w:rsidRDefault="004C3777" w:rsidP="00320AA0">
                      <w:pPr>
                        <w:pStyle w:val="Hlistbullet"/>
                        <w:numPr>
                          <w:ilvl w:val="0"/>
                          <w:numId w:val="0"/>
                        </w:numPr>
                        <w:rPr>
                          <w:sz w:val="18"/>
                          <w:szCs w:val="18"/>
                        </w:rPr>
                      </w:pPr>
                      <w:r>
                        <w:rPr>
                          <w:sz w:val="18"/>
                          <w:szCs w:val="18"/>
                        </w:rPr>
                        <w:t xml:space="preserve">Olika metoder som kombinerades för att skapa ett utgångsläge var 1) bedömning av jordbrukets ekosystem, 2) analys av jordbrukssystemet, 3) analys av förhållandena på landsbygden och 4) analys av aktörer. Denna metod används för att bygga upp en kontrafaktisk situation för att bedöma processen såväl som effekterna av de innovationer som genomförs i områden med höga naturvärden. Ett exempel på tillämpningen av metoden finns här: </w:t>
                      </w:r>
                      <w:hyperlink r:id="rId101" w:history="1">
                        <w:r>
                          <w:rPr>
                            <w:rStyle w:val="Hyperlink"/>
                            <w:sz w:val="18"/>
                            <w:szCs w:val="18"/>
                          </w:rPr>
                          <w:t>http://www.hnvlink.eu/download/D1.3BAcomplete.pdf</w:t>
                        </w:r>
                      </w:hyperlink>
                    </w:p>
                  </w:txbxContent>
                </v:textbox>
                <w10:anchorlock/>
              </v:shape>
            </w:pict>
          </mc:Fallback>
        </mc:AlternateContent>
      </w:r>
    </w:p>
    <w:p w:rsidR="00A45935" w:rsidRPr="00F74623" w:rsidRDefault="00A45935" w:rsidP="000026C6">
      <w:pPr>
        <w:pStyle w:val="Hlistbullet"/>
      </w:pPr>
      <w:r>
        <w:rPr>
          <w:b/>
        </w:rPr>
        <w:t>STEG 2 – Samla in information om landsbygdsprogrammets resultat mot bakgrund av bedömningskriterierna och indikatorerna</w:t>
      </w:r>
      <w:r>
        <w:t xml:space="preserve"> (enligt tabell 9 över utvärderingsfaktorer) för de tre delfrågor angående i vilken utsträckning programmet har påverkat de tre handlingsvägarna. </w:t>
      </w:r>
    </w:p>
    <w:p w:rsidR="00A45935" w:rsidRPr="00717885" w:rsidRDefault="007F7F99" w:rsidP="000026C6">
      <w:pPr>
        <w:pStyle w:val="Hlistbullet2"/>
      </w:pPr>
      <w:r>
        <w:rPr>
          <w:noProof/>
          <w:highlight w:val="yellow"/>
          <w:lang w:val="en-GB" w:eastAsia="en-GB"/>
        </w:rPr>
        <w:lastRenderedPageBreak/>
        <mc:AlternateContent>
          <mc:Choice Requires="wps">
            <w:drawing>
              <wp:anchor distT="0" distB="0" distL="114300" distR="114300" simplePos="0" relativeHeight="251651072" behindDoc="0" locked="0" layoutInCell="1" allowOverlap="1" wp14:anchorId="35AC199A" wp14:editId="2CE2347D">
                <wp:simplePos x="0" y="0"/>
                <wp:positionH relativeFrom="column">
                  <wp:posOffset>146685</wp:posOffset>
                </wp:positionH>
                <wp:positionV relativeFrom="paragraph">
                  <wp:posOffset>666750</wp:posOffset>
                </wp:positionV>
                <wp:extent cx="5414645" cy="2467610"/>
                <wp:effectExtent l="0" t="0" r="14605" b="27940"/>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467610"/>
                        </a:xfrm>
                        <a:prstGeom prst="round2DiagRect">
                          <a:avLst>
                            <a:gd name="adj1" fmla="val 7843"/>
                            <a:gd name="adj2" fmla="val 0"/>
                          </a:avLst>
                        </a:prstGeom>
                        <a:noFill/>
                        <a:ln w="25400" cap="flat" cmpd="sng" algn="ctr">
                          <a:solidFill>
                            <a:srgbClr val="BE4A35"/>
                          </a:solidFill>
                          <a:prstDash val="solid"/>
                        </a:ln>
                        <a:effectLst/>
                      </wps:spPr>
                      <wps:txbx>
                        <w:txbxContent>
                          <w:p w:rsidR="004C3777" w:rsidRPr="003D7EC4" w:rsidRDefault="004C3777" w:rsidP="00E05D08">
                            <w:pPr>
                              <w:pStyle w:val="HStandard"/>
                              <w:rPr>
                                <w:rFonts w:cs="Arial"/>
                                <w:sz w:val="18"/>
                              </w:rPr>
                            </w:pPr>
                            <w:r>
                              <w:rPr>
                                <w:noProof/>
                                <w:lang w:val="en-GB" w:eastAsia="en-GB"/>
                              </w:rPr>
                              <w:drawing>
                                <wp:inline distT="0" distB="0" distL="0" distR="0" wp14:anchorId="63502ABC" wp14:editId="15845421">
                                  <wp:extent cx="664845" cy="487680"/>
                                  <wp:effectExtent l="0" t="0" r="0" b="7620"/>
                                  <wp:docPr id="729"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Antagandet av innovativa idéer, processer, modeller och/eller tekniker som införts genom landsbygdsprogrammet kan utvärderas med hjälp av </w:t>
                            </w:r>
                            <w:r>
                              <w:rPr>
                                <w:b/>
                                <w:sz w:val="18"/>
                              </w:rPr>
                              <w:t>enkäter</w:t>
                            </w:r>
                            <w:r>
                              <w:rPr>
                                <w:sz w:val="18"/>
                              </w:rPr>
                              <w:t xml:space="preserve"> som mäter graden och omfattningen av antagandet av nya idéer och fastställer deras ursprung. Enkäterna bör</w:t>
                            </w:r>
                          </w:p>
                          <w:p w:rsidR="004C3777" w:rsidRPr="003D7EC4" w:rsidRDefault="004C3777" w:rsidP="008C0B17">
                            <w:pPr>
                              <w:pStyle w:val="HStandard"/>
                              <w:numPr>
                                <w:ilvl w:val="3"/>
                                <w:numId w:val="43"/>
                              </w:numPr>
                            </w:pPr>
                            <w:r>
                              <w:rPr>
                                <w:sz w:val="18"/>
                              </w:rPr>
                              <w:t>omfatta de som antog den nya idén, men även de som inte antog den, och bör sträva efter att a) klargöra skälen till att den nya idén inte antogs och b) fastställa om det finns alternativa sätt att hantera det problem som den nya idén är inriktad på,</w:t>
                            </w:r>
                          </w:p>
                          <w:p w:rsidR="004C3777" w:rsidRPr="000E5745" w:rsidRDefault="004C3777" w:rsidP="008C0B17">
                            <w:pPr>
                              <w:pStyle w:val="HStandard"/>
                              <w:numPr>
                                <w:ilvl w:val="3"/>
                                <w:numId w:val="43"/>
                              </w:numPr>
                            </w:pPr>
                            <w:r>
                              <w:rPr>
                                <w:sz w:val="18"/>
                              </w:rPr>
                              <w:t xml:space="preserve">skickas ut till både de som har antagit en ny idé och de som inte har antagit den i områden där man vet att idén har antagits såväl som i områden som identifierats som lovande under bedömningen av innovationspotential (se </w:t>
                            </w:r>
                            <w:hyperlink w:anchor="Screening_Potential" w:history="1">
                              <w:r>
                                <w:rPr>
                                  <w:rStyle w:val="Hyperlink"/>
                                  <w:sz w:val="18"/>
                                </w:rPr>
                                <w:t>kapitel 2.2</w:t>
                              </w:r>
                            </w:hyperlink>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199A" id="Rectangle: Diagonal Corners Rounded 562" o:spid="_x0000_s1056" style="position:absolute;left:0;text-align:left;margin-left:11.55pt;margin-top:52.5pt;width:426.35pt;height:19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467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" adj="-11796480,,5400" path="m193535,l5414645,r,l5414645,2274075v,106886,-86649,193535,-193535,193535l,2467610r,l,193535c,86649,86649,,193535,xe" filled="f" strokecolor="#be4a35" strokeweight="2pt">
                <v:stroke joinstyle="miter"/>
                <v:formulas/>
                <v:path arrowok="t" o:connecttype="custom" o:connectlocs="193535,0;5414645,0;5414645,0;5414645,2274075;5221110,2467610;0,2467610;0,2467610;0,193535;193535,0" o:connectangles="0,0,0,0,0,0,0,0,0" textboxrect="0,0,5414645,2467610"/>
                <v:textbox>
                  <w:txbxContent>
                    <w:p w:rsidR="004C3777" w:rsidRPr="003D7EC4" w:rsidRDefault="004C3777" w:rsidP="00E05D08">
                      <w:pPr>
                        <w:pStyle w:val="HStandard"/>
                        <w:rPr>
                          <w:rFonts w:cs="Arial"/>
                          <w:sz w:val="18"/>
                        </w:rPr>
                      </w:pPr>
                      <w:r>
                        <w:rPr>
                          <w:noProof/>
                          <w:lang w:val="en-GB" w:eastAsia="en-GB"/>
                        </w:rPr>
                        <w:drawing>
                          <wp:inline distT="0" distB="0" distL="0" distR="0" wp14:anchorId="63502ABC" wp14:editId="15845421">
                            <wp:extent cx="664845" cy="487680"/>
                            <wp:effectExtent l="0" t="0" r="0" b="7620"/>
                            <wp:docPr id="729"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Antagandet av innovativa idéer, processer, modeller och/eller tekniker som införts genom landsbygdsprogrammet kan utvärderas med hjälp av </w:t>
                      </w:r>
                      <w:r>
                        <w:rPr>
                          <w:b/>
                          <w:sz w:val="18"/>
                        </w:rPr>
                        <w:t>enkäter</w:t>
                      </w:r>
                      <w:r>
                        <w:rPr>
                          <w:sz w:val="18"/>
                        </w:rPr>
                        <w:t xml:space="preserve"> som mäter graden och omfattningen av antagandet av nya idéer och fastställer deras ursprung. Enkäterna bör</w:t>
                      </w:r>
                    </w:p>
                    <w:p w:rsidR="004C3777" w:rsidRPr="003D7EC4" w:rsidRDefault="004C3777" w:rsidP="008C0B17">
                      <w:pPr>
                        <w:pStyle w:val="HStandard"/>
                        <w:numPr>
                          <w:ilvl w:val="3"/>
                          <w:numId w:val="43"/>
                        </w:numPr>
                      </w:pPr>
                      <w:r>
                        <w:rPr>
                          <w:sz w:val="18"/>
                        </w:rPr>
                        <w:t>omfatta de som antog den nya idén, men även de som inte antog den, och bör sträva efter att a) klargöra skälen till att den nya idén inte antogs och b) fastställa om det finns alternativa sätt att hantera det problem som den nya idén är inriktad på,</w:t>
                      </w:r>
                    </w:p>
                    <w:p w:rsidR="004C3777" w:rsidRPr="000E5745" w:rsidRDefault="004C3777" w:rsidP="008C0B17">
                      <w:pPr>
                        <w:pStyle w:val="HStandard"/>
                        <w:numPr>
                          <w:ilvl w:val="3"/>
                          <w:numId w:val="43"/>
                        </w:numPr>
                      </w:pPr>
                      <w:r>
                        <w:rPr>
                          <w:sz w:val="18"/>
                        </w:rPr>
                        <w:t xml:space="preserve">skickas ut till både de som har antagit en ny idé och de som inte har antagit den i områden där man vet att idén har antagits såväl som i områden som identifierats som lovande under bedömningen av innovationspotential (se </w:t>
                      </w:r>
                      <w:hyperlink w:anchor="Screening_Potential" w:history="1">
                        <w:r>
                          <w:rPr>
                            <w:rStyle w:val="Hyperlink"/>
                            <w:sz w:val="18"/>
                          </w:rPr>
                          <w:t>kapitel 2.2</w:t>
                        </w:r>
                      </w:hyperlink>
                      <w:r>
                        <w:rPr>
                          <w:sz w:val="18"/>
                        </w:rPr>
                        <w:t xml:space="preserve">). </w:t>
                      </w:r>
                    </w:p>
                  </w:txbxContent>
                </v:textbox>
                <w10:wrap type="square"/>
              </v:shape>
            </w:pict>
          </mc:Fallback>
        </mc:AlternateContent>
      </w:r>
      <w:r w:rsidR="00037CA6">
        <w:rPr>
          <w:b/>
        </w:rPr>
        <w:t>Handlingsväg 1</w:t>
      </w:r>
      <w:r w:rsidR="00037CA6">
        <w:t xml:space="preserve"> har bedömningskriteriet ”antagande av innovativa idéer, processer, modeller och/eller tekniker som införts genom landsbygdsprogrammet”. Detta kan mätas med de gemensamma och kompletterande indikatorer som anges i tabell 9. För de gemensamma indikatorerna kan uppgifter samlas in via insatsdatabasen. För de kompletterande indikatorerna kan uppgifter och information samlas in via en enkät som organiseras och genomförs av utvärderaren (se nedanstående exempel)</w:t>
      </w:r>
    </w:p>
    <w:p w:rsidR="00A45935" w:rsidRPr="00717885" w:rsidRDefault="00A45935" w:rsidP="000026C6">
      <w:pPr>
        <w:pStyle w:val="Hlistbullet2"/>
      </w:pPr>
      <w:r>
        <w:rPr>
          <w:b/>
        </w:rPr>
        <w:t>Handlingsväg 2</w:t>
      </w:r>
      <w:r>
        <w:t xml:space="preserve"> har tre bedömningskriterier som åtföljs av resultatindikatorer.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Den första gäller ökat samarbete och utbyte mellan aktörer som är involverade i genomförandet av den förändring som landsbygdsprogrammet har bidragit till. Detta omfattar en identifiering av avtal mellan partner som landsbygdsprogrammet har förmedlat med hjälp av de kompletterande resultatindikatorerna ”antal formella partnerskap som förmedlats genom landsbygdsprogrammet och som kopplas till de förändringar inom prioriteringarna för landsbygdsutveckling som programmet har bidragit till” och ”ökning (%) i antal och typer av partner som deltar i samarbetsprojekt” (se arbetsdokumentet </w:t>
      </w:r>
      <w:hyperlink r:id="rId102" w:history="1">
        <w:r>
          <w:rPr>
            <w:i/>
            <w:color w:val="F07E31"/>
            <w:szCs w:val="20"/>
            <w:u w:val="single"/>
          </w:rPr>
          <w:t>CEQs for RDPs 2014-2020</w:t>
        </w:r>
      </w:hyperlink>
      <w:r>
        <w:t xml:space="preserve">). Uppgifter och information för den första kompletterande indikatorn kan samlas in av utvärderarna under utvärderingen via intervjuer och fokusgrupper med partner som deltar i etablerade partnerskap. För den andra kompletterande indikatorn kan uppgifterna samlas in direkt från insatsdatabasen.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Den andra indikatorn gäller landsbygdsprogrammets bidrag till ökad kunskap, reflektion och utbyte. Detta omfattar en identifiering av plattformar (t.ex. övningssamhällen), grupper och andra former av institutionellt utrymme (t.ex. granskningar efter åtgärder), både virtuella och på plats, som gör det möjligt för deltagarna i innovationsprocessen att utbyta erfarenheter, reflektera över deras betydelse och värde, sprida kunskap och vidta efterföljande åtgärder. Den kompletterande resultatindikatorn ”antal och kvalitet på plattformar och utrymmen som stöder innovation och som landsbygdsprogrammet har inrättat eller stärkt” kan användas för att mäta den framgång som specificeras genom detta bedömningskriterium.</w:t>
      </w:r>
      <w:r>
        <w:rPr>
          <w:i/>
          <w:sz w:val="18"/>
          <w:szCs w:val="16"/>
        </w:rPr>
        <w:t xml:space="preserve"> </w:t>
      </w:r>
      <w:r>
        <w:t xml:space="preserve">Kvantitativ och kvalitativ information ska samlas in av utvärderarna under utvärderingen (t.ex. med hjälp av intervjuer i fokusgrupper med deltagare i ovannämnda plattformar/utrymmen).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652096" behindDoc="0" locked="0" layoutInCell="1" allowOverlap="1" wp14:anchorId="24A1BA36" wp14:editId="295E4E0C">
                <wp:simplePos x="0" y="0"/>
                <wp:positionH relativeFrom="column">
                  <wp:posOffset>3319780</wp:posOffset>
                </wp:positionH>
                <wp:positionV relativeFrom="paragraph">
                  <wp:posOffset>1188085</wp:posOffset>
                </wp:positionV>
                <wp:extent cx="2360930" cy="2341880"/>
                <wp:effectExtent l="0" t="0" r="20320" b="2032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341880"/>
                        </a:xfrm>
                        <a:prstGeom prst="round2DiagRect">
                          <a:avLst>
                            <a:gd name="adj1" fmla="val 7843"/>
                            <a:gd name="adj2" fmla="val 0"/>
                          </a:avLst>
                        </a:prstGeom>
                        <a:noFill/>
                        <a:ln w="25400" cap="flat" cmpd="sng" algn="ctr">
                          <a:solidFill>
                            <a:srgbClr val="BE4A35"/>
                          </a:solidFill>
                          <a:prstDash val="solid"/>
                        </a:ln>
                        <a:effectLst/>
                      </wps:spPr>
                      <wps:txbx>
                        <w:txbxContent>
                          <w:p w:rsidR="004C3777" w:rsidRPr="000E5745" w:rsidRDefault="004C3777" w:rsidP="00E05D08">
                            <w:pPr>
                              <w:pStyle w:val="HStandard"/>
                            </w:pPr>
                            <w:r>
                              <w:rPr>
                                <w:noProof/>
                                <w:lang w:val="en-GB"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Outcome harvesting</w:t>
                            </w:r>
                            <w:r>
                              <w:rPr>
                                <w:color w:val="BE4A35"/>
                                <w:sz w:val="18"/>
                              </w:rPr>
                              <w:t xml:space="preserve"> </w:t>
                            </w:r>
                            <w:r>
                              <w:rPr>
                                <w:sz w:val="18"/>
                              </w:rPr>
                              <w:t>(sammanställning av utfall) är en metod där landsbygdsprogrammet ombeds att byta ombud (de som är involverade i landsbygdsprogrammets politiska engagemang) för att identifiera vilka politiska förändringar som programmet har bidragit till, varefter kunniga och oberoende personer ombeds att validera påståendena.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1BA36" id="Rectangle: Diagonal Corners Rounded 564" o:spid="_x0000_s1057" style="position:absolute;left:0;text-align:left;margin-left:261.4pt;margin-top:93.55pt;width:185.9pt;height:18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341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" adj="-11796480,,5400" path="m183674,l2360930,r,l2360930,2158206v,101440,-82234,183674,-183674,183674l,2341880r,l,183674c,82234,82234,,183674,xe" filled="f" strokecolor="#be4a35" strokeweight="2pt">
                <v:stroke joinstyle="miter"/>
                <v:formulas/>
                <v:path arrowok="t" o:connecttype="custom" o:connectlocs="183674,0;2360930,0;2360930,0;2360930,2158206;2177256,2341880;0,2341880;0,2341880;0,183674;183674,0" o:connectangles="0,0,0,0,0,0,0,0,0" textboxrect="0,0,2360930,2341880"/>
                <v:textbox>
                  <w:txbxContent>
                    <w:p w:rsidR="004C3777" w:rsidRPr="000E5745" w:rsidRDefault="004C3777" w:rsidP="00E05D08">
                      <w:pPr>
                        <w:pStyle w:val="HStandard"/>
                      </w:pPr>
                      <w:r>
                        <w:rPr>
                          <w:noProof/>
                          <w:lang w:val="en-GB"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Outcome harvesting</w:t>
                      </w:r>
                      <w:r>
                        <w:rPr>
                          <w:color w:val="BE4A35"/>
                          <w:sz w:val="18"/>
                        </w:rPr>
                        <w:t xml:space="preserve"> </w:t>
                      </w:r>
                      <w:r>
                        <w:rPr>
                          <w:sz w:val="18"/>
                        </w:rPr>
                        <w:t>(sammanställning av utfall) är en metod där landsbygdsprogrammet ombeds att byta ombud (de som är involverade i landsbygdsprogrammets politiska engagemang) för att identifiera vilka politiska förändringar som programmet har bidragit till, varefter kunniga och oberoende personer ombeds att validera påståendena.</w:t>
                      </w:r>
                    </w:p>
                  </w:txbxContent>
                </v:textbox>
                <w10:wrap type="square"/>
              </v:shape>
            </w:pict>
          </mc:Fallback>
        </mc:AlternateContent>
      </w:r>
      <w:r>
        <w:t>Den tredje indikatorn gäller förbättringar i flödet av information och variationen av organisationstyper i det innovationssystem där förändringen ägde rum. Bevis kan samlas in med den kompletterande resultatindikatorn ”minskning av den genomsnittliga längden på nätverkens vägar och av nätverkens variation”. Den kan mätas genom den analys av det sociala nätverket som utförs av utvärderaren vid tidpunkten för utvärderingen.</w:t>
      </w:r>
      <w:r>
        <w:rPr>
          <w:b/>
          <w:i/>
          <w:color w:val="BE4A35"/>
          <w:szCs w:val="20"/>
        </w:rPr>
        <w:t xml:space="preserve"> Analys av sociala nätverk</w:t>
      </w:r>
      <w:r>
        <w:rPr>
          <w:rFonts w:eastAsia="Calibri" w:cs="Times New Roman"/>
          <w:szCs w:val="20"/>
          <w:vertAlign w:val="superscript"/>
        </w:rPr>
        <w:footnoteReference w:id="77"/>
      </w:r>
      <w:r>
        <w:t xml:space="preserve"> är den metod som ska användas för att samla in bevis för de berörda indikatorerna vid två tidpunkter och för att beräkna förändringar i den genomsnittliga längden på nätverkens vägar och antalet olika typer av deltagande aktörer. Förändringarna måste sedan härledas tillbaka till landsbygdsprogrammets intervention genom </w:t>
      </w:r>
      <w:r>
        <w:rPr>
          <w:b/>
          <w:i/>
          <w:szCs w:val="20"/>
        </w:rPr>
        <w:t>intervjuer</w:t>
      </w:r>
      <w:r>
        <w:t xml:space="preserve"> av kunniga och oberoende personer som kan verifiera eller avfärda påståendena om orsakssamband. Utgångsläget bör helst vara fastställt som en del av uppskattningen av innovationspotentialen i början av landsbygdsprogrammet.</w:t>
      </w:r>
    </w:p>
    <w:p w:rsidR="00A45935" w:rsidRPr="00E34FAC" w:rsidRDefault="00A45935" w:rsidP="00A847F8">
      <w:pPr>
        <w:pStyle w:val="Hlistbullet2"/>
      </w:pPr>
      <w:r>
        <w:rPr>
          <w:b/>
        </w:rPr>
        <w:t>Handlingsväg 3</w:t>
      </w:r>
      <w:r>
        <w:t xml:space="preserve"> har flera bedömningskriterier som är kopplade till olika typer av gynnsamma miljöer enligt beskrivningen i kapitel 1.1.</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Den första gäller i vilken utsträckning landsbygdsprogrammet har välgrundade strategier som stöder de förändringar som programmet har bidragit till. Detta kräver en identifiering av de strategier som landsbygdsprogrammet kan hävda att det har påverkat följt av en bevisprocess för att fastställa påståendenas legitimitet. Bevisen kan samlas in med hjälp av den kompletterande resultatindikatorn ”antal och typer av strategier som landsbygdsprogrammet har påverkat vid nivån för de deltagande organisationerna och den bredare gynnsamma miljön” under utvärderingen. Outcome harvesting</w:t>
      </w:r>
      <w:r>
        <w:rPr>
          <w:rFonts w:eastAsia="Times New Roman" w:cs="Arial"/>
          <w:szCs w:val="20"/>
          <w:vertAlign w:val="superscript"/>
          <w:lang w:eastAsia="de-DE"/>
        </w:rPr>
        <w:footnoteReference w:id="78"/>
      </w:r>
      <w:r>
        <w:t xml:space="preserve"> är en metod som är lämplig för utvärdering av landsbygdsprogrammets politiska engagemang.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Det andra bedömningskriteriet gäller möjligheten till utbildning och utbyte av innovativa metoder som stöds av landsbygdsprogrammet. För insamling av bevis föreslås den kompletterande resultatindikatorn ”antal utbildningar och evenemang för utbyte av innovativa metoder och deras andel av det totala antalet utbildningar/evenemang som stöds av landsbygdsprogrammet”. Uppgifter för indikatorn kan samlas in via insatsdatabasen efter att informationen om utbildningar och evenemang har kopplats till innovation.</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Det tredje bedömningskriteriet är kopplat till möjlighetsskapande samverkan mellan innovationsaktörerna. För att mäta framgång med koppling till detta bedömningskriterium rekommenderas användningen av den kompletterande resultatindikatorn ”antal evenemang som anordnats med inriktning på upprättandet av kontakter mellan innovationsaktörer som stöds av landsbygdsprogrammet”. Uppgifter för denna indikator kan samlas in via insatsdatabasen (t.ex. genom att </w:t>
      </w:r>
      <w:r>
        <w:lastRenderedPageBreak/>
        <w:t xml:space="preserve">lägga till information om innovationsaktörer som stöds av landsbygdsprogrammet till övervakningen av evenemang). </w:t>
      </w:r>
    </w:p>
    <w:p w:rsidR="001275FF" w:rsidRDefault="00A45935" w:rsidP="00A847F8">
      <w:pPr>
        <w:numPr>
          <w:ilvl w:val="0"/>
          <w:numId w:val="48"/>
        </w:numPr>
        <w:spacing w:before="60" w:after="120" w:line="280" w:lineRule="atLeast"/>
        <w:ind w:left="1701" w:hanging="567"/>
        <w:rPr>
          <w:rFonts w:eastAsia="Calibri" w:cs="Arial"/>
          <w:szCs w:val="20"/>
        </w:rPr>
      </w:pPr>
      <w:r>
        <w:t xml:space="preserve">Det fjärde bedömningskriteriet gäller landsbygdsprogrammets förmåga att skapa en gynnsam miljö för införande av nya tekniker. Det kan mätas med hjälp av den kompletterande resultatindikatorn ”antal nya tekniker i landsbygdsområden som stöds av landsbygdsprogrammet uppdelade efter typ”. Information som behövs för denna indikator kan samlas in från insatsdatabasen om den har anpassats på rätt sätt. </w:t>
      </w:r>
    </w:p>
    <w:p w:rsidR="00A45935" w:rsidRPr="001275FF" w:rsidRDefault="001275FF" w:rsidP="001275FF">
      <w:pPr>
        <w:jc w:val="left"/>
        <w:rPr>
          <w:rFonts w:eastAsia="Calibri" w:cs="Arial"/>
          <w:szCs w:val="20"/>
        </w:rPr>
      </w:pPr>
      <w:r>
        <w:br w:type="page"/>
      </w:r>
    </w:p>
    <w:p w:rsidR="00A45935" w:rsidRPr="000E1023" w:rsidRDefault="00D65F31" w:rsidP="00A847F8">
      <w:pPr>
        <w:pStyle w:val="Hlistbullet"/>
        <w:rPr>
          <w:color w:val="FFFFFF" w:themeColor="background1"/>
        </w:rPr>
      </w:pPr>
      <w:r>
        <w:rPr>
          <w:b/>
          <w:noProof/>
          <w:highlight w:val="yellow"/>
          <w:lang w:val="en-GB" w:eastAsia="en-GB"/>
        </w:rPr>
        <w:lastRenderedPageBreak/>
        <mc:AlternateContent>
          <mc:Choice Requires="wps">
            <w:drawing>
              <wp:anchor distT="0" distB="0" distL="114300" distR="114300" simplePos="0" relativeHeight="251627520" behindDoc="0" locked="0" layoutInCell="1" allowOverlap="1" wp14:anchorId="7C1AB931" wp14:editId="3771719A">
                <wp:simplePos x="0" y="0"/>
                <wp:positionH relativeFrom="column">
                  <wp:posOffset>41910</wp:posOffset>
                </wp:positionH>
                <wp:positionV relativeFrom="paragraph">
                  <wp:posOffset>2053394</wp:posOffset>
                </wp:positionV>
                <wp:extent cx="5670550" cy="2538730"/>
                <wp:effectExtent l="0" t="0" r="25400" b="1397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538730"/>
                        </a:xfrm>
                        <a:prstGeom prst="round2DiagRect">
                          <a:avLst>
                            <a:gd name="adj1" fmla="val 7843"/>
                            <a:gd name="adj2" fmla="val 0"/>
                          </a:avLst>
                        </a:prstGeom>
                        <a:noFill/>
                        <a:ln w="25400" cap="flat" cmpd="sng" algn="ctr">
                          <a:solidFill>
                            <a:srgbClr val="BE4A35"/>
                          </a:solidFill>
                          <a:prstDash val="solid"/>
                        </a:ln>
                        <a:effectLst/>
                      </wps:spPr>
                      <wps:txbx>
                        <w:txbxContent>
                          <w:p w:rsidR="004C3777" w:rsidRPr="00EF653F" w:rsidRDefault="004C3777"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Tekniker för utarbetande av redogörelsen och värdering av resultaten</w:t>
                            </w:r>
                          </w:p>
                          <w:p w:rsidR="004C3777" w:rsidRPr="00EF653F" w:rsidRDefault="004C3777" w:rsidP="00E05D08">
                            <w:pPr>
                              <w:pStyle w:val="HStandard"/>
                              <w:rPr>
                                <w:rFonts w:cs="Arial"/>
                                <w:sz w:val="18"/>
                                <w:szCs w:val="18"/>
                              </w:rPr>
                            </w:pPr>
                            <w:r>
                              <w:rPr>
                                <w:sz w:val="18"/>
                                <w:szCs w:val="18"/>
                              </w:rPr>
                              <w:t>Vid utarbetandet av redogörelsen kan utvärderaren använda flera olika</w:t>
                            </w:r>
                            <w:r>
                              <w:rPr>
                                <w:b/>
                                <w:sz w:val="18"/>
                                <w:szCs w:val="18"/>
                              </w:rPr>
                              <w:t xml:space="preserve"> tekniker för att triangelmäta och underbygga fallet. </w:t>
                            </w:r>
                            <w:r>
                              <w:rPr>
                                <w:sz w:val="18"/>
                                <w:szCs w:val="18"/>
                              </w:rPr>
                              <w:t>Dessa tekniker omfattar en bidragsanalys där utvärderaren identifierar ett nödvändigt och tillräckligt paket med orsaker för att förklara förändringen</w:t>
                            </w:r>
                            <w:r>
                              <w:rPr>
                                <w:sz w:val="18"/>
                                <w:szCs w:val="18"/>
                                <w:vertAlign w:val="superscript"/>
                              </w:rPr>
                              <w:t>82</w:t>
                            </w:r>
                            <w:r>
                              <w:rPr>
                                <w:sz w:val="18"/>
                                <w:szCs w:val="18"/>
                              </w:rPr>
                              <w:t>, fastställande och avvisande av alternativa orsaksförklaringar</w:t>
                            </w:r>
                            <w:r>
                              <w:rPr>
                                <w:sz w:val="18"/>
                                <w:szCs w:val="18"/>
                                <w:vertAlign w:val="superscript"/>
                              </w:rPr>
                              <w:t>83</w:t>
                            </w:r>
                            <w:r>
                              <w:rPr>
                                <w:sz w:val="18"/>
                                <w:szCs w:val="18"/>
                              </w:rPr>
                              <w:t xml:space="preserve"> och/eller identifiering och underbyggande av avgörande delar i beviskedjan som sammanställts för att bevisa landsbygdsprogrammets bidrag</w:t>
                            </w:r>
                            <w:r>
                              <w:rPr>
                                <w:sz w:val="18"/>
                                <w:szCs w:val="18"/>
                                <w:vertAlign w:val="superscript"/>
                              </w:rPr>
                              <w:t>84</w:t>
                            </w:r>
                            <w:r>
                              <w:rPr>
                                <w:sz w:val="18"/>
                                <w:szCs w:val="18"/>
                              </w:rPr>
                              <w:t>.</w:t>
                            </w:r>
                          </w:p>
                          <w:p w:rsidR="004C3777" w:rsidRPr="000E5745" w:rsidRDefault="004C3777" w:rsidP="00E05D08">
                            <w:pPr>
                              <w:pStyle w:val="HStandard"/>
                            </w:pPr>
                            <w:r>
                              <w:rPr>
                                <w:sz w:val="18"/>
                                <w:szCs w:val="18"/>
                              </w:rPr>
                              <w:t>Omfattningen av landsbygdsprogrammets bidrag bör bedömas på en likertskala</w:t>
                            </w:r>
                            <w:r>
                              <w:rPr>
                                <w:sz w:val="18"/>
                                <w:szCs w:val="18"/>
                                <w:vertAlign w:val="superscript"/>
                              </w:rPr>
                              <w:t>85</w:t>
                            </w:r>
                            <w:r>
                              <w:rPr>
                                <w:sz w:val="18"/>
                                <w:szCs w:val="18"/>
                              </w:rPr>
                              <w:t xml:space="preserve"> som ”ingen”, ”liten”, ”viss” eller ”stor” bidragande faktor eller ”enda bidragande faktor”. Utvärderaren bör även gradera det förtroende som denne har för resultatens tillförlitlighet på en femgradig skala. Den bedömda tillförlitligheten måste motiveras.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B931" id="Rectangle: Diagonal Corners Rounded 566" o:spid="_x0000_s1058" style="position:absolute;left:0;text-align:left;margin-left:3.3pt;margin-top:161.7pt;width:446.5pt;height:199.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538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" adj="-11796480,,5400" path="m199113,l5670550,r,l5670550,2339617v,109967,-89146,199113,-199113,199113l,2538730r,l,199113c,89146,89146,,199113,xe" filled="f" strokecolor="#be4a35" strokeweight="2pt">
                <v:stroke joinstyle="miter"/>
                <v:formulas/>
                <v:path arrowok="t" o:connecttype="custom" o:connectlocs="199113,0;5670550,0;5670550,0;5670550,2339617;5471437,2538730;0,2538730;0,2538730;0,199113;199113,0" o:connectangles="0,0,0,0,0,0,0,0,0" textboxrect="0,0,5670550,2538730"/>
                <v:textbox>
                  <w:txbxContent>
                    <w:p w:rsidR="004C3777" w:rsidRPr="00EF653F" w:rsidRDefault="004C3777"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Tekniker för utarbetande av redogörelsen och värdering av resultaten</w:t>
                      </w:r>
                    </w:p>
                    <w:p w:rsidR="004C3777" w:rsidRPr="00EF653F" w:rsidRDefault="004C3777" w:rsidP="00E05D08">
                      <w:pPr>
                        <w:pStyle w:val="HStandard"/>
                        <w:rPr>
                          <w:rFonts w:cs="Arial"/>
                          <w:sz w:val="18"/>
                          <w:szCs w:val="18"/>
                        </w:rPr>
                      </w:pPr>
                      <w:r>
                        <w:rPr>
                          <w:sz w:val="18"/>
                          <w:szCs w:val="18"/>
                        </w:rPr>
                        <w:t>Vid utarbetandet av redogörelsen kan utvärderaren använda flera olika</w:t>
                      </w:r>
                      <w:r>
                        <w:rPr>
                          <w:b/>
                          <w:sz w:val="18"/>
                          <w:szCs w:val="18"/>
                        </w:rPr>
                        <w:t xml:space="preserve"> tekniker för att triangelmäta och underbygga fallet. </w:t>
                      </w:r>
                      <w:r>
                        <w:rPr>
                          <w:sz w:val="18"/>
                          <w:szCs w:val="18"/>
                        </w:rPr>
                        <w:t>Dessa tekniker omfattar en bidragsanalys där utvärderaren identifierar ett nödvändigt och tillräckligt paket med orsaker för att förklara förändringen</w:t>
                      </w:r>
                      <w:r>
                        <w:rPr>
                          <w:sz w:val="18"/>
                          <w:szCs w:val="18"/>
                          <w:vertAlign w:val="superscript"/>
                        </w:rPr>
                        <w:t>82</w:t>
                      </w:r>
                      <w:r>
                        <w:rPr>
                          <w:sz w:val="18"/>
                          <w:szCs w:val="18"/>
                        </w:rPr>
                        <w:t>, fastställande och avvisande av alternativa orsaksförklaringar</w:t>
                      </w:r>
                      <w:r>
                        <w:rPr>
                          <w:sz w:val="18"/>
                          <w:szCs w:val="18"/>
                          <w:vertAlign w:val="superscript"/>
                        </w:rPr>
                        <w:t>83</w:t>
                      </w:r>
                      <w:r>
                        <w:rPr>
                          <w:sz w:val="18"/>
                          <w:szCs w:val="18"/>
                        </w:rPr>
                        <w:t xml:space="preserve"> och/eller identifiering och underbyggande av avgörande delar i beviskedjan som sammanställts för att bevisa landsbygdsprogrammets bidrag</w:t>
                      </w:r>
                      <w:r>
                        <w:rPr>
                          <w:sz w:val="18"/>
                          <w:szCs w:val="18"/>
                          <w:vertAlign w:val="superscript"/>
                        </w:rPr>
                        <w:t>84</w:t>
                      </w:r>
                      <w:r>
                        <w:rPr>
                          <w:sz w:val="18"/>
                          <w:szCs w:val="18"/>
                        </w:rPr>
                        <w:t>.</w:t>
                      </w:r>
                    </w:p>
                    <w:p w:rsidR="004C3777" w:rsidRPr="000E5745" w:rsidRDefault="004C3777" w:rsidP="00E05D08">
                      <w:pPr>
                        <w:pStyle w:val="HStandard"/>
                      </w:pPr>
                      <w:r>
                        <w:rPr>
                          <w:sz w:val="18"/>
                          <w:szCs w:val="18"/>
                        </w:rPr>
                        <w:t>Omfattningen av landsbygdsprogrammets bidrag bör bedömas på en likertskala</w:t>
                      </w:r>
                      <w:r>
                        <w:rPr>
                          <w:sz w:val="18"/>
                          <w:szCs w:val="18"/>
                          <w:vertAlign w:val="superscript"/>
                        </w:rPr>
                        <w:t>85</w:t>
                      </w:r>
                      <w:r>
                        <w:rPr>
                          <w:sz w:val="18"/>
                          <w:szCs w:val="18"/>
                        </w:rPr>
                        <w:t xml:space="preserve"> som ”ingen”, ”liten”, ”viss” eller ”stor” bidragande faktor eller ”enda bidragande faktor”. Utvärderaren bör även gradera det förtroende som denne har för resultatens tillförlitlighet på en femgradig skala. Den bedömda tillförlitligheten måste motiveras.</w:t>
                      </w:r>
                    </w:p>
                  </w:txbxContent>
                </v:textbox>
                <w10:wrap type="square"/>
              </v:shape>
            </w:pict>
          </mc:Fallback>
        </mc:AlternateContent>
      </w:r>
      <w:r w:rsidR="00A847F8">
        <w:rPr>
          <w:b/>
        </w:rPr>
        <w:t>STEG 3 – Utarbeta en tidslinje för orsakssambandet och en redogörelse</w:t>
      </w:r>
      <w:r w:rsidR="00A847F8">
        <w:t xml:space="preserve"> med beskrivning av hur de förändringar som identifierats i steg 1 uppstod. Redogörelsen ska utgå från antagandet att förändringarna uppstod genom en eller flera av de tre handlingsvägarna och deras samverkan (se </w:t>
      </w:r>
      <w:hyperlink w:anchor="Pathways" w:history="1">
        <w:r w:rsidR="00A847F8">
          <w:rPr>
            <w:rStyle w:val="Hyperlink"/>
            <w:sz w:val="20"/>
          </w:rPr>
          <w:t>figur 1</w:t>
        </w:r>
      </w:hyperlink>
      <w:r w:rsidR="00A847F8">
        <w:t>). Tidslinjen och redogörelsen bör omfatta alla viktiga händelser och processer som ledde till förändringarna och inte bara de som är ett resultat av landsbygdsprogrammets aktiviteter. Detta tillvägagångssätt bygger på en fallstudiemetod</w:t>
      </w:r>
      <w:r w:rsidR="00A847F8">
        <w:rPr>
          <w:rFonts w:cs="Arial"/>
          <w:vertAlign w:val="superscript"/>
        </w:rPr>
        <w:footnoteReference w:id="79"/>
      </w:r>
      <w:r w:rsidR="00A847F8">
        <w:t>. Specifika metoder som kan vara användbara är processpårning (att fastställa en teoretisk väg från utfallet till dess orsaker genom att undersöka flera olika alternativ)</w:t>
      </w:r>
      <w:r w:rsidR="00A847F8">
        <w:rPr>
          <w:rFonts w:cs="Arial"/>
          <w:vertAlign w:val="superscript"/>
        </w:rPr>
        <w:footnoteReference w:id="80"/>
      </w:r>
      <w:r w:rsidR="00A847F8">
        <w:t xml:space="preserve"> och skapande av innovationshistorik (metod för att registrera och reflektera över en innovationsprocess)</w:t>
      </w:r>
      <w:r w:rsidR="00A847F8">
        <w:rPr>
          <w:vertAlign w:val="superscript"/>
        </w:rPr>
        <w:t xml:space="preserve"> </w:t>
      </w:r>
      <w:r w:rsidR="00A847F8">
        <w:rPr>
          <w:rFonts w:cs="Arial"/>
          <w:vertAlign w:val="superscript"/>
        </w:rPr>
        <w:footnoteReference w:id="81"/>
      </w:r>
      <w:r w:rsidR="00A847F8">
        <w:t>. Uppgifterna kommer från de tidigare stegen, genom granskning av landsbygdsprogrammets dokumentation och/eller intervjuer med programmets personal och berörda aktörer</w:t>
      </w:r>
      <w:r w:rsidR="00A847F8">
        <w:rPr>
          <w:rStyle w:val="FootnoteReference"/>
          <w:color w:val="FFFFFF" w:themeColor="background1"/>
        </w:rPr>
        <w:footnoteReference w:id="82"/>
      </w:r>
      <w:r w:rsidR="00A847F8">
        <w:rPr>
          <w:rStyle w:val="FootnoteReference"/>
          <w:color w:val="FFFFFF" w:themeColor="background1"/>
        </w:rPr>
        <w:footnoteReference w:id="83"/>
      </w:r>
      <w:r w:rsidR="00A847F8">
        <w:rPr>
          <w:rStyle w:val="FootnoteReference"/>
          <w:color w:val="FFFFFF" w:themeColor="background1"/>
        </w:rPr>
        <w:footnoteReference w:id="84"/>
      </w:r>
      <w:r w:rsidR="00A847F8">
        <w:t>.</w:t>
      </w:r>
      <w:r w:rsidR="00A847F8">
        <w:rPr>
          <w:rStyle w:val="FootnoteReference"/>
          <w:color w:val="FFFFFF" w:themeColor="background1"/>
        </w:rPr>
        <w:footnoteReference w:id="85"/>
      </w:r>
    </w:p>
    <w:p w:rsidR="00E05D08" w:rsidRPr="00E30E27" w:rsidRDefault="00E05D08" w:rsidP="00F31494">
      <w:pPr>
        <w:pStyle w:val="Hlistbullet"/>
        <w:spacing w:before="240"/>
      </w:pPr>
      <w:r>
        <w:rPr>
          <w:b/>
        </w:rPr>
        <w:t>STEG 4 – Jämför den innovationspotential som identifierades före utvärderingen med de bidrag som gjorts av landsbygdsprogrammet.</w:t>
      </w:r>
      <w:r>
        <w:t xml:space="preserve"> Vår arbetshypotes är att det kommer att finnas skillnader som hjälper de involverade aktörerna att få en bättre förståelse för innovation som en kontinuerlig och oförutsägbar process, som ändå kan främjas om det finns mekanismer för lärande och anpassningsbar förvaltning i landsbygdsprogrammet.</w:t>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Risker och lösningar</w:t>
      </w:r>
      <w:r>
        <w:t xml:space="preserve"> </w:t>
      </w:r>
    </w:p>
    <w:p w:rsidR="00E05D08" w:rsidRPr="00AB6603" w:rsidRDefault="00AB6603" w:rsidP="00A847F8">
      <w:pPr>
        <w:spacing w:before="120" w:after="120" w:line="280" w:lineRule="atLeast"/>
        <w:mirrorIndents/>
        <w:rPr>
          <w:rFonts w:eastAsia="Times New Roman" w:cs="Times New Roman"/>
          <w:b/>
          <w:szCs w:val="20"/>
        </w:rPr>
      </w:pPr>
      <w:r>
        <w:t>Den största risken är att den fallstudieutvärdering som beskrivs ovan inte har tillräckligt hög kvalitet för att kunna leda till övertygande slutsatser.</w:t>
      </w:r>
    </w:p>
    <w:p w:rsidR="00E05D08" w:rsidRDefault="00E05D08" w:rsidP="00E05D08">
      <w:pPr>
        <w:spacing w:after="120" w:line="280" w:lineRule="atLeast"/>
        <w:mirrorIndents/>
        <w:rPr>
          <w:rFonts w:eastAsia="Times New Roman" w:cs="Arial"/>
          <w:szCs w:val="20"/>
        </w:rPr>
      </w:pPr>
      <w:r>
        <w:t xml:space="preserve">Å andra sidan, om en fallstudie inte används är risken att gemensam utvärderingsfråga nr 30 endast utvärderas mot de bedömningskriterier och indikatorer som inte medger någon utvärdering av </w:t>
      </w:r>
      <w:r>
        <w:lastRenderedPageBreak/>
        <w:t xml:space="preserve">omfattningen av landsbygdsprogrammets bidrag och som inte hjälper de involverade aktörerna att lära sig hur förändringar sker i komplexa system.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Slutsatser och rekommendationer</w:t>
      </w:r>
    </w:p>
    <w:p w:rsidR="00E05D08" w:rsidRPr="00E05D08" w:rsidRDefault="00E05D08" w:rsidP="00E05D08">
      <w:pPr>
        <w:spacing w:after="120" w:line="280" w:lineRule="atLeast"/>
        <w:mirrorIndents/>
        <w:rPr>
          <w:rFonts w:eastAsia="Times New Roman" w:cs="Arial"/>
          <w:szCs w:val="20"/>
        </w:rPr>
      </w:pPr>
      <w:r>
        <w:t>Slutsatserna och rekommendationerna för gemensam utvärderingsfråga nr 30 bör ta hänsyn till följande:</w:t>
      </w:r>
    </w:p>
    <w:p w:rsidR="00E05D08" w:rsidRPr="00812586" w:rsidRDefault="00E05D08" w:rsidP="00320AA0">
      <w:pPr>
        <w:pStyle w:val="Hlistbullet"/>
      </w:pPr>
      <w:r>
        <w:t xml:space="preserve">De specifika åtgärder (och deras kombination) som var mest effektiva och ändamålsenliga för att främja innovation på landsbygden genom landsbygdsprogrammet. </w:t>
      </w:r>
    </w:p>
    <w:p w:rsidR="00E05D08" w:rsidRPr="00812586" w:rsidRDefault="00E05D08" w:rsidP="00320AA0">
      <w:pPr>
        <w:pStyle w:val="Hlistbullet"/>
      </w:pPr>
      <w:r>
        <w:t xml:space="preserve">De sätt på vilka landsbygdsprogrammet främjade innovation med koppling till de tre handlingsvägarna. </w:t>
      </w:r>
    </w:p>
    <w:p w:rsidR="00E05D08" w:rsidRPr="00812586" w:rsidRDefault="00E05D08" w:rsidP="00320AA0">
      <w:pPr>
        <w:pStyle w:val="Hlistbullet"/>
      </w:pPr>
      <w:r>
        <w:t xml:space="preserve">De politiska mål som främjandet av innovation främst bidrog till. </w:t>
      </w:r>
    </w:p>
    <w:p w:rsidR="000E0FE4" w:rsidRDefault="00E05D08" w:rsidP="00320AA0">
      <w:pPr>
        <w:pStyle w:val="Hlistbullet"/>
      </w:pPr>
      <w:r>
        <w:t xml:space="preserve">De berörda aktörer och stödmottagare inom landsbygdsprogrammet som var mest effektiva när det gäller främjandet av innovation. </w:t>
      </w:r>
      <w:r>
        <w:br w:type="page"/>
      </w:r>
    </w:p>
    <w:p w:rsidR="000E0FE4" w:rsidRDefault="000E0FE4" w:rsidP="000E0FE4">
      <w:pPr>
        <w:ind w:left="720"/>
        <w:mirrorIndents/>
        <w:rPr>
          <w:szCs w:val="20"/>
        </w:rPr>
        <w:sectPr w:rsidR="000E0FE4" w:rsidSect="001F6F07">
          <w:headerReference w:type="first" r:id="rId103"/>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29568" behindDoc="0" locked="0" layoutInCell="1" allowOverlap="1" wp14:anchorId="2604CA04" wp14:editId="29E715E4">
                <wp:simplePos x="0" y="0"/>
                <wp:positionH relativeFrom="column">
                  <wp:posOffset>-53340</wp:posOffset>
                </wp:positionH>
                <wp:positionV relativeFrom="paragraph">
                  <wp:posOffset>320040</wp:posOffset>
                </wp:positionV>
                <wp:extent cx="5811864" cy="5425440"/>
                <wp:effectExtent l="0" t="0" r="17780" b="22860"/>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5425440"/>
                        </a:xfrm>
                        <a:prstGeom prst="round2DiagRect">
                          <a:avLst>
                            <a:gd name="adj1" fmla="val 6996"/>
                            <a:gd name="adj2" fmla="val 0"/>
                          </a:avLst>
                        </a:prstGeom>
                        <a:noFill/>
                        <a:ln w="25400" cap="flat" cmpd="sng" algn="ctr">
                          <a:solidFill>
                            <a:srgbClr val="59638E"/>
                          </a:solidFill>
                          <a:prstDash val="solid"/>
                        </a:ln>
                        <a:effectLst/>
                      </wps:spPr>
                      <wps:txbx>
                        <w:txbxContent>
                          <w:p w:rsidR="004C3777" w:rsidRPr="003939D3" w:rsidRDefault="004C3777" w:rsidP="00BA450C">
                            <w:pPr>
                              <w:pStyle w:val="HStandard"/>
                              <w:rPr>
                                <w:sz w:val="18"/>
                                <w:szCs w:val="18"/>
                              </w:rPr>
                            </w:pPr>
                            <w:r w:rsidRPr="003939D3">
                              <w:rPr>
                                <w:noProof/>
                                <w:sz w:val="18"/>
                                <w:szCs w:val="18"/>
                                <w:lang w:val="en-GB"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4C3777" w:rsidRPr="003E6011" w:rsidRDefault="004C3777" w:rsidP="00BA450C">
                            <w:pPr>
                              <w:pStyle w:val="HStandard"/>
                              <w:rPr>
                                <w:sz w:val="18"/>
                                <w:szCs w:val="18"/>
                              </w:rPr>
                            </w:pPr>
                            <w:r w:rsidRPr="003939D3">
                              <w:rPr>
                                <w:sz w:val="18"/>
                                <w:szCs w:val="18"/>
                              </w:rPr>
                              <w:t xml:space="preserve">Allen, I.E. och Seaman, C.A. (2007), </w:t>
                            </w:r>
                            <w:hyperlink r:id="rId104" w:history="1">
                              <w:r w:rsidRPr="003939D3">
                                <w:rPr>
                                  <w:rStyle w:val="Hyperlink"/>
                                  <w:i/>
                                  <w:sz w:val="18"/>
                                  <w:szCs w:val="18"/>
                                </w:rPr>
                                <w:t>Likert scales and data analyses</w:t>
                              </w:r>
                            </w:hyperlink>
                            <w:r w:rsidRPr="003939D3">
                              <w:rPr>
                                <w:sz w:val="18"/>
                                <w:szCs w:val="18"/>
                              </w:rPr>
                              <w:t xml:space="preserve"> (Likertskalan och dataanalys). </w:t>
                            </w:r>
                            <w:r w:rsidRPr="003E6011">
                              <w:rPr>
                                <w:sz w:val="18"/>
                                <w:szCs w:val="18"/>
                              </w:rPr>
                              <w:t>Quality progress, 40(7), s. 64.</w:t>
                            </w:r>
                          </w:p>
                          <w:p w:rsidR="004C3777" w:rsidRPr="003E6011" w:rsidRDefault="004C3777" w:rsidP="00BA450C">
                            <w:pPr>
                              <w:pStyle w:val="HStandard"/>
                              <w:jc w:val="left"/>
                              <w:rPr>
                                <w:sz w:val="18"/>
                                <w:szCs w:val="18"/>
                              </w:rPr>
                            </w:pPr>
                            <w:r w:rsidRPr="003E6011">
                              <w:rPr>
                                <w:sz w:val="18"/>
                                <w:szCs w:val="18"/>
                              </w:rPr>
                              <w:t xml:space="preserve">Collier, D. (2011), </w:t>
                            </w:r>
                            <w:hyperlink r:id="rId105" w:history="1">
                              <w:r w:rsidRPr="003E6011">
                                <w:rPr>
                                  <w:rStyle w:val="Hyperlink"/>
                                  <w:i/>
                                  <w:sz w:val="18"/>
                                  <w:szCs w:val="18"/>
                                </w:rPr>
                                <w:t>Understanding process tracing</w:t>
                              </w:r>
                            </w:hyperlink>
                            <w:r w:rsidRPr="003E6011">
                              <w:rPr>
                                <w:sz w:val="18"/>
                                <w:szCs w:val="18"/>
                              </w:rPr>
                              <w:t xml:space="preserve"> (Att förstå processpårning). PS: Political Science &amp; Politics 44.04: 823–830.</w:t>
                            </w:r>
                          </w:p>
                          <w:p w:rsidR="004C3777" w:rsidRPr="00F639C6" w:rsidRDefault="004C3777" w:rsidP="00BA450C">
                            <w:pPr>
                              <w:pStyle w:val="HStandard"/>
                              <w:jc w:val="left"/>
                              <w:rPr>
                                <w:sz w:val="18"/>
                                <w:szCs w:val="18"/>
                                <w:lang w:val="en-US"/>
                              </w:rPr>
                            </w:pPr>
                            <w:r w:rsidRPr="003939D3">
                              <w:rPr>
                                <w:sz w:val="18"/>
                                <w:szCs w:val="18"/>
                              </w:rPr>
                              <w:t xml:space="preserve">Douthwaite, B. och Ashby, J., (2005), </w:t>
                            </w:r>
                            <w:r w:rsidRPr="003939D3">
                              <w:rPr>
                                <w:i/>
                                <w:sz w:val="18"/>
                                <w:szCs w:val="18"/>
                              </w:rPr>
                              <w:t>Innovation histories:</w:t>
                            </w:r>
                            <w:r w:rsidRPr="003939D3">
                              <w:rPr>
                                <w:sz w:val="18"/>
                                <w:szCs w:val="18"/>
                              </w:rPr>
                              <w:t xml:space="preserve"> </w:t>
                            </w:r>
                            <w:r w:rsidRPr="003939D3">
                              <w:rPr>
                                <w:i/>
                                <w:sz w:val="18"/>
                                <w:szCs w:val="18"/>
                              </w:rPr>
                              <w:t xml:space="preserve">a method for learning from experience </w:t>
                            </w:r>
                            <w:r w:rsidRPr="003939D3">
                              <w:rPr>
                                <w:sz w:val="18"/>
                                <w:szCs w:val="18"/>
                              </w:rPr>
                              <w:t xml:space="preserve">(Innovationshistorik: en metod för att lära sig av sina erfarenheter). </w:t>
                            </w:r>
                            <w:r w:rsidRPr="00F639C6">
                              <w:rPr>
                                <w:sz w:val="18"/>
                                <w:szCs w:val="18"/>
                                <w:lang w:val="en-US"/>
                              </w:rPr>
                              <w:t xml:space="preserve">Institutional Learning and Change Initiative. Hämtad den 15 maj från </w:t>
                            </w:r>
                            <w:hyperlink r:id="rId106" w:history="1">
                              <w:r w:rsidRPr="00F639C6">
                                <w:rPr>
                                  <w:rStyle w:val="Hyperlink"/>
                                  <w:sz w:val="18"/>
                                  <w:szCs w:val="18"/>
                                  <w:lang w:val="en-US"/>
                                </w:rPr>
                                <w:t>http://ageconsearch.umn.edu/bitstream/52515/2/ILAC_Brief05_Histories.pdf</w:t>
                              </w:r>
                            </w:hyperlink>
                          </w:p>
                          <w:p w:rsidR="004C3777" w:rsidRPr="00F639C6" w:rsidRDefault="004C3777" w:rsidP="00BA450C">
                            <w:pPr>
                              <w:pStyle w:val="HStandard"/>
                              <w:jc w:val="left"/>
                              <w:rPr>
                                <w:sz w:val="18"/>
                                <w:szCs w:val="18"/>
                                <w:lang w:val="en-US"/>
                              </w:rPr>
                            </w:pPr>
                            <w:r w:rsidRPr="00F639C6">
                              <w:rPr>
                                <w:sz w:val="18"/>
                                <w:szCs w:val="18"/>
                                <w:lang w:val="en-US"/>
                              </w:rPr>
                              <w:t xml:space="preserve">GAO (General Accounts Office) (1987), </w:t>
                            </w:r>
                            <w:hyperlink r:id="rId107" w:history="1">
                              <w:r w:rsidRPr="00F639C6">
                                <w:rPr>
                                  <w:rStyle w:val="Hyperlink"/>
                                  <w:i/>
                                  <w:sz w:val="18"/>
                                  <w:szCs w:val="18"/>
                                  <w:lang w:val="en-US"/>
                                </w:rPr>
                                <w:t>Case study evaluation</w:t>
                              </w:r>
                            </w:hyperlink>
                            <w:r w:rsidRPr="00F639C6">
                              <w:rPr>
                                <w:sz w:val="18"/>
                                <w:szCs w:val="18"/>
                                <w:lang w:val="en-US"/>
                              </w:rPr>
                              <w:t xml:space="preserve"> (Fallstudieutvärdering).</w:t>
                            </w:r>
                            <w:hyperlink r:id="rId108" w:history="1">
                              <w:r w:rsidRPr="00F639C6">
                                <w:rPr>
                                  <w:rStyle w:val="Hyperlink"/>
                                  <w:sz w:val="18"/>
                                  <w:szCs w:val="18"/>
                                  <w:lang w:val="en-US"/>
                                </w:rPr>
                                <w:t xml:space="preserve"> </w:t>
                              </w:r>
                              <w:r w:rsidRPr="00F639C6">
                                <w:rPr>
                                  <w:rStyle w:val="Hyperlink"/>
                                  <w:i/>
                                  <w:sz w:val="18"/>
                                  <w:szCs w:val="18"/>
                                  <w:lang w:val="en-US"/>
                                </w:rPr>
                                <w:t>Program Evaluation and Methodology</w:t>
                              </w:r>
                            </w:hyperlink>
                            <w:r w:rsidRPr="00F639C6">
                              <w:rPr>
                                <w:sz w:val="18"/>
                                <w:szCs w:val="18"/>
                                <w:lang w:val="en-US"/>
                              </w:rPr>
                              <w:t xml:space="preserve"> (Programutvärdering och metod). Division, Transfer Paper 9. Washington DC: GAO.</w:t>
                            </w:r>
                          </w:p>
                          <w:p w:rsidR="004C3777" w:rsidRPr="00F639C6" w:rsidRDefault="004C3777" w:rsidP="00BA450C">
                            <w:pPr>
                              <w:pStyle w:val="HStandard"/>
                              <w:jc w:val="left"/>
                              <w:rPr>
                                <w:sz w:val="18"/>
                                <w:szCs w:val="18"/>
                                <w:lang w:val="en-US"/>
                              </w:rPr>
                            </w:pPr>
                            <w:r w:rsidRPr="003E6011">
                              <w:rPr>
                                <w:sz w:val="18"/>
                                <w:szCs w:val="18"/>
                                <w:lang w:val="en-US"/>
                              </w:rPr>
                              <w:t xml:space="preserve">Hilton, D.J. (1996), </w:t>
                            </w:r>
                            <w:hyperlink r:id="rId109" w:history="1">
                              <w:r w:rsidRPr="003E6011">
                                <w:rPr>
                                  <w:rStyle w:val="Hyperlink"/>
                                  <w:i/>
                                  <w:sz w:val="18"/>
                                  <w:szCs w:val="18"/>
                                  <w:lang w:val="en-US"/>
                                </w:rPr>
                                <w:t>Mental models and causal explanation:</w:t>
                              </w:r>
                            </w:hyperlink>
                            <w:hyperlink r:id="rId110" w:history="1">
                              <w:r w:rsidRPr="003E6011">
                                <w:rPr>
                                  <w:rStyle w:val="Hyperlink"/>
                                  <w:sz w:val="18"/>
                                  <w:szCs w:val="18"/>
                                  <w:lang w:val="en-US"/>
                                </w:rPr>
                                <w:t xml:space="preserve"> Judgments of probable cause and explanatory relevance</w:t>
                              </w:r>
                            </w:hyperlink>
                            <w:r w:rsidRPr="003E6011">
                              <w:rPr>
                                <w:sz w:val="18"/>
                                <w:szCs w:val="18"/>
                                <w:lang w:val="en-US"/>
                              </w:rPr>
                              <w:t xml:space="preserve"> (Mentala modeller och orsaksförklaringar: bedömningar av sannolika skäl och förklaringens relevans). </w:t>
                            </w:r>
                            <w:r w:rsidRPr="00F639C6">
                              <w:rPr>
                                <w:sz w:val="18"/>
                                <w:szCs w:val="18"/>
                                <w:lang w:val="en-US"/>
                              </w:rPr>
                              <w:t>Thinking &amp; Reasoning, 2(4), s. 273–308.</w:t>
                            </w:r>
                          </w:p>
                          <w:p w:rsidR="004C3777" w:rsidRPr="003E6011" w:rsidRDefault="004C3777" w:rsidP="00BA450C">
                            <w:pPr>
                              <w:pStyle w:val="HStandard"/>
                              <w:jc w:val="left"/>
                              <w:rPr>
                                <w:sz w:val="18"/>
                                <w:szCs w:val="18"/>
                                <w:lang w:val="en-US"/>
                              </w:rPr>
                            </w:pPr>
                            <w:r w:rsidRPr="00F639C6">
                              <w:rPr>
                                <w:sz w:val="18"/>
                                <w:szCs w:val="18"/>
                                <w:lang w:val="en-US"/>
                              </w:rPr>
                              <w:t xml:space="preserve">Mayne, J. (2012), </w:t>
                            </w:r>
                            <w:hyperlink r:id="rId111" w:history="1">
                              <w:r w:rsidRPr="00F639C6">
                                <w:rPr>
                                  <w:rStyle w:val="Hyperlink"/>
                                  <w:i/>
                                  <w:sz w:val="18"/>
                                  <w:szCs w:val="18"/>
                                  <w:lang w:val="en-US"/>
                                </w:rPr>
                                <w:t>Contribution analysis:</w:t>
                              </w:r>
                            </w:hyperlink>
                            <w:hyperlink r:id="rId112" w:history="1"/>
                            <w:hyperlink r:id="rId113" w:history="1">
                              <w:r w:rsidRPr="00F639C6">
                                <w:rPr>
                                  <w:rStyle w:val="Hyperlink"/>
                                  <w:sz w:val="18"/>
                                  <w:szCs w:val="18"/>
                                  <w:lang w:val="en-US"/>
                                </w:rPr>
                                <w:t xml:space="preserve"> Coming of age?</w:t>
                              </w:r>
                            </w:hyperlink>
                            <w:r w:rsidRPr="00F639C6">
                              <w:rPr>
                                <w:sz w:val="18"/>
                                <w:szCs w:val="18"/>
                                <w:lang w:val="en-US"/>
                              </w:rPr>
                              <w:t xml:space="preserve"> </w:t>
                            </w:r>
                            <w:r w:rsidRPr="003E6011">
                              <w:rPr>
                                <w:sz w:val="18"/>
                                <w:szCs w:val="18"/>
                                <w:lang w:val="en-US"/>
                              </w:rPr>
                              <w:t>(Bidragsanalys: en ny era?).</w:t>
                            </w:r>
                            <w:hyperlink r:id="rId114" w:history="1">
                              <w:r w:rsidRPr="003E6011">
                                <w:rPr>
                                  <w:rStyle w:val="Hyperlink"/>
                                  <w:sz w:val="18"/>
                                  <w:szCs w:val="18"/>
                                  <w:lang w:val="en-US"/>
                                </w:rPr>
                                <w:t> </w:t>
                              </w:r>
                            </w:hyperlink>
                            <w:r w:rsidRPr="003E6011">
                              <w:rPr>
                                <w:sz w:val="18"/>
                                <w:szCs w:val="18"/>
                                <w:lang w:val="en-US"/>
                              </w:rPr>
                              <w:t>Evaluation 18.3 (2012): 270–280.</w:t>
                            </w:r>
                          </w:p>
                          <w:p w:rsidR="004C3777" w:rsidRPr="00F639C6" w:rsidRDefault="004C3777" w:rsidP="00BA450C">
                            <w:pPr>
                              <w:pStyle w:val="HStandard"/>
                              <w:jc w:val="left"/>
                              <w:rPr>
                                <w:sz w:val="18"/>
                                <w:szCs w:val="18"/>
                                <w:lang w:val="en-US"/>
                              </w:rPr>
                            </w:pPr>
                            <w:r w:rsidRPr="003E6011">
                              <w:rPr>
                                <w:sz w:val="18"/>
                                <w:szCs w:val="18"/>
                                <w:lang w:val="en-US"/>
                              </w:rPr>
                              <w:t xml:space="preserve">Pawson, R., Greenhalgh, T., Harvey, G. och Walshe, K. (2005), </w:t>
                            </w:r>
                            <w:hyperlink r:id="rId115" w:history="1">
                              <w:r w:rsidRPr="003E6011">
                                <w:rPr>
                                  <w:rStyle w:val="Hyperlink"/>
                                  <w:i/>
                                  <w:sz w:val="18"/>
                                  <w:szCs w:val="18"/>
                                  <w:lang w:val="en-US"/>
                                </w:rPr>
                                <w:t>Realist review–a new method of systematic review designed for complex policy interventions</w:t>
                              </w:r>
                            </w:hyperlink>
                            <w:r w:rsidRPr="003E6011">
                              <w:rPr>
                                <w:sz w:val="18"/>
                                <w:szCs w:val="18"/>
                                <w:lang w:val="en-US"/>
                              </w:rPr>
                              <w:t xml:space="preserve"> (En realistisk granskning – en ny metod för systematisk granskning utformad för komplicerade politiska insatser). </w:t>
                            </w:r>
                            <w:r w:rsidRPr="00F639C6">
                              <w:rPr>
                                <w:sz w:val="18"/>
                                <w:szCs w:val="18"/>
                                <w:lang w:val="en-US"/>
                              </w:rPr>
                              <w:t>Journal of health services research &amp; policy, 10 (suppl. 1), s. 21–34.</w:t>
                            </w:r>
                          </w:p>
                          <w:p w:rsidR="004C3777" w:rsidRPr="00BA450C" w:rsidRDefault="004C3777" w:rsidP="00BA450C">
                            <w:pPr>
                              <w:pStyle w:val="HStandard"/>
                              <w:jc w:val="left"/>
                              <w:rPr>
                                <w:sz w:val="18"/>
                                <w:szCs w:val="18"/>
                              </w:rPr>
                            </w:pPr>
                            <w:r w:rsidRPr="00F639C6">
                              <w:rPr>
                                <w:sz w:val="18"/>
                                <w:szCs w:val="18"/>
                                <w:lang w:val="en-US"/>
                              </w:rPr>
                              <w:t>Wilson-Grau, R. (2015), </w:t>
                            </w:r>
                            <w:r w:rsidRPr="00F639C6">
                              <w:rPr>
                                <w:i/>
                                <w:sz w:val="18"/>
                                <w:szCs w:val="18"/>
                                <w:lang w:val="en-US"/>
                              </w:rPr>
                              <w:t>Outcome Harvesting</w:t>
                            </w:r>
                            <w:r w:rsidRPr="00F639C6">
                              <w:rPr>
                                <w:sz w:val="18"/>
                                <w:szCs w:val="18"/>
                                <w:lang w:val="en-US"/>
                              </w:rPr>
                              <w:t xml:space="preserve">. </w:t>
                            </w:r>
                            <w:r>
                              <w:rPr>
                                <w:sz w:val="18"/>
                                <w:szCs w:val="18"/>
                              </w:rPr>
                              <w:t>Better Evaluation. Hämtad från </w:t>
                            </w:r>
                            <w:hyperlink r:id="rId116" w:history="1">
                              <w:r>
                                <w:rPr>
                                  <w:rStyle w:val="Hyperlink"/>
                                  <w:sz w:val="18"/>
                                  <w:szCs w:val="18"/>
                                </w:rPr>
                                <w:t>http://betterevaluation.org/plan/approach/outcome_harvesting</w:t>
                              </w:r>
                            </w:hyperlink>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CA04" id="Rectangle: Diagonal Corners Rounded 582" o:spid="_x0000_s1059" style="position:absolute;left:0;text-align:left;margin-left:-4.2pt;margin-top:25.2pt;width:457.65pt;height:42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5425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" adj="-11796480,,5400" path="m379564,l5811864,r,l5811864,5045876v,209627,-169937,379564,-379564,379564l,5425440r,l,379564c,169937,169937,,379564,xe" filled="f" strokecolor="#59638e" strokeweight="2pt">
                <v:stroke joinstyle="miter"/>
                <v:formulas/>
                <v:path arrowok="t" o:connecttype="custom" o:connectlocs="379564,0;5811864,0;5811864,0;5811864,5045876;5432300,5425440;0,5425440;0,5425440;0,379564;379564,0" o:connectangles="0,0,0,0,0,0,0,0,0" textboxrect="0,0,5811864,5425440"/>
                <v:textbox>
                  <w:txbxContent>
                    <w:p w:rsidR="004C3777" w:rsidRPr="003939D3" w:rsidRDefault="004C3777" w:rsidP="00BA450C">
                      <w:pPr>
                        <w:pStyle w:val="HStandard"/>
                        <w:rPr>
                          <w:sz w:val="18"/>
                          <w:szCs w:val="18"/>
                        </w:rPr>
                      </w:pPr>
                      <w:r w:rsidRPr="003939D3">
                        <w:rPr>
                          <w:noProof/>
                          <w:sz w:val="18"/>
                          <w:szCs w:val="18"/>
                          <w:lang w:val="en-GB"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4C3777" w:rsidRPr="003E6011" w:rsidRDefault="004C3777" w:rsidP="00BA450C">
                      <w:pPr>
                        <w:pStyle w:val="HStandard"/>
                        <w:rPr>
                          <w:sz w:val="18"/>
                          <w:szCs w:val="18"/>
                        </w:rPr>
                      </w:pPr>
                      <w:r w:rsidRPr="003939D3">
                        <w:rPr>
                          <w:sz w:val="18"/>
                          <w:szCs w:val="18"/>
                        </w:rPr>
                        <w:t xml:space="preserve">Allen, I.E. och Seaman, C.A. (2007), </w:t>
                      </w:r>
                      <w:hyperlink r:id="rId117" w:history="1">
                        <w:r w:rsidRPr="003939D3">
                          <w:rPr>
                            <w:rStyle w:val="Hyperlink"/>
                            <w:i/>
                            <w:sz w:val="18"/>
                            <w:szCs w:val="18"/>
                          </w:rPr>
                          <w:t>Likert scales and data analyses</w:t>
                        </w:r>
                      </w:hyperlink>
                      <w:r w:rsidRPr="003939D3">
                        <w:rPr>
                          <w:sz w:val="18"/>
                          <w:szCs w:val="18"/>
                        </w:rPr>
                        <w:t xml:space="preserve"> (Likertskalan och dataanalys). </w:t>
                      </w:r>
                      <w:r w:rsidRPr="003E6011">
                        <w:rPr>
                          <w:sz w:val="18"/>
                          <w:szCs w:val="18"/>
                        </w:rPr>
                        <w:t>Quality progress, 40(7), s. 64.</w:t>
                      </w:r>
                    </w:p>
                    <w:p w:rsidR="004C3777" w:rsidRPr="003E6011" w:rsidRDefault="004C3777" w:rsidP="00BA450C">
                      <w:pPr>
                        <w:pStyle w:val="HStandard"/>
                        <w:jc w:val="left"/>
                        <w:rPr>
                          <w:sz w:val="18"/>
                          <w:szCs w:val="18"/>
                        </w:rPr>
                      </w:pPr>
                      <w:r w:rsidRPr="003E6011">
                        <w:rPr>
                          <w:sz w:val="18"/>
                          <w:szCs w:val="18"/>
                        </w:rPr>
                        <w:t xml:space="preserve">Collier, D. (2011), </w:t>
                      </w:r>
                      <w:hyperlink r:id="rId118" w:history="1">
                        <w:r w:rsidRPr="003E6011">
                          <w:rPr>
                            <w:rStyle w:val="Hyperlink"/>
                            <w:i/>
                            <w:sz w:val="18"/>
                            <w:szCs w:val="18"/>
                          </w:rPr>
                          <w:t>Understanding process tracing</w:t>
                        </w:r>
                      </w:hyperlink>
                      <w:r w:rsidRPr="003E6011">
                        <w:rPr>
                          <w:sz w:val="18"/>
                          <w:szCs w:val="18"/>
                        </w:rPr>
                        <w:t xml:space="preserve"> (Att förstå processpårning). PS: Political Science &amp; Politics 44.04: 823–830.</w:t>
                      </w:r>
                    </w:p>
                    <w:p w:rsidR="004C3777" w:rsidRPr="00F639C6" w:rsidRDefault="004C3777" w:rsidP="00BA450C">
                      <w:pPr>
                        <w:pStyle w:val="HStandard"/>
                        <w:jc w:val="left"/>
                        <w:rPr>
                          <w:sz w:val="18"/>
                          <w:szCs w:val="18"/>
                          <w:lang w:val="en-US"/>
                        </w:rPr>
                      </w:pPr>
                      <w:r w:rsidRPr="003939D3">
                        <w:rPr>
                          <w:sz w:val="18"/>
                          <w:szCs w:val="18"/>
                        </w:rPr>
                        <w:t xml:space="preserve">Douthwaite, B. och Ashby, J., (2005), </w:t>
                      </w:r>
                      <w:r w:rsidRPr="003939D3">
                        <w:rPr>
                          <w:i/>
                          <w:sz w:val="18"/>
                          <w:szCs w:val="18"/>
                        </w:rPr>
                        <w:t>Innovation histories:</w:t>
                      </w:r>
                      <w:r w:rsidRPr="003939D3">
                        <w:rPr>
                          <w:sz w:val="18"/>
                          <w:szCs w:val="18"/>
                        </w:rPr>
                        <w:t xml:space="preserve"> </w:t>
                      </w:r>
                      <w:r w:rsidRPr="003939D3">
                        <w:rPr>
                          <w:i/>
                          <w:sz w:val="18"/>
                          <w:szCs w:val="18"/>
                        </w:rPr>
                        <w:t xml:space="preserve">a method for learning from experience </w:t>
                      </w:r>
                      <w:r w:rsidRPr="003939D3">
                        <w:rPr>
                          <w:sz w:val="18"/>
                          <w:szCs w:val="18"/>
                        </w:rPr>
                        <w:t xml:space="preserve">(Innovationshistorik: en metod för att lära sig av sina erfarenheter). </w:t>
                      </w:r>
                      <w:r w:rsidRPr="00F639C6">
                        <w:rPr>
                          <w:sz w:val="18"/>
                          <w:szCs w:val="18"/>
                          <w:lang w:val="en-US"/>
                        </w:rPr>
                        <w:t xml:space="preserve">Institutional Learning and Change Initiative. Hämtad den 15 maj från </w:t>
                      </w:r>
                      <w:hyperlink r:id="rId119" w:history="1">
                        <w:r w:rsidRPr="00F639C6">
                          <w:rPr>
                            <w:rStyle w:val="Hyperlink"/>
                            <w:sz w:val="18"/>
                            <w:szCs w:val="18"/>
                            <w:lang w:val="en-US"/>
                          </w:rPr>
                          <w:t>http://ageconsearch.umn.edu/bitstream/52515/2/ILAC_Brief05_Histories.pdf</w:t>
                        </w:r>
                      </w:hyperlink>
                    </w:p>
                    <w:p w:rsidR="004C3777" w:rsidRPr="00F639C6" w:rsidRDefault="004C3777" w:rsidP="00BA450C">
                      <w:pPr>
                        <w:pStyle w:val="HStandard"/>
                        <w:jc w:val="left"/>
                        <w:rPr>
                          <w:sz w:val="18"/>
                          <w:szCs w:val="18"/>
                          <w:lang w:val="en-US"/>
                        </w:rPr>
                      </w:pPr>
                      <w:r w:rsidRPr="00F639C6">
                        <w:rPr>
                          <w:sz w:val="18"/>
                          <w:szCs w:val="18"/>
                          <w:lang w:val="en-US"/>
                        </w:rPr>
                        <w:t xml:space="preserve">GAO (General Accounts Office) (1987), </w:t>
                      </w:r>
                      <w:hyperlink r:id="rId120" w:history="1">
                        <w:r w:rsidRPr="00F639C6">
                          <w:rPr>
                            <w:rStyle w:val="Hyperlink"/>
                            <w:i/>
                            <w:sz w:val="18"/>
                            <w:szCs w:val="18"/>
                            <w:lang w:val="en-US"/>
                          </w:rPr>
                          <w:t>Case study evaluation</w:t>
                        </w:r>
                      </w:hyperlink>
                      <w:r w:rsidRPr="00F639C6">
                        <w:rPr>
                          <w:sz w:val="18"/>
                          <w:szCs w:val="18"/>
                          <w:lang w:val="en-US"/>
                        </w:rPr>
                        <w:t xml:space="preserve"> (Fallstudieutvärdering).</w:t>
                      </w:r>
                      <w:hyperlink r:id="rId121" w:history="1">
                        <w:r w:rsidRPr="00F639C6">
                          <w:rPr>
                            <w:rStyle w:val="Hyperlink"/>
                            <w:sz w:val="18"/>
                            <w:szCs w:val="18"/>
                            <w:lang w:val="en-US"/>
                          </w:rPr>
                          <w:t xml:space="preserve"> </w:t>
                        </w:r>
                        <w:r w:rsidRPr="00F639C6">
                          <w:rPr>
                            <w:rStyle w:val="Hyperlink"/>
                            <w:i/>
                            <w:sz w:val="18"/>
                            <w:szCs w:val="18"/>
                            <w:lang w:val="en-US"/>
                          </w:rPr>
                          <w:t>Program Evaluation and Methodology</w:t>
                        </w:r>
                      </w:hyperlink>
                      <w:r w:rsidRPr="00F639C6">
                        <w:rPr>
                          <w:sz w:val="18"/>
                          <w:szCs w:val="18"/>
                          <w:lang w:val="en-US"/>
                        </w:rPr>
                        <w:t xml:space="preserve"> (Programutvärdering och metod). Division, Transfer Paper 9. Washington DC: GAO.</w:t>
                      </w:r>
                    </w:p>
                    <w:p w:rsidR="004C3777" w:rsidRPr="00F639C6" w:rsidRDefault="004C3777" w:rsidP="00BA450C">
                      <w:pPr>
                        <w:pStyle w:val="HStandard"/>
                        <w:jc w:val="left"/>
                        <w:rPr>
                          <w:sz w:val="18"/>
                          <w:szCs w:val="18"/>
                          <w:lang w:val="en-US"/>
                        </w:rPr>
                      </w:pPr>
                      <w:r w:rsidRPr="003E6011">
                        <w:rPr>
                          <w:sz w:val="18"/>
                          <w:szCs w:val="18"/>
                          <w:lang w:val="en-US"/>
                        </w:rPr>
                        <w:t xml:space="preserve">Hilton, D.J. (1996), </w:t>
                      </w:r>
                      <w:hyperlink r:id="rId122" w:history="1">
                        <w:r w:rsidRPr="003E6011">
                          <w:rPr>
                            <w:rStyle w:val="Hyperlink"/>
                            <w:i/>
                            <w:sz w:val="18"/>
                            <w:szCs w:val="18"/>
                            <w:lang w:val="en-US"/>
                          </w:rPr>
                          <w:t>Mental models and causal explanation:</w:t>
                        </w:r>
                      </w:hyperlink>
                      <w:hyperlink r:id="rId123" w:history="1">
                        <w:r w:rsidRPr="003E6011">
                          <w:rPr>
                            <w:rStyle w:val="Hyperlink"/>
                            <w:sz w:val="18"/>
                            <w:szCs w:val="18"/>
                            <w:lang w:val="en-US"/>
                          </w:rPr>
                          <w:t xml:space="preserve"> Judgments of probable cause and explanatory relevance</w:t>
                        </w:r>
                      </w:hyperlink>
                      <w:r w:rsidRPr="003E6011">
                        <w:rPr>
                          <w:sz w:val="18"/>
                          <w:szCs w:val="18"/>
                          <w:lang w:val="en-US"/>
                        </w:rPr>
                        <w:t xml:space="preserve"> (Mentala modeller och orsaksförklaringar: bedömningar av sannolika skäl och förklaringens relevans). </w:t>
                      </w:r>
                      <w:r w:rsidRPr="00F639C6">
                        <w:rPr>
                          <w:sz w:val="18"/>
                          <w:szCs w:val="18"/>
                          <w:lang w:val="en-US"/>
                        </w:rPr>
                        <w:t>Thinking &amp; Reasoning, 2(4), s. 273–308.</w:t>
                      </w:r>
                    </w:p>
                    <w:p w:rsidR="004C3777" w:rsidRPr="003E6011" w:rsidRDefault="004C3777" w:rsidP="00BA450C">
                      <w:pPr>
                        <w:pStyle w:val="HStandard"/>
                        <w:jc w:val="left"/>
                        <w:rPr>
                          <w:sz w:val="18"/>
                          <w:szCs w:val="18"/>
                          <w:lang w:val="en-US"/>
                        </w:rPr>
                      </w:pPr>
                      <w:r w:rsidRPr="00F639C6">
                        <w:rPr>
                          <w:sz w:val="18"/>
                          <w:szCs w:val="18"/>
                          <w:lang w:val="en-US"/>
                        </w:rPr>
                        <w:t xml:space="preserve">Mayne, J. (2012), </w:t>
                      </w:r>
                      <w:hyperlink r:id="rId124" w:history="1">
                        <w:r w:rsidRPr="00F639C6">
                          <w:rPr>
                            <w:rStyle w:val="Hyperlink"/>
                            <w:i/>
                            <w:sz w:val="18"/>
                            <w:szCs w:val="18"/>
                            <w:lang w:val="en-US"/>
                          </w:rPr>
                          <w:t>Contribution analysis:</w:t>
                        </w:r>
                      </w:hyperlink>
                      <w:hyperlink r:id="rId125" w:history="1"/>
                      <w:hyperlink r:id="rId126" w:history="1">
                        <w:r w:rsidRPr="00F639C6">
                          <w:rPr>
                            <w:rStyle w:val="Hyperlink"/>
                            <w:sz w:val="18"/>
                            <w:szCs w:val="18"/>
                            <w:lang w:val="en-US"/>
                          </w:rPr>
                          <w:t xml:space="preserve"> Coming of age?</w:t>
                        </w:r>
                      </w:hyperlink>
                      <w:r w:rsidRPr="00F639C6">
                        <w:rPr>
                          <w:sz w:val="18"/>
                          <w:szCs w:val="18"/>
                          <w:lang w:val="en-US"/>
                        </w:rPr>
                        <w:t xml:space="preserve"> </w:t>
                      </w:r>
                      <w:r w:rsidRPr="003E6011">
                        <w:rPr>
                          <w:sz w:val="18"/>
                          <w:szCs w:val="18"/>
                          <w:lang w:val="en-US"/>
                        </w:rPr>
                        <w:t>(Bidragsanalys: en ny era?).</w:t>
                      </w:r>
                      <w:hyperlink r:id="rId127" w:history="1">
                        <w:r w:rsidRPr="003E6011">
                          <w:rPr>
                            <w:rStyle w:val="Hyperlink"/>
                            <w:sz w:val="18"/>
                            <w:szCs w:val="18"/>
                            <w:lang w:val="en-US"/>
                          </w:rPr>
                          <w:t> </w:t>
                        </w:r>
                      </w:hyperlink>
                      <w:r w:rsidRPr="003E6011">
                        <w:rPr>
                          <w:sz w:val="18"/>
                          <w:szCs w:val="18"/>
                          <w:lang w:val="en-US"/>
                        </w:rPr>
                        <w:t>Evaluation 18.3 (2012): 270–280.</w:t>
                      </w:r>
                    </w:p>
                    <w:p w:rsidR="004C3777" w:rsidRPr="00F639C6" w:rsidRDefault="004C3777" w:rsidP="00BA450C">
                      <w:pPr>
                        <w:pStyle w:val="HStandard"/>
                        <w:jc w:val="left"/>
                        <w:rPr>
                          <w:sz w:val="18"/>
                          <w:szCs w:val="18"/>
                          <w:lang w:val="en-US"/>
                        </w:rPr>
                      </w:pPr>
                      <w:r w:rsidRPr="003E6011">
                        <w:rPr>
                          <w:sz w:val="18"/>
                          <w:szCs w:val="18"/>
                          <w:lang w:val="en-US"/>
                        </w:rPr>
                        <w:t xml:space="preserve">Pawson, R., Greenhalgh, T., Harvey, G. och Walshe, K. (2005), </w:t>
                      </w:r>
                      <w:hyperlink r:id="rId128" w:history="1">
                        <w:r w:rsidRPr="003E6011">
                          <w:rPr>
                            <w:rStyle w:val="Hyperlink"/>
                            <w:i/>
                            <w:sz w:val="18"/>
                            <w:szCs w:val="18"/>
                            <w:lang w:val="en-US"/>
                          </w:rPr>
                          <w:t>Realist review–a new method of systematic review designed for complex policy interventions</w:t>
                        </w:r>
                      </w:hyperlink>
                      <w:r w:rsidRPr="003E6011">
                        <w:rPr>
                          <w:sz w:val="18"/>
                          <w:szCs w:val="18"/>
                          <w:lang w:val="en-US"/>
                        </w:rPr>
                        <w:t xml:space="preserve"> (En realistisk granskning – en ny metod för systematisk granskning utformad för komplicerade politiska insatser). </w:t>
                      </w:r>
                      <w:r w:rsidRPr="00F639C6">
                        <w:rPr>
                          <w:sz w:val="18"/>
                          <w:szCs w:val="18"/>
                          <w:lang w:val="en-US"/>
                        </w:rPr>
                        <w:t>Journal of health services research &amp; policy, 10 (suppl. 1), s. 21–34.</w:t>
                      </w:r>
                    </w:p>
                    <w:p w:rsidR="004C3777" w:rsidRPr="00BA450C" w:rsidRDefault="004C3777" w:rsidP="00BA450C">
                      <w:pPr>
                        <w:pStyle w:val="HStandard"/>
                        <w:jc w:val="left"/>
                        <w:rPr>
                          <w:sz w:val="18"/>
                          <w:szCs w:val="18"/>
                        </w:rPr>
                      </w:pPr>
                      <w:r w:rsidRPr="00F639C6">
                        <w:rPr>
                          <w:sz w:val="18"/>
                          <w:szCs w:val="18"/>
                          <w:lang w:val="en-US"/>
                        </w:rPr>
                        <w:t>Wilson-Grau, R. (2015), </w:t>
                      </w:r>
                      <w:r w:rsidRPr="00F639C6">
                        <w:rPr>
                          <w:i/>
                          <w:sz w:val="18"/>
                          <w:szCs w:val="18"/>
                          <w:lang w:val="en-US"/>
                        </w:rPr>
                        <w:t>Outcome Harvesting</w:t>
                      </w:r>
                      <w:r w:rsidRPr="00F639C6">
                        <w:rPr>
                          <w:sz w:val="18"/>
                          <w:szCs w:val="18"/>
                          <w:lang w:val="en-US"/>
                        </w:rPr>
                        <w:t xml:space="preserve">. </w:t>
                      </w:r>
                      <w:r>
                        <w:rPr>
                          <w:sz w:val="18"/>
                          <w:szCs w:val="18"/>
                        </w:rPr>
                        <w:t>Better Evaluation. Hämtad från </w:t>
                      </w:r>
                      <w:hyperlink r:id="rId129" w:history="1">
                        <w:r>
                          <w:rPr>
                            <w:rStyle w:val="Hyperlink"/>
                            <w:sz w:val="18"/>
                            <w:szCs w:val="18"/>
                          </w:rPr>
                          <w:t>http://betterevaluation.org/plan/approach/outcome_harvesting</w:t>
                        </w:r>
                      </w:hyperlink>
                      <w:r>
                        <w:rPr>
                          <w:sz w:val="18"/>
                          <w:szCs w:val="18"/>
                        </w:rPr>
                        <w:t>.</w:t>
                      </w:r>
                    </w:p>
                  </w:txbxContent>
                </v:textbox>
              </v:shape>
            </w:pict>
          </mc:Fallback>
        </mc:AlternateContent>
      </w:r>
      <w:r>
        <w:rPr>
          <w:b/>
          <w:color w:val="57825E"/>
          <w:szCs w:val="20"/>
        </w:rPr>
        <w:t>Läs mer</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rsidR="00E05D08" w:rsidRPr="00F5230D" w:rsidRDefault="00E05D08" w:rsidP="0025413B">
      <w:pPr>
        <w:pStyle w:val="HHeading1"/>
        <w:tabs>
          <w:tab w:val="clear" w:pos="567"/>
        </w:tabs>
      </w:pPr>
      <w:bookmarkStart w:id="137" w:name="_Toc508290313"/>
      <w:r>
        <w:lastRenderedPageBreak/>
        <w:t>BILAGOR</w:t>
      </w:r>
      <w:bookmarkEnd w:id="135"/>
      <w:bookmarkEnd w:id="136"/>
      <w:bookmarkEnd w:id="137"/>
    </w:p>
    <w:p w:rsidR="00417971" w:rsidRPr="00417971" w:rsidRDefault="00E05D08" w:rsidP="00417971">
      <w:pPr>
        <w:pStyle w:val="HHeading2"/>
        <w:numPr>
          <w:ilvl w:val="1"/>
          <w:numId w:val="119"/>
        </w:numPr>
        <w:ind w:left="567" w:hanging="567"/>
      </w:pPr>
      <w:bookmarkStart w:id="138" w:name="_Toc476063939"/>
      <w:bookmarkStart w:id="139" w:name="_Toc476064206"/>
      <w:bookmarkStart w:id="140" w:name="_Toc476064501"/>
      <w:bookmarkStart w:id="141" w:name="_Toc476064561"/>
      <w:bookmarkStart w:id="142" w:name="_Toc493151906"/>
      <w:bookmarkStart w:id="143" w:name="_Toc501382137"/>
      <w:bookmarkStart w:id="144" w:name="_Toc508290314"/>
      <w:bookmarkEnd w:id="138"/>
      <w:bookmarkEnd w:id="139"/>
      <w:bookmarkEnd w:id="140"/>
      <w:bookmarkEnd w:id="141"/>
      <w:r>
        <w:t>Ordlista</w:t>
      </w:r>
      <w:bookmarkEnd w:id="142"/>
      <w:bookmarkEnd w:id="143"/>
      <w:bookmarkEnd w:id="144"/>
    </w:p>
    <w:p w:rsidR="00417971" w:rsidRDefault="00417971" w:rsidP="00417971">
      <w:pPr>
        <w:rPr>
          <w:rFonts w:eastAsia="Arial" w:cs="Arial"/>
          <w:b/>
          <w:color w:val="57825E"/>
          <w:szCs w:val="20"/>
        </w:rPr>
      </w:pPr>
      <w:r>
        <w:rPr>
          <w:b/>
          <w:color w:val="57825E"/>
          <w:szCs w:val="20"/>
        </w:rPr>
        <w:t>Europeiska innovationspartnerskapet</w:t>
      </w:r>
    </w:p>
    <w:p w:rsidR="00417971" w:rsidRDefault="00417971" w:rsidP="00417971">
      <w:pPr>
        <w:rPr>
          <w:rFonts w:cs="Arial"/>
          <w:color w:val="404040" w:themeColor="background1" w:themeShade="40"/>
          <w:szCs w:val="20"/>
        </w:rPr>
      </w:pPr>
      <w:r>
        <w:rPr>
          <w:color w:val="404040" w:themeColor="background1" w:themeShade="40"/>
          <w:szCs w:val="20"/>
        </w:rPr>
        <w:t>En strategi för forskning och innovation inom EU som ingår i flaggskeppsinitiativet Innovationsunionen. Partnerskapet är en utmaningsinriktad strategi som är verksam över hela forsknings- och innovationskedjan för att strömlinjeforma, förenkla och koordinera befintliga instrument och initiativ.</w:t>
      </w:r>
    </w:p>
    <w:p w:rsidR="00417971" w:rsidRPr="00A05F6E" w:rsidRDefault="00417971" w:rsidP="00417971">
      <w:pPr>
        <w:rPr>
          <w:rFonts w:eastAsia="Times New Roman" w:cs="Arial"/>
          <w:color w:val="404040" w:themeColor="background1" w:themeShade="40"/>
          <w:szCs w:val="20"/>
        </w:rPr>
      </w:pPr>
      <w:r>
        <w:rPr>
          <w:i/>
          <w:color w:val="404040" w:themeColor="background1" w:themeShade="40"/>
          <w:sz w:val="16"/>
          <w:szCs w:val="16"/>
          <w:u w:val="single"/>
        </w:rPr>
        <w:t>Referens</w:t>
      </w:r>
      <w:r>
        <w:rPr>
          <w:i/>
          <w:color w:val="404040" w:themeColor="background1" w:themeShade="40"/>
          <w:sz w:val="16"/>
          <w:szCs w:val="16"/>
        </w:rPr>
        <w:t xml:space="preserve">: Meddelande från kommissionen till Europaparlamentet, rådet, Europeiska ekonomiska och sociala kommittén samt Regionkommittén. Europe 2020 – Flagship Initiative Innovation Union (Europa 2020 – flaggskeppsinitiativet Innovationsunionen) (2010) </w:t>
      </w:r>
      <w:hyperlink r:id="rId130" w:history="1">
        <w:r>
          <w:rPr>
            <w:rStyle w:val="Hyperlink"/>
            <w:i/>
            <w:szCs w:val="16"/>
          </w:rPr>
          <w:t>https://ec.europa.eu/research/innovation-union/pdf/innovation-union-communication_en.pdf</w:t>
        </w:r>
      </w:hyperlink>
    </w:p>
    <w:p w:rsidR="00417971" w:rsidRDefault="00417971" w:rsidP="00417971">
      <w:pPr>
        <w:jc w:val="left"/>
        <w:rPr>
          <w:rFonts w:eastAsia="Arial" w:cs="Arial"/>
          <w:b/>
          <w:color w:val="57825E"/>
          <w:szCs w:val="20"/>
        </w:rPr>
      </w:pPr>
      <w:r>
        <w:rPr>
          <w:b/>
          <w:color w:val="57825E"/>
          <w:szCs w:val="20"/>
        </w:rPr>
        <w:t>Europeiska innovationspartnerskapet för produktivitet och hållbarhet inom jordbruket (EIP-Agri)</w:t>
      </w:r>
    </w:p>
    <w:p w:rsidR="00417971" w:rsidRDefault="00417971" w:rsidP="00417971">
      <w:pPr>
        <w:rPr>
          <w:rFonts w:cs="Arial"/>
          <w:szCs w:val="20"/>
        </w:rPr>
      </w:pPr>
      <w:r>
        <w:t>EIP-Agri lanserades av Europeiska kommissionen 2012 och är ett europeiskt innovationspartnerskap med inriktning på jord- och skogsbrukssektorerna. EIP-Agri sammanför innovationsaktörer och skapar synergier mellan befintliga politiska åtgärder. Dess övergripande syfte är att främja konkurrens och hållbarhet i dessa sektorer och därigenom bidra till att säkerställa en trygg försörjning av livsmedel, foder och biomaterial och en hållbar förvaltning av de livsnödvändiga naturresurser som jordbruket och skogsbruket behöver för att fungera i harmoni med miljön.</w:t>
      </w:r>
    </w:p>
    <w:p w:rsidR="00417971" w:rsidRPr="00D5702B" w:rsidRDefault="00417971" w:rsidP="00417971">
      <w:pPr>
        <w:spacing w:after="120" w:line="280" w:lineRule="atLeast"/>
        <w:jc w:val="left"/>
        <w:rPr>
          <w:rFonts w:cs="Arial"/>
          <w:i/>
          <w:color w:val="404040" w:themeColor="background1" w:themeShade="40"/>
          <w:sz w:val="16"/>
          <w:szCs w:val="16"/>
        </w:rPr>
      </w:pPr>
      <w:r>
        <w:rPr>
          <w:i/>
          <w:color w:val="404040" w:themeColor="background1" w:themeShade="40"/>
          <w:sz w:val="16"/>
          <w:szCs w:val="16"/>
          <w:u w:val="single"/>
        </w:rPr>
        <w:t>Referens</w:t>
      </w:r>
      <w:r>
        <w:rPr>
          <w:i/>
          <w:color w:val="404040" w:themeColor="background1" w:themeShade="40"/>
          <w:sz w:val="16"/>
          <w:szCs w:val="16"/>
        </w:rPr>
        <w:t xml:space="preserve">: Evaluation study of the implementation of the European Innovation Partnership for Agricultural Productivity and Sustainability (Utvärderingsstudie av genomförandet av det europeiska innovationspartnerskapet för produktivitet och hållbarhet inom jordbruket): </w:t>
      </w:r>
      <w:r>
        <w:rPr>
          <w:i/>
          <w:color w:val="F07E31"/>
          <w:sz w:val="16"/>
          <w:szCs w:val="16"/>
          <w:u w:val="single"/>
        </w:rPr>
        <w:t>https://ec.europa.eu/agriculture/external-studies/2016-eip_sv</w:t>
      </w:r>
    </w:p>
    <w:p w:rsidR="00417971" w:rsidRDefault="00417971" w:rsidP="00417971">
      <w:pPr>
        <w:jc w:val="left"/>
        <w:rPr>
          <w:rStyle w:val="Hyperlink"/>
          <w:i/>
          <w:szCs w:val="16"/>
        </w:rPr>
      </w:pPr>
      <w:r>
        <w:rPr>
          <w:i/>
          <w:color w:val="404040" w:themeColor="background1" w:themeShade="40"/>
          <w:sz w:val="16"/>
          <w:szCs w:val="16"/>
        </w:rPr>
        <w:t xml:space="preserve">Meddelande från kommissionen till Europaparlamentet och rådet om det europeiska innovationspartnerskapet för produktivitet och hållbarhet inom jordbruket (2012) </w:t>
      </w:r>
      <w:hyperlink r:id="rId131" w:history="1">
        <w:r>
          <w:rPr>
            <w:rStyle w:val="Hyperlink"/>
            <w:i/>
            <w:szCs w:val="16"/>
          </w:rPr>
          <w:t>https://ec.europa.eu/eip/agriculture/sites/agri-eip/files/communication_on_eip_-_en.pdf</w:t>
        </w:r>
      </w:hyperlink>
    </w:p>
    <w:p w:rsidR="00417971" w:rsidRPr="009125CD" w:rsidRDefault="00417971" w:rsidP="00417971">
      <w:pPr>
        <w:rPr>
          <w:rFonts w:eastAsia="Arial" w:cs="Arial"/>
          <w:b/>
          <w:color w:val="57825E"/>
          <w:szCs w:val="20"/>
        </w:rPr>
      </w:pPr>
      <w:r>
        <w:rPr>
          <w:b/>
          <w:color w:val="57825E"/>
          <w:szCs w:val="20"/>
        </w:rPr>
        <w:t>Handlingsväg för innovation</w:t>
      </w:r>
    </w:p>
    <w:p w:rsidR="00417971" w:rsidRDefault="00417971" w:rsidP="00417971">
      <w:pPr>
        <w:rPr>
          <w:rFonts w:cs="Arial"/>
          <w:color w:val="404040" w:themeColor="background1" w:themeShade="40"/>
          <w:szCs w:val="20"/>
        </w:rPr>
      </w:pPr>
      <w:r>
        <w:rPr>
          <w:color w:val="404040" w:themeColor="background1" w:themeShade="40"/>
          <w:szCs w:val="20"/>
        </w:rPr>
        <w:t xml:space="preserve">En process genom vilken aktiviteterna i landsbygdsprogrammet producerar utfall, resultat och effekter som bidrar till uppnåendet av landsbygdsprogrammets mål och som </w:t>
      </w:r>
      <w:r>
        <w:rPr>
          <w:color w:val="404040" w:themeColor="background1" w:themeShade="40"/>
          <w:szCs w:val="20"/>
        </w:rPr>
        <w:t>påverkar och påverkas av det innovationssystem i vilket processen äger rum.</w:t>
      </w:r>
    </w:p>
    <w:p w:rsidR="00417971" w:rsidRPr="00417971" w:rsidRDefault="00417971" w:rsidP="00417971">
      <w:pPr>
        <w:rPr>
          <w:rFonts w:eastAsia="Arial" w:cs="Arial"/>
          <w:color w:val="404040" w:themeColor="background1" w:themeShade="40"/>
          <w:szCs w:val="20"/>
        </w:rPr>
      </w:pPr>
      <w:r>
        <w:rPr>
          <w:i/>
          <w:color w:val="404040" w:themeColor="background1" w:themeShade="40"/>
          <w:sz w:val="16"/>
          <w:szCs w:val="16"/>
          <w:u w:val="single"/>
        </w:rPr>
        <w:t>Referens</w:t>
      </w:r>
      <w:r>
        <w:rPr>
          <w:i/>
          <w:color w:val="404040" w:themeColor="background1" w:themeShade="40"/>
          <w:sz w:val="16"/>
          <w:szCs w:val="16"/>
        </w:rPr>
        <w:t>: TWG-4, s. 5.</w:t>
      </w:r>
    </w:p>
    <w:p w:rsidR="0025413B" w:rsidRPr="009125CD" w:rsidRDefault="0025413B" w:rsidP="0025413B">
      <w:pPr>
        <w:rPr>
          <w:rFonts w:eastAsia="Arial" w:cs="Arial"/>
          <w:b/>
          <w:color w:val="57825E"/>
          <w:szCs w:val="20"/>
        </w:rPr>
      </w:pPr>
      <w:r>
        <w:rPr>
          <w:b/>
          <w:color w:val="57825E"/>
          <w:szCs w:val="20"/>
        </w:rPr>
        <w:t>Innovationskapacitet</w:t>
      </w:r>
    </w:p>
    <w:p w:rsidR="0025413B" w:rsidRPr="005E61D0" w:rsidRDefault="0025413B" w:rsidP="0025413B">
      <w:pPr>
        <w:rPr>
          <w:rFonts w:cs="Arial"/>
          <w:szCs w:val="20"/>
        </w:rPr>
      </w:pPr>
      <w:r>
        <w:t>Den fortsatta förmågan att kombinera och använda olika typer av kunskap.</w:t>
      </w:r>
    </w:p>
    <w:p w:rsidR="0025413B" w:rsidRDefault="0025413B" w:rsidP="0025413B">
      <w:pPr>
        <w:rPr>
          <w:rStyle w:val="Hyperlink"/>
          <w:i/>
          <w:szCs w:val="16"/>
        </w:rPr>
      </w:pPr>
      <w:r w:rsidRPr="00F639C6">
        <w:rPr>
          <w:i/>
          <w:color w:val="404040" w:themeColor="background1" w:themeShade="40"/>
          <w:sz w:val="16"/>
          <w:szCs w:val="16"/>
          <w:u w:val="single"/>
          <w:lang w:val="en-US"/>
        </w:rPr>
        <w:t>Referens</w:t>
      </w:r>
      <w:r w:rsidRPr="00F639C6">
        <w:rPr>
          <w:i/>
          <w:color w:val="404040" w:themeColor="background1" w:themeShade="40"/>
          <w:sz w:val="16"/>
          <w:szCs w:val="16"/>
          <w:lang w:val="en-US"/>
        </w:rPr>
        <w:t xml:space="preserve">: Chuluunbaatar, D. och LeGrand, S. (2015), Enabling the capacity to innovate with a system-wide assessment process. </w:t>
      </w:r>
      <w:r>
        <w:rPr>
          <w:i/>
          <w:color w:val="404040" w:themeColor="background1" w:themeShade="40"/>
          <w:sz w:val="16"/>
          <w:szCs w:val="16"/>
        </w:rPr>
        <w:t xml:space="preserve">Occasional Papers in Innovation in Family Farming (Att möjliggöra innovationskapacitet genom en systemomfattande bedömningsprocess. Tillfälliga rapporter om innovation inom familjejordbruk). FAO, Rom. </w:t>
      </w:r>
      <w:hyperlink r:id="rId132" w:history="1">
        <w:r w:rsidR="00417971" w:rsidRPr="004152F0">
          <w:rPr>
            <w:rStyle w:val="Hyperlink"/>
            <w:i/>
            <w:szCs w:val="16"/>
          </w:rPr>
          <w:t>http://www.fao.org/3/a-i5097e.pdf</w:t>
        </w:r>
      </w:hyperlink>
    </w:p>
    <w:p w:rsidR="00417971" w:rsidRPr="009125CD" w:rsidRDefault="00417971" w:rsidP="00C75468">
      <w:pPr>
        <w:jc w:val="left"/>
        <w:rPr>
          <w:rFonts w:eastAsia="Arial" w:cs="Arial"/>
          <w:b/>
          <w:color w:val="57825E"/>
          <w:szCs w:val="20"/>
        </w:rPr>
      </w:pPr>
      <w:r>
        <w:rPr>
          <w:b/>
          <w:color w:val="57825E"/>
          <w:szCs w:val="20"/>
        </w:rPr>
        <w:t xml:space="preserve">Innovationspotential i landsbygdsprogrammet </w:t>
      </w:r>
    </w:p>
    <w:p w:rsidR="00417971" w:rsidRDefault="00417971" w:rsidP="00417971">
      <w:pPr>
        <w:rPr>
          <w:rFonts w:cs="Arial"/>
          <w:color w:val="404040" w:themeColor="background1" w:themeShade="40"/>
          <w:szCs w:val="20"/>
        </w:rPr>
      </w:pPr>
      <w:r>
        <w:rPr>
          <w:color w:val="404040" w:themeColor="background1" w:themeShade="40"/>
          <w:szCs w:val="20"/>
        </w:rPr>
        <w:t xml:space="preserve">Innovationspotentialen i landsbygdsprogrammet är den omfattning i vilken den specifika strategi som utformats med inriktning på innovation kan främja innovation och uppnå politiska mål i landsbygdsområden inom ett visst innovationssystem eller sammanhang. </w:t>
      </w:r>
    </w:p>
    <w:p w:rsidR="00417971" w:rsidRPr="00417971" w:rsidRDefault="00417971" w:rsidP="0025413B">
      <w:pPr>
        <w:rPr>
          <w:rFonts w:eastAsia="Arial" w:cs="Arial"/>
          <w:color w:val="404040" w:themeColor="background1" w:themeShade="40"/>
          <w:szCs w:val="20"/>
        </w:rPr>
      </w:pPr>
      <w:r>
        <w:rPr>
          <w:i/>
          <w:color w:val="404040" w:themeColor="background1" w:themeShade="40"/>
          <w:sz w:val="16"/>
          <w:szCs w:val="16"/>
          <w:u w:val="single"/>
        </w:rPr>
        <w:t>Referens</w:t>
      </w:r>
      <w:r>
        <w:rPr>
          <w:i/>
          <w:color w:val="404040" w:themeColor="background1" w:themeShade="40"/>
          <w:sz w:val="16"/>
          <w:szCs w:val="16"/>
        </w:rPr>
        <w:t>: TWG-4.</w:t>
      </w:r>
    </w:p>
    <w:p w:rsidR="00417971" w:rsidRPr="009125CD" w:rsidRDefault="00417971" w:rsidP="00417971">
      <w:pPr>
        <w:rPr>
          <w:rFonts w:eastAsia="Arial" w:cs="Arial"/>
          <w:b/>
          <w:color w:val="57825E"/>
          <w:szCs w:val="20"/>
        </w:rPr>
      </w:pPr>
      <w:r>
        <w:rPr>
          <w:b/>
          <w:color w:val="57825E"/>
          <w:szCs w:val="20"/>
        </w:rPr>
        <w:t>Innovationssystem</w:t>
      </w:r>
    </w:p>
    <w:p w:rsidR="00417971" w:rsidRDefault="00417971" w:rsidP="00417971">
      <w:pPr>
        <w:rPr>
          <w:rFonts w:cs="Arial"/>
          <w:color w:val="404040" w:themeColor="background1" w:themeShade="40"/>
          <w:szCs w:val="20"/>
        </w:rPr>
      </w:pPr>
      <w:r>
        <w:rPr>
          <w:color w:val="404040" w:themeColor="background1" w:themeShade="40"/>
          <w:szCs w:val="20"/>
        </w:rPr>
        <w:t>De grupper av organisationer och individer som är involverade i genereringen, spridningen, anpassningen och användningen av kunskap med socioekonomisk betydelse och det institutionella sammanhang som reglerar det sätt på vilket denna samverkan och dessa processer äger rum.</w:t>
      </w:r>
    </w:p>
    <w:p w:rsidR="00417971" w:rsidRDefault="00417971" w:rsidP="00417971">
      <w:pPr>
        <w:rPr>
          <w:i/>
          <w:color w:val="404040" w:themeColor="background1" w:themeShade="40"/>
          <w:sz w:val="16"/>
          <w:szCs w:val="16"/>
        </w:rPr>
      </w:pPr>
      <w:r>
        <w:rPr>
          <w:i/>
          <w:color w:val="404040" w:themeColor="background1" w:themeShade="40"/>
          <w:sz w:val="16"/>
          <w:szCs w:val="16"/>
          <w:u w:val="single"/>
        </w:rPr>
        <w:t>Referens</w:t>
      </w:r>
      <w:r>
        <w:rPr>
          <w:i/>
          <w:color w:val="404040" w:themeColor="background1" w:themeShade="40"/>
          <w:sz w:val="16"/>
          <w:szCs w:val="16"/>
        </w:rPr>
        <w:t>: Hall, A., S. Rasheed, N. Clark, och B. Yoganand. (2003), From measuring impact to learning institutional lessons: an innovation system’s perspective on improving the management of international agricultural research (Från mätning av effekter till institutionella lärdomar: ett innovationssystems perspektiv på förbättring av förvaltningen av internationell jordbruksforskning). Agricultural Systems 78: 213–241.</w:t>
      </w:r>
    </w:p>
    <w:p w:rsidR="0025413B" w:rsidRDefault="0025413B" w:rsidP="0025413B">
      <w:pPr>
        <w:rPr>
          <w:rFonts w:eastAsia="Arial" w:cs="Arial"/>
          <w:b/>
          <w:color w:val="57825E"/>
          <w:szCs w:val="20"/>
        </w:rPr>
      </w:pPr>
      <w:r>
        <w:rPr>
          <w:b/>
          <w:color w:val="57825E"/>
          <w:szCs w:val="20"/>
        </w:rPr>
        <w:t>Innovationsstödjande tjänster</w:t>
      </w:r>
    </w:p>
    <w:p w:rsidR="0025413B" w:rsidRDefault="0025413B" w:rsidP="0025413B">
      <w:pPr>
        <w:rPr>
          <w:rFonts w:cs="Arial"/>
          <w:color w:val="404040" w:themeColor="background1" w:themeShade="40"/>
          <w:szCs w:val="20"/>
        </w:rPr>
      </w:pPr>
      <w:r>
        <w:rPr>
          <w:color w:val="404040" w:themeColor="background1" w:themeShade="40"/>
          <w:szCs w:val="20"/>
        </w:rPr>
        <w:t>Innovationsstödjande tjänster arbetar med hjälp av modeller som är anpassade till lokala förhållanden och som kan spela en viktig roll när det gäller att samla rätt personer i olika projekt, sammanföra jordbrukare och rådgivare med forskare samt att hjälpa till att söka finansiering.</w:t>
      </w:r>
    </w:p>
    <w:p w:rsidR="0025413B" w:rsidRDefault="0025413B" w:rsidP="0025413B">
      <w:pPr>
        <w:rPr>
          <w:i/>
          <w:color w:val="404040" w:themeColor="background1" w:themeShade="40"/>
          <w:sz w:val="16"/>
          <w:szCs w:val="16"/>
        </w:rPr>
      </w:pPr>
      <w:r>
        <w:rPr>
          <w:i/>
          <w:color w:val="404040" w:themeColor="background1" w:themeShade="40"/>
          <w:sz w:val="16"/>
          <w:szCs w:val="16"/>
          <w:u w:val="single"/>
        </w:rPr>
        <w:t>Referens</w:t>
      </w:r>
      <w:r>
        <w:rPr>
          <w:i/>
          <w:color w:val="404040" w:themeColor="background1" w:themeShade="40"/>
          <w:sz w:val="16"/>
          <w:szCs w:val="16"/>
        </w:rPr>
        <w:t xml:space="preserve">: EIP-Agris broschyr om innovationsstödjande tjänster: </w:t>
      </w:r>
      <w:hyperlink r:id="rId133" w:history="1">
        <w:r>
          <w:rPr>
            <w:rStyle w:val="Hyperlink"/>
            <w:i/>
            <w:szCs w:val="16"/>
          </w:rPr>
          <w:t>https://ec.europa.eu/eip/agriculture/en/content/innovation-support-services</w:t>
        </w:r>
      </w:hyperlink>
      <w:r>
        <w:rPr>
          <w:i/>
          <w:color w:val="404040" w:themeColor="background1" w:themeShade="40"/>
          <w:sz w:val="16"/>
          <w:szCs w:val="16"/>
        </w:rPr>
        <w:t>.</w:t>
      </w:r>
    </w:p>
    <w:p w:rsidR="00417971" w:rsidRPr="009125CD" w:rsidRDefault="00417971" w:rsidP="0025413B">
      <w:pPr>
        <w:rPr>
          <w:rFonts w:cs="Arial"/>
          <w:color w:val="404040" w:themeColor="background1" w:themeShade="40"/>
          <w:szCs w:val="20"/>
        </w:rPr>
      </w:pPr>
    </w:p>
    <w:p w:rsidR="00417971" w:rsidRPr="009125CD" w:rsidRDefault="00417971" w:rsidP="00417971">
      <w:pPr>
        <w:rPr>
          <w:rFonts w:eastAsia="Arial" w:cs="Arial"/>
          <w:b/>
          <w:color w:val="57825E"/>
          <w:szCs w:val="20"/>
        </w:rPr>
      </w:pPr>
      <w:r>
        <w:rPr>
          <w:b/>
          <w:color w:val="57825E"/>
          <w:szCs w:val="20"/>
        </w:rPr>
        <w:lastRenderedPageBreak/>
        <w:t xml:space="preserve">Innovationsutfall </w:t>
      </w:r>
    </w:p>
    <w:p w:rsidR="00417971" w:rsidRDefault="00417971" w:rsidP="00417971">
      <w:pPr>
        <w:rPr>
          <w:rFonts w:cs="Arial"/>
          <w:color w:val="404040" w:themeColor="background1" w:themeShade="40"/>
          <w:szCs w:val="20"/>
        </w:rPr>
      </w:pPr>
      <w:r>
        <w:rPr>
          <w:color w:val="404040" w:themeColor="background1" w:themeShade="40"/>
          <w:szCs w:val="20"/>
        </w:rPr>
        <w:t>Innovationsresultat som kan härledas till de möjlighetsskapande resultaten (t.ex. nya metoder, ökad inkomst, spridning av mer hållbara jordbruksmetoder).</w:t>
      </w:r>
    </w:p>
    <w:p w:rsidR="00417971" w:rsidRDefault="00417971" w:rsidP="0025413B">
      <w:pPr>
        <w:rPr>
          <w:rFonts w:cs="Arial"/>
          <w:color w:val="404040" w:themeColor="background1" w:themeShade="40"/>
          <w:szCs w:val="20"/>
        </w:rPr>
      </w:pPr>
      <w:r>
        <w:rPr>
          <w:i/>
          <w:color w:val="404040" w:themeColor="background1" w:themeShade="40"/>
          <w:sz w:val="16"/>
          <w:szCs w:val="16"/>
          <w:u w:val="single"/>
        </w:rPr>
        <w:t>Referens</w:t>
      </w:r>
      <w:r>
        <w:rPr>
          <w:i/>
          <w:color w:val="404040" w:themeColor="background1" w:themeShade="40"/>
          <w:sz w:val="16"/>
          <w:szCs w:val="16"/>
        </w:rPr>
        <w:t>: TWG-4, s. 11.</w:t>
      </w:r>
    </w:p>
    <w:p w:rsidR="0025413B" w:rsidRDefault="0025413B" w:rsidP="0025413B">
      <w:pPr>
        <w:rPr>
          <w:rFonts w:eastAsia="Arial" w:cs="Arial"/>
          <w:b/>
          <w:color w:val="57825E"/>
          <w:szCs w:val="20"/>
        </w:rPr>
      </w:pPr>
      <w:r>
        <w:rPr>
          <w:b/>
          <w:color w:val="57825E"/>
          <w:szCs w:val="20"/>
        </w:rPr>
        <w:t>Interaktiv innovation</w:t>
      </w:r>
    </w:p>
    <w:p w:rsidR="0025413B" w:rsidRDefault="0025413B" w:rsidP="0025413B">
      <w:pPr>
        <w:rPr>
          <w:rFonts w:cs="Arial"/>
          <w:color w:val="404040" w:themeColor="background1" w:themeShade="40"/>
          <w:szCs w:val="20"/>
        </w:rPr>
      </w:pPr>
      <w:r>
        <w:rPr>
          <w:color w:val="404040" w:themeColor="background1" w:themeShade="40"/>
          <w:szCs w:val="20"/>
        </w:rPr>
        <w:t>Vid interaktiv (system-)innovation förväntas byggstenar till innovationer komma från vetenskapen, men även från praxis och mellanhänder, däribland jordbrukare, rådgivningstjänster, icke-statliga organisationer, forskare etc. som aktörer i en process som börjar på gräsrotsnivå. Interaktiv innovation omfattar befintlig (ibland tyst) kunskap som inte alltid är rent vetenskaplig.</w:t>
      </w:r>
    </w:p>
    <w:p w:rsidR="0025413B" w:rsidRPr="00F639C6" w:rsidRDefault="0025413B" w:rsidP="0025413B">
      <w:pPr>
        <w:jc w:val="left"/>
        <w:rPr>
          <w:rFonts w:eastAsia="Times New Roman" w:cs="Arial"/>
          <w:color w:val="404040" w:themeColor="background1" w:themeShade="40"/>
          <w:szCs w:val="20"/>
          <w:lang w:val="en-US"/>
        </w:rPr>
      </w:pPr>
      <w:r w:rsidRPr="00F639C6">
        <w:rPr>
          <w:i/>
          <w:color w:val="404040" w:themeColor="background1" w:themeShade="40"/>
          <w:sz w:val="16"/>
          <w:szCs w:val="16"/>
          <w:u w:val="single"/>
          <w:lang w:val="en-US"/>
        </w:rPr>
        <w:t>Referens</w:t>
      </w:r>
      <w:r w:rsidRPr="00F639C6">
        <w:rPr>
          <w:i/>
          <w:color w:val="404040" w:themeColor="background1" w:themeShade="40"/>
          <w:sz w:val="16"/>
          <w:szCs w:val="16"/>
          <w:lang w:val="en-US"/>
        </w:rPr>
        <w:t xml:space="preserve">: Guidelines on programming for innovation and the implementation of the EIP for agricultural productivity and sustainability: </w:t>
      </w:r>
      <w:hyperlink r:id="rId134" w:history="1">
        <w:r w:rsidRPr="00F639C6">
          <w:rPr>
            <w:rStyle w:val="Hyperlink"/>
            <w:i/>
            <w:szCs w:val="16"/>
            <w:lang w:val="en-US"/>
          </w:rPr>
          <w:t>http://ec.europa.eu/eip/agriculture/sites/agri-eip/files/eip-guidelines-july-2014_en.pdf</w:t>
        </w:r>
      </w:hyperlink>
      <w:r w:rsidRPr="00F639C6">
        <w:rPr>
          <w:i/>
          <w:color w:val="404040" w:themeColor="background1" w:themeShade="40"/>
          <w:sz w:val="16"/>
          <w:szCs w:val="16"/>
          <w:lang w:val="en-US"/>
        </w:rPr>
        <w:t>.</w:t>
      </w:r>
    </w:p>
    <w:p w:rsidR="00417971" w:rsidRDefault="00417971" w:rsidP="00417971">
      <w:pPr>
        <w:rPr>
          <w:rFonts w:eastAsia="Arial" w:cs="Arial"/>
          <w:b/>
          <w:color w:val="57825E"/>
          <w:szCs w:val="20"/>
        </w:rPr>
      </w:pPr>
      <w:r>
        <w:rPr>
          <w:b/>
          <w:color w:val="57825E"/>
          <w:szCs w:val="20"/>
        </w:rPr>
        <w:t>Kluster</w:t>
      </w:r>
    </w:p>
    <w:p w:rsidR="00417971" w:rsidRDefault="00417971" w:rsidP="00417971">
      <w:pPr>
        <w:rPr>
          <w:rFonts w:cs="Arial"/>
          <w:color w:val="404040" w:themeColor="background1" w:themeShade="40"/>
          <w:szCs w:val="20"/>
        </w:rPr>
      </w:pPr>
      <w:r>
        <w:rPr>
          <w:color w:val="404040" w:themeColor="background1" w:themeShade="40"/>
          <w:szCs w:val="20"/>
        </w:rPr>
        <w:t>En gruppering av oberoende företag, inbegripet nystartade företag, små, medelstora och stora företag samt rådgivande organ och/eller forskningsorganisationer, som har inrättats för att stimulera ekonomisk verksamhet och innovation genom att verka för ett effektivt samarbete, dela anläggningar och utbyta kunskaper och expertis samt genom att aktivt bidra till kunskapsöverföring, nätverksarbete och informationsspridning mellan de företag som ingår i klustret.</w:t>
      </w:r>
    </w:p>
    <w:p w:rsidR="00417971" w:rsidRPr="00417971" w:rsidRDefault="00417971" w:rsidP="00417971">
      <w:pPr>
        <w:jc w:val="left"/>
        <w:rPr>
          <w:rFonts w:eastAsia="Times New Roman" w:cs="Arial"/>
          <w:i/>
          <w:color w:val="404040" w:themeColor="background1" w:themeShade="40"/>
          <w:sz w:val="16"/>
          <w:szCs w:val="16"/>
        </w:rPr>
      </w:pPr>
      <w:r>
        <w:rPr>
          <w:i/>
          <w:color w:val="404040" w:themeColor="background1" w:themeShade="40"/>
          <w:sz w:val="16"/>
          <w:szCs w:val="16"/>
          <w:u w:val="single"/>
        </w:rPr>
        <w:t>Referens</w:t>
      </w:r>
      <w:r>
        <w:rPr>
          <w:i/>
          <w:color w:val="404040" w:themeColor="background1" w:themeShade="40"/>
          <w:sz w:val="16"/>
          <w:szCs w:val="16"/>
        </w:rPr>
        <w:t xml:space="preserve">: Det vägledande dokumentet om åtgärden ”Samarbete", november 2014: </w:t>
      </w:r>
      <w:hyperlink r:id="rId135" w:history="1">
        <w:r>
          <w:rPr>
            <w:rStyle w:val="Hyperlink"/>
            <w:i/>
            <w:szCs w:val="16"/>
          </w:rPr>
          <w:t>http://ec.europa.eu/eip/agriculture/sites/agri-eip/files/16_measure_fiche_art_35_co-operation.pdf</w:t>
        </w:r>
      </w:hyperlink>
    </w:p>
    <w:p w:rsidR="00417971" w:rsidRPr="009125CD" w:rsidRDefault="00417971" w:rsidP="00417971">
      <w:pPr>
        <w:rPr>
          <w:rFonts w:eastAsia="Arial" w:cs="Arial"/>
          <w:b/>
          <w:color w:val="57825E"/>
          <w:szCs w:val="20"/>
        </w:rPr>
      </w:pPr>
      <w:r>
        <w:rPr>
          <w:b/>
          <w:color w:val="57825E"/>
          <w:szCs w:val="20"/>
        </w:rPr>
        <w:t>Möjlighetsskapande utfall</w:t>
      </w:r>
    </w:p>
    <w:p w:rsidR="00417971" w:rsidRDefault="00417971" w:rsidP="00417971">
      <w:pPr>
        <w:rPr>
          <w:rFonts w:cs="Arial"/>
          <w:color w:val="404040" w:themeColor="background1" w:themeShade="40"/>
          <w:szCs w:val="20"/>
        </w:rPr>
      </w:pPr>
      <w:r>
        <w:rPr>
          <w:color w:val="404040" w:themeColor="background1" w:themeShade="40"/>
          <w:szCs w:val="20"/>
        </w:rPr>
        <w:t xml:space="preserve">Utfall med koppling till de tre handlingsvägarna för innovation, däribland 1) identifiering och främjande av potentiella innovativa idéer, 2) uppbyggnad av innovationskapacitet, och 3) </w:t>
      </w:r>
      <w:r>
        <w:rPr>
          <w:color w:val="404040" w:themeColor="background1" w:themeShade="40"/>
          <w:szCs w:val="20"/>
        </w:rPr>
        <w:t>skapande av en gynnsam miljö för innovation. Det kan uttryckas som förändringar i förekomsten av och kvaliteten på framväxande innovativa idéer, förändringar i innovationskapaciteten och förändringar i den gynnsamma miljön.</w:t>
      </w:r>
    </w:p>
    <w:p w:rsidR="00417971" w:rsidRPr="00417971" w:rsidRDefault="00417971" w:rsidP="0025413B">
      <w:pPr>
        <w:rPr>
          <w:rFonts w:cs="Arial"/>
          <w:i/>
          <w:color w:val="404040" w:themeColor="background1" w:themeShade="40"/>
          <w:sz w:val="16"/>
          <w:szCs w:val="16"/>
        </w:rPr>
      </w:pPr>
      <w:r>
        <w:rPr>
          <w:i/>
          <w:color w:val="404040" w:themeColor="background1" w:themeShade="40"/>
          <w:sz w:val="16"/>
          <w:szCs w:val="16"/>
          <w:u w:val="single"/>
        </w:rPr>
        <w:t>Referens</w:t>
      </w:r>
      <w:r>
        <w:rPr>
          <w:i/>
          <w:color w:val="404040" w:themeColor="background1" w:themeShade="40"/>
          <w:sz w:val="16"/>
          <w:szCs w:val="16"/>
        </w:rPr>
        <w:t>: TWG-4.</w:t>
      </w:r>
    </w:p>
    <w:p w:rsidR="0025413B" w:rsidRDefault="0025413B" w:rsidP="0025413B">
      <w:pPr>
        <w:rPr>
          <w:rFonts w:eastAsia="Arial" w:cs="Arial"/>
          <w:b/>
          <w:color w:val="57825E"/>
          <w:szCs w:val="20"/>
        </w:rPr>
      </w:pPr>
      <w:r>
        <w:rPr>
          <w:b/>
          <w:color w:val="57825E"/>
          <w:szCs w:val="20"/>
        </w:rPr>
        <w:t>Operativa grupper</w:t>
      </w:r>
    </w:p>
    <w:p w:rsidR="0025413B" w:rsidRDefault="0025413B" w:rsidP="0025413B">
      <w:pPr>
        <w:rPr>
          <w:rFonts w:cs="Arial"/>
          <w:color w:val="404040" w:themeColor="background1" w:themeShade="40"/>
          <w:szCs w:val="20"/>
        </w:rPr>
      </w:pPr>
      <w:r>
        <w:rPr>
          <w:color w:val="404040" w:themeColor="background1" w:themeShade="40"/>
          <w:szCs w:val="20"/>
        </w:rPr>
        <w:t>Grupper av personer (däribland jordbrukare, forskare, rådgivare etc.) som arbetar tillsammans i ett praktiskt innovationsprojekt med konkreta mål.</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Referens</w:t>
      </w:r>
      <w:r>
        <w:rPr>
          <w:i/>
          <w:color w:val="404040" w:themeColor="background1" w:themeShade="40"/>
          <w:sz w:val="16"/>
          <w:szCs w:val="16"/>
        </w:rPr>
        <w:t xml:space="preserve">: EIP-Agris broschyr om innovationsstödjande tjänster: </w:t>
      </w:r>
      <w:hyperlink r:id="rId136" w:history="1">
        <w:r>
          <w:rPr>
            <w:rStyle w:val="Hyperlink"/>
            <w:i/>
            <w:szCs w:val="16"/>
          </w:rPr>
          <w:t>https://ec.europa.eu/eip/agriculture/en/content/innovation-support-services</w:t>
        </w:r>
      </w:hyperlink>
    </w:p>
    <w:p w:rsidR="0025413B" w:rsidRPr="009125CD" w:rsidRDefault="0025413B" w:rsidP="0025413B">
      <w:pPr>
        <w:rPr>
          <w:rFonts w:eastAsia="Arial" w:cs="Arial"/>
          <w:b/>
          <w:color w:val="57825E"/>
          <w:szCs w:val="20"/>
        </w:rPr>
      </w:pPr>
      <w:r>
        <w:rPr>
          <w:b/>
          <w:color w:val="57825E"/>
          <w:szCs w:val="20"/>
        </w:rPr>
        <w:t>Social innovation</w:t>
      </w:r>
    </w:p>
    <w:p w:rsidR="0025413B" w:rsidRDefault="0025413B" w:rsidP="0025413B">
      <w:pPr>
        <w:rPr>
          <w:rFonts w:cs="Arial"/>
          <w:color w:val="404040" w:themeColor="background1" w:themeShade="40"/>
          <w:szCs w:val="20"/>
        </w:rPr>
      </w:pPr>
      <w:r>
        <w:rPr>
          <w:color w:val="404040" w:themeColor="background1" w:themeShade="40"/>
          <w:szCs w:val="20"/>
        </w:rPr>
        <w:t>Social innovation kan definieras som utveckling och genomförande av nya idéer (produkter, tjänster och modeller) för att uppfylla sociala behov och skapa nya sociala relationer eller samarbeten.</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Referens</w:t>
      </w:r>
      <w:r>
        <w:rPr>
          <w:i/>
          <w:color w:val="404040" w:themeColor="background1" w:themeShade="40"/>
          <w:sz w:val="16"/>
          <w:szCs w:val="16"/>
        </w:rPr>
        <w:t>: GD Regional- och stadspolitik, GD Sysselsättning, socialpolitik och inkludering, GD Jordbruk och landsbygds­utveckling etc. (2013) Guide to Social Innovation.</w:t>
      </w:r>
    </w:p>
    <w:p w:rsidR="0025413B" w:rsidRPr="009125CD" w:rsidRDefault="0025413B" w:rsidP="0025413B">
      <w:pPr>
        <w:rPr>
          <w:rFonts w:eastAsia="Arial" w:cs="Arial"/>
          <w:b/>
          <w:color w:val="57825E"/>
          <w:szCs w:val="20"/>
        </w:rPr>
      </w:pPr>
      <w:r>
        <w:rPr>
          <w:b/>
          <w:color w:val="57825E"/>
          <w:szCs w:val="20"/>
        </w:rPr>
        <w:t>Tematiska och analytiska utbyten</w:t>
      </w:r>
    </w:p>
    <w:p w:rsidR="0025413B" w:rsidRDefault="0025413B" w:rsidP="0025413B">
      <w:pPr>
        <w:rPr>
          <w:rFonts w:cs="Arial"/>
          <w:color w:val="404040" w:themeColor="background1" w:themeShade="40"/>
          <w:szCs w:val="20"/>
        </w:rPr>
      </w:pPr>
      <w:r>
        <w:rPr>
          <w:color w:val="404040" w:themeColor="background1" w:themeShade="40"/>
          <w:szCs w:val="20"/>
        </w:rPr>
        <w:t>Utbyten kan främjas av de nationella landsbygdsnätverken i olika former. Den vanligaste formen av tematiska utbyten som inrättats av nationella landsbygdsnätverk har varit permanenta eller tillfälliga tematiska arbetsgrupper. Det nationella landsbygdsnätverkets tematiska arbetsgrupper sammanför olika berörda aktörer så att de kan diskutera, analysera och utbyta information om gemensamma ämnen, vilket ofta leder till rekommendationer för genomförande och planering av landsbygdsprogrammet.</w:t>
      </w:r>
    </w:p>
    <w:p w:rsidR="0025413B" w:rsidRPr="00F639C6" w:rsidRDefault="0025413B" w:rsidP="0025413B">
      <w:pPr>
        <w:jc w:val="left"/>
        <w:rPr>
          <w:rFonts w:eastAsia="Arial" w:cs="Arial"/>
          <w:color w:val="404040" w:themeColor="background1" w:themeShade="40"/>
          <w:szCs w:val="20"/>
          <w:lang w:val="en-US"/>
        </w:rPr>
      </w:pPr>
      <w:r>
        <w:rPr>
          <w:i/>
          <w:color w:val="404040" w:themeColor="background1" w:themeShade="40"/>
          <w:sz w:val="16"/>
          <w:szCs w:val="16"/>
          <w:u w:val="single"/>
        </w:rPr>
        <w:t xml:space="preserve"> </w:t>
      </w:r>
      <w:r w:rsidRPr="00F639C6">
        <w:rPr>
          <w:i/>
          <w:color w:val="404040" w:themeColor="background1" w:themeShade="40"/>
          <w:sz w:val="16"/>
          <w:szCs w:val="16"/>
          <w:u w:val="single"/>
          <w:lang w:val="en-US"/>
        </w:rPr>
        <w:t>Referens</w:t>
      </w:r>
      <w:r w:rsidRPr="00F639C6">
        <w:rPr>
          <w:i/>
          <w:color w:val="404040" w:themeColor="background1" w:themeShade="40"/>
          <w:sz w:val="16"/>
          <w:szCs w:val="16"/>
          <w:lang w:val="en-US"/>
        </w:rPr>
        <w:t xml:space="preserve">: NRN guidebook: </w:t>
      </w:r>
      <w:hyperlink r:id="rId137" w:history="1">
        <w:r w:rsidRPr="00F639C6">
          <w:rPr>
            <w:rStyle w:val="Hyperlink"/>
            <w:i/>
            <w:szCs w:val="16"/>
            <w:lang w:val="en-US"/>
          </w:rPr>
          <w:t>http://enrd.ec.europa.eu/enrd-static/app_templates/enrd_assets/pdf/guidebook/nrn_handbook_webversion.pdf</w:t>
        </w:r>
      </w:hyperlink>
    </w:p>
    <w:p w:rsidR="0025413B" w:rsidRPr="00F639C6" w:rsidRDefault="0025413B" w:rsidP="0025413B">
      <w:pPr>
        <w:rPr>
          <w:rFonts w:cs="Arial"/>
          <w:color w:val="404040" w:themeColor="background1" w:themeShade="40"/>
          <w:szCs w:val="20"/>
          <w:lang w:val="en-US"/>
        </w:rPr>
        <w:sectPr w:rsidR="0025413B" w:rsidRPr="00F639C6" w:rsidSect="001F6F07">
          <w:type w:val="continuous"/>
          <w:pgSz w:w="11907" w:h="16840" w:code="9"/>
          <w:pgMar w:top="1440" w:right="1440" w:bottom="1134" w:left="1440" w:header="567" w:footer="1020" w:gutter="0"/>
          <w:cols w:num="2" w:space="708"/>
          <w:titlePg/>
          <w:docGrid w:linePitch="435"/>
        </w:sectPr>
      </w:pPr>
    </w:p>
    <w:p w:rsidR="0025413B" w:rsidRPr="00F639C6" w:rsidRDefault="0025413B" w:rsidP="001319A0">
      <w:pPr>
        <w:pStyle w:val="HStandard"/>
        <w:rPr>
          <w:lang w:val="en-US"/>
        </w:rPr>
      </w:pPr>
    </w:p>
    <w:p w:rsidR="00E05D08" w:rsidRPr="00E05D08" w:rsidRDefault="00E05D08" w:rsidP="00E05D08">
      <w:pPr>
        <w:spacing w:before="60" w:after="140" w:line="220" w:lineRule="atLeast"/>
        <w:rPr>
          <w:rFonts w:eastAsia="Times New Roman" w:cs="Times New Roman"/>
          <w:sz w:val="18"/>
          <w:szCs w:val="24"/>
          <w:lang w:val="en-US" w:eastAsia="de-DE"/>
        </w:rPr>
        <w:sectPr w:rsidR="00E05D08" w:rsidRPr="00E05D08"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5" w:name="_Toc493151908"/>
      <w:bookmarkStart w:id="146" w:name="_Toc501382138"/>
      <w:bookmarkStart w:id="147" w:name="_Toc508290315"/>
      <w:r>
        <w:lastRenderedPageBreak/>
        <w:t>Identifiering av innovationspotential i landsbygdsprogrammet: steg för steg</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rsidTr="00E05D08">
        <w:trPr>
          <w:trHeight w:val="294"/>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Steg</w:t>
            </w:r>
          </w:p>
        </w:tc>
        <w:tc>
          <w:tcPr>
            <w:tcW w:w="326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Frågor att besvara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Var i programmet?</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Exempel</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Risker med steget</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Lösningar</w:t>
            </w:r>
          </w:p>
        </w:tc>
      </w:tr>
      <w:tr w:rsidR="00E05D08" w:rsidRPr="00E05D08" w:rsidTr="00E05D08">
        <w:tc>
          <w:tcPr>
            <w:tcW w:w="1980" w:type="dxa"/>
          </w:tcPr>
          <w:p w:rsidR="00E05D08" w:rsidRPr="00F31494" w:rsidRDefault="00E05D08" w:rsidP="00F31494">
            <w:pPr>
              <w:jc w:val="left"/>
              <w:rPr>
                <w:rFonts w:cs="Arial"/>
                <w:color w:val="F07E31"/>
                <w:sz w:val="18"/>
                <w:szCs w:val="18"/>
              </w:rPr>
            </w:pPr>
            <w:r>
              <w:rPr>
                <w:color w:val="F07E31"/>
                <w:sz w:val="18"/>
                <w:szCs w:val="18"/>
              </w:rPr>
              <w:t xml:space="preserve">Steg 1: Identifiera kopplingar mellan innovationsrelaterade behov och åtgärden/delåtgärden </w:t>
            </w:r>
          </w:p>
        </w:tc>
        <w:tc>
          <w:tcPr>
            <w:tcW w:w="3260" w:type="dxa"/>
          </w:tcPr>
          <w:p w:rsidR="00E05D08" w:rsidRPr="00E05D08" w:rsidRDefault="00AA5817" w:rsidP="00F31494">
            <w:pPr>
              <w:spacing w:after="120"/>
              <w:jc w:val="left"/>
              <w:rPr>
                <w:rFonts w:cs="Arial"/>
                <w:sz w:val="16"/>
                <w:szCs w:val="16"/>
              </w:rPr>
            </w:pPr>
            <w:r>
              <w:rPr>
                <w:sz w:val="16"/>
                <w:szCs w:val="16"/>
              </w:rPr>
              <w:t>Vilka innovationsrelaterade behov har identifierats i behovsbedömningen i förhållande till åtgärden/delåtgärden?</w:t>
            </w:r>
          </w:p>
          <w:p w:rsidR="00E05D08" w:rsidRPr="00E05D08" w:rsidRDefault="00E05D08" w:rsidP="00F31494">
            <w:pPr>
              <w:spacing w:after="120"/>
              <w:jc w:val="left"/>
              <w:rPr>
                <w:rFonts w:cs="Arial"/>
                <w:sz w:val="16"/>
                <w:szCs w:val="16"/>
              </w:rPr>
            </w:pPr>
            <w:r>
              <w:rPr>
                <w:sz w:val="16"/>
                <w:szCs w:val="16"/>
              </w:rPr>
              <w:t>Hur kan åtgärden/delåtgärden uppfylla dessa behov med hänsyn till de tre handlingsvägarna?</w:t>
            </w:r>
          </w:p>
        </w:tc>
        <w:tc>
          <w:tcPr>
            <w:tcW w:w="2268" w:type="dxa"/>
          </w:tcPr>
          <w:p w:rsidR="00E05D08" w:rsidRPr="00E05D08" w:rsidRDefault="00E05D08" w:rsidP="00F31494">
            <w:pPr>
              <w:jc w:val="left"/>
              <w:rPr>
                <w:rFonts w:cs="Arial"/>
                <w:sz w:val="16"/>
                <w:szCs w:val="16"/>
              </w:rPr>
            </w:pPr>
            <w:r>
              <w:rPr>
                <w:sz w:val="16"/>
                <w:szCs w:val="16"/>
              </w:rPr>
              <w:t>Avsnitt 4 – swot-analys och behovsbedömning</w:t>
            </w:r>
          </w:p>
          <w:p w:rsidR="00E05D08" w:rsidRPr="00E05D08" w:rsidRDefault="00E05D08" w:rsidP="00F31494">
            <w:pPr>
              <w:jc w:val="left"/>
              <w:rPr>
                <w:rFonts w:cs="Arial"/>
                <w:sz w:val="16"/>
                <w:szCs w:val="16"/>
              </w:rPr>
            </w:pPr>
            <w:r>
              <w:rPr>
                <w:sz w:val="16"/>
                <w:szCs w:val="16"/>
              </w:rPr>
              <w:t>Avsnitt 5 – beskrivning av strategin</w:t>
            </w:r>
          </w:p>
          <w:p w:rsidR="00E05D08" w:rsidRPr="00E05D08" w:rsidRDefault="00E05D08" w:rsidP="00F31494">
            <w:pPr>
              <w:jc w:val="left"/>
              <w:rPr>
                <w:rFonts w:cs="Arial"/>
                <w:sz w:val="16"/>
                <w:szCs w:val="16"/>
              </w:rPr>
            </w:pPr>
            <w:r>
              <w:rPr>
                <w:sz w:val="16"/>
                <w:szCs w:val="16"/>
              </w:rPr>
              <w:t>Avsnitt 8 – beskrivning av åtgärder och delåtgärder</w:t>
            </w:r>
          </w:p>
        </w:tc>
        <w:tc>
          <w:tcPr>
            <w:tcW w:w="2693" w:type="dxa"/>
          </w:tcPr>
          <w:p w:rsidR="00E05D08" w:rsidRPr="00E05D08" w:rsidRDefault="00E05D08" w:rsidP="00F31494">
            <w:pPr>
              <w:jc w:val="left"/>
              <w:rPr>
                <w:rFonts w:cs="Arial"/>
                <w:sz w:val="16"/>
                <w:szCs w:val="16"/>
              </w:rPr>
            </w:pPr>
            <w:r>
              <w:rPr>
                <w:sz w:val="16"/>
                <w:szCs w:val="16"/>
              </w:rPr>
              <w:t xml:space="preserve">Behov </w:t>
            </w:r>
            <w:r w:rsidR="00147EAF">
              <w:rPr>
                <w:sz w:val="16"/>
                <w:szCs w:val="16"/>
              </w:rPr>
              <w:t xml:space="preserve">av </w:t>
            </w:r>
            <w:r>
              <w:rPr>
                <w:sz w:val="16"/>
                <w:szCs w:val="16"/>
              </w:rPr>
              <w:t xml:space="preserve">att förbättra systemet för FoU och innovation. Behov </w:t>
            </w:r>
            <w:r w:rsidR="00147EAF">
              <w:rPr>
                <w:sz w:val="16"/>
                <w:szCs w:val="16"/>
              </w:rPr>
              <w:t xml:space="preserve">av </w:t>
            </w:r>
            <w:r>
              <w:rPr>
                <w:sz w:val="16"/>
                <w:szCs w:val="16"/>
              </w:rPr>
              <w:t xml:space="preserve">att förbättra överföringen av kunskapsmekanismer. Behov </w:t>
            </w:r>
            <w:r w:rsidR="00147EAF">
              <w:rPr>
                <w:sz w:val="16"/>
                <w:szCs w:val="16"/>
              </w:rPr>
              <w:t xml:space="preserve">av </w:t>
            </w:r>
            <w:r>
              <w:rPr>
                <w:sz w:val="16"/>
                <w:szCs w:val="16"/>
              </w:rPr>
              <w:t>att främja innovationskulturen bland aktörer i jordbruks- och livsmedelssektorn.</w:t>
            </w:r>
          </w:p>
        </w:tc>
        <w:tc>
          <w:tcPr>
            <w:tcW w:w="2268" w:type="dxa"/>
          </w:tcPr>
          <w:p w:rsidR="00E05D08" w:rsidRPr="00E05D08" w:rsidRDefault="00AA5817" w:rsidP="00963A81">
            <w:pPr>
              <w:jc w:val="left"/>
              <w:rPr>
                <w:rFonts w:cs="Arial"/>
                <w:sz w:val="16"/>
                <w:szCs w:val="16"/>
              </w:rPr>
            </w:pPr>
            <w:r>
              <w:rPr>
                <w:sz w:val="16"/>
                <w:szCs w:val="16"/>
              </w:rPr>
              <w:t xml:space="preserve">Innovationsrelaterade behov har inte formulerats tydligt i swot-analysen och behovsbedömningen. </w:t>
            </w:r>
          </w:p>
        </w:tc>
        <w:tc>
          <w:tcPr>
            <w:tcW w:w="2410" w:type="dxa"/>
          </w:tcPr>
          <w:p w:rsidR="00E05D08" w:rsidRPr="00E05D08" w:rsidRDefault="00E05D08" w:rsidP="00F31494">
            <w:pPr>
              <w:jc w:val="left"/>
              <w:rPr>
                <w:rFonts w:cs="Arial"/>
                <w:sz w:val="16"/>
                <w:szCs w:val="16"/>
              </w:rPr>
            </w:pPr>
            <w:r>
              <w:rPr>
                <w:sz w:val="16"/>
                <w:szCs w:val="16"/>
              </w:rPr>
              <w:t>Granska swot-analysen och behovsbedömningen utifrån innovationsrelaterade behov.</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Steg 2: Identifiera innovationsrelaterade delar av åtgärdens/delåtgärdens mål</w:t>
            </w:r>
          </w:p>
        </w:tc>
        <w:tc>
          <w:tcPr>
            <w:tcW w:w="3260" w:type="dxa"/>
          </w:tcPr>
          <w:p w:rsidR="00E05D08" w:rsidRPr="00E05D08" w:rsidRDefault="00E05D08" w:rsidP="00F31494">
            <w:pPr>
              <w:spacing w:after="120"/>
              <w:jc w:val="left"/>
              <w:rPr>
                <w:rFonts w:cs="Arial"/>
                <w:sz w:val="16"/>
                <w:szCs w:val="16"/>
              </w:rPr>
            </w:pPr>
            <w:r>
              <w:rPr>
                <w:sz w:val="16"/>
                <w:szCs w:val="16"/>
              </w:rPr>
              <w:t>I vilken utsträckning uppfyller åtgärdens/delåtgärdens mål innovationsrelaterade behov?</w:t>
            </w:r>
          </w:p>
          <w:p w:rsidR="00E05D08" w:rsidRPr="00E05D08" w:rsidRDefault="00E05D08" w:rsidP="00F31494">
            <w:pPr>
              <w:spacing w:after="120"/>
              <w:jc w:val="left"/>
              <w:rPr>
                <w:rFonts w:cs="Arial"/>
                <w:sz w:val="16"/>
                <w:szCs w:val="16"/>
              </w:rPr>
            </w:pPr>
            <w:r>
              <w:rPr>
                <w:sz w:val="16"/>
                <w:szCs w:val="16"/>
              </w:rPr>
              <w:t>Hur har målet/målen formulerats med avseende på innovation?</w:t>
            </w:r>
          </w:p>
        </w:tc>
        <w:tc>
          <w:tcPr>
            <w:tcW w:w="2268" w:type="dxa"/>
          </w:tcPr>
          <w:p w:rsidR="00E05D08" w:rsidRPr="00E05D08" w:rsidRDefault="00E05D08" w:rsidP="00F31494">
            <w:pPr>
              <w:jc w:val="left"/>
              <w:rPr>
                <w:rFonts w:cs="Arial"/>
                <w:sz w:val="16"/>
                <w:szCs w:val="16"/>
              </w:rPr>
            </w:pPr>
            <w:r>
              <w:rPr>
                <w:sz w:val="16"/>
                <w:szCs w:val="16"/>
              </w:rPr>
              <w:t>Avsnitt 5 – beskrivning av strategin</w:t>
            </w:r>
          </w:p>
          <w:p w:rsidR="00E05D08" w:rsidRPr="00E05D08" w:rsidRDefault="00E05D08" w:rsidP="00F31494">
            <w:pPr>
              <w:jc w:val="left"/>
              <w:rPr>
                <w:rFonts w:cs="Arial"/>
                <w:sz w:val="16"/>
                <w:szCs w:val="16"/>
              </w:rPr>
            </w:pPr>
            <w:r>
              <w:rPr>
                <w:sz w:val="16"/>
                <w:szCs w:val="16"/>
              </w:rPr>
              <w:t>Avsnitt 8 – beskrivning av åtgärder och delåtgärder</w:t>
            </w:r>
          </w:p>
        </w:tc>
        <w:tc>
          <w:tcPr>
            <w:tcW w:w="2693" w:type="dxa"/>
          </w:tcPr>
          <w:p w:rsidR="00E05D08" w:rsidRPr="00E05D08" w:rsidRDefault="00E05D08" w:rsidP="00F31494">
            <w:pPr>
              <w:jc w:val="left"/>
              <w:rPr>
                <w:rFonts w:cs="Arial"/>
                <w:sz w:val="16"/>
                <w:szCs w:val="16"/>
              </w:rPr>
            </w:pPr>
            <w:r>
              <w:rPr>
                <w:sz w:val="16"/>
                <w:szCs w:val="16"/>
              </w:rPr>
              <w:t>Främja nya tekniker i bevattningssystem. Införa ny kunskap om skydd och bearbetning av grödor. Förbättra jordbruksföretagens ekonomiska resultat genom innovation.</w:t>
            </w:r>
          </w:p>
        </w:tc>
        <w:tc>
          <w:tcPr>
            <w:tcW w:w="2268" w:type="dxa"/>
          </w:tcPr>
          <w:p w:rsidR="00E05D08" w:rsidRPr="00E05D08" w:rsidRDefault="00AA5817" w:rsidP="00F31494">
            <w:pPr>
              <w:jc w:val="left"/>
              <w:rPr>
                <w:rFonts w:cs="Arial"/>
                <w:sz w:val="16"/>
                <w:szCs w:val="16"/>
              </w:rPr>
            </w:pPr>
            <w:r>
              <w:rPr>
                <w:sz w:val="16"/>
                <w:szCs w:val="16"/>
              </w:rPr>
              <w:t>Innovationsrelaterade mål finns inte tydligt angivna i den allmänna beskrivningen av åtgärden och delåtgärden.</w:t>
            </w:r>
          </w:p>
        </w:tc>
        <w:tc>
          <w:tcPr>
            <w:tcW w:w="2410" w:type="dxa"/>
          </w:tcPr>
          <w:p w:rsidR="00E05D08" w:rsidRPr="00E05D08" w:rsidRDefault="00E05D08" w:rsidP="00F31494">
            <w:pPr>
              <w:jc w:val="left"/>
              <w:rPr>
                <w:rFonts w:cs="Arial"/>
                <w:sz w:val="16"/>
                <w:szCs w:val="16"/>
              </w:rPr>
            </w:pPr>
            <w:r>
              <w:rPr>
                <w:sz w:val="16"/>
                <w:szCs w:val="16"/>
              </w:rPr>
              <w:t>Granska alla delåtgärder och deras respektive mål för att identifiera innovationsrelaterade mål.</w:t>
            </w:r>
          </w:p>
        </w:tc>
      </w:tr>
      <w:tr w:rsidR="00E05D08" w:rsidRPr="00E05D08" w:rsidTr="00E05D08">
        <w:tc>
          <w:tcPr>
            <w:tcW w:w="1980" w:type="dxa"/>
          </w:tcPr>
          <w:p w:rsidR="00E05D08" w:rsidRPr="00F31494" w:rsidRDefault="00AA5817" w:rsidP="00F31494">
            <w:pPr>
              <w:jc w:val="left"/>
              <w:rPr>
                <w:rFonts w:cs="Arial"/>
                <w:color w:val="F07E31"/>
                <w:sz w:val="18"/>
                <w:szCs w:val="18"/>
              </w:rPr>
            </w:pPr>
            <w:r>
              <w:rPr>
                <w:color w:val="F07E31"/>
                <w:sz w:val="18"/>
                <w:szCs w:val="18"/>
              </w:rPr>
              <w:t>Steg 3: Identifiera åtgärdens/delåtgärdens innovationsrelaterade urvalskriterier</w:t>
            </w:r>
          </w:p>
        </w:tc>
        <w:tc>
          <w:tcPr>
            <w:tcW w:w="3260" w:type="dxa"/>
          </w:tcPr>
          <w:p w:rsidR="00E05D08" w:rsidRPr="00E05D08" w:rsidRDefault="00E05D08" w:rsidP="00F31494">
            <w:pPr>
              <w:spacing w:after="120"/>
              <w:jc w:val="left"/>
              <w:rPr>
                <w:rFonts w:cs="Arial"/>
                <w:sz w:val="16"/>
                <w:szCs w:val="16"/>
              </w:rPr>
            </w:pPr>
            <w:r>
              <w:rPr>
                <w:sz w:val="16"/>
                <w:szCs w:val="16"/>
              </w:rPr>
              <w:t xml:space="preserve">I vilken utsträckning gynnar åtgärdens/delåtgärdens innovationsrelaterade urvalskriterier främjandet av innovation med hänsyn till de tre handlingsvägarna? </w:t>
            </w:r>
          </w:p>
          <w:p w:rsidR="00E05D08" w:rsidRPr="00E05D08" w:rsidRDefault="00E05D08" w:rsidP="00F31494">
            <w:pPr>
              <w:spacing w:after="120"/>
              <w:jc w:val="left"/>
              <w:rPr>
                <w:rFonts w:cs="Arial"/>
                <w:sz w:val="16"/>
                <w:szCs w:val="16"/>
              </w:rPr>
            </w:pPr>
            <w:r>
              <w:rPr>
                <w:sz w:val="16"/>
                <w:szCs w:val="16"/>
              </w:rPr>
              <w:t>Vilka konkreta urvalskriterier gynnar projekt som främjar innovation?</w:t>
            </w:r>
          </w:p>
        </w:tc>
        <w:tc>
          <w:tcPr>
            <w:tcW w:w="2268" w:type="dxa"/>
          </w:tcPr>
          <w:p w:rsidR="00E05D08" w:rsidRPr="00E05D08" w:rsidRDefault="00E05D08" w:rsidP="00F31494">
            <w:pPr>
              <w:jc w:val="left"/>
              <w:rPr>
                <w:rFonts w:cs="Arial"/>
                <w:sz w:val="16"/>
                <w:szCs w:val="16"/>
              </w:rPr>
            </w:pPr>
            <w:r>
              <w:rPr>
                <w:sz w:val="16"/>
                <w:szCs w:val="16"/>
              </w:rPr>
              <w:t>Avsnitt 8 – beskrivning av åtgärder och delåtgärder</w:t>
            </w:r>
          </w:p>
          <w:p w:rsidR="00E05D08" w:rsidRPr="00E05D08" w:rsidRDefault="00E05D08" w:rsidP="00F31494">
            <w:pPr>
              <w:jc w:val="left"/>
              <w:rPr>
                <w:rFonts w:cs="Arial"/>
                <w:sz w:val="16"/>
                <w:szCs w:val="16"/>
              </w:rPr>
            </w:pPr>
            <w:r>
              <w:rPr>
                <w:sz w:val="16"/>
                <w:szCs w:val="16"/>
              </w:rPr>
              <w:t>Urvalskriterier som har utarbetats under genomförandet (källa: programmets webbplats, förvaltande myndigheter)</w:t>
            </w:r>
          </w:p>
        </w:tc>
        <w:tc>
          <w:tcPr>
            <w:tcW w:w="2693" w:type="dxa"/>
          </w:tcPr>
          <w:p w:rsidR="00E05D08" w:rsidRPr="00E05D08" w:rsidRDefault="00E05D08" w:rsidP="00F31494">
            <w:pPr>
              <w:jc w:val="left"/>
              <w:rPr>
                <w:rFonts w:cs="Arial"/>
                <w:sz w:val="16"/>
                <w:szCs w:val="16"/>
              </w:rPr>
            </w:pPr>
            <w:r>
              <w:rPr>
                <w:sz w:val="16"/>
                <w:szCs w:val="16"/>
              </w:rPr>
              <w:t>Prioritering av aktörer med erfarenhet av innovation. Prioritering av insatser som sammankopplar forskning och praktik. Betoning på partnerskapens sammansättning (vid samarbetsinsatser).</w:t>
            </w:r>
          </w:p>
        </w:tc>
        <w:tc>
          <w:tcPr>
            <w:tcW w:w="2268" w:type="dxa"/>
          </w:tcPr>
          <w:p w:rsidR="00E05D08" w:rsidRPr="00E05D08" w:rsidRDefault="00E05D08" w:rsidP="00F31494">
            <w:pPr>
              <w:jc w:val="left"/>
              <w:rPr>
                <w:rFonts w:cs="Arial"/>
                <w:sz w:val="16"/>
                <w:szCs w:val="16"/>
              </w:rPr>
            </w:pPr>
            <w:r>
              <w:rPr>
                <w:sz w:val="16"/>
                <w:szCs w:val="16"/>
              </w:rPr>
              <w:t xml:space="preserve">Projektets innovationsrelaterade urvalskriterier specificeras inte i beskrivningen av åtgärderna eller är allmänt formulerade, t.ex. ”de utvalda projekten” är innovativa”. </w:t>
            </w:r>
          </w:p>
        </w:tc>
        <w:tc>
          <w:tcPr>
            <w:tcW w:w="2410" w:type="dxa"/>
          </w:tcPr>
          <w:p w:rsidR="00E05D08" w:rsidRPr="00E05D08" w:rsidRDefault="00E05D08" w:rsidP="00F31494">
            <w:pPr>
              <w:jc w:val="left"/>
              <w:rPr>
                <w:rFonts w:cs="Arial"/>
                <w:sz w:val="16"/>
                <w:szCs w:val="16"/>
              </w:rPr>
            </w:pPr>
            <w:r>
              <w:rPr>
                <w:sz w:val="16"/>
                <w:szCs w:val="16"/>
              </w:rPr>
              <w:t>Föreslå operativa kriterier som specificerar förhållanden under vilka projektet betraktas som innovativt.</w:t>
            </w:r>
          </w:p>
        </w:tc>
      </w:tr>
      <w:tr w:rsidR="00E05D08" w:rsidRPr="00E05D08" w:rsidTr="00E05D08">
        <w:tc>
          <w:tcPr>
            <w:tcW w:w="1980" w:type="dxa"/>
          </w:tcPr>
          <w:p w:rsidR="00E05D08" w:rsidRPr="00F31494" w:rsidRDefault="00E05D08" w:rsidP="00F31494">
            <w:pPr>
              <w:spacing w:after="120"/>
              <w:jc w:val="left"/>
              <w:rPr>
                <w:rFonts w:cs="Arial"/>
                <w:color w:val="F07E31"/>
                <w:sz w:val="18"/>
                <w:szCs w:val="18"/>
              </w:rPr>
            </w:pPr>
            <w:r>
              <w:rPr>
                <w:color w:val="F07E31"/>
                <w:sz w:val="18"/>
                <w:szCs w:val="18"/>
              </w:rPr>
              <w:t>Steg 4: Identifiera innovationsaktörer i beskrivningen av åtgärden/delåtgärden</w:t>
            </w:r>
          </w:p>
        </w:tc>
        <w:tc>
          <w:tcPr>
            <w:tcW w:w="3260" w:type="dxa"/>
          </w:tcPr>
          <w:p w:rsidR="00E05D08" w:rsidRPr="00E05D08" w:rsidRDefault="00E05D08" w:rsidP="00F31494">
            <w:pPr>
              <w:spacing w:after="120"/>
              <w:jc w:val="left"/>
              <w:rPr>
                <w:rFonts w:cs="Arial"/>
                <w:sz w:val="16"/>
                <w:szCs w:val="16"/>
              </w:rPr>
            </w:pPr>
            <w:r>
              <w:rPr>
                <w:sz w:val="16"/>
                <w:szCs w:val="16"/>
              </w:rPr>
              <w:t>Vilka stödmottagare förväntas främja innovation genom de tre handlingsvägarna?</w:t>
            </w:r>
          </w:p>
          <w:p w:rsidR="00E05D08" w:rsidRPr="00E05D08" w:rsidRDefault="00E05D08" w:rsidP="00F31494">
            <w:pPr>
              <w:spacing w:after="120"/>
              <w:jc w:val="left"/>
              <w:rPr>
                <w:rFonts w:cs="Arial"/>
                <w:sz w:val="16"/>
                <w:szCs w:val="16"/>
              </w:rPr>
            </w:pPr>
            <w:r>
              <w:rPr>
                <w:sz w:val="16"/>
                <w:szCs w:val="16"/>
              </w:rPr>
              <w:t>Vilka andra innovationsaktörer är involverade i genomförandet av åtgärden?</w:t>
            </w:r>
          </w:p>
        </w:tc>
        <w:tc>
          <w:tcPr>
            <w:tcW w:w="2268" w:type="dxa"/>
          </w:tcPr>
          <w:p w:rsidR="00E05D08" w:rsidRPr="00E05D08" w:rsidRDefault="00E05D08" w:rsidP="00F31494">
            <w:pPr>
              <w:jc w:val="left"/>
              <w:rPr>
                <w:rFonts w:cs="Arial"/>
                <w:sz w:val="16"/>
                <w:szCs w:val="16"/>
              </w:rPr>
            </w:pPr>
            <w:r>
              <w:rPr>
                <w:sz w:val="16"/>
                <w:szCs w:val="16"/>
              </w:rPr>
              <w:t>Avsnitt 8 – beskrivning av åtgärder och delåtgärder</w:t>
            </w:r>
          </w:p>
        </w:tc>
        <w:tc>
          <w:tcPr>
            <w:tcW w:w="2693" w:type="dxa"/>
          </w:tcPr>
          <w:p w:rsidR="00E05D08" w:rsidRPr="00E05D08" w:rsidRDefault="00E05D08" w:rsidP="00F31494">
            <w:pPr>
              <w:jc w:val="left"/>
              <w:rPr>
                <w:rFonts w:cs="Arial"/>
                <w:sz w:val="16"/>
                <w:szCs w:val="16"/>
              </w:rPr>
            </w:pPr>
            <w:r>
              <w:rPr>
                <w:sz w:val="16"/>
                <w:szCs w:val="16"/>
              </w:rPr>
              <w:t>Center för FoU</w:t>
            </w:r>
          </w:p>
          <w:p w:rsidR="00E05D08" w:rsidRPr="00E05D08" w:rsidRDefault="00E05D08" w:rsidP="00F31494">
            <w:pPr>
              <w:jc w:val="left"/>
              <w:rPr>
                <w:rFonts w:cs="Arial"/>
                <w:sz w:val="16"/>
                <w:szCs w:val="16"/>
              </w:rPr>
            </w:pPr>
            <w:r>
              <w:rPr>
                <w:sz w:val="16"/>
                <w:szCs w:val="16"/>
              </w:rPr>
              <w:t>Tekniska institut</w:t>
            </w:r>
          </w:p>
          <w:p w:rsidR="00E05D08" w:rsidRPr="00E05D08" w:rsidRDefault="00E05D08" w:rsidP="00F31494">
            <w:pPr>
              <w:jc w:val="left"/>
              <w:rPr>
                <w:rFonts w:cs="Arial"/>
                <w:sz w:val="16"/>
                <w:szCs w:val="16"/>
              </w:rPr>
            </w:pPr>
            <w:r>
              <w:rPr>
                <w:sz w:val="16"/>
                <w:szCs w:val="16"/>
              </w:rPr>
              <w:t>Innovationsavdelningar vid offentliga institut</w:t>
            </w:r>
          </w:p>
          <w:p w:rsidR="00E05D08" w:rsidRPr="00F639C6" w:rsidRDefault="00E05D08" w:rsidP="00F31494">
            <w:pPr>
              <w:jc w:val="left"/>
              <w:rPr>
                <w:rFonts w:cs="Arial"/>
                <w:sz w:val="16"/>
                <w:szCs w:val="16"/>
              </w:rPr>
            </w:pPr>
          </w:p>
          <w:p w:rsidR="00E05D08" w:rsidRPr="00F639C6" w:rsidRDefault="00E05D08" w:rsidP="00F31494">
            <w:pPr>
              <w:jc w:val="left"/>
              <w:rPr>
                <w:rFonts w:cs="Arial"/>
                <w:sz w:val="16"/>
                <w:szCs w:val="16"/>
              </w:rPr>
            </w:pPr>
          </w:p>
        </w:tc>
        <w:tc>
          <w:tcPr>
            <w:tcW w:w="2268" w:type="dxa"/>
          </w:tcPr>
          <w:p w:rsidR="00E05D08" w:rsidRPr="00E05D08" w:rsidRDefault="00AA5817" w:rsidP="00F31494">
            <w:pPr>
              <w:jc w:val="left"/>
              <w:rPr>
                <w:rFonts w:cs="Arial"/>
                <w:sz w:val="16"/>
                <w:szCs w:val="16"/>
              </w:rPr>
            </w:pPr>
            <w:r>
              <w:rPr>
                <w:sz w:val="16"/>
                <w:szCs w:val="16"/>
              </w:rPr>
              <w:t>Innovationsrelaterade aktörer är inte alltid definierade i utformningen av åtgärden.</w:t>
            </w:r>
          </w:p>
        </w:tc>
        <w:tc>
          <w:tcPr>
            <w:tcW w:w="2410" w:type="dxa"/>
          </w:tcPr>
          <w:p w:rsidR="00E05D08" w:rsidRPr="00E05D08" w:rsidRDefault="00E05D08" w:rsidP="00F31494">
            <w:pPr>
              <w:jc w:val="left"/>
              <w:rPr>
                <w:rFonts w:cs="Arial"/>
                <w:sz w:val="16"/>
                <w:szCs w:val="16"/>
              </w:rPr>
            </w:pPr>
            <w:r>
              <w:rPr>
                <w:sz w:val="16"/>
                <w:szCs w:val="16"/>
              </w:rPr>
              <w:t xml:space="preserve">Utvärderaren bör granska om innovationsrelaterade aktörer har varit involverade i genomförandet av åtgärden och delåtgärderna. </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Steg 5: Identifiera innovationsrelaterade åtgärder, kostnader och budgetar i beskrivningen av åtgärden/delåtgärden</w:t>
            </w:r>
          </w:p>
        </w:tc>
        <w:tc>
          <w:tcPr>
            <w:tcW w:w="3260" w:type="dxa"/>
          </w:tcPr>
          <w:p w:rsidR="00E05D08" w:rsidRPr="00E05D08" w:rsidRDefault="00E05D08" w:rsidP="00F31494">
            <w:pPr>
              <w:spacing w:after="120"/>
              <w:jc w:val="left"/>
              <w:rPr>
                <w:rFonts w:cs="Arial"/>
                <w:sz w:val="16"/>
                <w:szCs w:val="16"/>
              </w:rPr>
            </w:pPr>
            <w:r>
              <w:rPr>
                <w:sz w:val="16"/>
                <w:szCs w:val="16"/>
              </w:rPr>
              <w:t xml:space="preserve">Vilka stödberättigade åtgärder och kostnader kommer att främja innovation? </w:t>
            </w:r>
          </w:p>
          <w:p w:rsidR="00E05D08" w:rsidRPr="00E05D08" w:rsidRDefault="00E05D08" w:rsidP="00963A81">
            <w:pPr>
              <w:spacing w:after="120"/>
              <w:jc w:val="left"/>
              <w:rPr>
                <w:rFonts w:cs="Arial"/>
                <w:sz w:val="16"/>
                <w:szCs w:val="16"/>
              </w:rPr>
            </w:pPr>
            <w:r>
              <w:rPr>
                <w:sz w:val="16"/>
                <w:szCs w:val="16"/>
              </w:rPr>
              <w:t>Vilken budget finns för åtgärderna och kostnaderna som ska främja innovation?</w:t>
            </w:r>
          </w:p>
        </w:tc>
        <w:tc>
          <w:tcPr>
            <w:tcW w:w="2268" w:type="dxa"/>
          </w:tcPr>
          <w:p w:rsidR="00E05D08" w:rsidRPr="00E05D08" w:rsidRDefault="00E05D08" w:rsidP="00F31494">
            <w:pPr>
              <w:jc w:val="left"/>
              <w:rPr>
                <w:rFonts w:cs="Arial"/>
                <w:sz w:val="16"/>
                <w:szCs w:val="16"/>
              </w:rPr>
            </w:pPr>
            <w:r>
              <w:rPr>
                <w:sz w:val="16"/>
                <w:szCs w:val="16"/>
              </w:rPr>
              <w:t>Avsnitt 8 – beskrivning av åtgärder och delåtgärder</w:t>
            </w:r>
          </w:p>
          <w:p w:rsidR="00E05D08" w:rsidRPr="00E05D08" w:rsidRDefault="00E05D08" w:rsidP="00F31494">
            <w:pPr>
              <w:jc w:val="left"/>
              <w:rPr>
                <w:rFonts w:cs="Arial"/>
                <w:sz w:val="16"/>
                <w:szCs w:val="16"/>
              </w:rPr>
            </w:pPr>
            <w:r>
              <w:rPr>
                <w:sz w:val="16"/>
                <w:szCs w:val="16"/>
              </w:rPr>
              <w:t>Leveranssystem som har utarbetats under genomförandet (källor: programmets webbplats, förvaltande myndigheter)</w:t>
            </w:r>
          </w:p>
          <w:p w:rsidR="00E05D08" w:rsidRPr="00F639C6" w:rsidRDefault="00E05D08" w:rsidP="00F31494">
            <w:pPr>
              <w:jc w:val="left"/>
              <w:rPr>
                <w:rFonts w:cs="Arial"/>
                <w:sz w:val="16"/>
                <w:szCs w:val="16"/>
              </w:rPr>
            </w:pPr>
          </w:p>
          <w:p w:rsidR="00E05D08" w:rsidRPr="00E05D08" w:rsidRDefault="00E05D08" w:rsidP="00F31494">
            <w:pPr>
              <w:jc w:val="left"/>
              <w:rPr>
                <w:rFonts w:cs="Arial"/>
                <w:sz w:val="16"/>
                <w:szCs w:val="16"/>
              </w:rPr>
            </w:pPr>
            <w:r>
              <w:rPr>
                <w:sz w:val="16"/>
                <w:szCs w:val="16"/>
              </w:rPr>
              <w:t xml:space="preserve">Avsnitt 10 – finansieringsplan – budget per åtgärd </w:t>
            </w:r>
          </w:p>
        </w:tc>
        <w:tc>
          <w:tcPr>
            <w:tcW w:w="2693" w:type="dxa"/>
          </w:tcPr>
          <w:p w:rsidR="00E05D08" w:rsidRPr="00E05D08" w:rsidRDefault="00E05D08" w:rsidP="00F31494">
            <w:pPr>
              <w:jc w:val="left"/>
              <w:rPr>
                <w:rFonts w:cs="Arial"/>
                <w:sz w:val="16"/>
                <w:szCs w:val="16"/>
              </w:rPr>
            </w:pPr>
            <w:r>
              <w:rPr>
                <w:sz w:val="16"/>
                <w:szCs w:val="16"/>
              </w:rPr>
              <w:t xml:space="preserve">Användning av innovationsförmedlare vid inrättande av operativa grupper. Inrättande av styrgrupper för att övervaka innovation. Administrativa problem vid innovationsfrämjande interventioner. Evenemang för att skapa uppmärksamhet kring innovation. </w:t>
            </w:r>
          </w:p>
        </w:tc>
        <w:tc>
          <w:tcPr>
            <w:tcW w:w="2268" w:type="dxa"/>
          </w:tcPr>
          <w:p w:rsidR="00E05D08" w:rsidRPr="00E05D08" w:rsidRDefault="00E05D08" w:rsidP="00F31494">
            <w:pPr>
              <w:jc w:val="left"/>
              <w:rPr>
                <w:rFonts w:cs="Arial"/>
                <w:sz w:val="16"/>
                <w:szCs w:val="16"/>
              </w:rPr>
            </w:pPr>
            <w:r>
              <w:rPr>
                <w:sz w:val="16"/>
                <w:szCs w:val="16"/>
              </w:rPr>
              <w:t>Brist på bevis för innovationsrelaterade instrument och stödtjänster.</w:t>
            </w:r>
          </w:p>
        </w:tc>
        <w:tc>
          <w:tcPr>
            <w:tcW w:w="2410" w:type="dxa"/>
          </w:tcPr>
          <w:p w:rsidR="00E05D08" w:rsidRPr="00E05D08" w:rsidRDefault="00E05D08" w:rsidP="00F31494">
            <w:pPr>
              <w:jc w:val="left"/>
              <w:rPr>
                <w:rFonts w:cs="Arial"/>
                <w:sz w:val="16"/>
                <w:szCs w:val="16"/>
              </w:rPr>
            </w:pPr>
            <w:r>
              <w:rPr>
                <w:sz w:val="16"/>
                <w:szCs w:val="16"/>
              </w:rPr>
              <w:t>Analysera ytterligare information om genomförandet av åtgärden och delåtgärderna i de årliga genomföranderapporterna eller från de förvaltande myndigheterna.</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bookmarkEnd w:id="0"/>
    <w:p w:rsidR="00E16522" w:rsidRDefault="00E16522" w:rsidP="00CB3E88"/>
    <w:sectPr w:rsidR="00E16522" w:rsidSect="00055039">
      <w:headerReference w:type="default" r:id="rId138"/>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5696" w:rsidRDefault="00D55696" w:rsidP="00E05D08">
      <w:pPr>
        <w:spacing w:after="0" w:line="240" w:lineRule="auto"/>
      </w:pPr>
      <w:r>
        <w:separator/>
      </w:r>
    </w:p>
  </w:endnote>
  <w:endnote w:type="continuationSeparator" w:id="0">
    <w:p w:rsidR="00D55696" w:rsidRDefault="00D55696"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LT Pro">
    <w:altName w:val="Segoe Script"/>
    <w:panose1 w:val="020B0704020202030204"/>
    <w:charset w:val="00"/>
    <w:family w:val="swiss"/>
    <w:pitch w:val="variable"/>
    <w:sig w:usb0="A00002AF"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Default="004C3777">
    <w:pPr>
      <w:pStyle w:val="Footer"/>
    </w:pPr>
    <w:r>
      <w:t xml:space="preserve">sida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079E03A8" wp14:editId="53FF048B">
          <wp:extent cx="971550" cy="247650"/>
          <wp:effectExtent l="19050" t="0" r="0" b="0"/>
          <wp:docPr id="45"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Pr="00611706" w:rsidRDefault="004C3777"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669105"/>
      <w:docPartObj>
        <w:docPartGallery w:val="Page Numbers (Bottom of Page)"/>
        <w:docPartUnique/>
      </w:docPartObj>
    </w:sdtPr>
    <w:sdtEndPr>
      <w:rPr>
        <w:noProof/>
        <w:sz w:val="18"/>
        <w:szCs w:val="18"/>
      </w:rPr>
    </w:sdtEndPr>
    <w:sdtContent>
      <w:p w:rsidR="004C3777" w:rsidRPr="00611706" w:rsidRDefault="00D55696">
        <w:pPr>
          <w:pStyle w:val="Footer"/>
          <w:rPr>
            <w:sz w:val="18"/>
            <w:szCs w:val="18"/>
          </w:rPr>
        </w:pPr>
      </w:p>
    </w:sdtContent>
  </w:sdt>
  <w:p w:rsidR="004C3777" w:rsidRPr="006D33F1" w:rsidRDefault="004C3777"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Pr="00431FF5" w:rsidRDefault="004C3777"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Pr="00150D5B" w:rsidRDefault="004C3777"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351918"/>
      <w:docPartObj>
        <w:docPartGallery w:val="Page Numbers (Bottom of Page)"/>
        <w:docPartUnique/>
      </w:docPartObj>
    </w:sdtPr>
    <w:sdtEndPr>
      <w:rPr>
        <w:rStyle w:val="PageNumber"/>
        <w:rFonts w:eastAsiaTheme="majorEastAsia"/>
        <w:color w:val="808080"/>
        <w:sz w:val="18"/>
        <w:szCs w:val="18"/>
      </w:rPr>
    </w:sdtEndPr>
    <w:sdtContent>
      <w:p w:rsidR="004C3777" w:rsidRDefault="004C3777">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0A2ED1">
          <w:rPr>
            <w:rStyle w:val="PageNumber"/>
            <w:rFonts w:eastAsiaTheme="majorEastAsia"/>
            <w:noProof/>
            <w:color w:val="373737"/>
            <w:szCs w:val="18"/>
          </w:rPr>
          <w:t>13</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Default="004C3777">
    <w:pPr>
      <w:pStyle w:val="Footer"/>
    </w:pPr>
    <w:r>
      <w:t xml:space="preserve">sida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795E3164" wp14:editId="2D99D4EC">
          <wp:extent cx="971550" cy="247650"/>
          <wp:effectExtent l="19050" t="0" r="0" b="0"/>
          <wp:docPr id="46"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Pr="00611706" w:rsidRDefault="004C3777"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0A2ED1">
      <w:rPr>
        <w:rStyle w:val="PageNumber"/>
        <w:rFonts w:eastAsiaTheme="majorEastAsia"/>
        <w:noProof/>
        <w:color w:val="373737"/>
        <w:szCs w:val="18"/>
      </w:rPr>
      <w:t>86</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918520"/>
      <w:docPartObj>
        <w:docPartGallery w:val="Page Numbers (Bottom of Page)"/>
        <w:docPartUnique/>
      </w:docPartObj>
    </w:sdtPr>
    <w:sdtEndPr>
      <w:rPr>
        <w:noProof/>
        <w:sz w:val="18"/>
        <w:szCs w:val="18"/>
      </w:rPr>
    </w:sdtEndPr>
    <w:sdtContent>
      <w:p w:rsidR="004C3777" w:rsidRDefault="004C3777">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0A2ED1">
          <w:rPr>
            <w:noProof/>
            <w:sz w:val="18"/>
            <w:szCs w:val="18"/>
          </w:rPr>
          <w:t>85</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5696" w:rsidRPr="00CE2990" w:rsidRDefault="00D55696" w:rsidP="00E05D08">
      <w:pPr>
        <w:spacing w:after="0" w:line="240" w:lineRule="auto"/>
        <w:rPr>
          <w:color w:val="F07E31"/>
        </w:rPr>
      </w:pPr>
      <w:r>
        <w:rPr>
          <w:color w:val="F07E31"/>
        </w:rPr>
        <w:separator/>
      </w:r>
    </w:p>
  </w:footnote>
  <w:footnote w:type="continuationSeparator" w:id="0">
    <w:p w:rsidR="00D55696" w:rsidRDefault="00D55696" w:rsidP="00E05D08">
      <w:pPr>
        <w:spacing w:after="0" w:line="240" w:lineRule="auto"/>
      </w:pPr>
      <w:r>
        <w:continuationSeparator/>
      </w:r>
    </w:p>
  </w:footnote>
  <w:footnote w:id="1">
    <w:p w:rsidR="004C3777" w:rsidRPr="00194986" w:rsidRDefault="004C3777" w:rsidP="00E05D08">
      <w:pPr>
        <w:pStyle w:val="FootnoteText"/>
      </w:pPr>
      <w:r>
        <w:rPr>
          <w:rStyle w:val="FootnoteReference"/>
          <w:rFonts w:cs="Arial"/>
        </w:rPr>
        <w:footnoteRef/>
      </w:r>
      <w:r>
        <w:t xml:space="preserve"> De två andra övergripande målen är miljö samt begränsning av och anpassning till klimatförändringar. </w:t>
      </w:r>
    </w:p>
  </w:footnote>
  <w:footnote w:id="2">
    <w:p w:rsidR="004C3777" w:rsidRPr="00194986" w:rsidRDefault="004C3777" w:rsidP="00E05D08">
      <w:pPr>
        <w:pStyle w:val="FootnoteText"/>
      </w:pPr>
      <w:r>
        <w:rPr>
          <w:rStyle w:val="FootnoteReference"/>
          <w:rFonts w:cs="Arial"/>
        </w:rPr>
        <w:footnoteRef/>
      </w:r>
      <w:r>
        <w:t xml:space="preserve"> Artikel 8.1 c v i förordning (EU) nr 1305/2013 och bilaga I, del I.5 c i förordning (EU) nr 808/2014.</w:t>
      </w:r>
    </w:p>
  </w:footnote>
  <w:footnote w:id="3">
    <w:p w:rsidR="004C3777" w:rsidRPr="00B97B27" w:rsidRDefault="004C3777" w:rsidP="00E05D08">
      <w:pPr>
        <w:pStyle w:val="FootnoteText"/>
      </w:pPr>
      <w:r>
        <w:rPr>
          <w:rStyle w:val="FootnoteReference"/>
          <w:rFonts w:cs="Arial"/>
        </w:rPr>
        <w:footnoteRef/>
      </w:r>
      <w:r>
        <w:t xml:space="preserve"> Artikel 68 i förordning (EU) nr 1305/2013</w:t>
      </w:r>
    </w:p>
  </w:footnote>
  <w:footnote w:id="4">
    <w:p w:rsidR="004C3777" w:rsidRDefault="004C3777" w:rsidP="000E1D4B">
      <w:pPr>
        <w:pStyle w:val="FootnoteText"/>
      </w:pPr>
      <w:r>
        <w:rPr>
          <w:rStyle w:val="FootnoteReference"/>
          <w:sz w:val="12"/>
          <w:szCs w:val="12"/>
        </w:rPr>
        <w:footnoteRef/>
      </w:r>
      <w:r>
        <w:t xml:space="preserve"> </w:t>
      </w:r>
      <w:r>
        <w:rPr>
          <w:i/>
        </w:rPr>
        <w:t>Guidelines on programming for innovation and the implementation of the EIP for agricultural productivity and sustainability</w:t>
      </w:r>
      <w:r>
        <w:t xml:space="preserve"> (Riktlinjer för programplanerning för innovation och genomförandet av det europeiska innovationspartnerskapet för produktivitet och hållbarhet inom jordbruket)</w:t>
      </w:r>
      <w:r>
        <w:cr/>
      </w:r>
      <w:r>
        <w:rPr>
          <w:rStyle w:val="Hyperlink"/>
        </w:rPr>
        <w:t>https://ec.europa.eu/eip/agriculture/sites/agri-eip/files/pb_guidelines_eip_implementation_2014_en.pdf</w:t>
      </w:r>
    </w:p>
  </w:footnote>
  <w:footnote w:id="5">
    <w:p w:rsidR="004C3777" w:rsidRPr="00F639C6" w:rsidRDefault="004C3777" w:rsidP="00F74459">
      <w:pPr>
        <w:pStyle w:val="FootnoteText"/>
        <w:rPr>
          <w:rFonts w:eastAsia="Calibri"/>
          <w:lang w:val="en-US"/>
        </w:rPr>
      </w:pPr>
      <w:r>
        <w:rPr>
          <w:rStyle w:val="FootnoteReference"/>
        </w:rPr>
        <w:footnoteRef/>
      </w:r>
      <w:r w:rsidRPr="00F639C6">
        <w:rPr>
          <w:lang w:val="en-US"/>
        </w:rPr>
        <w:t xml:space="preserve"> </w:t>
      </w:r>
      <w:r w:rsidRPr="00F639C6">
        <w:rPr>
          <w:i/>
          <w:lang w:val="en-US"/>
        </w:rPr>
        <w:t>Guidelines on programming for innovation and the implementation of the EIP for agricultural productivity and sustainability</w:t>
      </w:r>
      <w:r w:rsidRPr="00F639C6">
        <w:rPr>
          <w:lang w:val="en-US"/>
        </w:rPr>
        <w:cr/>
      </w:r>
      <w:hyperlink r:id="rId1" w:history="1">
        <w:r w:rsidRPr="00F639C6">
          <w:rPr>
            <w:rStyle w:val="Hyperlink"/>
            <w:lang w:val="en-US"/>
          </w:rPr>
          <w:t>https://ec.europa.eu/eip/agriculture/sites/agri-eip/files/pb_guidelines_eip_implementation_2014_en.pdf</w:t>
        </w:r>
      </w:hyperlink>
    </w:p>
  </w:footnote>
  <w:footnote w:id="6">
    <w:p w:rsidR="004C3777" w:rsidRPr="008F676D" w:rsidRDefault="004C3777" w:rsidP="00F74459">
      <w:pPr>
        <w:pStyle w:val="FootnoteText"/>
      </w:pPr>
      <w:r>
        <w:rPr>
          <w:rStyle w:val="FootnoteReference"/>
        </w:rPr>
        <w:footnoteRef/>
      </w:r>
      <w:r>
        <w:t xml:space="preserve"> Horisont 2020 erbjuder ett starkt stöd för samarbete mellan flera aktörer inom forskningen, vilket gör att lantbrukare, rådgivare och andra deltagare tillsammans med forskare kan skapa lösningar eller utveckla innovativa möjligheter för att inrikta forskningen och innovationerna på jordbrukets behov, se H2020 WP 2018–2020 sidorna 8–9 för mer information om kraven för projekt med flera aktörer (</w:t>
      </w:r>
      <w:hyperlink r:id="rId2" w:history="1">
        <w:r>
          <w:rPr>
            <w:rStyle w:val="Hyperlink"/>
          </w:rPr>
          <w:t>http://ec.europa.eu/research/participants/data/ref/h2020/wp/2018-2020/main/h2020-wp1820-food_en.pdf</w:t>
        </w:r>
      </w:hyperlink>
      <w:r>
        <w:t xml:space="preserve"> ) och det europeiska innovationspartnerskapets broschyr om samarbete mellan flera aktörer (</w:t>
      </w:r>
      <w:hyperlink r:id="rId3" w:history="1">
        <w:r>
          <w:rPr>
            <w:rStyle w:val="Hyperlink"/>
          </w:rPr>
          <w:t>https://ec.europa.eu/eip/agriculture/sites/agri-eip/files/eip-agri_brochure_multi-actor_projects_2017_en_web.pdf</w:t>
        </w:r>
      </w:hyperlink>
      <w:r>
        <w:t xml:space="preserve"> )</w:t>
      </w:r>
    </w:p>
  </w:footnote>
  <w:footnote w:id="7">
    <w:p w:rsidR="004C3777" w:rsidRDefault="004C3777" w:rsidP="00F74459">
      <w:pPr>
        <w:pStyle w:val="FootnoteText"/>
      </w:pPr>
      <w:r>
        <w:rPr>
          <w:rStyle w:val="FootnoteReference"/>
        </w:rPr>
        <w:footnoteRef/>
      </w:r>
      <w:r>
        <w:t xml:space="preserve"> Rapporter från den strategiska arbetsgruppen vid den ständiga kommittén för jordbruksforskning om jordbrukskunskap och innovationssystem:</w:t>
      </w:r>
    </w:p>
    <w:p w:rsidR="004C3777" w:rsidRDefault="004C3777" w:rsidP="00F74459">
      <w:pPr>
        <w:pStyle w:val="FootnoteText"/>
      </w:pPr>
      <w:r>
        <w:t xml:space="preserve">– </w:t>
      </w:r>
      <w:r>
        <w:rPr>
          <w:i/>
        </w:rPr>
        <w:t xml:space="preserve">Agricultural Knowledge and Innovation Systems Towards 2020 – an orientation paper on linking innovation and research – </w:t>
      </w:r>
      <w:r>
        <w:t>(Jordbrukskunskap och innovationssystem med sikte på 2020 – riktlinjer för att sammankoppla innovation och forskning)</w:t>
      </w:r>
    </w:p>
    <w:p w:rsidR="004C3777" w:rsidRDefault="00D55696" w:rsidP="00F74459">
      <w:pPr>
        <w:pStyle w:val="FootnoteText"/>
      </w:pPr>
      <w:hyperlink r:id="rId4" w:history="1">
        <w:r w:rsidR="004C3777">
          <w:rPr>
            <w:rStyle w:val="Hyperlink"/>
          </w:rPr>
          <w:t xml:space="preserve">http://www.gppq.fct.pt/h2020/_docs/brochuras/bioeco/agricultural-knowledge-innovation-systems-towards-2020_en.pdf </w:t>
        </w:r>
      </w:hyperlink>
      <w:r w:rsidR="004C3777">
        <w:t>(om inrättandet av ett tillvägagångssätt med flera aktörer)</w:t>
      </w:r>
    </w:p>
    <w:p w:rsidR="004C3777" w:rsidRPr="009C39EE" w:rsidRDefault="004C3777" w:rsidP="00F74459">
      <w:pPr>
        <w:pStyle w:val="FootnoteText"/>
      </w:pPr>
      <w:r>
        <w:t xml:space="preserve">– </w:t>
      </w:r>
      <w:r>
        <w:rPr>
          <w:i/>
        </w:rPr>
        <w:t xml:space="preserve">Agricultural Knowledge and Innovation Systems towards the Future - </w:t>
      </w:r>
      <w:r>
        <w:t xml:space="preserve">(Jordbrukskunskap och innovationssystem med sikte på framtiden – ett framtidsdokument), </w:t>
      </w:r>
      <w:hyperlink r:id="rId5" w:anchor="view=fit&amp;pagemode=none" w:history="1">
        <w:r>
          <w:rPr>
            <w:rStyle w:val="Hyperlink"/>
          </w:rPr>
          <w:t>https://ec.europa.eu/research/scar/pdf/akis-3_end_report.pdf#view=fit&amp;pagemode=none</w:t>
        </w:r>
      </w:hyperlink>
      <w:r>
        <w:rPr>
          <w:rStyle w:val="Hyperlink"/>
        </w:rPr>
        <w:t xml:space="preserve"> </w:t>
      </w:r>
    </w:p>
  </w:footnote>
  <w:footnote w:id="8">
    <w:p w:rsidR="004C3777" w:rsidRPr="00B13D00" w:rsidRDefault="004C3777" w:rsidP="00F74459">
      <w:pPr>
        <w:pStyle w:val="FootnoteText"/>
      </w:pPr>
      <w:r>
        <w:rPr>
          <w:rStyle w:val="FootnoteReference"/>
          <w:color w:val="373737"/>
        </w:rPr>
        <w:footnoteRef/>
      </w:r>
      <w:r>
        <w:t xml:space="preserve"> Se Schot och Geels (2008) för mer information om sociotekniska nischer. </w:t>
      </w:r>
    </w:p>
  </w:footnote>
  <w:footnote w:id="9">
    <w:p w:rsidR="004C3777" w:rsidRPr="003E6011" w:rsidRDefault="004C3777" w:rsidP="00F74459">
      <w:pPr>
        <w:pStyle w:val="FootnoteText"/>
      </w:pPr>
      <w:r>
        <w:rPr>
          <w:szCs w:val="16"/>
          <w:vertAlign w:val="superscript"/>
          <w:lang w:val="en-IE"/>
        </w:rPr>
        <w:footnoteRef/>
      </w:r>
      <w:r>
        <w:t xml:space="preserve"> Europeiska nätverket för landsbygdsutveckling (2013), </w:t>
      </w:r>
      <w:r>
        <w:rPr>
          <w:i/>
        </w:rPr>
        <w:t>Towards Successful Innovation Brokerage:</w:t>
      </w:r>
      <w:r>
        <w:t xml:space="preserve"> </w:t>
      </w:r>
      <w:r>
        <w:rPr>
          <w:i/>
        </w:rPr>
        <w:t xml:space="preserve">Insights for the 2007-2013 Rural Development Programmes </w:t>
      </w:r>
      <w:r>
        <w:t>(Med sikte på framgångsrik innovationsförmedling: en inblick i 2007–2013 års landsbygdsprogram) och</w:t>
      </w:r>
      <w:r>
        <w:rPr>
          <w:i/>
        </w:rPr>
        <w:t xml:space="preserve"> </w:t>
      </w:r>
      <w:r>
        <w:t xml:space="preserve">Leeuwis C, Schut M, Waters-Bayer A, Mur R, Atta-Krah K and Douthwaite B. 2014. </w:t>
      </w:r>
      <w:r>
        <w:rPr>
          <w:i/>
        </w:rPr>
        <w:t>Capacity to innovate from a system CGIAR research program perspective</w:t>
      </w:r>
      <w:r>
        <w:t xml:space="preserve"> (Kapacitet att skapa innovation ur ett systemperspektiv inom ramen för ett CGIAR-forskningsprogram). </w:t>
      </w:r>
      <w:r w:rsidRPr="003E6011">
        <w:t>Penang, Malaysia: CGIAR Research Program on Aquatic Agricultural Systems. Programbeskrivning: AAS-2014-29.</w:t>
      </w:r>
    </w:p>
  </w:footnote>
  <w:footnote w:id="10">
    <w:p w:rsidR="004C3777" w:rsidRPr="00F74459" w:rsidRDefault="004C3777" w:rsidP="00F74459">
      <w:pPr>
        <w:pStyle w:val="FootnoteText"/>
      </w:pPr>
      <w:r>
        <w:rPr>
          <w:szCs w:val="16"/>
          <w:vertAlign w:val="superscript"/>
          <w:lang w:val="en-IE"/>
        </w:rPr>
        <w:footnoteRef/>
      </w:r>
      <w:r>
        <w:t xml:space="preserve"> I det europeiska nätverket för landsbygdsutveckling (2013) identifieras innovationsförmedling som en viktig systemkapacitet, nämligen närvaron av (och verksamheten för) de aktörer som har ett genuint engagemang för förändring och som är kreativa, proaktiva, motiverade, opartiska, öppna och känsliga för innovationskontexten.</w:t>
      </w:r>
    </w:p>
  </w:footnote>
  <w:footnote w:id="11">
    <w:p w:rsidR="004C3777" w:rsidRDefault="004C3777" w:rsidP="00F74459">
      <w:pPr>
        <w:pStyle w:val="FootnoteText"/>
      </w:pPr>
      <w:r>
        <w:rPr>
          <w:szCs w:val="16"/>
          <w:vertAlign w:val="superscript"/>
          <w:lang w:val="en-IE"/>
        </w:rPr>
        <w:footnoteRef/>
      </w:r>
      <w:r>
        <w:t xml:space="preserve"> Douthwaite och Hoffecker (kommande) samt Nemes och Augustyn (2017).</w:t>
      </w:r>
    </w:p>
  </w:footnote>
  <w:footnote w:id="12">
    <w:p w:rsidR="004C3777" w:rsidRPr="00B13D00" w:rsidRDefault="004C3777" w:rsidP="00E05D08">
      <w:pPr>
        <w:pStyle w:val="FootnoteText"/>
      </w:pPr>
      <w:r>
        <w:rPr>
          <w:vertAlign w:val="superscript"/>
        </w:rPr>
        <w:footnoteRef/>
      </w:r>
      <w:r>
        <w:t xml:space="preserve"> Europeiska nätverket för landsbygdsutveckling (2013), </w:t>
      </w:r>
      <w:r>
        <w:rPr>
          <w:i/>
        </w:rPr>
        <w:t>Towards Successful Innovation Brokerage:</w:t>
      </w:r>
      <w:r>
        <w:t xml:space="preserve"> </w:t>
      </w:r>
      <w:r>
        <w:rPr>
          <w:i/>
        </w:rPr>
        <w:t>Insights for the 2007-2013 Rural Development Programmes</w:t>
      </w:r>
    </w:p>
  </w:footnote>
  <w:footnote w:id="13">
    <w:p w:rsidR="004C3777" w:rsidRPr="00690E70" w:rsidRDefault="004C3777" w:rsidP="004508D0">
      <w:pPr>
        <w:pStyle w:val="FootnoteText"/>
        <w:rPr>
          <w:rStyle w:val="Hyperlink"/>
        </w:rPr>
      </w:pPr>
      <w:r>
        <w:rPr>
          <w:rStyle w:val="FootnoteReference"/>
        </w:rPr>
        <w:footnoteRef/>
      </w:r>
      <w:r>
        <w:t xml:space="preserve"> EIP-Agri (2016), </w:t>
      </w:r>
      <w:r>
        <w:rPr>
          <w:i/>
        </w:rPr>
        <w:t>Workshop on Cities and Food:</w:t>
      </w:r>
      <w:r>
        <w:t xml:space="preserve"> </w:t>
      </w:r>
      <w:r>
        <w:rPr>
          <w:i/>
        </w:rPr>
        <w:t xml:space="preserve">Connecting Consumers and Producers </w:t>
      </w:r>
      <w:r>
        <w:t xml:space="preserve">(Workshop om städer och livsmedel: att sammanlänka konsumenter och producenter). Tillgänglig på följande adress: </w:t>
      </w:r>
      <w:hyperlink r:id="rId6" w:history="1">
        <w:r>
          <w:rPr>
            <w:rStyle w:val="Hyperlink"/>
          </w:rPr>
          <w:t>https://ec.europa.eu/eip/agriculture/sites/agri-eip/files/eip-agri_factsheet_cities_and_food_en_web.pdf</w:t>
        </w:r>
      </w:hyperlink>
    </w:p>
  </w:footnote>
  <w:footnote w:id="14">
    <w:p w:rsidR="004C3777" w:rsidRPr="00B13D00" w:rsidRDefault="004C3777" w:rsidP="00E05D08">
      <w:pPr>
        <w:pStyle w:val="FootnoteText"/>
      </w:pPr>
      <w:r>
        <w:rPr>
          <w:rStyle w:val="FootnoteReference"/>
        </w:rPr>
        <w:footnoteRef/>
      </w:r>
      <w:r>
        <w:t xml:space="preserve"> Senge, P. M. och Sterman, J. D. (1992), </w:t>
      </w:r>
      <w:r>
        <w:rPr>
          <w:i/>
        </w:rPr>
        <w:t>Systems thinking and organisational learning:</w:t>
      </w:r>
      <w:r>
        <w:t xml:space="preserve"> </w:t>
      </w:r>
      <w:r>
        <w:rPr>
          <w:i/>
        </w:rPr>
        <w:t xml:space="preserve">Acting locally and thinking globally in the organisation of the future </w:t>
      </w:r>
      <w:r>
        <w:t>(</w:t>
      </w:r>
      <w:r>
        <w:rPr>
          <w:i/>
        </w:rPr>
        <w:t>Systemtänkande och organisatorisk inlärning: att agera lokalt och tänka globalt i framtidens organisation).</w:t>
      </w:r>
      <w:r>
        <w:t xml:space="preserve"> European journal of operational research, 59(1), 137–150.</w:t>
      </w:r>
    </w:p>
  </w:footnote>
  <w:footnote w:id="15">
    <w:p w:rsidR="004C3777" w:rsidRPr="00554BBB" w:rsidRDefault="004C3777" w:rsidP="00E05D08">
      <w:pPr>
        <w:pStyle w:val="FootnoteText"/>
      </w:pPr>
      <w:r>
        <w:rPr>
          <w:rStyle w:val="FootnoteReference"/>
        </w:rPr>
        <w:footnoteRef/>
      </w:r>
      <w:r>
        <w:rPr>
          <w:rFonts w:asciiTheme="minorHAnsi" w:hAnsiTheme="minorHAnsi"/>
          <w:color w:val="auto"/>
          <w:sz w:val="22"/>
          <w:szCs w:val="22"/>
        </w:rPr>
        <w:t xml:space="preserve"> </w:t>
      </w:r>
      <w:r>
        <w:t xml:space="preserve">Pawson, R. (2013), </w:t>
      </w:r>
      <w:r>
        <w:rPr>
          <w:i/>
          <w:iCs/>
        </w:rPr>
        <w:t>The science of evaluation: A realist manifesto</w:t>
      </w:r>
      <w:r>
        <w:t xml:space="preserve"> (Vetenskapen om utvärdering: en realists manifest). London, Förenade kungariket: Sage Publications</w:t>
      </w:r>
    </w:p>
  </w:footnote>
  <w:footnote w:id="16">
    <w:p w:rsidR="004C3777" w:rsidRPr="00B13D00" w:rsidRDefault="004C3777" w:rsidP="00E05D08">
      <w:pPr>
        <w:pStyle w:val="FootnoteText"/>
      </w:pPr>
      <w:r>
        <w:rPr>
          <w:rStyle w:val="FootnoteReference"/>
        </w:rPr>
        <w:footnoteRef/>
      </w:r>
      <w:r>
        <w:t xml:space="preserve"> Horisont 2020 är EU:s största forsknings- och innovationsprogram och syftar till att sammanföra forskning och innovation i alla sektorer, inbegripet jord- och skogsbruk, som ett sätt att skapa en smart och hållbar tillväxt på arbetsmarknaden för alla. Flera andra av EU:s politiska områden som rör innovation och kompetensutveckling kan också bidra till forskning och innovation inom jordbrukssektorn (sammanhållningspolitiken, Cosme, Erasmus, Life+).</w:t>
      </w:r>
    </w:p>
  </w:footnote>
  <w:footnote w:id="17">
    <w:p w:rsidR="004C3777" w:rsidRPr="00B13D00" w:rsidRDefault="004C3777" w:rsidP="00E05D08">
      <w:pPr>
        <w:pStyle w:val="FootnoteText"/>
      </w:pPr>
      <w:r>
        <w:rPr>
          <w:rStyle w:val="FootnoteReference"/>
          <w:rFonts w:cs="Helvetica"/>
          <w:szCs w:val="16"/>
        </w:rPr>
        <w:footnoteRef/>
      </w:r>
      <w:r>
        <w:t xml:space="preserve"> Programmet syftar till att behandla de viktigaste samhälleliga utmaningarna, däribland klimatförändringarna och resurseffektiviteten, och stärka kopplingarna i innovationskedjan (</w:t>
      </w:r>
      <w:hyperlink r:id="rId7" w:history="1">
        <w:r>
          <w:rPr>
            <w:rStyle w:val="Hyperlink"/>
          </w:rPr>
          <w:t>http://ec.europa.eu/europe2020/europe-2020-in-a-nutshell/flagship-initiatives/index_en.htm</w:t>
        </w:r>
      </w:hyperlink>
      <w:r>
        <w:t xml:space="preserve">) </w:t>
      </w:r>
    </w:p>
  </w:footnote>
  <w:footnote w:id="18">
    <w:p w:rsidR="004C3777" w:rsidRPr="00275EE5" w:rsidRDefault="004C3777"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4C3777" w:rsidRPr="00B13D00" w:rsidRDefault="004C3777" w:rsidP="00E05D08">
      <w:pPr>
        <w:pStyle w:val="FootnoteText"/>
      </w:pPr>
      <w:r>
        <w:rPr>
          <w:rStyle w:val="FootnoteReference"/>
        </w:rPr>
        <w:footnoteRef/>
      </w:r>
      <w:r>
        <w:t xml:space="preserve"> Artikel 5 i förordning (EU) nr 1305/2013</w:t>
      </w:r>
    </w:p>
  </w:footnote>
  <w:footnote w:id="20">
    <w:p w:rsidR="004C3777" w:rsidRPr="00171202" w:rsidRDefault="004C3777" w:rsidP="00E05D08">
      <w:pPr>
        <w:pStyle w:val="FootnoteText"/>
      </w:pPr>
      <w:r>
        <w:rPr>
          <w:rStyle w:val="FootnoteReference"/>
        </w:rPr>
        <w:footnoteRef/>
      </w:r>
      <w:r>
        <w:t xml:space="preserve"> Artikel 8.1 c v i förordning 1305/2013</w:t>
      </w:r>
    </w:p>
  </w:footnote>
  <w:footnote w:id="21">
    <w:p w:rsidR="004C3777" w:rsidRPr="00171202" w:rsidRDefault="004C3777" w:rsidP="00E05D08">
      <w:pPr>
        <w:pStyle w:val="FootnoteText"/>
      </w:pPr>
      <w:r>
        <w:rPr>
          <w:rStyle w:val="FootnoteReference"/>
          <w:i/>
        </w:rPr>
        <w:footnoteRef/>
      </w:r>
      <w:r>
        <w:t xml:space="preserve"> Artikel 8.1 b i förordning 1305/2013</w:t>
      </w:r>
    </w:p>
  </w:footnote>
  <w:footnote w:id="22">
    <w:p w:rsidR="004C3777" w:rsidRPr="003E6011" w:rsidRDefault="004C3777" w:rsidP="00E05D08">
      <w:pPr>
        <w:pStyle w:val="FootnoteText"/>
        <w:rPr>
          <w:lang w:val="en-GB"/>
        </w:rPr>
      </w:pPr>
      <w:r>
        <w:rPr>
          <w:rStyle w:val="FootnoteReference"/>
          <w:i/>
        </w:rPr>
        <w:footnoteRef/>
      </w:r>
      <w:r w:rsidRPr="003E6011">
        <w:rPr>
          <w:lang w:val="en-GB"/>
        </w:rPr>
        <w:t xml:space="preserve"> Artikel 5 i förordning 1305/2013</w:t>
      </w:r>
    </w:p>
  </w:footnote>
  <w:footnote w:id="23">
    <w:p w:rsidR="004C3777" w:rsidRPr="00F639C6" w:rsidRDefault="004C3777" w:rsidP="00D461AB">
      <w:pPr>
        <w:pStyle w:val="FootnoteText"/>
        <w:rPr>
          <w:lang w:val="en-US"/>
        </w:rPr>
      </w:pPr>
      <w:r>
        <w:rPr>
          <w:rStyle w:val="FootnoteReference"/>
        </w:rPr>
        <w:footnoteRef/>
      </w:r>
      <w:r w:rsidRPr="00F639C6">
        <w:rPr>
          <w:lang w:val="en-US"/>
        </w:rPr>
        <w:t xml:space="preserve"> </w:t>
      </w:r>
      <w:r w:rsidRPr="00F639C6">
        <w:rPr>
          <w:i/>
          <w:lang w:val="en-US"/>
        </w:rPr>
        <w:t>Guidelines on programming for innovation and the implementation of the EIP for agricultural productivity and sustainability</w:t>
      </w:r>
      <w:r w:rsidRPr="00F639C6">
        <w:rPr>
          <w:lang w:val="en-US"/>
        </w:rPr>
        <w:t>, avsnitt 8.2 s. 13</w:t>
      </w:r>
    </w:p>
  </w:footnote>
  <w:footnote w:id="24">
    <w:p w:rsidR="004C3777" w:rsidRPr="00F639C6" w:rsidRDefault="004C3777" w:rsidP="00E05D08">
      <w:pPr>
        <w:pStyle w:val="FootnoteText"/>
        <w:rPr>
          <w:lang w:val="en-US"/>
        </w:rPr>
      </w:pPr>
      <w:r>
        <w:rPr>
          <w:rStyle w:val="FootnoteReference"/>
        </w:rPr>
        <w:footnoteRef/>
      </w:r>
      <w:r w:rsidRPr="00F639C6">
        <w:rPr>
          <w:lang w:val="en-US"/>
        </w:rPr>
        <w:t xml:space="preserve"> Förordning (EU) nr 1303/2013, bilaga 1, del 5 i förordning (EU) nr 808/2014 och </w:t>
      </w:r>
      <w:r w:rsidRPr="00F639C6">
        <w:rPr>
          <w:i/>
          <w:lang w:val="en-US"/>
        </w:rPr>
        <w:t xml:space="preserve">Guidelines on Programming for innovation and the implementation of the EIP for agricultural productivity and sustainability </w:t>
      </w:r>
      <w:r w:rsidRPr="00F639C6">
        <w:rPr>
          <w:lang w:val="en-US"/>
        </w:rPr>
        <w:t>(2014, s. 10)</w:t>
      </w:r>
    </w:p>
  </w:footnote>
  <w:footnote w:id="25">
    <w:p w:rsidR="004C3777" w:rsidRPr="003E6011" w:rsidRDefault="004C3777" w:rsidP="00E05D08">
      <w:pPr>
        <w:pStyle w:val="FootnoteText"/>
        <w:rPr>
          <w:lang w:val="en-US"/>
        </w:rPr>
      </w:pPr>
      <w:r>
        <w:rPr>
          <w:rStyle w:val="FootnoteReference"/>
        </w:rPr>
        <w:footnoteRef/>
      </w:r>
      <w:r w:rsidRPr="003E6011">
        <w:rPr>
          <w:lang w:val="en-US"/>
        </w:rPr>
        <w:t xml:space="preserve"> Artikel 27 i förordning (EU) nr 1303/2013 och bilaga 1, del 5 i förordning (EU) nr 808/2014</w:t>
      </w:r>
    </w:p>
  </w:footnote>
  <w:footnote w:id="26">
    <w:p w:rsidR="004C3777" w:rsidRPr="003E6011" w:rsidRDefault="004C3777" w:rsidP="00E05D08">
      <w:pPr>
        <w:pStyle w:val="FootnoteText"/>
        <w:rPr>
          <w:lang w:val="en-US"/>
        </w:rPr>
      </w:pPr>
      <w:r>
        <w:rPr>
          <w:rStyle w:val="FootnoteReference"/>
        </w:rPr>
        <w:footnoteRef/>
      </w:r>
      <w:r w:rsidRPr="003E6011">
        <w:rPr>
          <w:lang w:val="en-US"/>
        </w:rPr>
        <w:t xml:space="preserve"> Artiklarna 32–34 i förordning (EU) nr 1303/2013 och bilaga 1, del 5 i förordning (EU) nr 808/2014</w:t>
      </w:r>
    </w:p>
  </w:footnote>
  <w:footnote w:id="27">
    <w:p w:rsidR="004C3777" w:rsidRPr="003E6011" w:rsidRDefault="004C3777" w:rsidP="00E05D08">
      <w:pPr>
        <w:pStyle w:val="FootnoteText"/>
        <w:rPr>
          <w:lang w:val="en-US"/>
        </w:rPr>
      </w:pPr>
      <w:r>
        <w:rPr>
          <w:rStyle w:val="FootnoteReference"/>
        </w:rPr>
        <w:footnoteRef/>
      </w:r>
      <w:r w:rsidRPr="003E6011">
        <w:rPr>
          <w:lang w:val="en-US"/>
        </w:rPr>
        <w:t xml:space="preserve"> Artikel 53 i förordning (EU) nr 1305/2013</w:t>
      </w:r>
    </w:p>
  </w:footnote>
  <w:footnote w:id="28">
    <w:p w:rsidR="004C3777" w:rsidRPr="003E6011" w:rsidRDefault="004C3777" w:rsidP="00E05D08">
      <w:pPr>
        <w:pStyle w:val="FootnoteText"/>
        <w:rPr>
          <w:lang w:val="en-US"/>
        </w:rPr>
      </w:pPr>
      <w:r>
        <w:rPr>
          <w:rStyle w:val="FootnoteReference"/>
        </w:rPr>
        <w:footnoteRef/>
      </w:r>
      <w:r w:rsidRPr="003E6011">
        <w:rPr>
          <w:lang w:val="en-US"/>
        </w:rPr>
        <w:t xml:space="preserve"> Artikel 54 d i förordning (EU) nr 1305/2013</w:t>
      </w:r>
    </w:p>
  </w:footnote>
  <w:footnote w:id="29">
    <w:p w:rsidR="004C3777" w:rsidRPr="00F639C6" w:rsidRDefault="004C3777" w:rsidP="00E05D08">
      <w:pPr>
        <w:pStyle w:val="FootnoteText"/>
        <w:rPr>
          <w:lang w:val="en-US"/>
        </w:rPr>
      </w:pPr>
      <w:r>
        <w:rPr>
          <w:rStyle w:val="FootnoteReference"/>
        </w:rPr>
        <w:footnoteRef/>
      </w:r>
      <w:r w:rsidRPr="00F639C6">
        <w:rPr>
          <w:lang w:val="en-US"/>
        </w:rPr>
        <w:t xml:space="preserve"> </w:t>
      </w:r>
      <w:r w:rsidRPr="00F639C6">
        <w:rPr>
          <w:i/>
          <w:lang w:val="en-US"/>
        </w:rPr>
        <w:t>Guidelines on Programming for innovation and the implementation of the EIP for agricultural productivity and sustainability</w:t>
      </w:r>
      <w:r w:rsidRPr="00F639C6">
        <w:rPr>
          <w:lang w:val="en-US"/>
        </w:rPr>
        <w:t xml:space="preserve"> (2014, s. 13)</w:t>
      </w:r>
    </w:p>
  </w:footnote>
  <w:footnote w:id="30">
    <w:p w:rsidR="004C3777" w:rsidRPr="003E6011" w:rsidRDefault="004C3777" w:rsidP="00E05D08">
      <w:pPr>
        <w:pStyle w:val="FootnoteText"/>
        <w:rPr>
          <w:lang w:val="nn-NO"/>
        </w:rPr>
      </w:pPr>
      <w:r>
        <w:rPr>
          <w:rStyle w:val="FootnoteReference"/>
        </w:rPr>
        <w:footnoteRef/>
      </w:r>
      <w:r w:rsidRPr="003E6011">
        <w:rPr>
          <w:lang w:val="nn-NO"/>
        </w:rPr>
        <w:t xml:space="preserve"> Artikel 54.3 b iv i förordning (EU) nr 1305/2013</w:t>
      </w:r>
    </w:p>
  </w:footnote>
  <w:footnote w:id="31">
    <w:p w:rsidR="004C3777" w:rsidRPr="003E6011" w:rsidRDefault="004C3777" w:rsidP="00E05D08">
      <w:pPr>
        <w:pStyle w:val="FootnoteText"/>
        <w:rPr>
          <w:lang w:val="nn-NO"/>
        </w:rPr>
      </w:pPr>
      <w:r>
        <w:rPr>
          <w:rStyle w:val="FootnoteReference"/>
        </w:rPr>
        <w:footnoteRef/>
      </w:r>
      <w:r w:rsidRPr="003E6011">
        <w:rPr>
          <w:lang w:val="nn-NO"/>
        </w:rPr>
        <w:t xml:space="preserve"> Bilaga I, del 1, punkt 9.3 a i förordning (EU) nr 808/2014</w:t>
      </w:r>
    </w:p>
  </w:footnote>
  <w:footnote w:id="32">
    <w:p w:rsidR="004C3777" w:rsidRPr="003E6011" w:rsidRDefault="004C3777" w:rsidP="00E05D08">
      <w:pPr>
        <w:pStyle w:val="FootnoteText"/>
        <w:rPr>
          <w:lang w:val="nn-NO"/>
        </w:rPr>
      </w:pPr>
      <w:r>
        <w:rPr>
          <w:rStyle w:val="FootnoteReference"/>
        </w:rPr>
        <w:footnoteRef/>
      </w:r>
      <w:r w:rsidRPr="003E6011">
        <w:rPr>
          <w:lang w:val="nn-NO"/>
        </w:rPr>
        <w:t xml:space="preserve"> Bilaga VII, punkt 2 i förordning (EU) nr 808/2014</w:t>
      </w:r>
    </w:p>
  </w:footnote>
  <w:footnote w:id="33">
    <w:p w:rsidR="004C3777" w:rsidRPr="005F1B3E" w:rsidRDefault="004C3777" w:rsidP="00E05D08">
      <w:pPr>
        <w:pStyle w:val="FootnoteText"/>
      </w:pPr>
      <w:r>
        <w:rPr>
          <w:rStyle w:val="FootnoteReference"/>
        </w:rPr>
        <w:footnoteRef/>
      </w:r>
      <w:r>
        <w:t xml:space="preserve"> Bilaga IV till förordning (EU) 808/2014</w:t>
      </w:r>
    </w:p>
  </w:footnote>
  <w:footnote w:id="34">
    <w:p w:rsidR="004C3777" w:rsidRPr="00E14E11" w:rsidRDefault="004C3777" w:rsidP="00E05D08">
      <w:pPr>
        <w:pStyle w:val="FootnoteText"/>
      </w:pPr>
      <w:r>
        <w:rPr>
          <w:rStyle w:val="FootnoteReference"/>
        </w:rPr>
        <w:footnoteRef/>
      </w:r>
      <w:r>
        <w:t>Se europeiska innovationspartnerskapets seminarium om kunskapssystem och interaktiv innovation:</w:t>
      </w:r>
      <w:r>
        <w:rPr>
          <w:rStyle w:val="Hyperlink"/>
        </w:rPr>
        <w:t xml:space="preserve"> </w:t>
      </w:r>
      <w:hyperlink r:id="rId9" w:history="1">
        <w:r>
          <w:rPr>
            <w:rStyle w:val="Hyperlink"/>
          </w:rPr>
          <w:t>https://ec.europa.eu/eip/agriculture/sites/agri-eip/files/field_event_attachments/sem-knowledge-20151203-pres02-inge_van_oost.pdf</w:t>
        </w:r>
      </w:hyperlink>
    </w:p>
  </w:footnote>
  <w:footnote w:id="35">
    <w:p w:rsidR="004C3777" w:rsidRPr="008F676D" w:rsidRDefault="004C3777" w:rsidP="00E05D08">
      <w:pPr>
        <w:pStyle w:val="FootnoteText"/>
      </w:pPr>
      <w:r>
        <w:rPr>
          <w:rStyle w:val="FootnoteReference"/>
        </w:rPr>
        <w:footnoteRef/>
      </w:r>
      <w:r>
        <w:t xml:space="preserve"> Mer vägledning finns i riktlinjerna: </w:t>
      </w:r>
      <w:r>
        <w:rPr>
          <w:i/>
        </w:rPr>
        <w:t>Assessment of RDP results:</w:t>
      </w:r>
      <w:r>
        <w:t xml:space="preserve"> </w:t>
      </w:r>
      <w:r>
        <w:rPr>
          <w:i/>
        </w:rPr>
        <w:t xml:space="preserve">how to prepare for reporting on evaluation findings in 2017 </w:t>
      </w:r>
      <w:r>
        <w:t xml:space="preserve">(Bedömning av resultat inom landsbygdsprogrammet: hur man förbereder en rapport av utvärderingsresultat 2017), </w:t>
      </w:r>
      <w:hyperlink r:id="rId10" w:history="1">
        <w:r>
          <w:rPr>
            <w:rStyle w:val="Hyperlink"/>
          </w:rPr>
          <w:t>https://enrd.ec.europa.eu/evaluation/publications/guidelines-assessment-rdp-results-how-prepare-reporting-evaluation-2017_en</w:t>
        </w:r>
      </w:hyperlink>
    </w:p>
  </w:footnote>
  <w:footnote w:id="36">
    <w:p w:rsidR="004C3777" w:rsidRPr="00401F29" w:rsidRDefault="004C3777" w:rsidP="00E05D08">
      <w:pPr>
        <w:pStyle w:val="FootnoteText"/>
      </w:pPr>
      <w:r>
        <w:rPr>
          <w:rStyle w:val="FootnoteReference"/>
        </w:rPr>
        <w:footnoteRef/>
      </w:r>
      <w:r>
        <w:t xml:space="preserve"> Artikel 66 i förordning (EU) nr 1305/2013 och artikel 15 och bilaga VII i förordning (EU) nr 808/2014</w:t>
      </w:r>
    </w:p>
  </w:footnote>
  <w:footnote w:id="37">
    <w:p w:rsidR="004C3777" w:rsidRPr="00F639C6" w:rsidRDefault="004C3777" w:rsidP="00804433">
      <w:pPr>
        <w:pStyle w:val="FootnoteText"/>
        <w:rPr>
          <w:lang w:val="en-US"/>
        </w:rPr>
      </w:pPr>
      <w:r>
        <w:rPr>
          <w:rStyle w:val="FootnoteReference"/>
        </w:rPr>
        <w:footnoteRef/>
      </w:r>
      <w:r w:rsidRPr="00F639C6">
        <w:rPr>
          <w:lang w:val="en-US"/>
        </w:rPr>
        <w:t xml:space="preserve"> Se riktlinjerna </w:t>
      </w:r>
      <w:r w:rsidRPr="00F639C6">
        <w:rPr>
          <w:i/>
          <w:lang w:val="en-US"/>
        </w:rPr>
        <w:t>Assessment of RDP results:</w:t>
      </w:r>
      <w:r w:rsidRPr="00F639C6">
        <w:rPr>
          <w:lang w:val="en-US"/>
        </w:rPr>
        <w:t xml:space="preserve"> </w:t>
      </w:r>
      <w:r w:rsidRPr="00F639C6">
        <w:rPr>
          <w:i/>
          <w:lang w:val="en-US"/>
        </w:rPr>
        <w:t>How to prepare for reporting on evaluation in 2017,</w:t>
      </w:r>
      <w:r w:rsidRPr="00F639C6">
        <w:rPr>
          <w:lang w:val="en-US"/>
        </w:rPr>
        <w:t xml:space="preserve"> september 2016, </w:t>
      </w:r>
      <w:hyperlink r:id="rId11" w:history="1">
        <w:r w:rsidRPr="00F639C6">
          <w:rPr>
            <w:rStyle w:val="Hyperlink"/>
            <w:lang w:val="en-US"/>
          </w:rPr>
          <w:t>https://enrd.ec.europa.eu/evaluation/publications/guidelines-assessment-rdp-results-how-prepare-reporting-evaluation-2017_en</w:t>
        </w:r>
      </w:hyperlink>
    </w:p>
  </w:footnote>
  <w:footnote w:id="38">
    <w:p w:rsidR="004C3777" w:rsidRPr="00626C0C" w:rsidRDefault="004C3777" w:rsidP="00583AC8">
      <w:pPr>
        <w:pStyle w:val="FootnoteText"/>
      </w:pPr>
      <w:r>
        <w:rPr>
          <w:rStyle w:val="FootnoteReference"/>
        </w:rPr>
        <w:footnoteRef/>
      </w:r>
      <w:r>
        <w:t xml:space="preserve"> Länk till Sveriges utvärderingssekretariat: </w:t>
      </w:r>
      <w:hyperlink r:id="rId12" w:history="1">
        <w:r>
          <w:rPr>
            <w:rStyle w:val="Hyperlink"/>
          </w:rPr>
          <w:t>https://www.jordbruksverket.se/utvardering</w:t>
        </w:r>
      </w:hyperlink>
    </w:p>
  </w:footnote>
  <w:footnote w:id="39">
    <w:p w:rsidR="004C3777" w:rsidRPr="003E6011" w:rsidRDefault="004C3777" w:rsidP="00804433">
      <w:pPr>
        <w:pStyle w:val="FootnoteText"/>
        <w:rPr>
          <w:lang w:val="nn-NO"/>
        </w:rPr>
      </w:pPr>
      <w:r>
        <w:rPr>
          <w:rStyle w:val="FootnoteReference"/>
        </w:rPr>
        <w:footnoteRef/>
      </w:r>
      <w:r w:rsidRPr="003E6011">
        <w:rPr>
          <w:lang w:val="nn-NO"/>
        </w:rPr>
        <w:t xml:space="preserve"> Bilaga VII, punkt 7 i förordning (EU) nr 808/2014</w:t>
      </w:r>
    </w:p>
  </w:footnote>
  <w:footnote w:id="40">
    <w:p w:rsidR="004C3777" w:rsidRPr="00171202" w:rsidRDefault="004C3777" w:rsidP="00804433">
      <w:pPr>
        <w:pStyle w:val="FootnoteText"/>
      </w:pPr>
      <w:r>
        <w:rPr>
          <w:rStyle w:val="FootnoteReference"/>
        </w:rPr>
        <w:footnoteRef/>
      </w:r>
      <w:r>
        <w:t xml:space="preserve"> Bilaga IV, punkterna 2.3 och 2.4 i förordning (EU) nr 808/2014</w:t>
      </w:r>
    </w:p>
  </w:footnote>
  <w:footnote w:id="41">
    <w:p w:rsidR="004C3777" w:rsidRPr="00171202" w:rsidRDefault="004C3777" w:rsidP="00E05D08">
      <w:pPr>
        <w:pStyle w:val="FootnoteText"/>
      </w:pPr>
      <w:r>
        <w:rPr>
          <w:rStyle w:val="FootnoteReference"/>
        </w:rPr>
        <w:footnoteRef/>
      </w:r>
      <w:r>
        <w:t xml:space="preserve"> Bedömningskriterierna anges i arbetsdokumentet </w:t>
      </w:r>
      <w:r>
        <w:rPr>
          <w:i/>
        </w:rPr>
        <w:t xml:space="preserve">Common evaluation questions for Rural Development Programmes 2014-2020 </w:t>
      </w:r>
      <w:r>
        <w:t>(Gemensamma utvärderingsfrågor för landsbygdsprogram 2014–2020),</w:t>
      </w:r>
      <w:r>
        <w:rPr>
          <w:rStyle w:val="Hyperlink"/>
        </w:rPr>
        <w:t xml:space="preserve"> </w:t>
      </w:r>
      <w:hyperlink r:id="rId13" w:history="1">
        <w:r>
          <w:rPr>
            <w:rStyle w:val="Hyperlink"/>
          </w:rPr>
          <w:t>https://enrd.ec.europa.eu/evaluation/publications/working-document-common-evaluation-questions-rural-development-programmes_en</w:t>
        </w:r>
      </w:hyperlink>
    </w:p>
  </w:footnote>
  <w:footnote w:id="42">
    <w:p w:rsidR="004C3777" w:rsidRPr="00171202" w:rsidRDefault="004C3777" w:rsidP="00E05D08">
      <w:pPr>
        <w:pStyle w:val="FootnoteText"/>
      </w:pPr>
      <w:r>
        <w:rPr>
          <w:rStyle w:val="FootnoteReference"/>
        </w:rPr>
        <w:footnoteRef/>
      </w:r>
      <w:r>
        <w:t xml:space="preserve"> Bilaga IV till förordning (EU) nr 808/2014</w:t>
      </w:r>
    </w:p>
  </w:footnote>
  <w:footnote w:id="43">
    <w:p w:rsidR="004C3777" w:rsidRPr="00091F73" w:rsidRDefault="004C3777" w:rsidP="00E05D08">
      <w:pPr>
        <w:pStyle w:val="FootnoteText"/>
      </w:pPr>
      <w:r>
        <w:rPr>
          <w:rStyle w:val="FootnoteReference"/>
        </w:rPr>
        <w:footnoteRef/>
      </w:r>
      <w:r>
        <w:t xml:space="preserve"> Kompletterande bedömningskriterier utarbetas i medlemsstaterna utöver de som specificeras i arbetsdokumentet </w:t>
      </w:r>
      <w:r>
        <w:rPr>
          <w:i/>
        </w:rPr>
        <w:t>Common evaluation questions for Rural Development Programmes 2014-2020</w:t>
      </w:r>
      <w:r>
        <w:t xml:space="preserve"> </w:t>
      </w:r>
    </w:p>
  </w:footnote>
  <w:footnote w:id="44">
    <w:p w:rsidR="004C3777" w:rsidRPr="00091F73" w:rsidRDefault="004C3777" w:rsidP="00E05D08">
      <w:pPr>
        <w:pStyle w:val="FootnoteText"/>
      </w:pPr>
      <w:r>
        <w:rPr>
          <w:rStyle w:val="FootnoteReference"/>
        </w:rPr>
        <w:footnoteRef/>
      </w:r>
      <w:r>
        <w:t xml:space="preserve"> Kompletterande indikatorer utarbetas i medlemsstaterna som tillägg till de gemensamma indikatorerna om de gemensamma indikatorerna inte är tillräckliga för att besvara utvärderingsfrågorna på samma sätt som med bedömningskriterierna. För mer vägledning, se riktlinjerna </w:t>
      </w:r>
      <w:r>
        <w:rPr>
          <w:i/>
        </w:rPr>
        <w:t>Assessment of RDP results:</w:t>
      </w:r>
      <w:r>
        <w:t xml:space="preserve"> how to prepare for reporting on evaluation findings in 2017, </w:t>
      </w:r>
      <w:hyperlink r:id="rId14" w:history="1">
        <w:r>
          <w:rPr>
            <w:rStyle w:val="Hyperlink"/>
          </w:rPr>
          <w:t>https://enrd.ec.europa.eu/evaluation/publications/guidelines-assessment-rdp-results-how-prepare-reporting-evaluation-2017_en</w:t>
        </w:r>
      </w:hyperlink>
    </w:p>
    <w:p w:rsidR="004C3777" w:rsidRPr="00091F73" w:rsidRDefault="004C3777" w:rsidP="00F74459">
      <w:pPr>
        <w:pStyle w:val="FootnoteText"/>
        <w:rPr>
          <w:lang w:val="sk-SK"/>
        </w:rPr>
      </w:pPr>
    </w:p>
  </w:footnote>
  <w:footnote w:id="45">
    <w:p w:rsidR="004C3777" w:rsidRPr="003E6011" w:rsidRDefault="004C3777">
      <w:pPr>
        <w:pStyle w:val="FootnoteText"/>
        <w:rPr>
          <w:sz w:val="12"/>
          <w:szCs w:val="12"/>
          <w:lang w:val="sk-SK"/>
        </w:rPr>
      </w:pPr>
      <w:r>
        <w:rPr>
          <w:rStyle w:val="FootnoteReference"/>
          <w:szCs w:val="16"/>
        </w:rPr>
        <w:footnoteRef/>
      </w:r>
      <w:r w:rsidRPr="003E6011">
        <w:rPr>
          <w:sz w:val="12"/>
          <w:szCs w:val="12"/>
          <w:lang w:val="sk-SK"/>
        </w:rPr>
        <w:t xml:space="preserve"> </w:t>
      </w:r>
      <w:r w:rsidRPr="003E6011">
        <w:rPr>
          <w:lang w:val="sk-SK"/>
        </w:rPr>
        <w:t>Artikel 15.4 a–g</w:t>
      </w:r>
    </w:p>
  </w:footnote>
  <w:footnote w:id="46">
    <w:p w:rsidR="004C3777" w:rsidRPr="003E6011" w:rsidRDefault="004C3777" w:rsidP="00E05D08">
      <w:pPr>
        <w:pStyle w:val="FootnoteText"/>
        <w:rPr>
          <w:rStyle w:val="Hyperlink"/>
          <w:lang w:val="sk-SK"/>
        </w:rPr>
      </w:pPr>
      <w:r>
        <w:rPr>
          <w:rStyle w:val="FootnoteReference"/>
        </w:rPr>
        <w:footnoteRef/>
      </w:r>
      <w:r w:rsidRPr="003E6011">
        <w:rPr>
          <w:lang w:val="sk-SK"/>
        </w:rPr>
        <w:t xml:space="preserve"> Se</w:t>
      </w:r>
      <w:r w:rsidRPr="003E6011">
        <w:rPr>
          <w:rStyle w:val="Hyperlink"/>
          <w:lang w:val="sk-SK"/>
        </w:rPr>
        <w:t xml:space="preserve"> </w:t>
      </w:r>
      <w:hyperlink r:id="rId15" w:history="1">
        <w:r w:rsidRPr="003E6011">
          <w:rPr>
            <w:rStyle w:val="Hyperlink"/>
            <w:lang w:val="sk-SK"/>
          </w:rPr>
          <w:t>http://ec.europa.eu/europe2020/targets/eu-targets/index_en.htm</w:t>
        </w:r>
      </w:hyperlink>
    </w:p>
  </w:footnote>
  <w:footnote w:id="47">
    <w:p w:rsidR="004C3777" w:rsidRPr="003E6011" w:rsidRDefault="004C3777" w:rsidP="00C3092C">
      <w:pPr>
        <w:pStyle w:val="FootnoteText"/>
        <w:rPr>
          <w:lang w:val="sk-SK"/>
        </w:rPr>
      </w:pPr>
      <w:r>
        <w:rPr>
          <w:vertAlign w:val="superscript"/>
        </w:rPr>
        <w:footnoteRef/>
      </w:r>
      <w:r w:rsidRPr="003E6011">
        <w:rPr>
          <w:lang w:val="sk-SK"/>
        </w:rPr>
        <w:t xml:space="preserve"> Arbetsdokumentet </w:t>
      </w:r>
      <w:r w:rsidRPr="003E6011">
        <w:rPr>
          <w:i/>
          <w:lang w:val="sk-SK"/>
        </w:rPr>
        <w:t>Common evaluation questions for RDPs 2014-2020</w:t>
      </w:r>
      <w:r w:rsidRPr="003E6011">
        <w:rPr>
          <w:lang w:val="sk-SK"/>
        </w:rPr>
        <w:t xml:space="preserve">, </w:t>
      </w:r>
      <w:hyperlink r:id="rId16" w:history="1">
        <w:r w:rsidRPr="003E6011">
          <w:rPr>
            <w:rStyle w:val="Hyperlink"/>
            <w:lang w:val="sk-SK"/>
          </w:rPr>
          <w:t>http://enrd.ec.europa.eu/evaluation/publications/working-document-common-evaluation-questions-rural-development-programmes_en</w:t>
        </w:r>
      </w:hyperlink>
    </w:p>
  </w:footnote>
  <w:footnote w:id="48">
    <w:p w:rsidR="004C3777" w:rsidRPr="00401F29" w:rsidRDefault="004C3777" w:rsidP="00E05D08">
      <w:pPr>
        <w:pStyle w:val="FootnoteText"/>
      </w:pPr>
      <w:r>
        <w:rPr>
          <w:rStyle w:val="FootnoteReference"/>
        </w:rPr>
        <w:footnoteRef/>
      </w:r>
      <w:r>
        <w:t xml:space="preserve"> Dessa artiklar ingår i förordning (EU) nr 1305/2013</w:t>
      </w:r>
    </w:p>
  </w:footnote>
  <w:footnote w:id="49">
    <w:p w:rsidR="004C3777" w:rsidRPr="00401F29" w:rsidRDefault="004C3777" w:rsidP="00E05D08">
      <w:pPr>
        <w:pStyle w:val="FootnoteText"/>
      </w:pPr>
      <w:r>
        <w:rPr>
          <w:rStyle w:val="FootnoteReference"/>
        </w:rPr>
        <w:footnoteRef/>
      </w:r>
      <w:r>
        <w:t xml:space="preserve"> Artikel 15.4 c i förordning (EU) nr 1305/2013</w:t>
      </w:r>
    </w:p>
  </w:footnote>
  <w:footnote w:id="50">
    <w:p w:rsidR="004C3777" w:rsidRPr="00401F29" w:rsidRDefault="004C3777" w:rsidP="00E05D08">
      <w:pPr>
        <w:pStyle w:val="FootnoteText"/>
      </w:pPr>
      <w:r>
        <w:rPr>
          <w:rStyle w:val="FootnoteReference"/>
        </w:rPr>
        <w:footnoteRef/>
      </w:r>
      <w:r>
        <w:t xml:space="preserve"> Artikel 32 i förordning (EU) nr 1303/2013</w:t>
      </w:r>
    </w:p>
  </w:footnote>
  <w:footnote w:id="51">
    <w:p w:rsidR="004C3777" w:rsidRPr="00C3092C" w:rsidRDefault="004C3777" w:rsidP="00C3092C">
      <w:pPr>
        <w:pStyle w:val="FootnoteText"/>
      </w:pPr>
      <w:r>
        <w:rPr>
          <w:rStyle w:val="FootnoteReference"/>
        </w:rPr>
        <w:footnoteRef/>
      </w:r>
      <w:r>
        <w:t xml:space="preserve"> Artikel 35.2 b i förordning (EU) 1305/2013</w:t>
      </w:r>
    </w:p>
  </w:footnote>
  <w:footnote w:id="52">
    <w:p w:rsidR="004C3777" w:rsidRPr="0026694F" w:rsidRDefault="004C3777" w:rsidP="00E05D08">
      <w:pPr>
        <w:pStyle w:val="FootnoteText"/>
        <w:rPr>
          <w:color w:val="373737"/>
        </w:rPr>
      </w:pPr>
      <w:r>
        <w:rPr>
          <w:rStyle w:val="FootnoteReference"/>
        </w:rPr>
        <w:footnoteRef/>
      </w:r>
      <w:r>
        <w:t xml:space="preserve"> Artikel 35 i förordning (EU) nr 1305/2013. Det vägledande dokumentet </w:t>
      </w:r>
      <w:r>
        <w:rPr>
          <w:i/>
        </w:rPr>
        <w:t>Cooperation measure</w:t>
      </w:r>
      <w:r>
        <w:t xml:space="preserve"> (version från november 2014) innehåller en förteckning över alla delåtgärder i samarbetsåtgärden i bilaga I,</w:t>
      </w:r>
      <w:r>
        <w:rPr>
          <w:color w:val="373737"/>
        </w:rPr>
        <w:t xml:space="preserve"> </w:t>
      </w:r>
      <w:hyperlink r:id="rId17" w:history="1">
        <w:r>
          <w:rPr>
            <w:rStyle w:val="Hyperlink"/>
          </w:rPr>
          <w:t>https://ec.europa.eu/eip/agriculture/sites/agri-eip/files/16_measure_fiche_art_35_co-operation.pdf</w:t>
        </w:r>
      </w:hyperlink>
    </w:p>
  </w:footnote>
  <w:footnote w:id="53">
    <w:p w:rsidR="004C3777" w:rsidRPr="00401F29" w:rsidRDefault="004C3777" w:rsidP="00E05D08">
      <w:pPr>
        <w:pStyle w:val="FootnoteText"/>
      </w:pPr>
      <w:r>
        <w:rPr>
          <w:rStyle w:val="FootnoteReference"/>
        </w:rPr>
        <w:footnoteRef/>
      </w:r>
      <w:r>
        <w:t xml:space="preserve"> Artikel 35.1 i förordning (EU) nr 1305/2013</w:t>
      </w:r>
    </w:p>
  </w:footnote>
  <w:footnote w:id="54">
    <w:p w:rsidR="004C3777" w:rsidRPr="00AB16BB" w:rsidRDefault="004C3777">
      <w:pPr>
        <w:pStyle w:val="FootnoteText"/>
        <w:rPr>
          <w:sz w:val="12"/>
          <w:szCs w:val="12"/>
        </w:rPr>
      </w:pPr>
      <w:r>
        <w:rPr>
          <w:rStyle w:val="FootnoteReference"/>
          <w:szCs w:val="16"/>
        </w:rPr>
        <w:footnoteRef/>
      </w:r>
      <w:r>
        <w:t xml:space="preserve"> Presentation av programexempel med koppling till Ejflus prioriteringar P4 och P5. Tillgänglig på adressen </w:t>
      </w:r>
      <w:hyperlink r:id="rId18" w:history="1">
        <w:r>
          <w:rPr>
            <w:rStyle w:val="Hyperlink"/>
          </w:rPr>
          <w:t>http://enrd.ec.europa.eu/sites/enrd/files/w10_m16_finland_karlsson.pdf</w:t>
        </w:r>
      </w:hyperlink>
      <w:r>
        <w:rPr>
          <w:sz w:val="12"/>
          <w:szCs w:val="12"/>
        </w:rPr>
        <w:t xml:space="preserve"> </w:t>
      </w:r>
    </w:p>
  </w:footnote>
  <w:footnote w:id="55">
    <w:p w:rsidR="004C3777" w:rsidRPr="00A45935" w:rsidRDefault="004C3777">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4C3777" w:rsidRDefault="004C3777">
      <w:pPr>
        <w:pStyle w:val="FootnoteText"/>
      </w:pPr>
      <w:r>
        <w:rPr>
          <w:rStyle w:val="FootnoteReference"/>
          <w:szCs w:val="16"/>
        </w:rPr>
        <w:footnoteRef/>
      </w:r>
      <w:r>
        <w:t xml:space="preserve"> Presentation av programexempel med koppling till Ejflus prioriteringar P4 och P5. Tillgänglig på adressen </w:t>
      </w:r>
      <w:hyperlink r:id="rId20" w:history="1">
        <w:r>
          <w:rPr>
            <w:rStyle w:val="Hyperlink"/>
          </w:rPr>
          <w:t>http://enrd.ec.europa.eu/sites/enrd/files/w10_m16.5_hesse_de_vonkutzleben.pdf</w:t>
        </w:r>
      </w:hyperlink>
    </w:p>
  </w:footnote>
  <w:footnote w:id="57">
    <w:p w:rsidR="004C3777" w:rsidRPr="00401F29" w:rsidRDefault="004C3777" w:rsidP="00E05D08">
      <w:pPr>
        <w:pStyle w:val="FootnoteText"/>
      </w:pPr>
      <w:r>
        <w:rPr>
          <w:rStyle w:val="FootnoteReference"/>
        </w:rPr>
        <w:footnoteRef/>
      </w:r>
      <w:r>
        <w:t xml:space="preserve"> Artikel 54.2 i förordning (EU) nr 1305/2013.</w:t>
      </w:r>
    </w:p>
  </w:footnote>
  <w:footnote w:id="58">
    <w:p w:rsidR="004C3777" w:rsidRPr="002D11C3" w:rsidRDefault="004C3777" w:rsidP="00E05D08">
      <w:pPr>
        <w:pStyle w:val="FootnoteText"/>
      </w:pPr>
      <w:r>
        <w:rPr>
          <w:rStyle w:val="FootnoteReference"/>
        </w:rPr>
        <w:footnoteRef/>
      </w:r>
      <w:r>
        <w:t xml:space="preserve"> Vägledningen om hur gemensam utvärderingsfråga nr 21 ska besvaras ingår även i riktlinjerna </w:t>
      </w:r>
      <w:r>
        <w:rPr>
          <w:i/>
        </w:rPr>
        <w:t>Assessment of RDP results:</w:t>
      </w:r>
      <w:r>
        <w:t xml:space="preserve"> </w:t>
      </w:r>
      <w:r>
        <w:rPr>
          <w:i/>
        </w:rPr>
        <w:t>how to prepare for reporting on evaluation in 2017</w:t>
      </w:r>
      <w:r>
        <w:t xml:space="preserve">, bilaga 11, där alla mål som rör nationella landsbygdsnätverk har beaktats med avseende på besvarandet av den gemensamma utvärderingsfrågan, </w:t>
      </w:r>
      <w:hyperlink r:id="rId21" w:history="1">
        <w:r>
          <w:rPr>
            <w:rStyle w:val="Hyperlink"/>
          </w:rPr>
          <w:t>https://enrd.ec.europa.eu/evaluation/publications/guidelines-assessment-rdp-results-how-prepare-reporting-evaluation-2017_en</w:t>
        </w:r>
      </w:hyperlink>
    </w:p>
  </w:footnote>
  <w:footnote w:id="59">
    <w:p w:rsidR="004C3777" w:rsidRPr="00401F29" w:rsidRDefault="004C3777" w:rsidP="00E05D08">
      <w:pPr>
        <w:pStyle w:val="FootnoteText"/>
      </w:pPr>
      <w:r>
        <w:rPr>
          <w:rStyle w:val="FootnoteReference"/>
        </w:rPr>
        <w:footnoteRef/>
      </w:r>
      <w:r>
        <w:t xml:space="preserve"> Artikel 54 i förordning (EU) nr 1305/2013</w:t>
      </w:r>
    </w:p>
  </w:footnote>
  <w:footnote w:id="60">
    <w:p w:rsidR="004C3777" w:rsidRPr="00401F29" w:rsidRDefault="004C3777" w:rsidP="00E05D08">
      <w:pPr>
        <w:pStyle w:val="FootnoteText"/>
      </w:pPr>
      <w:r>
        <w:rPr>
          <w:rStyle w:val="FootnoteReference"/>
        </w:rPr>
        <w:footnoteRef/>
      </w:r>
      <w:r>
        <w:t xml:space="preserve"> Artikel 54.3 b i förordning (EU) nr 1305/2013</w:t>
      </w:r>
    </w:p>
  </w:footnote>
  <w:footnote w:id="61">
    <w:p w:rsidR="004C3777" w:rsidRPr="00401F29" w:rsidRDefault="004C3777" w:rsidP="00E05D08">
      <w:pPr>
        <w:pStyle w:val="FootnoteText"/>
      </w:pPr>
      <w:r>
        <w:rPr>
          <w:rStyle w:val="FootnoteReference"/>
        </w:rPr>
        <w:footnoteRef/>
      </w:r>
      <w:r>
        <w:t xml:space="preserve"> Artikel 8.1 c v i förordning (EU) nr 1305/2013 och bilaga I, del I, punkt 5 c och e i förordning (EU) nr 808/2014</w:t>
      </w:r>
    </w:p>
  </w:footnote>
  <w:footnote w:id="62">
    <w:p w:rsidR="004C3777" w:rsidRPr="00401F29" w:rsidRDefault="004C3777" w:rsidP="00E05D08">
      <w:pPr>
        <w:pStyle w:val="FootnoteText"/>
      </w:pPr>
      <w:r>
        <w:rPr>
          <w:rStyle w:val="FootnoteReference"/>
        </w:rPr>
        <w:footnoteRef/>
      </w:r>
      <w:r>
        <w:t xml:space="preserve"> Artikel 54 i förordning (EU) nr 1305/2013</w:t>
      </w:r>
    </w:p>
  </w:footnote>
  <w:footnote w:id="63">
    <w:p w:rsidR="004C3777" w:rsidRPr="00401F29" w:rsidRDefault="004C3777" w:rsidP="00E05D08">
      <w:pPr>
        <w:pStyle w:val="FootnoteText"/>
        <w:rPr>
          <w:rStyle w:val="Hyperlink"/>
        </w:rPr>
      </w:pPr>
      <w:r>
        <w:rPr>
          <w:rStyle w:val="FootnoteReference"/>
        </w:rPr>
        <w:footnoteRef/>
      </w:r>
      <w:r>
        <w:t xml:space="preserve"> Helpdesken för utvärdering, arbetsdokument: </w:t>
      </w:r>
      <w:r>
        <w:rPr>
          <w:i/>
        </w:rPr>
        <w:t>Common Evaluation questions for RDPs 2014-2020</w:t>
      </w:r>
      <w:r>
        <w:t xml:space="preserve">, tillgängligt på adressen </w:t>
      </w:r>
      <w:hyperlink r:id="rId22" w:history="1">
        <w:r>
          <w:rPr>
            <w:rStyle w:val="Hyperlink"/>
          </w:rPr>
          <w:t>http://enrd.ec.europa.eu/evaluation/publications/working-document-common-evaluation-questions-rural-development-programmes_en</w:t>
        </w:r>
      </w:hyperlink>
    </w:p>
  </w:footnote>
  <w:footnote w:id="64">
    <w:p w:rsidR="004C3777" w:rsidRPr="00401F29" w:rsidRDefault="004C3777" w:rsidP="00E05D08">
      <w:pPr>
        <w:pStyle w:val="FootnoteText"/>
      </w:pPr>
      <w:r>
        <w:rPr>
          <w:rStyle w:val="FootnoteReference"/>
        </w:rPr>
        <w:footnoteRef/>
      </w:r>
      <w:r>
        <w:t xml:space="preserve"> Se föregående.</w:t>
      </w:r>
    </w:p>
  </w:footnote>
  <w:footnote w:id="65">
    <w:p w:rsidR="004C3777" w:rsidRPr="00401F29" w:rsidRDefault="004C3777" w:rsidP="00E05D08">
      <w:pPr>
        <w:pStyle w:val="FootnoteText"/>
      </w:pPr>
      <w:r>
        <w:rPr>
          <w:rStyle w:val="FootnoteReference"/>
        </w:rPr>
        <w:footnoteRef/>
      </w:r>
      <w:r>
        <w:t xml:space="preserve"> Allen och Seaman (2007)</w:t>
      </w:r>
    </w:p>
  </w:footnote>
  <w:footnote w:id="66">
    <w:p w:rsidR="004C3777" w:rsidRPr="00401F29" w:rsidRDefault="004C3777" w:rsidP="00E05D08">
      <w:pPr>
        <w:pStyle w:val="FootnoteText"/>
      </w:pPr>
      <w:r>
        <w:rPr>
          <w:rStyle w:val="FootnoteReference"/>
        </w:rPr>
        <w:footnoteRef/>
      </w:r>
      <w:r>
        <w:t xml:space="preserve"> Helpdesken för utvärdering, riktlinjerna </w:t>
      </w:r>
      <w:r>
        <w:rPr>
          <w:i/>
        </w:rPr>
        <w:t>Evaluation of NRNs 2014-2020</w:t>
      </w:r>
      <w:r>
        <w:t xml:space="preserve">, 2016, kapitel 3.1.3 och del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p>
  </w:footnote>
  <w:footnote w:id="67">
    <w:p w:rsidR="004C3777" w:rsidRPr="00401F29" w:rsidRDefault="004C3777" w:rsidP="00E05D08">
      <w:pPr>
        <w:pStyle w:val="FootnoteText"/>
        <w:rPr>
          <w:rStyle w:val="Hyperlink"/>
        </w:rPr>
      </w:pPr>
      <w:r>
        <w:rPr>
          <w:rStyle w:val="FootnoteReference"/>
        </w:rPr>
        <w:footnoteRef/>
      </w:r>
      <w:r>
        <w:t xml:space="preserve"> Exempel från Italiens nationella landsbygdsnätverk:</w:t>
      </w:r>
      <w:r>
        <w:rPr>
          <w:rFonts w:ascii="Helvetica" w:hAnsi="Helvetica"/>
          <w:szCs w:val="16"/>
        </w:rPr>
        <w:t xml:space="preserve"> </w:t>
      </w:r>
      <w:hyperlink r:id="rId25" w:history="1">
        <w:r>
          <w:rPr>
            <w:rStyle w:val="Hyperlink"/>
          </w:rPr>
          <w:t>http://www.reterurale.it/flex/cm/pages/ServeBLOB.php/L/IT/IDPagina/16281</w:t>
        </w:r>
      </w:hyperlink>
    </w:p>
    <w:p w:rsidR="004C3777" w:rsidRPr="00F743D3" w:rsidRDefault="004C3777" w:rsidP="00F74459">
      <w:pPr>
        <w:pStyle w:val="FootnoteText"/>
        <w:rPr>
          <w:lang w:val="sk-SK"/>
        </w:rPr>
      </w:pPr>
    </w:p>
  </w:footnote>
  <w:footnote w:id="68">
    <w:p w:rsidR="004C3777" w:rsidRPr="00CE37B0" w:rsidRDefault="004C3777" w:rsidP="00E05D08">
      <w:pPr>
        <w:pStyle w:val="FootnoteText"/>
      </w:pPr>
      <w:r>
        <w:rPr>
          <w:rStyle w:val="FootnoteReference"/>
        </w:rPr>
        <w:footnoteRef/>
      </w:r>
      <w:r>
        <w:t xml:space="preserve"> </w:t>
      </w:r>
      <w:r>
        <w:rPr>
          <w:i/>
        </w:rPr>
        <w:t>Europa 2020, En strategi för smart och hållbar tillväxt för alla</w:t>
      </w:r>
      <w:r>
        <w:t xml:space="preserve">, </w:t>
      </w:r>
      <w:hyperlink r:id="rId26" w:history="1">
        <w:r>
          <w:rPr>
            <w:rStyle w:val="Hyperlink"/>
          </w:rPr>
          <w:t>http://eur-lex.europa.eu/legal-content/sv/ALL/?uri=CELEX%3A52010DC2020</w:t>
        </w:r>
      </w:hyperlink>
    </w:p>
  </w:footnote>
  <w:footnote w:id="69">
    <w:p w:rsidR="004C3777" w:rsidRPr="0026694F" w:rsidRDefault="004C3777"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http://ec.europa.eu/europe2020/targets/eu-targets/index_en.htm</w:t>
        </w:r>
      </w:hyperlink>
    </w:p>
  </w:footnote>
  <w:footnote w:id="70">
    <w:p w:rsidR="004C3777" w:rsidRPr="008F676D" w:rsidRDefault="004C3777"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p>
  </w:footnote>
  <w:footnote w:id="71">
    <w:p w:rsidR="004C3777" w:rsidRPr="0026694F" w:rsidRDefault="004C3777"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p>
  </w:footnote>
  <w:footnote w:id="72">
    <w:p w:rsidR="004C3777" w:rsidRPr="00401F29" w:rsidRDefault="004C3777" w:rsidP="00E05D08">
      <w:pPr>
        <w:pStyle w:val="FootnoteText"/>
      </w:pPr>
      <w:r>
        <w:rPr>
          <w:rStyle w:val="FootnoteReference"/>
          <w:rFonts w:cs="Helvetica"/>
          <w:szCs w:val="18"/>
        </w:rPr>
        <w:footnoteRef/>
      </w:r>
      <w:r>
        <w:rPr>
          <w:color w:val="373737"/>
          <w:szCs w:val="18"/>
        </w:rPr>
        <w:t xml:space="preserve"> </w:t>
      </w:r>
      <w:r>
        <w:t>Europaparlamentets och rådets beslut nr 1608/2003/EG, förordning (EG) nr 753/2004 och förordning (EU) nr 995/2012</w:t>
      </w:r>
    </w:p>
  </w:footnote>
  <w:footnote w:id="73">
    <w:p w:rsidR="004C3777" w:rsidRPr="008F676D" w:rsidRDefault="004C3777"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p>
  </w:footnote>
  <w:footnote w:id="74">
    <w:p w:rsidR="004C3777" w:rsidRPr="0026694F" w:rsidRDefault="004C3777"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4" w:name="_Hlk500419553"/>
      <w:r>
        <w:rPr>
          <w:rFonts w:ascii="Helvetica" w:hAnsi="Helvetica"/>
          <w:szCs w:val="16"/>
        </w:rPr>
        <w:t xml:space="preserve">I Tyskland visade en studie av efterhandsutvärderingarna, som (bland annat) undersökte landsbygdsprogrammens relevans för uppnåendet av EU 2020-strategins mål, att landsbygdsprogrammens bidrag till det överordnade målet på 3 % är mycket begränsat. Utgifterna kommer endast att ha en mindre inverkan på utgifterna för FoU i flera av länderna. </w:t>
      </w:r>
    </w:p>
    <w:bookmarkEnd w:id="124"/>
    <w:p w:rsidR="004C3777" w:rsidRPr="00E05D08" w:rsidRDefault="004C3777" w:rsidP="00F74459">
      <w:pPr>
        <w:pStyle w:val="FootnoteText"/>
        <w:rPr>
          <w:rFonts w:ascii="Calibri" w:hAnsi="Calibri"/>
          <w:lang w:val="sk-SK"/>
        </w:rPr>
      </w:pPr>
    </w:p>
  </w:footnote>
  <w:footnote w:id="75">
    <w:p w:rsidR="004C3777" w:rsidRPr="004C3777" w:rsidRDefault="004C3777" w:rsidP="00E05D08">
      <w:pPr>
        <w:pStyle w:val="FootnoteText"/>
        <w:rPr>
          <w:rFonts w:cs="Helvetica"/>
          <w:color w:val="373737"/>
        </w:rPr>
      </w:pPr>
      <w:r>
        <w:rPr>
          <w:rStyle w:val="FootnoteReference"/>
          <w:rFonts w:cs="Helvetica"/>
        </w:rPr>
        <w:footnoteRef/>
      </w:r>
      <w:r w:rsidRPr="004C3777">
        <w:t xml:space="preserve"> Arbetsdokumentet </w:t>
      </w:r>
      <w:r w:rsidRPr="004C3777">
        <w:rPr>
          <w:i/>
        </w:rPr>
        <w:t>Common evaluation questions for RDPs 2014-2020</w:t>
      </w:r>
      <w:r w:rsidRPr="004C3777">
        <w:t xml:space="preserve">, </w:t>
      </w:r>
      <w:hyperlink r:id="rId31" w:history="1">
        <w:r w:rsidRPr="004C3777">
          <w:rPr>
            <w:rStyle w:val="Hyperlink"/>
          </w:rPr>
          <w:t>http://enrd.ec.europa.eu/evaluation/publications/working-document-common-evaluation-questions-rural-development-programmes_en</w:t>
        </w:r>
      </w:hyperlink>
    </w:p>
  </w:footnote>
  <w:footnote w:id="76">
    <w:p w:rsidR="004C3777" w:rsidRPr="003E6011" w:rsidRDefault="004C3777" w:rsidP="00E05D08">
      <w:pPr>
        <w:pStyle w:val="FootnoteText"/>
        <w:rPr>
          <w:lang w:val="en-US"/>
        </w:rPr>
      </w:pPr>
      <w:r>
        <w:rPr>
          <w:rStyle w:val="FootnoteReference"/>
        </w:rPr>
        <w:footnoteRef/>
      </w:r>
      <w:r w:rsidRPr="003E6011">
        <w:rPr>
          <w:lang w:val="en-US"/>
        </w:rPr>
        <w:t xml:space="preserve"> Artikel 8.1 c v i förordning (EU) nr 1305/2013 och bilaga I, del I, punkt 5 c och e i förordning (EU) nr 808/2014</w:t>
      </w:r>
    </w:p>
  </w:footnote>
  <w:footnote w:id="77">
    <w:p w:rsidR="004C3777" w:rsidRPr="003E6011" w:rsidRDefault="004C3777" w:rsidP="00E05D08">
      <w:pPr>
        <w:pStyle w:val="FootnoteText"/>
        <w:rPr>
          <w:lang w:val="en-US"/>
        </w:rPr>
      </w:pPr>
      <w:r>
        <w:rPr>
          <w:rStyle w:val="FootnoteReference"/>
        </w:rPr>
        <w:footnoteRef/>
      </w:r>
      <w:r w:rsidRPr="003E6011">
        <w:rPr>
          <w:lang w:val="en-US"/>
        </w:rPr>
        <w:t xml:space="preserve"> </w:t>
      </w:r>
      <w:hyperlink r:id="rId32" w:history="1">
        <w:r w:rsidRPr="003E6011">
          <w:rPr>
            <w:rStyle w:val="Hyperlink"/>
            <w:lang w:val="en-US"/>
          </w:rPr>
          <w:t>http://www.analytictech.com/networks/whatis.htm</w:t>
        </w:r>
      </w:hyperlink>
    </w:p>
  </w:footnote>
  <w:footnote w:id="78">
    <w:p w:rsidR="004C3777" w:rsidRPr="00401F29" w:rsidRDefault="004C3777" w:rsidP="00E05D08">
      <w:pPr>
        <w:pStyle w:val="FootnoteText"/>
      </w:pPr>
      <w:r>
        <w:rPr>
          <w:rStyle w:val="FootnoteReference"/>
        </w:rPr>
        <w:footnoteRef/>
      </w:r>
      <w:r>
        <w:t xml:space="preserve"> Wilson-Grau, 2015 </w:t>
      </w:r>
    </w:p>
  </w:footnote>
  <w:footnote w:id="79">
    <w:p w:rsidR="004C3777" w:rsidRPr="00401F29" w:rsidRDefault="004C3777" w:rsidP="00E05D08">
      <w:pPr>
        <w:pStyle w:val="FootnoteText"/>
      </w:pPr>
      <w:r>
        <w:rPr>
          <w:rStyle w:val="FootnoteReference"/>
        </w:rPr>
        <w:footnoteRef/>
      </w:r>
      <w:r>
        <w:t xml:space="preserve"> En fallstudie är en metod för att ta reda på mer om ett komplicerat förhållande baserat på en grundlig förståelse för förhållandet som erhållits genom en omfattande beskrivning och analys av förhållandet i sin helhet och i sitt sammanhang (GAO, 1990, s. 15).</w:t>
      </w:r>
    </w:p>
  </w:footnote>
  <w:footnote w:id="80">
    <w:p w:rsidR="004C3777" w:rsidRPr="00401F29" w:rsidRDefault="004C3777" w:rsidP="00E05D08">
      <w:pPr>
        <w:pStyle w:val="FootnoteText"/>
      </w:pPr>
      <w:r>
        <w:rPr>
          <w:rStyle w:val="FootnoteReference"/>
        </w:rPr>
        <w:footnoteRef/>
      </w:r>
      <w:r>
        <w:rPr>
          <w:rStyle w:val="FootnoteReference"/>
        </w:rPr>
        <w:t xml:space="preserve"> </w:t>
      </w:r>
      <w:r>
        <w:t>Processpårning är en fallbaserad metod för bedömning av orsakssamband som fokuserar på användningen av ledtrådar inom ett fall (observationer av kausala processer) för att avgöra vilka alternativa förklaringar som är möjliga. Läs mer på</w:t>
      </w:r>
      <w:hyperlink r:id="rId33" w:history="1">
        <w:r>
          <w:rPr>
            <w:rStyle w:val="Hyperlink"/>
            <w:szCs w:val="16"/>
            <w:shd w:val="clear" w:color="auto" w:fill="FFFFFF"/>
          </w:rPr>
          <w:t>http://www.betterevaluation.org/en/evaluation-options/processtracing</w:t>
        </w:r>
      </w:hyperlink>
      <w:r>
        <w:t xml:space="preserve"> och Collier (2011), se litteraturförteckningen.</w:t>
      </w:r>
    </w:p>
  </w:footnote>
  <w:footnote w:id="81">
    <w:p w:rsidR="004C3777" w:rsidRPr="00401F29" w:rsidRDefault="004C3777" w:rsidP="00E05D08">
      <w:pPr>
        <w:pStyle w:val="FootnoteText"/>
      </w:pPr>
      <w:r>
        <w:rPr>
          <w:rStyle w:val="FootnoteReference"/>
        </w:rPr>
        <w:footnoteRef/>
      </w:r>
      <w:r>
        <w:t xml:space="preserve"> Framtagning av en ”innovationshistorik” är en metod för att registrera och reflektera över en innovationsprocess. Personer som har deltagit i innovationen utarbetar gemensamt en detaljerad skriftlig redogörelse (ibland kallad en kunskapshistorik) baserad på deras minnesbilder och tillgängliga dokument. Läs mer på </w:t>
      </w:r>
      <w:hyperlink r:id="rId34" w:history="1">
        <w:r>
          <w:rPr>
            <w:rStyle w:val="Hyperlink"/>
          </w:rPr>
          <w:t>http://www.betterevaluation.org/en/resources/tools/innovation_history/innovation_timeline</w:t>
        </w:r>
      </w:hyperlink>
      <w:r>
        <w:t xml:space="preserve"> och i Douthwaite och Ashby (2005), se litteraturförteckningen. </w:t>
      </w:r>
    </w:p>
  </w:footnote>
  <w:footnote w:id="82">
    <w:p w:rsidR="004C3777" w:rsidRPr="00A847F8" w:rsidRDefault="004C3777" w:rsidP="00A847F8">
      <w:pPr>
        <w:pStyle w:val="FootnoteText"/>
      </w:pPr>
      <w:r>
        <w:rPr>
          <w:rStyle w:val="FootnoteReference"/>
        </w:rPr>
        <w:footnoteRef/>
      </w:r>
      <w:r>
        <w:t xml:space="preserve"> Mayne (2012), se litteraturförteckningen.</w:t>
      </w:r>
    </w:p>
  </w:footnote>
  <w:footnote w:id="83">
    <w:p w:rsidR="004C3777" w:rsidRPr="00A847F8" w:rsidRDefault="004C3777" w:rsidP="00A847F8">
      <w:pPr>
        <w:pStyle w:val="FootnoteText"/>
      </w:pPr>
      <w:r>
        <w:rPr>
          <w:rStyle w:val="FootnoteReference"/>
        </w:rPr>
        <w:footnoteRef/>
      </w:r>
      <w:r>
        <w:t xml:space="preserve"> Hilton (1996), se litteraturförteckningen.</w:t>
      </w:r>
    </w:p>
  </w:footnote>
  <w:footnote w:id="84">
    <w:p w:rsidR="004C3777" w:rsidRDefault="004C3777" w:rsidP="00A847F8">
      <w:pPr>
        <w:pStyle w:val="FootnoteText"/>
      </w:pPr>
      <w:r>
        <w:rPr>
          <w:rStyle w:val="FootnoteReference"/>
        </w:rPr>
        <w:footnoteRef/>
      </w:r>
      <w:r>
        <w:t xml:space="preserve"> Pawson m.fl. (2005), se litteraturförteckningen.</w:t>
      </w:r>
    </w:p>
  </w:footnote>
  <w:footnote w:id="85">
    <w:p w:rsidR="004C3777" w:rsidRDefault="004C3777"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rPr>
          <w:color w:val="373737"/>
          <w:szCs w:val="16"/>
        </w:rPr>
        <w:t xml:space="preserve"> </w:t>
      </w:r>
      <w:r>
        <w:t>och Allen och Seaman (2007</w:t>
      </w:r>
      <w:r>
        <w:rPr>
          <w:color w:val="373737"/>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Default="004C3777" w:rsidP="00400064">
    <w:pPr>
      <w:pStyle w:val="Header"/>
      <w:tabs>
        <w:tab w:val="clear" w:pos="4513"/>
        <w:tab w:val="clear" w:pos="9026"/>
      </w:tabs>
      <w:jc w:val="right"/>
    </w:pPr>
    <w:r>
      <w:t>Riktlinjer: Utvärdering av innovation i landsbygdsprogram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Pr="00400064" w:rsidRDefault="004C3777" w:rsidP="0025413B">
    <w:pPr>
      <w:jc w:val="right"/>
      <w:rPr>
        <w:color w:val="F07E31"/>
        <w:sz w:val="18"/>
        <w:szCs w:val="18"/>
      </w:rPr>
    </w:pPr>
    <w:r>
      <w:rPr>
        <w:color w:val="F07E31"/>
        <w:sz w:val="18"/>
        <w:szCs w:val="18"/>
      </w:rPr>
      <w:t>Riktlinjer: Utvärdering av innovation i landsbygdsprogram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Pr="00400064" w:rsidRDefault="004C3777" w:rsidP="00400064">
    <w:pPr>
      <w:jc w:val="right"/>
      <w:rPr>
        <w:color w:val="F07E31"/>
        <w:sz w:val="18"/>
        <w:szCs w:val="18"/>
      </w:rPr>
    </w:pPr>
    <w:r>
      <w:rPr>
        <w:color w:val="F07E31"/>
        <w:sz w:val="18"/>
        <w:szCs w:val="18"/>
      </w:rPr>
      <w:t>Riktlinjer: Utvärdering av innovation i landsbygdsprogram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Default="004C3777"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Pr="00E4509B" w:rsidRDefault="004C3777" w:rsidP="00D50EF0">
    <w:pPr>
      <w:pStyle w:val="Header"/>
      <w:tabs>
        <w:tab w:val="clear" w:pos="4513"/>
      </w:tabs>
    </w:pPr>
    <w:r>
      <w:tab/>
    </w:r>
    <w:bookmarkStart w:id="4" w:name="_Hlk503344243"/>
    <w:r>
      <w:t>Riktlinjer: Utvärdering av innovation i landsbygdsprogram</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Pr="00400064" w:rsidRDefault="004C3777" w:rsidP="00400064">
    <w:pPr>
      <w:jc w:val="right"/>
      <w:rPr>
        <w:color w:val="F07E31"/>
        <w:sz w:val="18"/>
        <w:szCs w:val="18"/>
      </w:rPr>
    </w:pPr>
    <w:r>
      <w:rPr>
        <w:color w:val="F07E31"/>
        <w:sz w:val="18"/>
        <w:szCs w:val="18"/>
      </w:rPr>
      <w:t>Riktlinjer: Utvärdering av innovation i landsbygdsprogram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Pr="00C947BA" w:rsidRDefault="004C3777" w:rsidP="00C947BA">
    <w:pPr>
      <w:jc w:val="right"/>
      <w:rPr>
        <w:color w:val="F07E31"/>
        <w:sz w:val="18"/>
        <w:szCs w:val="18"/>
      </w:rPr>
    </w:pPr>
    <w:r>
      <w:rPr>
        <w:color w:val="F07E31"/>
        <w:sz w:val="18"/>
        <w:szCs w:val="18"/>
      </w:rPr>
      <w:t>Riktlinjer: Utvärdering av innovation i landsbygdsprogram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Default="004C3777"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Pr="0052778E" w:rsidRDefault="004C3777" w:rsidP="00E16522">
    <w:pPr>
      <w:pStyle w:val="Header"/>
      <w:rPr>
        <w:sz w:val="24"/>
      </w:rPr>
    </w:pPr>
    <w:r>
      <w:tab/>
    </w:r>
  </w:p>
  <w:p w:rsidR="004C3777" w:rsidRPr="0047590C" w:rsidRDefault="004C3777"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Default="004C3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777" w:rsidRPr="00656719" w:rsidRDefault="004C3777" w:rsidP="00E16522">
    <w:pPr>
      <w:pStyle w:val="Header"/>
    </w:pPr>
    <w:r>
      <w:tab/>
      <w:t>Bakgrundsdokument: Utvärdering av innovation i landsbygdsprogram</w:t>
    </w:r>
  </w:p>
  <w:p w:rsidR="004C3777" w:rsidRPr="00F639C6" w:rsidRDefault="004C3777" w:rsidP="00E16522">
    <w:pPr>
      <w:pStyle w:val="Header"/>
      <w:rPr>
        <w:sz w:val="24"/>
      </w:rPr>
    </w:pPr>
  </w:p>
  <w:p w:rsidR="004C3777" w:rsidRPr="0047590C" w:rsidRDefault="004C3777"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multilevel"/>
    <w:tmpl w:val="87C27EB8"/>
    <w:lvl w:ilvl="0">
      <w:start w:val="1"/>
      <w:numFmt w:val="decimal"/>
      <w:pStyle w:val="HHeadingtables"/>
      <w:lvlText w:val="Tabell %1."/>
      <w:lvlJc w:val="left"/>
      <w:pPr>
        <w:ind w:left="360" w:hanging="360"/>
      </w:pPr>
      <w:rPr>
        <w:rFonts w:ascii="Arial" w:hAnsi="Arial" w:cs="Times New Roman" w:hint="default"/>
        <w:b/>
        <w:bCs w:val="0"/>
        <w:i w:val="0"/>
        <w:iCs w:val="0"/>
        <w:caps w:val="0"/>
        <w:smallCaps w:val="0"/>
        <w:strike w:val="0"/>
        <w:dstrike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Figur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05D08"/>
    <w:rsid w:val="000026C6"/>
    <w:rsid w:val="00015AA7"/>
    <w:rsid w:val="00021844"/>
    <w:rsid w:val="00021A55"/>
    <w:rsid w:val="00022CA7"/>
    <w:rsid w:val="00027AF3"/>
    <w:rsid w:val="000324A5"/>
    <w:rsid w:val="00036912"/>
    <w:rsid w:val="0003762E"/>
    <w:rsid w:val="00037CA6"/>
    <w:rsid w:val="000520DE"/>
    <w:rsid w:val="00053109"/>
    <w:rsid w:val="00055039"/>
    <w:rsid w:val="000828C6"/>
    <w:rsid w:val="000913CD"/>
    <w:rsid w:val="000A1399"/>
    <w:rsid w:val="000A14B3"/>
    <w:rsid w:val="000A250D"/>
    <w:rsid w:val="000A2ED1"/>
    <w:rsid w:val="000A307F"/>
    <w:rsid w:val="000A43B7"/>
    <w:rsid w:val="000A718F"/>
    <w:rsid w:val="000B1654"/>
    <w:rsid w:val="000B6304"/>
    <w:rsid w:val="000D7245"/>
    <w:rsid w:val="000E0645"/>
    <w:rsid w:val="000E0FE4"/>
    <w:rsid w:val="000E1023"/>
    <w:rsid w:val="000E1D4B"/>
    <w:rsid w:val="000E3675"/>
    <w:rsid w:val="000E5544"/>
    <w:rsid w:val="000F0497"/>
    <w:rsid w:val="000F0841"/>
    <w:rsid w:val="000F23A8"/>
    <w:rsid w:val="00102A70"/>
    <w:rsid w:val="00110179"/>
    <w:rsid w:val="00111ADE"/>
    <w:rsid w:val="001120E4"/>
    <w:rsid w:val="001126AE"/>
    <w:rsid w:val="00116EF8"/>
    <w:rsid w:val="001244F9"/>
    <w:rsid w:val="00125266"/>
    <w:rsid w:val="001275FF"/>
    <w:rsid w:val="00130EA0"/>
    <w:rsid w:val="001319A0"/>
    <w:rsid w:val="001327F5"/>
    <w:rsid w:val="0013321C"/>
    <w:rsid w:val="00133DA6"/>
    <w:rsid w:val="0013661C"/>
    <w:rsid w:val="001427A5"/>
    <w:rsid w:val="00142A64"/>
    <w:rsid w:val="00147EAF"/>
    <w:rsid w:val="00151D94"/>
    <w:rsid w:val="001524F5"/>
    <w:rsid w:val="00153F70"/>
    <w:rsid w:val="00155E3F"/>
    <w:rsid w:val="00161D7E"/>
    <w:rsid w:val="00164489"/>
    <w:rsid w:val="00165BF1"/>
    <w:rsid w:val="001744D0"/>
    <w:rsid w:val="0017614C"/>
    <w:rsid w:val="00177C4F"/>
    <w:rsid w:val="00183E9B"/>
    <w:rsid w:val="001865CA"/>
    <w:rsid w:val="0018705F"/>
    <w:rsid w:val="001954EB"/>
    <w:rsid w:val="001A12C3"/>
    <w:rsid w:val="001A184E"/>
    <w:rsid w:val="001A2952"/>
    <w:rsid w:val="001A2A93"/>
    <w:rsid w:val="001A2DEC"/>
    <w:rsid w:val="001A6C7C"/>
    <w:rsid w:val="001A7B15"/>
    <w:rsid w:val="001B58A1"/>
    <w:rsid w:val="001C039D"/>
    <w:rsid w:val="001C03A3"/>
    <w:rsid w:val="001E1B68"/>
    <w:rsid w:val="001E4AE1"/>
    <w:rsid w:val="001F55A9"/>
    <w:rsid w:val="001F6140"/>
    <w:rsid w:val="001F626E"/>
    <w:rsid w:val="001F6F07"/>
    <w:rsid w:val="001F7296"/>
    <w:rsid w:val="0020060A"/>
    <w:rsid w:val="0021105B"/>
    <w:rsid w:val="002126B4"/>
    <w:rsid w:val="00212DFA"/>
    <w:rsid w:val="002271D9"/>
    <w:rsid w:val="00230C31"/>
    <w:rsid w:val="00232CF1"/>
    <w:rsid w:val="00235D46"/>
    <w:rsid w:val="00237EDF"/>
    <w:rsid w:val="002403DE"/>
    <w:rsid w:val="00241663"/>
    <w:rsid w:val="00243FE7"/>
    <w:rsid w:val="00253803"/>
    <w:rsid w:val="0025413B"/>
    <w:rsid w:val="00260B97"/>
    <w:rsid w:val="002803D8"/>
    <w:rsid w:val="00282948"/>
    <w:rsid w:val="00283811"/>
    <w:rsid w:val="002964ED"/>
    <w:rsid w:val="002B4923"/>
    <w:rsid w:val="002B590B"/>
    <w:rsid w:val="002C2419"/>
    <w:rsid w:val="002C2C15"/>
    <w:rsid w:val="002C3A1C"/>
    <w:rsid w:val="002C4556"/>
    <w:rsid w:val="002D1C8F"/>
    <w:rsid w:val="002D399D"/>
    <w:rsid w:val="002E1723"/>
    <w:rsid w:val="002F0ABF"/>
    <w:rsid w:val="002F11D9"/>
    <w:rsid w:val="002F520A"/>
    <w:rsid w:val="00300AA0"/>
    <w:rsid w:val="0030377F"/>
    <w:rsid w:val="003039D5"/>
    <w:rsid w:val="00304961"/>
    <w:rsid w:val="00310F20"/>
    <w:rsid w:val="00310FA9"/>
    <w:rsid w:val="00311624"/>
    <w:rsid w:val="00320AA0"/>
    <w:rsid w:val="00320B7D"/>
    <w:rsid w:val="003224A2"/>
    <w:rsid w:val="00324C42"/>
    <w:rsid w:val="00330136"/>
    <w:rsid w:val="00331223"/>
    <w:rsid w:val="0034028A"/>
    <w:rsid w:val="003411D5"/>
    <w:rsid w:val="0034160A"/>
    <w:rsid w:val="00347A2C"/>
    <w:rsid w:val="00350B30"/>
    <w:rsid w:val="00364255"/>
    <w:rsid w:val="003737FE"/>
    <w:rsid w:val="00374290"/>
    <w:rsid w:val="003766ED"/>
    <w:rsid w:val="00382BE4"/>
    <w:rsid w:val="00385368"/>
    <w:rsid w:val="0038546A"/>
    <w:rsid w:val="00387226"/>
    <w:rsid w:val="003939D3"/>
    <w:rsid w:val="003A1316"/>
    <w:rsid w:val="003A5A53"/>
    <w:rsid w:val="003B44A9"/>
    <w:rsid w:val="003B7EB7"/>
    <w:rsid w:val="003C170B"/>
    <w:rsid w:val="003D242C"/>
    <w:rsid w:val="003D5EED"/>
    <w:rsid w:val="003E2CE0"/>
    <w:rsid w:val="003E55F2"/>
    <w:rsid w:val="003E6011"/>
    <w:rsid w:val="003F416E"/>
    <w:rsid w:val="003F6478"/>
    <w:rsid w:val="003F6AF1"/>
    <w:rsid w:val="00400064"/>
    <w:rsid w:val="00405B0B"/>
    <w:rsid w:val="00406C98"/>
    <w:rsid w:val="00412D26"/>
    <w:rsid w:val="00413F32"/>
    <w:rsid w:val="00417971"/>
    <w:rsid w:val="00421963"/>
    <w:rsid w:val="0042403E"/>
    <w:rsid w:val="0042433A"/>
    <w:rsid w:val="00426618"/>
    <w:rsid w:val="00431FF5"/>
    <w:rsid w:val="00447906"/>
    <w:rsid w:val="004508D0"/>
    <w:rsid w:val="00451BFA"/>
    <w:rsid w:val="00452B13"/>
    <w:rsid w:val="00471221"/>
    <w:rsid w:val="00472162"/>
    <w:rsid w:val="00485923"/>
    <w:rsid w:val="00485ED0"/>
    <w:rsid w:val="0048755C"/>
    <w:rsid w:val="00490F5A"/>
    <w:rsid w:val="00497AC7"/>
    <w:rsid w:val="004A2B05"/>
    <w:rsid w:val="004B3FE8"/>
    <w:rsid w:val="004B5B60"/>
    <w:rsid w:val="004B7E88"/>
    <w:rsid w:val="004C17C9"/>
    <w:rsid w:val="004C2BB4"/>
    <w:rsid w:val="004C32F7"/>
    <w:rsid w:val="004C3777"/>
    <w:rsid w:val="004C7474"/>
    <w:rsid w:val="004D352C"/>
    <w:rsid w:val="004E272E"/>
    <w:rsid w:val="004E2AE0"/>
    <w:rsid w:val="004E38AA"/>
    <w:rsid w:val="004E3DD3"/>
    <w:rsid w:val="004F3E58"/>
    <w:rsid w:val="004F414C"/>
    <w:rsid w:val="00500604"/>
    <w:rsid w:val="00500D52"/>
    <w:rsid w:val="00501827"/>
    <w:rsid w:val="0050721E"/>
    <w:rsid w:val="0051700B"/>
    <w:rsid w:val="00523D76"/>
    <w:rsid w:val="00530DA6"/>
    <w:rsid w:val="00533971"/>
    <w:rsid w:val="00535A54"/>
    <w:rsid w:val="005411F9"/>
    <w:rsid w:val="00541A7D"/>
    <w:rsid w:val="00544F2D"/>
    <w:rsid w:val="00545C6C"/>
    <w:rsid w:val="00547012"/>
    <w:rsid w:val="005474FA"/>
    <w:rsid w:val="005520BA"/>
    <w:rsid w:val="00554723"/>
    <w:rsid w:val="00556FC4"/>
    <w:rsid w:val="00560E46"/>
    <w:rsid w:val="005626E0"/>
    <w:rsid w:val="005671F4"/>
    <w:rsid w:val="00570507"/>
    <w:rsid w:val="00576A73"/>
    <w:rsid w:val="00580A51"/>
    <w:rsid w:val="00582F60"/>
    <w:rsid w:val="00583AC8"/>
    <w:rsid w:val="00585777"/>
    <w:rsid w:val="00591CB3"/>
    <w:rsid w:val="0059228D"/>
    <w:rsid w:val="0059311F"/>
    <w:rsid w:val="005938F4"/>
    <w:rsid w:val="00595D16"/>
    <w:rsid w:val="00596A5B"/>
    <w:rsid w:val="00597107"/>
    <w:rsid w:val="005A0605"/>
    <w:rsid w:val="005A0DA2"/>
    <w:rsid w:val="005A5457"/>
    <w:rsid w:val="005B09B7"/>
    <w:rsid w:val="005B3685"/>
    <w:rsid w:val="005D0347"/>
    <w:rsid w:val="005E1D93"/>
    <w:rsid w:val="005E7DF8"/>
    <w:rsid w:val="005F09BC"/>
    <w:rsid w:val="00600BE3"/>
    <w:rsid w:val="0060261A"/>
    <w:rsid w:val="00604B7A"/>
    <w:rsid w:val="00612D54"/>
    <w:rsid w:val="00615785"/>
    <w:rsid w:val="00617D7B"/>
    <w:rsid w:val="00623618"/>
    <w:rsid w:val="006239C7"/>
    <w:rsid w:val="00624393"/>
    <w:rsid w:val="00626C0C"/>
    <w:rsid w:val="006418CA"/>
    <w:rsid w:val="00642394"/>
    <w:rsid w:val="00643DF6"/>
    <w:rsid w:val="00644398"/>
    <w:rsid w:val="006450B6"/>
    <w:rsid w:val="0064682B"/>
    <w:rsid w:val="00647766"/>
    <w:rsid w:val="006501D4"/>
    <w:rsid w:val="00651F1C"/>
    <w:rsid w:val="00653B72"/>
    <w:rsid w:val="00654F10"/>
    <w:rsid w:val="0066160E"/>
    <w:rsid w:val="00665417"/>
    <w:rsid w:val="00666273"/>
    <w:rsid w:val="0066696C"/>
    <w:rsid w:val="00673E3D"/>
    <w:rsid w:val="00674A4B"/>
    <w:rsid w:val="00676750"/>
    <w:rsid w:val="00676B41"/>
    <w:rsid w:val="006803A8"/>
    <w:rsid w:val="0068184C"/>
    <w:rsid w:val="00682C8C"/>
    <w:rsid w:val="006871D2"/>
    <w:rsid w:val="00690E70"/>
    <w:rsid w:val="00695A11"/>
    <w:rsid w:val="00697455"/>
    <w:rsid w:val="006A092E"/>
    <w:rsid w:val="006A32EF"/>
    <w:rsid w:val="006A4AEC"/>
    <w:rsid w:val="006B72BF"/>
    <w:rsid w:val="006C085A"/>
    <w:rsid w:val="006C63CD"/>
    <w:rsid w:val="006D0B02"/>
    <w:rsid w:val="006D209F"/>
    <w:rsid w:val="006D3C74"/>
    <w:rsid w:val="006E0E48"/>
    <w:rsid w:val="006E2A31"/>
    <w:rsid w:val="006E592C"/>
    <w:rsid w:val="006E597D"/>
    <w:rsid w:val="006E63C9"/>
    <w:rsid w:val="006F0B79"/>
    <w:rsid w:val="006F1601"/>
    <w:rsid w:val="006F3FC1"/>
    <w:rsid w:val="006F63C5"/>
    <w:rsid w:val="00703AD9"/>
    <w:rsid w:val="00710753"/>
    <w:rsid w:val="0071141A"/>
    <w:rsid w:val="00712357"/>
    <w:rsid w:val="00717083"/>
    <w:rsid w:val="00717885"/>
    <w:rsid w:val="00725801"/>
    <w:rsid w:val="00734B11"/>
    <w:rsid w:val="007372CD"/>
    <w:rsid w:val="007441E3"/>
    <w:rsid w:val="00757688"/>
    <w:rsid w:val="007603A8"/>
    <w:rsid w:val="00764D33"/>
    <w:rsid w:val="00767F5C"/>
    <w:rsid w:val="007707EC"/>
    <w:rsid w:val="0078182B"/>
    <w:rsid w:val="00782C87"/>
    <w:rsid w:val="0079071D"/>
    <w:rsid w:val="007A450E"/>
    <w:rsid w:val="007B0E8B"/>
    <w:rsid w:val="007B323F"/>
    <w:rsid w:val="007B3A09"/>
    <w:rsid w:val="007B4A6D"/>
    <w:rsid w:val="007B4D84"/>
    <w:rsid w:val="007C2C6A"/>
    <w:rsid w:val="007C69CD"/>
    <w:rsid w:val="007C7A64"/>
    <w:rsid w:val="007D2A0C"/>
    <w:rsid w:val="007D301C"/>
    <w:rsid w:val="007D5760"/>
    <w:rsid w:val="007D62E6"/>
    <w:rsid w:val="007E16DD"/>
    <w:rsid w:val="007E63EF"/>
    <w:rsid w:val="007E7353"/>
    <w:rsid w:val="007F0B5B"/>
    <w:rsid w:val="007F4DD3"/>
    <w:rsid w:val="007F7F99"/>
    <w:rsid w:val="00803501"/>
    <w:rsid w:val="00804314"/>
    <w:rsid w:val="00804433"/>
    <w:rsid w:val="00805EDF"/>
    <w:rsid w:val="00807A63"/>
    <w:rsid w:val="0081188E"/>
    <w:rsid w:val="00812586"/>
    <w:rsid w:val="00814B95"/>
    <w:rsid w:val="008164E6"/>
    <w:rsid w:val="0081791E"/>
    <w:rsid w:val="00826484"/>
    <w:rsid w:val="00840345"/>
    <w:rsid w:val="008518F2"/>
    <w:rsid w:val="00857D5C"/>
    <w:rsid w:val="00863DB0"/>
    <w:rsid w:val="00864D7B"/>
    <w:rsid w:val="00866B4D"/>
    <w:rsid w:val="00876579"/>
    <w:rsid w:val="0088190F"/>
    <w:rsid w:val="008873D9"/>
    <w:rsid w:val="00890C92"/>
    <w:rsid w:val="00891109"/>
    <w:rsid w:val="00893616"/>
    <w:rsid w:val="00897804"/>
    <w:rsid w:val="008A0CFF"/>
    <w:rsid w:val="008A260B"/>
    <w:rsid w:val="008B008F"/>
    <w:rsid w:val="008B1A09"/>
    <w:rsid w:val="008C0B17"/>
    <w:rsid w:val="008C3EAC"/>
    <w:rsid w:val="008D05D4"/>
    <w:rsid w:val="008D178A"/>
    <w:rsid w:val="008D63A8"/>
    <w:rsid w:val="008E4AA6"/>
    <w:rsid w:val="008F1F04"/>
    <w:rsid w:val="0090245E"/>
    <w:rsid w:val="009044EE"/>
    <w:rsid w:val="009106EA"/>
    <w:rsid w:val="00912430"/>
    <w:rsid w:val="00912CD5"/>
    <w:rsid w:val="00916AB5"/>
    <w:rsid w:val="00916BE2"/>
    <w:rsid w:val="00920CB9"/>
    <w:rsid w:val="009414CC"/>
    <w:rsid w:val="00942585"/>
    <w:rsid w:val="00946806"/>
    <w:rsid w:val="00946DD8"/>
    <w:rsid w:val="00951524"/>
    <w:rsid w:val="0095292E"/>
    <w:rsid w:val="0095336D"/>
    <w:rsid w:val="00954671"/>
    <w:rsid w:val="009567F6"/>
    <w:rsid w:val="00963A81"/>
    <w:rsid w:val="009648DB"/>
    <w:rsid w:val="00965042"/>
    <w:rsid w:val="00966DF2"/>
    <w:rsid w:val="00967CFD"/>
    <w:rsid w:val="009722AA"/>
    <w:rsid w:val="009837FF"/>
    <w:rsid w:val="00987055"/>
    <w:rsid w:val="00990BF3"/>
    <w:rsid w:val="009968A7"/>
    <w:rsid w:val="00997571"/>
    <w:rsid w:val="009A02D3"/>
    <w:rsid w:val="009A27E2"/>
    <w:rsid w:val="009A2DAD"/>
    <w:rsid w:val="009A64EA"/>
    <w:rsid w:val="009B603C"/>
    <w:rsid w:val="009C2EC2"/>
    <w:rsid w:val="009C70F8"/>
    <w:rsid w:val="009C734C"/>
    <w:rsid w:val="009C743B"/>
    <w:rsid w:val="009D0C0A"/>
    <w:rsid w:val="009D1F1B"/>
    <w:rsid w:val="009D3A3F"/>
    <w:rsid w:val="009D479A"/>
    <w:rsid w:val="009D56E6"/>
    <w:rsid w:val="009F145D"/>
    <w:rsid w:val="009F1589"/>
    <w:rsid w:val="009F5AB5"/>
    <w:rsid w:val="009F79DE"/>
    <w:rsid w:val="00A008D3"/>
    <w:rsid w:val="00A04209"/>
    <w:rsid w:val="00A17E45"/>
    <w:rsid w:val="00A209BF"/>
    <w:rsid w:val="00A304B0"/>
    <w:rsid w:val="00A31D39"/>
    <w:rsid w:val="00A35C6D"/>
    <w:rsid w:val="00A43434"/>
    <w:rsid w:val="00A43EFD"/>
    <w:rsid w:val="00A45935"/>
    <w:rsid w:val="00A51882"/>
    <w:rsid w:val="00A60495"/>
    <w:rsid w:val="00A610F6"/>
    <w:rsid w:val="00A66638"/>
    <w:rsid w:val="00A66F3C"/>
    <w:rsid w:val="00A6785E"/>
    <w:rsid w:val="00A71A31"/>
    <w:rsid w:val="00A77E99"/>
    <w:rsid w:val="00A807A5"/>
    <w:rsid w:val="00A823A8"/>
    <w:rsid w:val="00A847F8"/>
    <w:rsid w:val="00A87AEF"/>
    <w:rsid w:val="00A90171"/>
    <w:rsid w:val="00A92E91"/>
    <w:rsid w:val="00A961A7"/>
    <w:rsid w:val="00AA5817"/>
    <w:rsid w:val="00AA7F79"/>
    <w:rsid w:val="00AB16BB"/>
    <w:rsid w:val="00AB45F8"/>
    <w:rsid w:val="00AB6603"/>
    <w:rsid w:val="00AB74DA"/>
    <w:rsid w:val="00AC1B3E"/>
    <w:rsid w:val="00AC664B"/>
    <w:rsid w:val="00AC75B9"/>
    <w:rsid w:val="00AC7DDF"/>
    <w:rsid w:val="00AD39B9"/>
    <w:rsid w:val="00AD3CD7"/>
    <w:rsid w:val="00AD5038"/>
    <w:rsid w:val="00AD72DD"/>
    <w:rsid w:val="00AE3E85"/>
    <w:rsid w:val="00AE62D1"/>
    <w:rsid w:val="00AE68CA"/>
    <w:rsid w:val="00AE704F"/>
    <w:rsid w:val="00B05B45"/>
    <w:rsid w:val="00B10B3C"/>
    <w:rsid w:val="00B24679"/>
    <w:rsid w:val="00B311E6"/>
    <w:rsid w:val="00B35581"/>
    <w:rsid w:val="00B36B77"/>
    <w:rsid w:val="00B37E2A"/>
    <w:rsid w:val="00B40DBF"/>
    <w:rsid w:val="00B41573"/>
    <w:rsid w:val="00B421B9"/>
    <w:rsid w:val="00B51B3B"/>
    <w:rsid w:val="00B54FDB"/>
    <w:rsid w:val="00B5530E"/>
    <w:rsid w:val="00B6357F"/>
    <w:rsid w:val="00B63DE8"/>
    <w:rsid w:val="00B64C7D"/>
    <w:rsid w:val="00B737D4"/>
    <w:rsid w:val="00B76BA4"/>
    <w:rsid w:val="00B91D56"/>
    <w:rsid w:val="00BA248B"/>
    <w:rsid w:val="00BA2C5D"/>
    <w:rsid w:val="00BA450C"/>
    <w:rsid w:val="00BA4FCD"/>
    <w:rsid w:val="00BA5122"/>
    <w:rsid w:val="00BA6A33"/>
    <w:rsid w:val="00BB0A98"/>
    <w:rsid w:val="00BB2E5C"/>
    <w:rsid w:val="00BB551B"/>
    <w:rsid w:val="00BC211C"/>
    <w:rsid w:val="00BC2432"/>
    <w:rsid w:val="00BC406C"/>
    <w:rsid w:val="00BC471E"/>
    <w:rsid w:val="00BC5B1D"/>
    <w:rsid w:val="00BD475B"/>
    <w:rsid w:val="00BD7227"/>
    <w:rsid w:val="00BE0462"/>
    <w:rsid w:val="00BE1F31"/>
    <w:rsid w:val="00BE62C8"/>
    <w:rsid w:val="00BE70EE"/>
    <w:rsid w:val="00C013AD"/>
    <w:rsid w:val="00C02FCB"/>
    <w:rsid w:val="00C046E8"/>
    <w:rsid w:val="00C06B39"/>
    <w:rsid w:val="00C16E3D"/>
    <w:rsid w:val="00C202EC"/>
    <w:rsid w:val="00C20C97"/>
    <w:rsid w:val="00C22D5F"/>
    <w:rsid w:val="00C26152"/>
    <w:rsid w:val="00C3092C"/>
    <w:rsid w:val="00C31877"/>
    <w:rsid w:val="00C31DF0"/>
    <w:rsid w:val="00C3302E"/>
    <w:rsid w:val="00C3334D"/>
    <w:rsid w:val="00C35A25"/>
    <w:rsid w:val="00C37C7A"/>
    <w:rsid w:val="00C477ED"/>
    <w:rsid w:val="00C5127D"/>
    <w:rsid w:val="00C51F59"/>
    <w:rsid w:val="00C61277"/>
    <w:rsid w:val="00C621C4"/>
    <w:rsid w:val="00C6361D"/>
    <w:rsid w:val="00C64B64"/>
    <w:rsid w:val="00C6765A"/>
    <w:rsid w:val="00C67E9D"/>
    <w:rsid w:val="00C75468"/>
    <w:rsid w:val="00C8095B"/>
    <w:rsid w:val="00C84B5B"/>
    <w:rsid w:val="00C947BA"/>
    <w:rsid w:val="00C9522B"/>
    <w:rsid w:val="00C95BD6"/>
    <w:rsid w:val="00CA12E6"/>
    <w:rsid w:val="00CA28E6"/>
    <w:rsid w:val="00CA3A48"/>
    <w:rsid w:val="00CA6EC8"/>
    <w:rsid w:val="00CB004C"/>
    <w:rsid w:val="00CB3AD0"/>
    <w:rsid w:val="00CB3E88"/>
    <w:rsid w:val="00CB4818"/>
    <w:rsid w:val="00CB68D9"/>
    <w:rsid w:val="00CC53B5"/>
    <w:rsid w:val="00CD3BC8"/>
    <w:rsid w:val="00CE2990"/>
    <w:rsid w:val="00CF37F0"/>
    <w:rsid w:val="00CF4822"/>
    <w:rsid w:val="00CF4F8A"/>
    <w:rsid w:val="00CF6D0E"/>
    <w:rsid w:val="00D010F5"/>
    <w:rsid w:val="00D05E3A"/>
    <w:rsid w:val="00D076E7"/>
    <w:rsid w:val="00D10FA6"/>
    <w:rsid w:val="00D13817"/>
    <w:rsid w:val="00D201A2"/>
    <w:rsid w:val="00D32DA8"/>
    <w:rsid w:val="00D32E53"/>
    <w:rsid w:val="00D35751"/>
    <w:rsid w:val="00D4053E"/>
    <w:rsid w:val="00D461AB"/>
    <w:rsid w:val="00D50380"/>
    <w:rsid w:val="00D50EF0"/>
    <w:rsid w:val="00D55226"/>
    <w:rsid w:val="00D55696"/>
    <w:rsid w:val="00D55CC8"/>
    <w:rsid w:val="00D57D0A"/>
    <w:rsid w:val="00D612DC"/>
    <w:rsid w:val="00D62992"/>
    <w:rsid w:val="00D62ED4"/>
    <w:rsid w:val="00D631DD"/>
    <w:rsid w:val="00D65F31"/>
    <w:rsid w:val="00D66182"/>
    <w:rsid w:val="00D66501"/>
    <w:rsid w:val="00D73319"/>
    <w:rsid w:val="00D7340E"/>
    <w:rsid w:val="00D77B96"/>
    <w:rsid w:val="00D815E7"/>
    <w:rsid w:val="00D85FF6"/>
    <w:rsid w:val="00D91213"/>
    <w:rsid w:val="00D91569"/>
    <w:rsid w:val="00D930A2"/>
    <w:rsid w:val="00D96C8F"/>
    <w:rsid w:val="00DA22EB"/>
    <w:rsid w:val="00DA3BBA"/>
    <w:rsid w:val="00DB1887"/>
    <w:rsid w:val="00DC1C77"/>
    <w:rsid w:val="00DC20D6"/>
    <w:rsid w:val="00DC2840"/>
    <w:rsid w:val="00DC6C4F"/>
    <w:rsid w:val="00DD247A"/>
    <w:rsid w:val="00DD473C"/>
    <w:rsid w:val="00DD4C4C"/>
    <w:rsid w:val="00DE256D"/>
    <w:rsid w:val="00DE2C82"/>
    <w:rsid w:val="00DF68E2"/>
    <w:rsid w:val="00E03826"/>
    <w:rsid w:val="00E05D08"/>
    <w:rsid w:val="00E16522"/>
    <w:rsid w:val="00E30E27"/>
    <w:rsid w:val="00E33F37"/>
    <w:rsid w:val="00E34FAC"/>
    <w:rsid w:val="00E36F81"/>
    <w:rsid w:val="00E54013"/>
    <w:rsid w:val="00E54929"/>
    <w:rsid w:val="00E634DC"/>
    <w:rsid w:val="00E64309"/>
    <w:rsid w:val="00E71021"/>
    <w:rsid w:val="00E713B8"/>
    <w:rsid w:val="00E72529"/>
    <w:rsid w:val="00E8197A"/>
    <w:rsid w:val="00E849E7"/>
    <w:rsid w:val="00EA0618"/>
    <w:rsid w:val="00EA0974"/>
    <w:rsid w:val="00EB5D46"/>
    <w:rsid w:val="00EB77F2"/>
    <w:rsid w:val="00EB7915"/>
    <w:rsid w:val="00EC468B"/>
    <w:rsid w:val="00EC4AF4"/>
    <w:rsid w:val="00EC5172"/>
    <w:rsid w:val="00ED1295"/>
    <w:rsid w:val="00ED1649"/>
    <w:rsid w:val="00ED2906"/>
    <w:rsid w:val="00ED47C5"/>
    <w:rsid w:val="00EE3543"/>
    <w:rsid w:val="00EF0A96"/>
    <w:rsid w:val="00EF1B0F"/>
    <w:rsid w:val="00EF4540"/>
    <w:rsid w:val="00F01E0F"/>
    <w:rsid w:val="00F0545B"/>
    <w:rsid w:val="00F117CA"/>
    <w:rsid w:val="00F13B45"/>
    <w:rsid w:val="00F200A2"/>
    <w:rsid w:val="00F250EC"/>
    <w:rsid w:val="00F31494"/>
    <w:rsid w:val="00F31AD6"/>
    <w:rsid w:val="00F32874"/>
    <w:rsid w:val="00F37A59"/>
    <w:rsid w:val="00F4055A"/>
    <w:rsid w:val="00F5230D"/>
    <w:rsid w:val="00F60A36"/>
    <w:rsid w:val="00F639C6"/>
    <w:rsid w:val="00F64797"/>
    <w:rsid w:val="00F66623"/>
    <w:rsid w:val="00F6793F"/>
    <w:rsid w:val="00F73706"/>
    <w:rsid w:val="00F74459"/>
    <w:rsid w:val="00F74623"/>
    <w:rsid w:val="00F74C18"/>
    <w:rsid w:val="00F8743F"/>
    <w:rsid w:val="00F9406A"/>
    <w:rsid w:val="00F94F86"/>
    <w:rsid w:val="00F97438"/>
    <w:rsid w:val="00FA12EA"/>
    <w:rsid w:val="00FA6691"/>
    <w:rsid w:val="00FA669F"/>
    <w:rsid w:val="00FB51EF"/>
    <w:rsid w:val="00FB5B14"/>
    <w:rsid w:val="00FC1408"/>
    <w:rsid w:val="00FC14FF"/>
    <w:rsid w:val="00FC1E3F"/>
    <w:rsid w:val="00FC7364"/>
    <w:rsid w:val="00FD05AA"/>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1225D2-7603-4B88-AB50-463817DA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sv-SE"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0913CD"/>
    <w:pPr>
      <w:tabs>
        <w:tab w:val="left" w:pos="1100"/>
        <w:tab w:val="right" w:leader="dot" w:pos="9040"/>
      </w:tabs>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sv-SE"/>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sv-SE"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asq.org/quality-progress/2007/07/statistics/likert-scales-and-data-analyses.html" TargetMode="External"/><Relationship Id="rId21" Type="http://schemas.openxmlformats.org/officeDocument/2006/relationships/footer" Target="footer5.xml"/><Relationship Id="rId42" Type="http://schemas.openxmlformats.org/officeDocument/2006/relationships/image" Target="media/image15.jpg"/><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yperlink" Target="https://enrd.ec.europa.eu/evaluation/publications/guidelines-evaluation-national-rural-networks-2014-2020_en" TargetMode="External"/><Relationship Id="rId68" Type="http://schemas.openxmlformats.org/officeDocument/2006/relationships/hyperlink" Target="http://enrd.ec.europa.eu/enrd-static/app_templates/enrd_assets/pdf/guidebook/nrn_handbook_webversion.pdf" TargetMode="External"/><Relationship Id="rId84" Type="http://schemas.openxmlformats.org/officeDocument/2006/relationships/hyperlink" Target="http://www.men-d.de/uploads/media/MEN-D_Jahresveranstaltung_2017.pdf" TargetMode="External"/><Relationship Id="rId89" Type="http://schemas.openxmlformats.org/officeDocument/2006/relationships/hyperlink" Target="http://ec.europa.eu/eurostat/statistics-explained/index.php/Smarter,_greener,_more_inclusive_-_indicators_to_support_the_Europe_2020_strategy" TargetMode="External"/><Relationship Id="rId112" Type="http://schemas.openxmlformats.org/officeDocument/2006/relationships/hyperlink" Target="http://journals.sagepub.com/doi/abs/10.1177/1356389012451663" TargetMode="External"/><Relationship Id="rId133" Type="http://schemas.openxmlformats.org/officeDocument/2006/relationships/hyperlink" Target="https://ec.europa.eu/eip/agriculture/en/content/innovation-support-services" TargetMode="External"/><Relationship Id="rId138" Type="http://schemas.openxmlformats.org/officeDocument/2006/relationships/header" Target="header11.xml"/><Relationship Id="rId16" Type="http://schemas.openxmlformats.org/officeDocument/2006/relationships/header" Target="header3.xml"/><Relationship Id="rId107" Type="http://schemas.openxmlformats.org/officeDocument/2006/relationships/hyperlink" Target="https://www.gao.gov/products/GAO/PEMD-10.1.9" TargetMode="External"/><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footer" Target="footer8.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nrd.ec.europa.eu/evaluation/publications/guidelines-assessment-rdp-results-how-prepare-reporting-evaluation-2017_en" TargetMode="External"/><Relationship Id="rId74" Type="http://schemas.openxmlformats.org/officeDocument/2006/relationships/hyperlink" Target="https://enrd.ec.europa.eu/evaluation/publications/guidelines-assessment-rdp-results-how-prepare-reporting-evaluation-2017_en" TargetMode="External"/><Relationship Id="rId79" Type="http://schemas.openxmlformats.org/officeDocument/2006/relationships/hyperlink" Target="http://enrd.ec.europa.eu/enrd-static/evaluation/good-practices-workshops/national-rural-networks/en/national-rural-networks_en.html" TargetMode="External"/><Relationship Id="rId102" Type="http://schemas.openxmlformats.org/officeDocument/2006/relationships/hyperlink" Target="https://enrd.ec.europa.eu/sites/enrd/files/uploaded-files/wp_evaluation_questions_2015.pdf" TargetMode="External"/><Relationship Id="rId123" Type="http://schemas.openxmlformats.org/officeDocument/2006/relationships/hyperlink" Target="http://www.tandfonline.com/doi/abs/10.1080/135467896394447" TargetMode="External"/><Relationship Id="rId128" Type="http://schemas.openxmlformats.org/officeDocument/2006/relationships/hyperlink" Target="https://www.ncbi.nlm.nih.gov/pubmed/16053581" TargetMode="External"/><Relationship Id="rId5" Type="http://schemas.openxmlformats.org/officeDocument/2006/relationships/webSettings" Target="webSettings.xml"/><Relationship Id="rId90" Type="http://schemas.openxmlformats.org/officeDocument/2006/relationships/hyperlink" Target="http://www.men-d.de/uploads/media/MEN-D_Jahresveranstaltung_2017.pdf" TargetMode="External"/><Relationship Id="rId95" Type="http://schemas.openxmlformats.org/officeDocument/2006/relationships/header" Target="header9.xml"/><Relationship Id="rId22" Type="http://schemas.openxmlformats.org/officeDocument/2006/relationships/image" Target="media/image4.png"/><Relationship Id="rId27" Type="http://schemas.openxmlformats.org/officeDocument/2006/relationships/image" Target="media/image8.emf"/><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nrd.ec.europa.eu/evaluation/publications/guidelines-assessment-rdp-results-how-prepare-reporting-evaluation-2017_en" TargetMode="External"/><Relationship Id="rId64" Type="http://schemas.openxmlformats.org/officeDocument/2006/relationships/hyperlink" Target="https://enrd.ec.europa.eu/evaluation/publications/guidelines-evaluation-national-rural-networks-2014-2020_en" TargetMode="External"/><Relationship Id="rId69" Type="http://schemas.openxmlformats.org/officeDocument/2006/relationships/hyperlink" Target="https://enrd.ec.europa.eu/sites/enrd/files/twg-02-nrn-july2016.pdf" TargetMode="External"/><Relationship Id="rId113" Type="http://schemas.openxmlformats.org/officeDocument/2006/relationships/hyperlink" Target="http://journals.sagepub.com/doi/abs/10.1177/1356389012451663" TargetMode="External"/><Relationship Id="rId118" Type="http://schemas.openxmlformats.org/officeDocument/2006/relationships/hyperlink" Target="https://www.cambridge.org/core/journals/ps-political-science-and-politics/article/understanding-process-tracing/183A057AD6A36783E678CB37440346D1" TargetMode="External"/><Relationship Id="rId134" Type="http://schemas.openxmlformats.org/officeDocument/2006/relationships/hyperlink" Target="http://ec.europa.eu/eip/agriculture/sites/agri-eip/files/eip-guidelines-july-2014_en.pdf" TargetMode="External"/><Relationship Id="rId139" Type="http://schemas.openxmlformats.org/officeDocument/2006/relationships/fontTable" Target="fontTable.xm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image" Target="media/image16.emf"/><Relationship Id="rId72" Type="http://schemas.openxmlformats.org/officeDocument/2006/relationships/hyperlink" Target="http://enrd.ec.europa.eu/enrd-static/evaluation/good-practices-workshops/national-rural-networks/en/national-rural-networks_en.html" TargetMode="External"/><Relationship Id="rId80" Type="http://schemas.openxmlformats.org/officeDocument/2006/relationships/hyperlink" Target="https://enrd.ec.europa.eu/sites/enrd/files/uploaded-files/wp_evaluation_questions_2015.pdf" TargetMode="External"/><Relationship Id="rId85" Type="http://schemas.openxmlformats.org/officeDocument/2006/relationships/hyperlink" Target="http://www.men-d.de/index.php?id=81&amp;tx_ttnews%5btt_news%5d=150&amp;tx_ttnews%5bbackPid%5d=85&amp;cHash=41ecd4ea5c" TargetMode="External"/><Relationship Id="rId93" Type="http://schemas.openxmlformats.org/officeDocument/2006/relationships/image" Target="media/image18.emf"/><Relationship Id="rId98" Type="http://schemas.openxmlformats.org/officeDocument/2006/relationships/hyperlink" Target="http://www.hnvlink.eu/" TargetMode="External"/><Relationship Id="rId121" Type="http://schemas.openxmlformats.org/officeDocument/2006/relationships/hyperlink" Target="https://www.gao.gov/products/GAO/PEMD-10.1.9"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sites/enrd/files/uploaded-files/wp_evaluation_questions_2015.pdf" TargetMode="External"/><Relationship Id="rId38" Type="http://schemas.openxmlformats.org/officeDocument/2006/relationships/footer" Target="footer9.xml"/><Relationship Id="rId46" Type="http://schemas.openxmlformats.org/officeDocument/2006/relationships/hyperlink" Target="http://enrd.ec.europa.eu/news-events/events/enrd-workshop-measure-16-cooperation_en" TargetMode="External"/><Relationship Id="rId59" Type="http://schemas.openxmlformats.org/officeDocument/2006/relationships/hyperlink" Target="https://enrd.ec.europa.eu/evaluation/publications/guidelines-assessment-rdp-results-how-prepare-reporting-evaluation-2017_en" TargetMode="External"/><Relationship Id="rId67" Type="http://schemas.openxmlformats.org/officeDocument/2006/relationships/hyperlink" Target="https://enrd.ec.europa.eu/evaluation/publications/guidelines-assessment-rdp-results-how-prepare-reporting-evaluation-2017_en" TargetMode="External"/><Relationship Id="rId103" Type="http://schemas.openxmlformats.org/officeDocument/2006/relationships/header" Target="header10.xml"/><Relationship Id="rId108" Type="http://schemas.openxmlformats.org/officeDocument/2006/relationships/hyperlink" Target="https://www.gao.gov/products/GAO/PEMD-10.1.9" TargetMode="External"/><Relationship Id="rId116" Type="http://schemas.openxmlformats.org/officeDocument/2006/relationships/hyperlink" Target="http://betterevaluation.org/plan/approach/outcome_harvesting" TargetMode="External"/><Relationship Id="rId124" Type="http://schemas.openxmlformats.org/officeDocument/2006/relationships/hyperlink" Target="http://journals.sagepub.com/doi/abs/10.1177/1356389012451663" TargetMode="External"/><Relationship Id="rId129" Type="http://schemas.openxmlformats.org/officeDocument/2006/relationships/hyperlink" Target="http://betterevaluation.org/plan/approach/outcome_harvesting" TargetMode="External"/><Relationship Id="rId137" Type="http://schemas.openxmlformats.org/officeDocument/2006/relationships/hyperlink" Target="http://enrd.ec.europa.eu/enrd-static/app_templates/enrd_assets/pdf/guidebook/nrn_handbook_webversion.pdf" TargetMode="External"/><Relationship Id="rId20" Type="http://schemas.openxmlformats.org/officeDocument/2006/relationships/header" Target="header5.xml"/><Relationship Id="rId41" Type="http://schemas.openxmlformats.org/officeDocument/2006/relationships/hyperlink" Target="https://enrd.ec.europa.eu/evaluation/publications/guidelines-assessment-rdp-results-how-prepare-reporting-evaluation-2017_en" TargetMode="External"/><Relationship Id="rId54" Type="http://schemas.openxmlformats.org/officeDocument/2006/relationships/hyperlink" Target="https://enrd.ec.europa.eu/evaluation/publications/guidelines-assessment-rdp-results-how-prepare-reporting-evaluation-2017_en" TargetMode="External"/><Relationship Id="rId62" Type="http://schemas.openxmlformats.org/officeDocument/2006/relationships/image" Target="media/image17.emf"/><Relationship Id="rId70" Type="http://schemas.openxmlformats.org/officeDocument/2006/relationships/hyperlink" Target="https://ec.europa.eu/eip/agriculture/en/publications/guidelines-programming-innovation-and" TargetMode="External"/><Relationship Id="rId75" Type="http://schemas.openxmlformats.org/officeDocument/2006/relationships/hyperlink" Target="http://enrd.ec.europa.eu/enrd-static/app_templates/enrd_assets/pdf/guidebook/nrn_handbook_webversion.pdf" TargetMode="External"/><Relationship Id="rId83" Type="http://schemas.openxmlformats.org/officeDocument/2006/relationships/hyperlink" Target="http://ec.europa.eu/eurostat/statistics-explained/index.php/Smarter,_greener,_more_inclusive_-_indicators_to_support_the_Europe_2020_strategy" TargetMode="External"/><Relationship Id="rId88" Type="http://schemas.openxmlformats.org/officeDocument/2006/relationships/hyperlink" Target="http://ec.europa.eu/eurostat/statistics-explained/index.php/Smarter,_greener,_more_inclusive_-_indicators_to_support_the_Europe_2020_strategy" TargetMode="External"/><Relationship Id="rId91" Type="http://schemas.openxmlformats.org/officeDocument/2006/relationships/hyperlink" Target="http://www.men-d.de/index.php?id=81&amp;tx_ttnews%5btt_news%5d=150&amp;tx_ttnews%5bbackPid%5d=85&amp;cHash=41ecd4ea5c" TargetMode="External"/><Relationship Id="rId96" Type="http://schemas.openxmlformats.org/officeDocument/2006/relationships/hyperlink" Target="https://enrd.ec.europa.eu/sites/enrd/files/uploaded-files/wp_evaluation_questions_2015.pdf" TargetMode="External"/><Relationship Id="rId111" Type="http://schemas.openxmlformats.org/officeDocument/2006/relationships/hyperlink" Target="http://journals.sagepub.com/doi/abs/10.1177/1356389012451663" TargetMode="External"/><Relationship Id="rId132" Type="http://schemas.openxmlformats.org/officeDocument/2006/relationships/hyperlink" Target="http://www.fao.org/3/a-i5097e.pdf"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footer" Target="footer7.xml"/><Relationship Id="rId49" Type="http://schemas.openxmlformats.org/officeDocument/2006/relationships/hyperlink" Target="https://ec.europa.eu/eip/agriculture/sites/agri-eip/files/16_measure_fiche_art_35_co-operation.pdf" TargetMode="External"/><Relationship Id="rId57" Type="http://schemas.openxmlformats.org/officeDocument/2006/relationships/hyperlink" Target="http://enrd.ec.europa.eu/news-events/events/enrd-workshop-measure-16-cooperation_en" TargetMode="External"/><Relationship Id="rId106" Type="http://schemas.openxmlformats.org/officeDocument/2006/relationships/hyperlink" Target="http://ageconsearch.umn.edu/bitstream/52515/2/ILAC_Brief05_Histories.pdf" TargetMode="External"/><Relationship Id="rId114" Type="http://schemas.openxmlformats.org/officeDocument/2006/relationships/hyperlink" Target="http://journals.sagepub.com/doi/abs/10.1177/1356389012451663" TargetMode="External"/><Relationship Id="rId119" Type="http://schemas.openxmlformats.org/officeDocument/2006/relationships/hyperlink" Target="http://ageconsearch.umn.edu/bitstream/52515/2/ILAC_Brief05_Histories.pdf" TargetMode="External"/><Relationship Id="rId127" Type="http://schemas.openxmlformats.org/officeDocument/2006/relationships/hyperlink" Target="http://journals.sagepub.com/doi/abs/10.1177/1356389012451663" TargetMode="External"/><Relationship Id="rId10" Type="http://schemas.openxmlformats.org/officeDocument/2006/relationships/image" Target="media/image1.jpg"/><Relationship Id="rId31" Type="http://schemas.openxmlformats.org/officeDocument/2006/relationships/image" Target="media/image12.emf"/><Relationship Id="rId44" Type="http://schemas.openxmlformats.org/officeDocument/2006/relationships/hyperlink" Target="https://enrd.ec.europa.eu/evaluation/publications/guidelines-assessment-rdp-results-how-prepare-reporting-evaluation-2017_en"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s://ec.europa.eu/eip/agriculture/sites/agri-eip/files/16_measure_fiche_art_35_co-operation.pdf" TargetMode="External"/><Relationship Id="rId65" Type="http://schemas.openxmlformats.org/officeDocument/2006/relationships/header" Target="header7.xml"/><Relationship Id="rId73" Type="http://schemas.openxmlformats.org/officeDocument/2006/relationships/hyperlink" Target="https://enrd.ec.europa.eu/evaluation/publications/guidelines-assessment-rdp-results-how-prepare-reporting-evaluation-2017_en" TargetMode="External"/><Relationship Id="rId78" Type="http://schemas.openxmlformats.org/officeDocument/2006/relationships/hyperlink" Target="http://enrd.ec.europa.eu/enrd-static/evaluation/good-practices-workshops/national-rural-networks/en/national-rural-networks_en.html" TargetMode="External"/><Relationship Id="rId81" Type="http://schemas.openxmlformats.org/officeDocument/2006/relationships/hyperlink" Target="http://eur-lex.europa.eu/LexUriServ/LexUriServ.do?uri=COM:2010:2020:FIN:SV:PDF" TargetMode="External"/><Relationship Id="rId86" Type="http://schemas.openxmlformats.org/officeDocument/2006/relationships/hyperlink" Target="http://www.men-d.de/index.php?id=81&amp;tx_ttnews%5btt_news%5d=195&amp;tx_ttnews%5bbackPid%5d=85&amp;cHash=08539b2ad7" TargetMode="External"/><Relationship Id="rId94" Type="http://schemas.openxmlformats.org/officeDocument/2006/relationships/header" Target="header8.xml"/><Relationship Id="rId99" Type="http://schemas.openxmlformats.org/officeDocument/2006/relationships/hyperlink" Target="http://www.hnvlink.eu/download/D1.3BAcomplete.pdf" TargetMode="External"/><Relationship Id="rId101" Type="http://schemas.openxmlformats.org/officeDocument/2006/relationships/hyperlink" Target="http://www.hnvlink.eu/download/D1.3BAcomplete.pdf" TargetMode="External"/><Relationship Id="rId122" Type="http://schemas.openxmlformats.org/officeDocument/2006/relationships/hyperlink" Target="http://www.tandfonline.com/doi/abs/10.1080/135467896394447" TargetMode="External"/><Relationship Id="rId130" Type="http://schemas.openxmlformats.org/officeDocument/2006/relationships/hyperlink" Target="https://ec.europa.eu/research/innovation-union/pdf/innovation-union-communication_en.pdf" TargetMode="External"/><Relationship Id="rId135" Type="http://schemas.openxmlformats.org/officeDocument/2006/relationships/hyperlink" Target="http://ec.europa.eu/eip/agriculture/sites/agri-eip/files/16_measure_fiche_art_35_co-operation.pdf" TargetMode="Externa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emf"/><Relationship Id="rId109" Type="http://schemas.openxmlformats.org/officeDocument/2006/relationships/hyperlink" Target="http://www.tandfonline.com/doi/abs/10.1080/135467896394447" TargetMode="External"/><Relationship Id="rId34" Type="http://schemas.openxmlformats.org/officeDocument/2006/relationships/hyperlink" Target="https://enrd.ec.europa.eu/evaluation/publications/guidelines-assessment-rdp-results-how-prepare-reporting-evaluation-2017_en" TargetMode="External"/><Relationship Id="rId50" Type="http://schemas.openxmlformats.org/officeDocument/2006/relationships/hyperlink" Target="http://enrd.ec.europa.eu/news-events/events/enrd-workshop-measure-16-cooperation_en" TargetMode="External"/><Relationship Id="rId55" Type="http://schemas.openxmlformats.org/officeDocument/2006/relationships/hyperlink" Target="https://enrd.ec.europa.eu/evaluation/publications/guidelines-assessment-rdp-results-how-prepare-reporting-evaluation-2017_en" TargetMode="External"/><Relationship Id="rId76" Type="http://schemas.openxmlformats.org/officeDocument/2006/relationships/hyperlink" Target="https://enrd.ec.europa.eu/sites/enrd/files/twg-02-nrn-july2016.pdf" TargetMode="External"/><Relationship Id="rId97" Type="http://schemas.openxmlformats.org/officeDocument/2006/relationships/hyperlink" Target="https://enrd.ec.europa.eu/sites/enrd/files/uploaded-files/wp_evaluation_questions_2015.pdf" TargetMode="External"/><Relationship Id="rId104" Type="http://schemas.openxmlformats.org/officeDocument/2006/relationships/hyperlink" Target="http://asq.org/quality-progress/2007/07/statistics/likert-scales-and-data-analyses.html" TargetMode="External"/><Relationship Id="rId120" Type="http://schemas.openxmlformats.org/officeDocument/2006/relationships/hyperlink" Target="https://www.gao.gov/products/GAO/PEMD-10.1.9" TargetMode="External"/><Relationship Id="rId125" Type="http://schemas.openxmlformats.org/officeDocument/2006/relationships/hyperlink" Target="http://journals.sagepub.com/doi/abs/10.1177/1356389012451663" TargetMode="External"/><Relationship Id="rId7" Type="http://schemas.openxmlformats.org/officeDocument/2006/relationships/endnotes" Target="endnotes.xml"/><Relationship Id="rId71" Type="http://schemas.openxmlformats.org/officeDocument/2006/relationships/hyperlink" Target="http://enrd.ec.europa.eu/enrd-static/evaluation/good-practices-workshops/national-rural-networks/en/national-rural-networks_en.html" TargetMode="External"/><Relationship Id="rId92" Type="http://schemas.openxmlformats.org/officeDocument/2006/relationships/hyperlink" Target="http://www.men-d.de/index.php?id=81&amp;tx_ttnews%5btt_news%5d=195&amp;tx_ttnews%5bbackPid%5d=85&amp;cHash=08539b2ad7" TargetMode="Externa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s://ec.europa.eu/eip/agriculture/sites/agri-eip/files/16_measure_fiche_art_35_co-operation.pdf" TargetMode="External"/><Relationship Id="rId66" Type="http://schemas.openxmlformats.org/officeDocument/2006/relationships/hyperlink" Target="https://enrd.ec.europa.eu/evaluation/publications/guidelines-assessment-rdp-results-how-prepare-reporting-evaluation-2017_en" TargetMode="External"/><Relationship Id="rId87" Type="http://schemas.openxmlformats.org/officeDocument/2006/relationships/hyperlink" Target="http://eur-lex.europa.eu/LexUriServ/LexUriServ.do?uri=COM:2010:2020:FIN:SV:PDF" TargetMode="External"/><Relationship Id="rId110" Type="http://schemas.openxmlformats.org/officeDocument/2006/relationships/hyperlink" Target="http://www.tandfonline.com/doi/abs/10.1080/135467896394447" TargetMode="External"/><Relationship Id="rId115" Type="http://schemas.openxmlformats.org/officeDocument/2006/relationships/hyperlink" Target="https://www.ncbi.nlm.nih.gov/pubmed/16053581" TargetMode="External"/><Relationship Id="rId131" Type="http://schemas.openxmlformats.org/officeDocument/2006/relationships/hyperlink" Target="https://ec.europa.eu/eip/agriculture/sites/agri-eip/files/communication_on_eip_-_en.pdf" TargetMode="External"/><Relationship Id="rId136" Type="http://schemas.openxmlformats.org/officeDocument/2006/relationships/hyperlink" Target="https://ec.europa.eu/eip/agriculture/en/content/innovation-support-services" TargetMode="External"/><Relationship Id="rId61" Type="http://schemas.openxmlformats.org/officeDocument/2006/relationships/hyperlink" Target="http://enrd.ec.europa.eu/news-events/events/enrd-workshop-measure-16-cooperation_en" TargetMode="External"/><Relationship Id="rId82" Type="http://schemas.openxmlformats.org/officeDocument/2006/relationships/hyperlink" Target="http://ec.europa.eu/eurostat/statistics-explained/index.php/Smarter,_greener,_more_inclusive_-_indicators_to_support_the_Europe_2020_strategy" TargetMode="Externa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11.emf"/><Relationship Id="rId35" Type="http://schemas.openxmlformats.org/officeDocument/2006/relationships/header" Target="header6.xml"/><Relationship Id="rId56" Type="http://schemas.openxmlformats.org/officeDocument/2006/relationships/hyperlink" Target="https://ec.europa.eu/eip/agriculture/sites/agri-eip/files/16_measure_fiche_art_35_co-operation.pdf" TargetMode="External"/><Relationship Id="rId77" Type="http://schemas.openxmlformats.org/officeDocument/2006/relationships/hyperlink" Target="https://ec.europa.eu/eip/agriculture/en/publications/guidelines-programming-innovation-and" TargetMode="External"/><Relationship Id="rId100" Type="http://schemas.openxmlformats.org/officeDocument/2006/relationships/hyperlink" Target="http://www.hnvlink.eu/" TargetMode="External"/><Relationship Id="rId105" Type="http://schemas.openxmlformats.org/officeDocument/2006/relationships/hyperlink" Target="https://www.cambridge.org/core/journals/ps-political-science-and-politics/article/understanding-process-tracing/183A057AD6A36783E678CB37440346D1" TargetMode="External"/><Relationship Id="rId126" Type="http://schemas.openxmlformats.org/officeDocument/2006/relationships/hyperlink" Target="http://journals.sagepub.com/doi/abs/10.1177/135638901245166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sv/ALL/?uri=CELEX%3A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20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20"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BC0F9-0654-48F9-9AE4-C09810C0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22686</Words>
  <Characters>129315</Characters>
  <Application>Microsoft Office Word</Application>
  <DocSecurity>0</DocSecurity>
  <Lines>1077</Lines>
  <Paragraphs>303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151698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Valerie Dumont</cp:lastModifiedBy>
  <cp:revision>3</cp:revision>
  <cp:lastPrinted>2018-01-12T09:16:00Z</cp:lastPrinted>
  <dcterms:created xsi:type="dcterms:W3CDTF">2018-03-19T10:41:00Z</dcterms:created>
  <dcterms:modified xsi:type="dcterms:W3CDTF">2018-03-19T13:46:00Z</dcterms:modified>
</cp:coreProperties>
</file>